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theme/themeOverride2.xml" ContentType="application/vnd.openxmlformats-officedocument.themeOverrid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147" w:rsidRDefault="00A36147" w:rsidP="006A7146">
      <w:pPr>
        <w:pStyle w:val="Heading1"/>
      </w:pPr>
      <w:bookmarkStart w:id="0" w:name="_Toc420914115"/>
      <w:r w:rsidRPr="007B460D">
        <w:t>Victorian Child Health and</w:t>
      </w:r>
      <w:r>
        <w:t xml:space="preserve"> Wellbeing Survey</w:t>
      </w:r>
      <w:bookmarkEnd w:id="0"/>
    </w:p>
    <w:p w:rsidR="00A8049E" w:rsidRDefault="00A36147" w:rsidP="006A7146">
      <w:pPr>
        <w:pStyle w:val="Heading2"/>
      </w:pPr>
      <w:bookmarkStart w:id="1" w:name="_Toc420914116"/>
      <w:r>
        <w:t xml:space="preserve">Summary findings </w:t>
      </w:r>
      <w:r w:rsidR="00A8049E">
        <w:t>20</w:t>
      </w:r>
      <w:r w:rsidR="00DF598E">
        <w:t>13</w:t>
      </w:r>
      <w:bookmarkEnd w:id="1"/>
      <w:r w:rsidR="00A8049E">
        <w:t xml:space="preserve"> </w:t>
      </w:r>
    </w:p>
    <w:p w:rsidR="00A944AE" w:rsidRDefault="00DC5BFF" w:rsidP="00DC5BFF">
      <w:r>
        <w:rPr>
          <w:noProof/>
          <w:lang w:eastAsia="en-AU"/>
        </w:rPr>
        <w:drawing>
          <wp:inline distT="0" distB="0" distL="0" distR="0">
            <wp:extent cx="6185692" cy="6486526"/>
            <wp:effectExtent l="0" t="0" r="5715" b="0"/>
            <wp:docPr id="30" name="Picture 30" descr="every child every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hws-cover.jpg"/>
                    <pic:cNvPicPr/>
                  </pic:nvPicPr>
                  <pic:blipFill rotWithShape="1">
                    <a:blip r:embed="rId9">
                      <a:extLst>
                        <a:ext uri="{28A0092B-C50C-407E-A947-70E740481C1C}">
                          <a14:useLocalDpi xmlns:a14="http://schemas.microsoft.com/office/drawing/2010/main" val="0"/>
                        </a:ext>
                      </a:extLst>
                    </a:blip>
                    <a:srcRect t="25865"/>
                    <a:stretch/>
                  </pic:blipFill>
                  <pic:spPr bwMode="auto">
                    <a:xfrm>
                      <a:off x="0" y="0"/>
                      <a:ext cx="6195176" cy="6496471"/>
                    </a:xfrm>
                    <a:prstGeom prst="rect">
                      <a:avLst/>
                    </a:prstGeom>
                    <a:ln>
                      <a:noFill/>
                    </a:ln>
                    <a:extLst>
                      <a:ext uri="{53640926-AAD7-44D8-BBD7-CCE9431645EC}">
                        <a14:shadowObscured xmlns:a14="http://schemas.microsoft.com/office/drawing/2010/main"/>
                      </a:ext>
                    </a:extLst>
                  </pic:spPr>
                </pic:pic>
              </a:graphicData>
            </a:graphic>
          </wp:inline>
        </w:drawing>
      </w:r>
    </w:p>
    <w:p w:rsidR="00DC5BFF" w:rsidRDefault="00DC5BFF">
      <w:pPr>
        <w:spacing w:after="0"/>
        <w:rPr>
          <w:color w:val="333333"/>
          <w:szCs w:val="20"/>
          <w:lang w:eastAsia="en-AU"/>
        </w:rPr>
      </w:pPr>
      <w:r>
        <w:br w:type="page"/>
      </w:r>
    </w:p>
    <w:p w:rsidR="00DC5BFF" w:rsidRDefault="00DC5BFF" w:rsidP="00DC5BFF">
      <w:pPr>
        <w:pStyle w:val="Body"/>
        <w:spacing w:before="5800"/>
      </w:pPr>
    </w:p>
    <w:p w:rsidR="00C6154A" w:rsidRPr="00B66145" w:rsidRDefault="00AC0073" w:rsidP="00DC5BFF">
      <w:pPr>
        <w:pStyle w:val="Body"/>
        <w:spacing w:before="5800"/>
        <w:rPr>
          <w:color w:val="auto"/>
        </w:rPr>
      </w:pPr>
      <w:r w:rsidRPr="00B66145">
        <w:rPr>
          <w:color w:val="auto"/>
        </w:rPr>
        <w:t>P</w:t>
      </w:r>
      <w:r w:rsidR="00E057D6" w:rsidRPr="00B66145">
        <w:rPr>
          <w:color w:val="auto"/>
        </w:rPr>
        <w:t>ublished by the</w:t>
      </w:r>
    </w:p>
    <w:p w:rsidR="003C23A8" w:rsidRPr="00B66145" w:rsidRDefault="00C5792E" w:rsidP="00EF629F">
      <w:pPr>
        <w:rPr>
          <w:color w:val="auto"/>
        </w:rPr>
      </w:pPr>
      <w:r w:rsidRPr="00B66145">
        <w:rPr>
          <w:rStyle w:val="BodyChar"/>
          <w:color w:val="auto"/>
        </w:rPr>
        <w:t>Performance and Evaluation Division</w:t>
      </w:r>
    </w:p>
    <w:p w:rsidR="00E057D6" w:rsidRPr="00B66145" w:rsidRDefault="00E057D6" w:rsidP="00EF629F">
      <w:pPr>
        <w:rPr>
          <w:color w:val="auto"/>
        </w:rPr>
      </w:pPr>
      <w:r w:rsidRPr="00B66145">
        <w:rPr>
          <w:color w:val="auto"/>
        </w:rPr>
        <w:t>Department of Education and</w:t>
      </w:r>
      <w:r w:rsidR="00A8049E" w:rsidRPr="00B66145">
        <w:rPr>
          <w:color w:val="auto"/>
        </w:rPr>
        <w:t xml:space="preserve"> </w:t>
      </w:r>
      <w:r w:rsidR="002F46A7" w:rsidRPr="00B66145">
        <w:rPr>
          <w:color w:val="auto"/>
        </w:rPr>
        <w:t>Training</w:t>
      </w:r>
    </w:p>
    <w:p w:rsidR="00E057D6" w:rsidRPr="00B66145" w:rsidRDefault="00E057D6" w:rsidP="00EF629F">
      <w:pPr>
        <w:rPr>
          <w:color w:val="auto"/>
        </w:rPr>
      </w:pPr>
      <w:r w:rsidRPr="00B66145">
        <w:rPr>
          <w:color w:val="auto"/>
        </w:rPr>
        <w:t>Melbourne</w:t>
      </w:r>
      <w:r w:rsidR="00A8049E" w:rsidRPr="00B66145">
        <w:rPr>
          <w:color w:val="auto"/>
        </w:rPr>
        <w:t xml:space="preserve"> 20</w:t>
      </w:r>
      <w:r w:rsidR="00C5792E" w:rsidRPr="00B66145">
        <w:rPr>
          <w:color w:val="auto"/>
        </w:rPr>
        <w:t>1</w:t>
      </w:r>
      <w:r w:rsidR="002F46A7" w:rsidRPr="00B66145">
        <w:rPr>
          <w:color w:val="auto"/>
        </w:rPr>
        <w:t>5</w:t>
      </w:r>
    </w:p>
    <w:p w:rsidR="00E057D6" w:rsidRPr="00B66145" w:rsidRDefault="00E057D6" w:rsidP="00EF629F">
      <w:pPr>
        <w:rPr>
          <w:color w:val="auto"/>
        </w:rPr>
      </w:pPr>
    </w:p>
    <w:p w:rsidR="00E057D6" w:rsidRPr="00B66145" w:rsidRDefault="00E057D6" w:rsidP="00EF629F">
      <w:pPr>
        <w:rPr>
          <w:color w:val="auto"/>
        </w:rPr>
      </w:pPr>
      <w:r w:rsidRPr="00B66145">
        <w:rPr>
          <w:color w:val="auto"/>
        </w:rPr>
        <w:t>©</w:t>
      </w:r>
      <w:r w:rsidR="00EF629F" w:rsidRPr="00B66145">
        <w:rPr>
          <w:color w:val="auto"/>
        </w:rPr>
        <w:t xml:space="preserve"> </w:t>
      </w:r>
      <w:r w:rsidRPr="00B66145">
        <w:rPr>
          <w:color w:val="auto"/>
        </w:rPr>
        <w:t>State of Victoria (Department of Education</w:t>
      </w:r>
      <w:r w:rsidR="00A36147" w:rsidRPr="00B66145">
        <w:rPr>
          <w:color w:val="auto"/>
        </w:rPr>
        <w:t xml:space="preserve"> </w:t>
      </w:r>
      <w:r w:rsidRPr="00B66145">
        <w:rPr>
          <w:color w:val="auto"/>
        </w:rPr>
        <w:t xml:space="preserve">and </w:t>
      </w:r>
      <w:r w:rsidR="002F46A7" w:rsidRPr="00B66145">
        <w:rPr>
          <w:color w:val="auto"/>
        </w:rPr>
        <w:t>Training</w:t>
      </w:r>
      <w:r w:rsidRPr="00B66145">
        <w:rPr>
          <w:color w:val="auto"/>
        </w:rPr>
        <w:t xml:space="preserve">) </w:t>
      </w:r>
      <w:r w:rsidR="00A8049E" w:rsidRPr="00B66145">
        <w:rPr>
          <w:color w:val="auto"/>
        </w:rPr>
        <w:t>20</w:t>
      </w:r>
      <w:r w:rsidR="00C5792E" w:rsidRPr="00B66145">
        <w:rPr>
          <w:color w:val="auto"/>
        </w:rPr>
        <w:t>1</w:t>
      </w:r>
      <w:r w:rsidR="002F46A7" w:rsidRPr="00B66145">
        <w:rPr>
          <w:color w:val="auto"/>
        </w:rPr>
        <w:t>5</w:t>
      </w:r>
    </w:p>
    <w:p w:rsidR="00E057D6" w:rsidRPr="00B66145" w:rsidRDefault="00E057D6" w:rsidP="00EF629F">
      <w:pPr>
        <w:rPr>
          <w:color w:val="auto"/>
        </w:rPr>
      </w:pPr>
      <w:r w:rsidRPr="00B66145">
        <w:rPr>
          <w:color w:val="auto"/>
        </w:rPr>
        <w:t xml:space="preserve">The copyright in this document is owned by the State of Victoria (Department of Education and </w:t>
      </w:r>
      <w:r w:rsidR="002F46A7" w:rsidRPr="00B66145">
        <w:rPr>
          <w:color w:val="auto"/>
        </w:rPr>
        <w:t>Training</w:t>
      </w:r>
      <w:r w:rsidRPr="00B66145">
        <w:rPr>
          <w:color w:val="auto"/>
        </w:rPr>
        <w:t>), or in the case of some materials, by third parties (third party materials). No part may be reproduced by any process except in accordance with the provisions of the Copyright Act 1968, the National Education Access Licence for Schools (NEALS) (see below) or with permission.</w:t>
      </w:r>
    </w:p>
    <w:p w:rsidR="00E057D6" w:rsidRPr="00B66145" w:rsidRDefault="00E057D6" w:rsidP="00EF629F">
      <w:pPr>
        <w:rPr>
          <w:color w:val="auto"/>
        </w:rPr>
      </w:pPr>
      <w:r w:rsidRPr="00B66145">
        <w:rPr>
          <w:color w:val="auto"/>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CC699C" w:rsidRPr="00B66145" w:rsidRDefault="00E057D6" w:rsidP="00EF629F">
      <w:pPr>
        <w:rPr>
          <w:color w:val="auto"/>
        </w:rPr>
      </w:pPr>
      <w:r w:rsidRPr="00B66145">
        <w:rPr>
          <w:color w:val="auto"/>
        </w:rPr>
        <w:t>Authorised by the Department of Education</w:t>
      </w:r>
      <w:r w:rsidR="00A36147" w:rsidRPr="00B66145">
        <w:rPr>
          <w:color w:val="auto"/>
        </w:rPr>
        <w:t xml:space="preserve"> </w:t>
      </w:r>
      <w:r w:rsidR="00A8049E" w:rsidRPr="00B66145">
        <w:rPr>
          <w:color w:val="auto"/>
        </w:rPr>
        <w:t xml:space="preserve">and </w:t>
      </w:r>
      <w:r w:rsidR="002F46A7" w:rsidRPr="00B66145">
        <w:rPr>
          <w:color w:val="auto"/>
        </w:rPr>
        <w:t>Training</w:t>
      </w:r>
    </w:p>
    <w:p w:rsidR="00CC699C" w:rsidRPr="00B66145" w:rsidRDefault="00E057D6" w:rsidP="00EF629F">
      <w:pPr>
        <w:rPr>
          <w:color w:val="auto"/>
        </w:rPr>
      </w:pPr>
      <w:r w:rsidRPr="00B66145">
        <w:rPr>
          <w:color w:val="auto"/>
        </w:rPr>
        <w:t>2 Treasury Place, East Melbourne, Victoria, 3002.</w:t>
      </w:r>
    </w:p>
    <w:p w:rsidR="00EB3946" w:rsidRPr="009148EC" w:rsidRDefault="00EB3946" w:rsidP="00EF629F">
      <w:pPr>
        <w:rPr>
          <w:lang w:eastAsia="en-AU"/>
        </w:rPr>
        <w:sectPr w:rsidR="00EB3946" w:rsidRPr="009148EC" w:rsidSect="006C5F0A">
          <w:headerReference w:type="default" r:id="rId10"/>
          <w:footerReference w:type="default" r:id="rId11"/>
          <w:pgSz w:w="11900" w:h="16840"/>
          <w:pgMar w:top="568" w:right="1134" w:bottom="1134" w:left="1984" w:header="709" w:footer="1417" w:gutter="0"/>
          <w:cols w:space="720"/>
        </w:sectPr>
      </w:pPr>
    </w:p>
    <w:p w:rsidR="00785558" w:rsidRPr="00A66C30" w:rsidRDefault="00785558" w:rsidP="00EF629F"/>
    <w:p w:rsidR="00A13DCF" w:rsidRDefault="00785558" w:rsidP="00CF6369">
      <w:pPr>
        <w:pStyle w:val="Title"/>
      </w:pPr>
      <w:bookmarkStart w:id="2" w:name="_Toc219179750"/>
      <w:bookmarkStart w:id="3" w:name="_Toc219180347"/>
      <w:bookmarkStart w:id="4" w:name="_Toc219180398"/>
      <w:bookmarkStart w:id="5" w:name="_Toc219185632"/>
      <w:bookmarkStart w:id="6" w:name="_Toc219799047"/>
      <w:r w:rsidRPr="00F764AB">
        <w:t>Contents</w:t>
      </w:r>
      <w:bookmarkStart w:id="7" w:name="_Toc219174621"/>
      <w:bookmarkEnd w:id="2"/>
      <w:bookmarkEnd w:id="3"/>
      <w:bookmarkEnd w:id="4"/>
      <w:bookmarkEnd w:id="5"/>
      <w:bookmarkEnd w:id="6"/>
    </w:p>
    <w:p w:rsidR="00A13DCF" w:rsidRPr="00A66C30" w:rsidRDefault="00A13DCF" w:rsidP="00CF6369">
      <w:pPr>
        <w:pStyle w:val="Body"/>
      </w:pPr>
    </w:p>
    <w:p w:rsidR="007B460D" w:rsidRDefault="007B460D"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hyperlink w:anchor="_Toc420914117" w:history="1">
        <w:r w:rsidRPr="007B0594">
          <w:rPr>
            <w:rStyle w:val="Hyperlink"/>
            <w:noProof/>
          </w:rPr>
          <w:t>Background</w:t>
        </w:r>
        <w:r>
          <w:rPr>
            <w:noProof/>
            <w:webHidden/>
          </w:rPr>
          <w:tab/>
        </w:r>
        <w:r>
          <w:rPr>
            <w:noProof/>
            <w:webHidden/>
          </w:rPr>
          <w:fldChar w:fldCharType="begin"/>
        </w:r>
        <w:r>
          <w:rPr>
            <w:noProof/>
            <w:webHidden/>
          </w:rPr>
          <w:instrText xml:space="preserve"> PAGEREF _Toc420914117 \h </w:instrText>
        </w:r>
        <w:r>
          <w:rPr>
            <w:noProof/>
            <w:webHidden/>
          </w:rPr>
        </w:r>
        <w:r>
          <w:rPr>
            <w:noProof/>
            <w:webHidden/>
          </w:rPr>
          <w:fldChar w:fldCharType="separate"/>
        </w:r>
        <w:r w:rsidR="009454DC">
          <w:rPr>
            <w:noProof/>
            <w:webHidden/>
          </w:rPr>
          <w:t>5</w:t>
        </w:r>
        <w:r>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18" w:history="1">
        <w:r w:rsidR="007B460D" w:rsidRPr="007B0594">
          <w:rPr>
            <w:rStyle w:val="Hyperlink"/>
            <w:noProof/>
          </w:rPr>
          <w:t>When interpreting the VCHWS data…</w:t>
        </w:r>
        <w:r w:rsidR="007B460D">
          <w:rPr>
            <w:noProof/>
            <w:webHidden/>
          </w:rPr>
          <w:tab/>
        </w:r>
        <w:r w:rsidR="007B460D">
          <w:rPr>
            <w:noProof/>
            <w:webHidden/>
          </w:rPr>
          <w:fldChar w:fldCharType="begin"/>
        </w:r>
        <w:r w:rsidR="007B460D">
          <w:rPr>
            <w:noProof/>
            <w:webHidden/>
          </w:rPr>
          <w:instrText xml:space="preserve"> PAGEREF _Toc420914118 \h </w:instrText>
        </w:r>
        <w:r w:rsidR="007B460D">
          <w:rPr>
            <w:noProof/>
            <w:webHidden/>
          </w:rPr>
        </w:r>
        <w:r w:rsidR="007B460D">
          <w:rPr>
            <w:noProof/>
            <w:webHidden/>
          </w:rPr>
          <w:fldChar w:fldCharType="separate"/>
        </w:r>
        <w:r w:rsidR="009454DC">
          <w:rPr>
            <w:noProof/>
            <w:webHidden/>
          </w:rPr>
          <w:t>6</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19" w:history="1">
        <w:r w:rsidR="007B460D" w:rsidRPr="007B0594">
          <w:rPr>
            <w:rStyle w:val="Hyperlink"/>
            <w:noProof/>
          </w:rPr>
          <w:t>Comparing respondents</w:t>
        </w:r>
        <w:r w:rsidR="007B460D">
          <w:rPr>
            <w:noProof/>
            <w:webHidden/>
          </w:rPr>
          <w:tab/>
        </w:r>
        <w:r w:rsidR="007B460D">
          <w:rPr>
            <w:noProof/>
            <w:webHidden/>
          </w:rPr>
          <w:fldChar w:fldCharType="begin"/>
        </w:r>
        <w:r w:rsidR="007B460D">
          <w:rPr>
            <w:noProof/>
            <w:webHidden/>
          </w:rPr>
          <w:instrText xml:space="preserve"> PAGEREF _Toc420914119 \h </w:instrText>
        </w:r>
        <w:r w:rsidR="007B460D">
          <w:rPr>
            <w:noProof/>
            <w:webHidden/>
          </w:rPr>
        </w:r>
        <w:r w:rsidR="007B460D">
          <w:rPr>
            <w:noProof/>
            <w:webHidden/>
          </w:rPr>
          <w:fldChar w:fldCharType="separate"/>
        </w:r>
        <w:r w:rsidR="009454DC">
          <w:rPr>
            <w:noProof/>
            <w:webHidden/>
          </w:rPr>
          <w:t>6</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0" w:history="1">
        <w:r w:rsidR="007B460D" w:rsidRPr="007B0594">
          <w:rPr>
            <w:rStyle w:val="Hyperlink"/>
            <w:noProof/>
          </w:rPr>
          <w:t>Key statistics at a glance</w:t>
        </w:r>
        <w:r w:rsidR="007B460D">
          <w:rPr>
            <w:noProof/>
            <w:webHidden/>
          </w:rPr>
          <w:tab/>
        </w:r>
        <w:r w:rsidR="007B460D">
          <w:rPr>
            <w:noProof/>
            <w:webHidden/>
          </w:rPr>
          <w:fldChar w:fldCharType="begin"/>
        </w:r>
        <w:r w:rsidR="007B460D">
          <w:rPr>
            <w:noProof/>
            <w:webHidden/>
          </w:rPr>
          <w:instrText xml:space="preserve"> PAGEREF _Toc420914120 \h </w:instrText>
        </w:r>
        <w:r w:rsidR="007B460D">
          <w:rPr>
            <w:noProof/>
            <w:webHidden/>
          </w:rPr>
        </w:r>
        <w:r w:rsidR="007B460D">
          <w:rPr>
            <w:noProof/>
            <w:webHidden/>
          </w:rPr>
          <w:fldChar w:fldCharType="separate"/>
        </w:r>
        <w:r w:rsidR="009454DC">
          <w:rPr>
            <w:noProof/>
            <w:webHidden/>
          </w:rPr>
          <w:t>7</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1" w:history="1">
        <w:r w:rsidR="007B460D" w:rsidRPr="007B0594">
          <w:rPr>
            <w:rStyle w:val="Hyperlink"/>
            <w:noProof/>
          </w:rPr>
          <w:t>Outcome: Optimal antenatal and infant development</w:t>
        </w:r>
        <w:r w:rsidR="007B460D">
          <w:rPr>
            <w:noProof/>
            <w:webHidden/>
          </w:rPr>
          <w:tab/>
        </w:r>
        <w:r w:rsidR="007B460D">
          <w:rPr>
            <w:noProof/>
            <w:webHidden/>
          </w:rPr>
          <w:fldChar w:fldCharType="begin"/>
        </w:r>
        <w:r w:rsidR="007B460D">
          <w:rPr>
            <w:noProof/>
            <w:webHidden/>
          </w:rPr>
          <w:instrText xml:space="preserve"> PAGEREF _Toc420914121 \h </w:instrText>
        </w:r>
        <w:r w:rsidR="007B460D">
          <w:rPr>
            <w:noProof/>
            <w:webHidden/>
          </w:rPr>
        </w:r>
        <w:r w:rsidR="007B460D">
          <w:rPr>
            <w:noProof/>
            <w:webHidden/>
          </w:rPr>
          <w:fldChar w:fldCharType="separate"/>
        </w:r>
        <w:r w:rsidR="009454DC">
          <w:rPr>
            <w:noProof/>
            <w:webHidden/>
          </w:rPr>
          <w:t>8</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2" w:history="1">
        <w:r w:rsidR="007B460D" w:rsidRPr="007B0594">
          <w:rPr>
            <w:rStyle w:val="Hyperlink"/>
            <w:noProof/>
          </w:rPr>
          <w:t>Prenatal health</w:t>
        </w:r>
        <w:r w:rsidR="007B460D">
          <w:rPr>
            <w:noProof/>
            <w:webHidden/>
          </w:rPr>
          <w:tab/>
        </w:r>
        <w:r w:rsidR="007B460D">
          <w:rPr>
            <w:noProof/>
            <w:webHidden/>
          </w:rPr>
          <w:fldChar w:fldCharType="begin"/>
        </w:r>
        <w:r w:rsidR="007B460D">
          <w:rPr>
            <w:noProof/>
            <w:webHidden/>
          </w:rPr>
          <w:instrText xml:space="preserve"> PAGEREF _Toc420914122 \h </w:instrText>
        </w:r>
        <w:r w:rsidR="007B460D">
          <w:rPr>
            <w:noProof/>
            <w:webHidden/>
          </w:rPr>
        </w:r>
        <w:r w:rsidR="007B460D">
          <w:rPr>
            <w:noProof/>
            <w:webHidden/>
          </w:rPr>
          <w:fldChar w:fldCharType="separate"/>
        </w:r>
        <w:r w:rsidR="009454DC">
          <w:rPr>
            <w:noProof/>
            <w:webHidden/>
          </w:rPr>
          <w:t>8</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3" w:history="1">
        <w:r w:rsidR="007B460D" w:rsidRPr="007B0594">
          <w:rPr>
            <w:rStyle w:val="Hyperlink"/>
            <w:noProof/>
          </w:rPr>
          <w:t>Outcome: Optimal physical health</w:t>
        </w:r>
        <w:r w:rsidR="007B460D">
          <w:rPr>
            <w:noProof/>
            <w:webHidden/>
          </w:rPr>
          <w:tab/>
        </w:r>
        <w:r w:rsidR="007B460D">
          <w:rPr>
            <w:noProof/>
            <w:webHidden/>
          </w:rPr>
          <w:fldChar w:fldCharType="begin"/>
        </w:r>
        <w:r w:rsidR="007B460D">
          <w:rPr>
            <w:noProof/>
            <w:webHidden/>
          </w:rPr>
          <w:instrText xml:space="preserve"> PAGEREF _Toc420914123 \h </w:instrText>
        </w:r>
        <w:r w:rsidR="007B460D">
          <w:rPr>
            <w:noProof/>
            <w:webHidden/>
          </w:rPr>
        </w:r>
        <w:r w:rsidR="007B460D">
          <w:rPr>
            <w:noProof/>
            <w:webHidden/>
          </w:rPr>
          <w:fldChar w:fldCharType="separate"/>
        </w:r>
        <w:r w:rsidR="009454DC">
          <w:rPr>
            <w:noProof/>
            <w:webHidden/>
          </w:rPr>
          <w:t>9</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4" w:history="1">
        <w:r w:rsidR="007B460D" w:rsidRPr="007B0594">
          <w:rPr>
            <w:rStyle w:val="Hyperlink"/>
            <w:noProof/>
          </w:rPr>
          <w:t>Proportion of children with ‘good health’</w:t>
        </w:r>
        <w:r w:rsidR="007B460D">
          <w:rPr>
            <w:noProof/>
            <w:webHidden/>
          </w:rPr>
          <w:tab/>
        </w:r>
        <w:r w:rsidR="007B460D">
          <w:rPr>
            <w:noProof/>
            <w:webHidden/>
          </w:rPr>
          <w:fldChar w:fldCharType="begin"/>
        </w:r>
        <w:r w:rsidR="007B460D">
          <w:rPr>
            <w:noProof/>
            <w:webHidden/>
          </w:rPr>
          <w:instrText xml:space="preserve"> PAGEREF _Toc420914124 \h </w:instrText>
        </w:r>
        <w:r w:rsidR="007B460D">
          <w:rPr>
            <w:noProof/>
            <w:webHidden/>
          </w:rPr>
        </w:r>
        <w:r w:rsidR="007B460D">
          <w:rPr>
            <w:noProof/>
            <w:webHidden/>
          </w:rPr>
          <w:fldChar w:fldCharType="separate"/>
        </w:r>
        <w:r w:rsidR="009454DC">
          <w:rPr>
            <w:noProof/>
            <w:webHidden/>
          </w:rPr>
          <w:t>9</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5" w:history="1">
        <w:r w:rsidR="007B460D" w:rsidRPr="007B0594">
          <w:rPr>
            <w:rStyle w:val="Hyperlink"/>
            <w:noProof/>
          </w:rPr>
          <w:t>Asthma (children aged 1 to 12 years)</w:t>
        </w:r>
        <w:r w:rsidR="007B460D">
          <w:rPr>
            <w:noProof/>
            <w:webHidden/>
          </w:rPr>
          <w:tab/>
        </w:r>
        <w:r w:rsidR="007B460D">
          <w:rPr>
            <w:noProof/>
            <w:webHidden/>
          </w:rPr>
          <w:fldChar w:fldCharType="begin"/>
        </w:r>
        <w:r w:rsidR="007B460D">
          <w:rPr>
            <w:noProof/>
            <w:webHidden/>
          </w:rPr>
          <w:instrText xml:space="preserve"> PAGEREF _Toc420914125 \h </w:instrText>
        </w:r>
        <w:r w:rsidR="007B460D">
          <w:rPr>
            <w:noProof/>
            <w:webHidden/>
          </w:rPr>
        </w:r>
        <w:r w:rsidR="007B460D">
          <w:rPr>
            <w:noProof/>
            <w:webHidden/>
          </w:rPr>
          <w:fldChar w:fldCharType="separate"/>
        </w:r>
        <w:r w:rsidR="009454DC">
          <w:rPr>
            <w:noProof/>
            <w:webHidden/>
          </w:rPr>
          <w:t>9</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6" w:history="1">
        <w:r w:rsidR="007B460D" w:rsidRPr="007B0594">
          <w:rPr>
            <w:rStyle w:val="Hyperlink"/>
            <w:noProof/>
          </w:rPr>
          <w:t>Outcome: Healthy teeth and gums</w:t>
        </w:r>
        <w:r w:rsidR="007B460D">
          <w:rPr>
            <w:noProof/>
            <w:webHidden/>
          </w:rPr>
          <w:tab/>
        </w:r>
        <w:r w:rsidR="007B460D">
          <w:rPr>
            <w:noProof/>
            <w:webHidden/>
          </w:rPr>
          <w:fldChar w:fldCharType="begin"/>
        </w:r>
        <w:r w:rsidR="007B460D">
          <w:rPr>
            <w:noProof/>
            <w:webHidden/>
          </w:rPr>
          <w:instrText xml:space="preserve"> PAGEREF _Toc420914126 \h </w:instrText>
        </w:r>
        <w:r w:rsidR="007B460D">
          <w:rPr>
            <w:noProof/>
            <w:webHidden/>
          </w:rPr>
        </w:r>
        <w:r w:rsidR="007B460D">
          <w:rPr>
            <w:noProof/>
            <w:webHidden/>
          </w:rPr>
          <w:fldChar w:fldCharType="separate"/>
        </w:r>
        <w:r w:rsidR="009454DC">
          <w:rPr>
            <w:noProof/>
            <w:webHidden/>
          </w:rPr>
          <w:t>9</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7" w:history="1">
        <w:r w:rsidR="007B460D" w:rsidRPr="007B0594">
          <w:rPr>
            <w:rStyle w:val="Hyperlink"/>
            <w:noProof/>
          </w:rPr>
          <w:t>Oral health status (children aged 6 months to 12 years)</w:t>
        </w:r>
        <w:r w:rsidR="007B460D">
          <w:rPr>
            <w:noProof/>
            <w:webHidden/>
          </w:rPr>
          <w:tab/>
        </w:r>
        <w:r w:rsidR="007B460D">
          <w:rPr>
            <w:noProof/>
            <w:webHidden/>
          </w:rPr>
          <w:fldChar w:fldCharType="begin"/>
        </w:r>
        <w:r w:rsidR="007B460D">
          <w:rPr>
            <w:noProof/>
            <w:webHidden/>
          </w:rPr>
          <w:instrText xml:space="preserve"> PAGEREF _Toc420914127 \h </w:instrText>
        </w:r>
        <w:r w:rsidR="007B460D">
          <w:rPr>
            <w:noProof/>
            <w:webHidden/>
          </w:rPr>
        </w:r>
        <w:r w:rsidR="007B460D">
          <w:rPr>
            <w:noProof/>
            <w:webHidden/>
          </w:rPr>
          <w:fldChar w:fldCharType="separate"/>
        </w:r>
        <w:r w:rsidR="009454DC">
          <w:rPr>
            <w:noProof/>
            <w:webHidden/>
          </w:rPr>
          <w:t>9</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8" w:history="1">
        <w:r w:rsidR="007B460D" w:rsidRPr="007B0594">
          <w:rPr>
            <w:rStyle w:val="Hyperlink"/>
            <w:noProof/>
          </w:rPr>
          <w:t>Oral health behaviours</w:t>
        </w:r>
        <w:r w:rsidR="007B460D">
          <w:rPr>
            <w:noProof/>
            <w:webHidden/>
          </w:rPr>
          <w:tab/>
        </w:r>
        <w:r w:rsidR="007B460D">
          <w:rPr>
            <w:noProof/>
            <w:webHidden/>
          </w:rPr>
          <w:fldChar w:fldCharType="begin"/>
        </w:r>
        <w:r w:rsidR="007B460D">
          <w:rPr>
            <w:noProof/>
            <w:webHidden/>
          </w:rPr>
          <w:instrText xml:space="preserve"> PAGEREF _Toc420914128 \h </w:instrText>
        </w:r>
        <w:r w:rsidR="007B460D">
          <w:rPr>
            <w:noProof/>
            <w:webHidden/>
          </w:rPr>
        </w:r>
        <w:r w:rsidR="007B460D">
          <w:rPr>
            <w:noProof/>
            <w:webHidden/>
          </w:rPr>
          <w:fldChar w:fldCharType="separate"/>
        </w:r>
        <w:r w:rsidR="009454DC">
          <w:rPr>
            <w:noProof/>
            <w:webHidden/>
          </w:rPr>
          <w:t>9</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29" w:history="1">
        <w:r w:rsidR="007B460D" w:rsidRPr="007B0594">
          <w:rPr>
            <w:rStyle w:val="Hyperlink"/>
            <w:noProof/>
          </w:rPr>
          <w:t>Outcome: Adequate exercise and physical activity</w:t>
        </w:r>
        <w:r w:rsidR="007B460D">
          <w:rPr>
            <w:noProof/>
            <w:webHidden/>
          </w:rPr>
          <w:tab/>
        </w:r>
        <w:r w:rsidR="007B460D">
          <w:rPr>
            <w:noProof/>
            <w:webHidden/>
          </w:rPr>
          <w:fldChar w:fldCharType="begin"/>
        </w:r>
        <w:r w:rsidR="007B460D">
          <w:rPr>
            <w:noProof/>
            <w:webHidden/>
          </w:rPr>
          <w:instrText xml:space="preserve"> PAGEREF _Toc420914129 \h </w:instrText>
        </w:r>
        <w:r w:rsidR="007B460D">
          <w:rPr>
            <w:noProof/>
            <w:webHidden/>
          </w:rPr>
        </w:r>
        <w:r w:rsidR="007B460D">
          <w:rPr>
            <w:noProof/>
            <w:webHidden/>
          </w:rPr>
          <w:fldChar w:fldCharType="separate"/>
        </w:r>
        <w:r w:rsidR="009454DC">
          <w:rPr>
            <w:noProof/>
            <w:webHidden/>
          </w:rPr>
          <w:t>9</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30" w:history="1">
        <w:r w:rsidR="007B460D" w:rsidRPr="007B0594">
          <w:rPr>
            <w:rStyle w:val="Hyperlink"/>
            <w:noProof/>
          </w:rPr>
          <w:t>Physical activity and inactivity</w:t>
        </w:r>
        <w:r w:rsidR="007B460D">
          <w:rPr>
            <w:noProof/>
            <w:webHidden/>
          </w:rPr>
          <w:tab/>
        </w:r>
        <w:r w:rsidR="007B460D">
          <w:rPr>
            <w:noProof/>
            <w:webHidden/>
          </w:rPr>
          <w:fldChar w:fldCharType="begin"/>
        </w:r>
        <w:r w:rsidR="007B460D">
          <w:rPr>
            <w:noProof/>
            <w:webHidden/>
          </w:rPr>
          <w:instrText xml:space="preserve"> PAGEREF _Toc420914130 \h </w:instrText>
        </w:r>
        <w:r w:rsidR="007B460D">
          <w:rPr>
            <w:noProof/>
            <w:webHidden/>
          </w:rPr>
        </w:r>
        <w:r w:rsidR="007B460D">
          <w:rPr>
            <w:noProof/>
            <w:webHidden/>
          </w:rPr>
          <w:fldChar w:fldCharType="separate"/>
        </w:r>
        <w:r w:rsidR="009454DC">
          <w:rPr>
            <w:noProof/>
            <w:webHidden/>
          </w:rPr>
          <w:t>10</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31" w:history="1">
        <w:r w:rsidR="007B460D" w:rsidRPr="007B0594">
          <w:rPr>
            <w:rStyle w:val="Hyperlink"/>
            <w:noProof/>
          </w:rPr>
          <w:t>Outcome: Adequate nutrition</w:t>
        </w:r>
        <w:r w:rsidR="007B460D">
          <w:rPr>
            <w:noProof/>
            <w:webHidden/>
          </w:rPr>
          <w:tab/>
        </w:r>
        <w:r w:rsidR="007B460D">
          <w:rPr>
            <w:noProof/>
            <w:webHidden/>
          </w:rPr>
          <w:fldChar w:fldCharType="begin"/>
        </w:r>
        <w:r w:rsidR="007B460D">
          <w:rPr>
            <w:noProof/>
            <w:webHidden/>
          </w:rPr>
          <w:instrText xml:space="preserve"> PAGEREF _Toc420914131 \h </w:instrText>
        </w:r>
        <w:r w:rsidR="007B460D">
          <w:rPr>
            <w:noProof/>
            <w:webHidden/>
          </w:rPr>
        </w:r>
        <w:r w:rsidR="007B460D">
          <w:rPr>
            <w:noProof/>
            <w:webHidden/>
          </w:rPr>
          <w:fldChar w:fldCharType="separate"/>
        </w:r>
        <w:r w:rsidR="009454DC">
          <w:rPr>
            <w:noProof/>
            <w:webHidden/>
          </w:rPr>
          <w:t>11</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32" w:history="1">
        <w:r w:rsidR="007B460D" w:rsidRPr="007B0594">
          <w:rPr>
            <w:rStyle w:val="Hyperlink"/>
            <w:noProof/>
          </w:rPr>
          <w:t>Fruit and vegetable intake</w:t>
        </w:r>
        <w:r w:rsidR="007B460D">
          <w:rPr>
            <w:noProof/>
            <w:webHidden/>
          </w:rPr>
          <w:tab/>
        </w:r>
        <w:r w:rsidR="007B460D">
          <w:rPr>
            <w:noProof/>
            <w:webHidden/>
          </w:rPr>
          <w:fldChar w:fldCharType="begin"/>
        </w:r>
        <w:r w:rsidR="007B460D">
          <w:rPr>
            <w:noProof/>
            <w:webHidden/>
          </w:rPr>
          <w:instrText xml:space="preserve"> PAGEREF _Toc420914132 \h </w:instrText>
        </w:r>
        <w:r w:rsidR="007B460D">
          <w:rPr>
            <w:noProof/>
            <w:webHidden/>
          </w:rPr>
        </w:r>
        <w:r w:rsidR="007B460D">
          <w:rPr>
            <w:noProof/>
            <w:webHidden/>
          </w:rPr>
          <w:fldChar w:fldCharType="separate"/>
        </w:r>
        <w:r w:rsidR="009454DC">
          <w:rPr>
            <w:noProof/>
            <w:webHidden/>
          </w:rPr>
          <w:t>11</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35" w:history="1">
        <w:r w:rsidR="007B460D" w:rsidRPr="007B0594">
          <w:rPr>
            <w:rStyle w:val="Hyperlink"/>
            <w:noProof/>
          </w:rPr>
          <w:t>Outcome: Healthy adult lifestyle</w:t>
        </w:r>
        <w:r w:rsidR="007B460D">
          <w:rPr>
            <w:noProof/>
            <w:webHidden/>
          </w:rPr>
          <w:tab/>
        </w:r>
        <w:r w:rsidR="007B460D">
          <w:rPr>
            <w:noProof/>
            <w:webHidden/>
          </w:rPr>
          <w:fldChar w:fldCharType="begin"/>
        </w:r>
        <w:r w:rsidR="007B460D">
          <w:rPr>
            <w:noProof/>
            <w:webHidden/>
          </w:rPr>
          <w:instrText xml:space="preserve"> PAGEREF _Toc420914135 \h </w:instrText>
        </w:r>
        <w:r w:rsidR="007B460D">
          <w:rPr>
            <w:noProof/>
            <w:webHidden/>
          </w:rPr>
        </w:r>
        <w:r w:rsidR="007B460D">
          <w:rPr>
            <w:noProof/>
            <w:webHidden/>
          </w:rPr>
          <w:fldChar w:fldCharType="separate"/>
        </w:r>
        <w:r w:rsidR="009454DC">
          <w:rPr>
            <w:noProof/>
            <w:webHidden/>
          </w:rPr>
          <w:t>11</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36" w:history="1">
        <w:r w:rsidR="007B460D" w:rsidRPr="007B0594">
          <w:rPr>
            <w:rStyle w:val="Hyperlink"/>
            <w:noProof/>
          </w:rPr>
          <w:t>Exposure to tobacco smoke</w:t>
        </w:r>
        <w:r w:rsidR="007B460D">
          <w:rPr>
            <w:noProof/>
            <w:webHidden/>
          </w:rPr>
          <w:tab/>
        </w:r>
        <w:r w:rsidR="007B460D">
          <w:rPr>
            <w:noProof/>
            <w:webHidden/>
          </w:rPr>
          <w:fldChar w:fldCharType="begin"/>
        </w:r>
        <w:r w:rsidR="007B460D">
          <w:rPr>
            <w:noProof/>
            <w:webHidden/>
          </w:rPr>
          <w:instrText xml:space="preserve"> PAGEREF _Toc420914136 \h </w:instrText>
        </w:r>
        <w:r w:rsidR="007B460D">
          <w:rPr>
            <w:noProof/>
            <w:webHidden/>
          </w:rPr>
        </w:r>
        <w:r w:rsidR="007B460D">
          <w:rPr>
            <w:noProof/>
            <w:webHidden/>
          </w:rPr>
          <w:fldChar w:fldCharType="separate"/>
        </w:r>
        <w:r w:rsidR="009454DC">
          <w:rPr>
            <w:noProof/>
            <w:webHidden/>
          </w:rPr>
          <w:t>11</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37" w:history="1">
        <w:r w:rsidR="007B460D" w:rsidRPr="007B0594">
          <w:rPr>
            <w:rStyle w:val="Hyperlink"/>
            <w:noProof/>
          </w:rPr>
          <w:t>Outcome: Parent promotion of child health and development</w:t>
        </w:r>
        <w:r w:rsidR="007B460D">
          <w:rPr>
            <w:noProof/>
            <w:webHidden/>
          </w:rPr>
          <w:tab/>
        </w:r>
        <w:r w:rsidR="007B460D">
          <w:rPr>
            <w:noProof/>
            <w:webHidden/>
          </w:rPr>
          <w:fldChar w:fldCharType="begin"/>
        </w:r>
        <w:r w:rsidR="007B460D">
          <w:rPr>
            <w:noProof/>
            <w:webHidden/>
          </w:rPr>
          <w:instrText xml:space="preserve"> PAGEREF _Toc420914137 \h </w:instrText>
        </w:r>
        <w:r w:rsidR="007B460D">
          <w:rPr>
            <w:noProof/>
            <w:webHidden/>
          </w:rPr>
        </w:r>
        <w:r w:rsidR="007B460D">
          <w:rPr>
            <w:noProof/>
            <w:webHidden/>
          </w:rPr>
          <w:fldChar w:fldCharType="separate"/>
        </w:r>
        <w:r w:rsidR="009454DC">
          <w:rPr>
            <w:noProof/>
            <w:webHidden/>
          </w:rPr>
          <w:t>12</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38" w:history="1">
        <w:r w:rsidR="007B460D" w:rsidRPr="007B0594">
          <w:rPr>
            <w:rStyle w:val="Hyperlink"/>
            <w:noProof/>
          </w:rPr>
          <w:t>Reading to children</w:t>
        </w:r>
        <w:r w:rsidR="007B460D">
          <w:rPr>
            <w:noProof/>
            <w:webHidden/>
          </w:rPr>
          <w:tab/>
        </w:r>
        <w:r w:rsidR="007B460D">
          <w:rPr>
            <w:noProof/>
            <w:webHidden/>
          </w:rPr>
          <w:fldChar w:fldCharType="begin"/>
        </w:r>
        <w:r w:rsidR="007B460D">
          <w:rPr>
            <w:noProof/>
            <w:webHidden/>
          </w:rPr>
          <w:instrText xml:space="preserve"> PAGEREF _Toc420914138 \h </w:instrText>
        </w:r>
        <w:r w:rsidR="007B460D">
          <w:rPr>
            <w:noProof/>
            <w:webHidden/>
          </w:rPr>
        </w:r>
        <w:r w:rsidR="007B460D">
          <w:rPr>
            <w:noProof/>
            <w:webHidden/>
          </w:rPr>
          <w:fldChar w:fldCharType="separate"/>
        </w:r>
        <w:r w:rsidR="009454DC">
          <w:rPr>
            <w:noProof/>
            <w:webHidden/>
          </w:rPr>
          <w:t>12</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40" w:history="1">
        <w:r w:rsidR="007B460D" w:rsidRPr="007B0594">
          <w:rPr>
            <w:rStyle w:val="Hyperlink"/>
            <w:noProof/>
          </w:rPr>
          <w:t>Outcome: Ability to pay for family essentials</w:t>
        </w:r>
        <w:r w:rsidR="007B460D">
          <w:rPr>
            <w:noProof/>
            <w:webHidden/>
          </w:rPr>
          <w:tab/>
        </w:r>
        <w:r w:rsidR="007B460D">
          <w:rPr>
            <w:noProof/>
            <w:webHidden/>
          </w:rPr>
          <w:fldChar w:fldCharType="begin"/>
        </w:r>
        <w:r w:rsidR="007B460D">
          <w:rPr>
            <w:noProof/>
            <w:webHidden/>
          </w:rPr>
          <w:instrText xml:space="preserve"> PAGEREF _Toc420914140 \h </w:instrText>
        </w:r>
        <w:r w:rsidR="007B460D">
          <w:rPr>
            <w:noProof/>
            <w:webHidden/>
          </w:rPr>
        </w:r>
        <w:r w:rsidR="007B460D">
          <w:rPr>
            <w:noProof/>
            <w:webHidden/>
          </w:rPr>
          <w:fldChar w:fldCharType="separate"/>
        </w:r>
        <w:r w:rsidR="009454DC">
          <w:rPr>
            <w:noProof/>
            <w:webHidden/>
          </w:rPr>
          <w:t>13</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41" w:history="1">
        <w:r w:rsidR="007B460D" w:rsidRPr="007B0594">
          <w:rPr>
            <w:rStyle w:val="Hyperlink"/>
            <w:noProof/>
          </w:rPr>
          <w:t>Finances</w:t>
        </w:r>
        <w:r w:rsidR="007B460D">
          <w:rPr>
            <w:noProof/>
            <w:webHidden/>
          </w:rPr>
          <w:tab/>
        </w:r>
        <w:r w:rsidR="007B460D">
          <w:rPr>
            <w:noProof/>
            <w:webHidden/>
          </w:rPr>
          <w:fldChar w:fldCharType="begin"/>
        </w:r>
        <w:r w:rsidR="007B460D">
          <w:rPr>
            <w:noProof/>
            <w:webHidden/>
          </w:rPr>
          <w:instrText xml:space="preserve"> PAGEREF _Toc420914141 \h </w:instrText>
        </w:r>
        <w:r w:rsidR="007B460D">
          <w:rPr>
            <w:noProof/>
            <w:webHidden/>
          </w:rPr>
        </w:r>
        <w:r w:rsidR="007B460D">
          <w:rPr>
            <w:noProof/>
            <w:webHidden/>
          </w:rPr>
          <w:fldChar w:fldCharType="separate"/>
        </w:r>
        <w:r w:rsidR="009454DC">
          <w:rPr>
            <w:noProof/>
            <w:webHidden/>
          </w:rPr>
          <w:t>13</w:t>
        </w:r>
        <w:r w:rsidR="007B460D">
          <w:rPr>
            <w:noProof/>
            <w:webHidden/>
          </w:rPr>
          <w:fldChar w:fldCharType="end"/>
        </w:r>
      </w:hyperlink>
    </w:p>
    <w:p w:rsidR="007B460D" w:rsidRDefault="003B383A" w:rsidP="001A716A">
      <w:pPr>
        <w:pStyle w:val="TOC1"/>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42" w:history="1">
        <w:r w:rsidR="007B460D" w:rsidRPr="007B0594">
          <w:rPr>
            <w:rStyle w:val="Hyperlink"/>
            <w:noProof/>
          </w:rPr>
          <w:t>Outcome: Positive family functioning</w:t>
        </w:r>
        <w:r w:rsidR="007B460D">
          <w:rPr>
            <w:noProof/>
            <w:webHidden/>
          </w:rPr>
          <w:tab/>
        </w:r>
        <w:r w:rsidR="007B460D">
          <w:rPr>
            <w:noProof/>
            <w:webHidden/>
          </w:rPr>
          <w:fldChar w:fldCharType="begin"/>
        </w:r>
        <w:r w:rsidR="007B460D">
          <w:rPr>
            <w:noProof/>
            <w:webHidden/>
          </w:rPr>
          <w:instrText xml:space="preserve"> PAGEREF _Toc420914142 \h </w:instrText>
        </w:r>
        <w:r w:rsidR="007B460D">
          <w:rPr>
            <w:noProof/>
            <w:webHidden/>
          </w:rPr>
        </w:r>
        <w:r w:rsidR="007B460D">
          <w:rPr>
            <w:noProof/>
            <w:webHidden/>
          </w:rPr>
          <w:fldChar w:fldCharType="separate"/>
        </w:r>
        <w:r w:rsidR="009454DC">
          <w:rPr>
            <w:noProof/>
            <w:webHidden/>
          </w:rPr>
          <w:t>13</w:t>
        </w:r>
        <w:r w:rsidR="007B460D">
          <w:rPr>
            <w:noProof/>
            <w:webHidden/>
          </w:rPr>
          <w:fldChar w:fldCharType="end"/>
        </w:r>
      </w:hyperlink>
    </w:p>
    <w:p w:rsidR="007B460D" w:rsidRDefault="003B383A" w:rsidP="001A716A">
      <w:pPr>
        <w:pStyle w:val="TOC2"/>
        <w:tabs>
          <w:tab w:val="clear" w:pos="6503"/>
          <w:tab w:val="right" w:leader="dot" w:pos="8505"/>
        </w:tabs>
        <w:rPr>
          <w:rFonts w:asciiTheme="minorHAnsi" w:eastAsiaTheme="minorEastAsia" w:hAnsiTheme="minorHAnsi" w:cstheme="minorBidi"/>
          <w:noProof/>
          <w:color w:val="auto"/>
          <w:sz w:val="22"/>
          <w:szCs w:val="22"/>
          <w:lang w:eastAsia="en-AU"/>
        </w:rPr>
      </w:pPr>
      <w:hyperlink w:anchor="_Toc420914143" w:history="1">
        <w:r w:rsidR="007B460D" w:rsidRPr="007B0594">
          <w:rPr>
            <w:rStyle w:val="Hyperlink"/>
            <w:noProof/>
          </w:rPr>
          <w:t>Social and emotional health</w:t>
        </w:r>
        <w:r w:rsidR="007B460D">
          <w:rPr>
            <w:noProof/>
            <w:webHidden/>
          </w:rPr>
          <w:tab/>
        </w:r>
        <w:r w:rsidR="007B460D">
          <w:rPr>
            <w:noProof/>
            <w:webHidden/>
          </w:rPr>
          <w:fldChar w:fldCharType="begin"/>
        </w:r>
        <w:r w:rsidR="007B460D">
          <w:rPr>
            <w:noProof/>
            <w:webHidden/>
          </w:rPr>
          <w:instrText xml:space="preserve"> PAGEREF _Toc420914143 \h </w:instrText>
        </w:r>
        <w:r w:rsidR="007B460D">
          <w:rPr>
            <w:noProof/>
            <w:webHidden/>
          </w:rPr>
        </w:r>
        <w:r w:rsidR="007B460D">
          <w:rPr>
            <w:noProof/>
            <w:webHidden/>
          </w:rPr>
          <w:fldChar w:fldCharType="separate"/>
        </w:r>
        <w:r w:rsidR="009454DC">
          <w:rPr>
            <w:noProof/>
            <w:webHidden/>
          </w:rPr>
          <w:t>13</w:t>
        </w:r>
        <w:r w:rsidR="007B460D">
          <w:rPr>
            <w:noProof/>
            <w:webHidden/>
          </w:rPr>
          <w:fldChar w:fldCharType="end"/>
        </w:r>
      </w:hyperlink>
    </w:p>
    <w:p w:rsidR="00F92477" w:rsidRDefault="007B460D" w:rsidP="001A716A">
      <w:pPr>
        <w:pStyle w:val="TableofContents"/>
        <w:tabs>
          <w:tab w:val="clear" w:pos="6503"/>
          <w:tab w:val="right" w:leader="dot" w:pos="6804"/>
          <w:tab w:val="right" w:leader="dot" w:pos="8505"/>
        </w:tabs>
      </w:pPr>
      <w:r>
        <w:rPr>
          <w:noProof w:val="0"/>
        </w:rPr>
        <w:fldChar w:fldCharType="end"/>
      </w:r>
    </w:p>
    <w:p w:rsidR="00AC0073" w:rsidRDefault="00AC0073">
      <w:pPr>
        <w:spacing w:after="0"/>
        <w:rPr>
          <w:color w:val="333333"/>
          <w:szCs w:val="20"/>
          <w:lang w:eastAsia="en-AU"/>
        </w:rPr>
      </w:pPr>
      <w:r>
        <w:br w:type="page"/>
      </w:r>
    </w:p>
    <w:p w:rsidR="00DC5BFF" w:rsidRDefault="00DC5BFF" w:rsidP="00DC5BFF">
      <w:pPr>
        <w:pStyle w:val="Body"/>
        <w:spacing w:before="5800"/>
      </w:pPr>
    </w:p>
    <w:p w:rsidR="00A75EB8" w:rsidRDefault="0026385E" w:rsidP="00DC5BFF">
      <w:pPr>
        <w:pStyle w:val="Body"/>
        <w:spacing w:before="5800"/>
      </w:pPr>
      <w:r>
        <w:t>This page is</w:t>
      </w:r>
      <w:r w:rsidR="00A75EB8">
        <w:t xml:space="preserve"> left int</w:t>
      </w:r>
      <w:r w:rsidR="000C5689">
        <w:t xml:space="preserve">entionally </w:t>
      </w:r>
      <w:r w:rsidR="00A75EB8">
        <w:t>blank</w:t>
      </w:r>
    </w:p>
    <w:p w:rsidR="00A8049E" w:rsidRPr="004B68CB" w:rsidRDefault="00D642C7" w:rsidP="006A7146">
      <w:pPr>
        <w:pStyle w:val="Heading1"/>
      </w:pPr>
      <w:r w:rsidRPr="00A66C30">
        <w:br w:type="page"/>
      </w:r>
      <w:bookmarkStart w:id="8" w:name="_Toc420914117"/>
      <w:bookmarkEnd w:id="7"/>
      <w:r w:rsidR="00A8049E" w:rsidRPr="004B68CB">
        <w:lastRenderedPageBreak/>
        <w:t>Background</w:t>
      </w:r>
      <w:bookmarkEnd w:id="8"/>
    </w:p>
    <w:p w:rsidR="007B67E2" w:rsidRPr="00C5792E" w:rsidRDefault="007B67E2" w:rsidP="007B460D">
      <w:r w:rsidRPr="00C5792E">
        <w:t xml:space="preserve">In 2005, </w:t>
      </w:r>
      <w:r w:rsidR="002F46A7">
        <w:t xml:space="preserve">the </w:t>
      </w:r>
      <w:r w:rsidRPr="00C5792E">
        <w:t>Victorian Government endorsed the Victorian Child and Adolescent Outcomes Framework, comprising 35 outcomes on the health, safety, learning</w:t>
      </w:r>
      <w:r w:rsidR="00A36147">
        <w:t>,</w:t>
      </w:r>
      <w:r w:rsidRPr="00C5792E">
        <w:t xml:space="preserve"> development and wellbeing of children </w:t>
      </w:r>
      <w:r w:rsidR="00A36147">
        <w:t xml:space="preserve">aged up to </w:t>
      </w:r>
      <w:r w:rsidR="00C5792E">
        <w:t>18</w:t>
      </w:r>
      <w:r w:rsidR="00A36147">
        <w:t xml:space="preserve"> years</w:t>
      </w:r>
      <w:r w:rsidR="00C5792E">
        <w:t>, within an ecological context</w:t>
      </w:r>
      <w:r w:rsidRPr="00C5792E">
        <w:t xml:space="preserve">. The Victorian Child and Adolescent Monitoring System </w:t>
      </w:r>
      <w:r w:rsidR="00A36147">
        <w:t xml:space="preserve">(VCAMS) </w:t>
      </w:r>
      <w:r w:rsidRPr="00C5792E">
        <w:t>has been established to enable regular monitoring and reporting against this framework to support government and community action. The system is intended to facilitate more informed decision-making across government through better access to validated outcome measures for children and families.</w:t>
      </w:r>
    </w:p>
    <w:p w:rsidR="00350394" w:rsidRPr="001A716A" w:rsidRDefault="00350394" w:rsidP="007B460D">
      <w:pPr>
        <w:rPr>
          <w:color w:val="auto"/>
        </w:rPr>
      </w:pPr>
      <w:r w:rsidRPr="00C5792E">
        <w:t xml:space="preserve">Victorian Government </w:t>
      </w:r>
      <w:r w:rsidR="00A36147">
        <w:t>d</w:t>
      </w:r>
      <w:r w:rsidRPr="00C5792E">
        <w:t xml:space="preserve">epartments hold a large amount of information on how children are faring, as does the Australian Bureau of Statistics and </w:t>
      </w:r>
      <w:r w:rsidR="007B67E2" w:rsidRPr="00C5792E">
        <w:t xml:space="preserve">non-Government </w:t>
      </w:r>
      <w:r w:rsidR="00A36147">
        <w:t xml:space="preserve">research bodies. </w:t>
      </w:r>
      <w:r w:rsidRPr="00C5792E">
        <w:t xml:space="preserve">Where possible, these data are used to report against the </w:t>
      </w:r>
      <w:r w:rsidR="007B67E2" w:rsidRPr="00C5792E">
        <w:t xml:space="preserve">VCAMS indicators. </w:t>
      </w:r>
      <w:r w:rsidRPr="00C5792E">
        <w:t xml:space="preserve">However, this gives only a partial picture; initially there were many VCAMS indicators for which </w:t>
      </w:r>
      <w:r w:rsidRPr="001A716A">
        <w:rPr>
          <w:color w:val="auto"/>
        </w:rPr>
        <w:t>da</w:t>
      </w:r>
      <w:r w:rsidR="00953991" w:rsidRPr="001A716A">
        <w:rPr>
          <w:color w:val="auto"/>
        </w:rPr>
        <w:t xml:space="preserve">ta were not readily available. </w:t>
      </w:r>
    </w:p>
    <w:p w:rsidR="001F7253" w:rsidRPr="00C5792E" w:rsidRDefault="001F7253" w:rsidP="007B460D">
      <w:r w:rsidRPr="001A716A">
        <w:rPr>
          <w:color w:val="auto"/>
        </w:rPr>
        <w:t xml:space="preserve">The Victorian Child Health and Wellbeing Survey </w:t>
      </w:r>
      <w:r w:rsidR="00953991" w:rsidRPr="001A716A">
        <w:rPr>
          <w:color w:val="auto"/>
        </w:rPr>
        <w:t xml:space="preserve">(VCHWS) </w:t>
      </w:r>
      <w:r w:rsidRPr="001A716A">
        <w:rPr>
          <w:color w:val="auto"/>
        </w:rPr>
        <w:t>was d</w:t>
      </w:r>
      <w:r w:rsidR="00794D70" w:rsidRPr="001A716A">
        <w:rPr>
          <w:color w:val="auto"/>
        </w:rPr>
        <w:t xml:space="preserve">esigned to address data gaps identified via the </w:t>
      </w:r>
      <w:r w:rsidR="007B67E2" w:rsidRPr="001A716A">
        <w:rPr>
          <w:color w:val="auto"/>
        </w:rPr>
        <w:t xml:space="preserve">Child and Adolescent Outcomes Framework. Issues covered in the VCHWS include </w:t>
      </w:r>
      <w:r w:rsidRPr="001A716A">
        <w:rPr>
          <w:color w:val="auto"/>
        </w:rPr>
        <w:t xml:space="preserve">child health, growth, asthma, nutrition (including breastfeeding), oral health, child activities, reading, injury, child behaviour, family functioning, parental health, parental mental health and health in pregnancy. The survey was first conducted in 2006, and repeated </w:t>
      </w:r>
      <w:r w:rsidRPr="00C5792E">
        <w:t>in 2009</w:t>
      </w:r>
      <w:r w:rsidR="00C5792E" w:rsidRPr="00C5792E">
        <w:t xml:space="preserve"> and 2013</w:t>
      </w:r>
      <w:r w:rsidRPr="00C5792E">
        <w:t>. This report presents findings from the 20</w:t>
      </w:r>
      <w:r w:rsidR="00C5792E" w:rsidRPr="00C5792E">
        <w:t>13</w:t>
      </w:r>
      <w:r w:rsidRPr="00C5792E">
        <w:t xml:space="preserve"> survey.</w:t>
      </w:r>
    </w:p>
    <w:p w:rsidR="001F7253" w:rsidRPr="00C5792E" w:rsidRDefault="001F7253" w:rsidP="007B460D">
      <w:r w:rsidRPr="00C5792E">
        <w:t>The aims of VCHWS are to:</w:t>
      </w:r>
    </w:p>
    <w:p w:rsidR="001F7253" w:rsidRPr="00C5792E" w:rsidRDefault="001F7253" w:rsidP="007B460D">
      <w:pPr>
        <w:numPr>
          <w:ilvl w:val="0"/>
          <w:numId w:val="24"/>
        </w:numPr>
      </w:pPr>
      <w:r w:rsidRPr="00C5792E">
        <w:t>provide baseline and ongoing data that will be used to support and inform planning,</w:t>
      </w:r>
      <w:r w:rsidR="00350394" w:rsidRPr="00C5792E">
        <w:t xml:space="preserve"> </w:t>
      </w:r>
      <w:r w:rsidRPr="00C5792E">
        <w:t>implementation and evaluation of child health, wellbeing, development and learning policies,</w:t>
      </w:r>
      <w:r w:rsidR="00350394" w:rsidRPr="00C5792E">
        <w:t xml:space="preserve"> </w:t>
      </w:r>
      <w:r w:rsidRPr="00C5792E">
        <w:t>services and programs throughout Victoria</w:t>
      </w:r>
    </w:p>
    <w:p w:rsidR="004C707F" w:rsidRPr="00C5792E" w:rsidRDefault="00A36147" w:rsidP="007B460D">
      <w:pPr>
        <w:numPr>
          <w:ilvl w:val="0"/>
          <w:numId w:val="24"/>
        </w:numPr>
      </w:pPr>
      <w:r>
        <w:t>enable</w:t>
      </w:r>
      <w:r w:rsidR="001F7253" w:rsidRPr="00C5792E">
        <w:t xml:space="preserve"> comparisons of how ch</w:t>
      </w:r>
      <w:r w:rsidR="00350394" w:rsidRPr="00C5792E">
        <w:t xml:space="preserve">ildren are faring over time, in </w:t>
      </w:r>
      <w:r w:rsidR="00C5792E" w:rsidRPr="00C5792E">
        <w:t>17 local areas</w:t>
      </w:r>
      <w:r w:rsidRPr="0028402C">
        <w:footnoteReference w:id="1"/>
      </w:r>
      <w:r w:rsidR="001F7253" w:rsidRPr="00C5792E">
        <w:t>, and in</w:t>
      </w:r>
      <w:r w:rsidR="00350394" w:rsidRPr="00C5792E">
        <w:t xml:space="preserve"> </w:t>
      </w:r>
      <w:r w:rsidR="001F7253" w:rsidRPr="00C5792E">
        <w:t>major demographic groups throughout Victoria.</w:t>
      </w:r>
    </w:p>
    <w:p w:rsidR="00A8049E" w:rsidRPr="00C5792E" w:rsidRDefault="00794D70" w:rsidP="007B460D">
      <w:r w:rsidRPr="00C5792E">
        <w:t xml:space="preserve">Interviewing for the VCHWS </w:t>
      </w:r>
      <w:r w:rsidR="00A8049E" w:rsidRPr="00C5792E">
        <w:t xml:space="preserve">took place between </w:t>
      </w:r>
      <w:r w:rsidR="00C5792E" w:rsidRPr="00C5792E">
        <w:t>October and December 2013</w:t>
      </w:r>
      <w:r w:rsidR="00A8049E" w:rsidRPr="00C5792E">
        <w:t>.</w:t>
      </w:r>
    </w:p>
    <w:p w:rsidR="00A8049E" w:rsidRDefault="00A8049E" w:rsidP="007B460D">
      <w:r w:rsidRPr="00C5792E">
        <w:t xml:space="preserve">Parents completed interviews on behalf of </w:t>
      </w:r>
      <w:r w:rsidR="00C5792E" w:rsidRPr="00C5792E">
        <w:t>7</w:t>
      </w:r>
      <w:r w:rsidR="00A36147">
        <w:t>,</w:t>
      </w:r>
      <w:r w:rsidR="00C5792E" w:rsidRPr="00C5792E">
        <w:t>000</w:t>
      </w:r>
      <w:r w:rsidRPr="00C5792E">
        <w:t xml:space="preserve"> randomly selected Victorian children aged under 13 years</w:t>
      </w:r>
      <w:r w:rsidRPr="00120B06">
        <w:t>. A response rate of 7</w:t>
      </w:r>
      <w:r w:rsidR="00120B06" w:rsidRPr="00120B06">
        <w:t>3</w:t>
      </w:r>
      <w:r w:rsidR="00452448">
        <w:t xml:space="preserve"> per cent</w:t>
      </w:r>
      <w:r w:rsidRPr="00120B06">
        <w:t xml:space="preserve"> was achieved. A profile of respondents is provided in Table </w:t>
      </w:r>
      <w:r w:rsidR="007228FD" w:rsidRPr="00120B06">
        <w:t>1</w:t>
      </w:r>
      <w:r w:rsidRPr="00120B06">
        <w:t>.</w:t>
      </w:r>
    </w:p>
    <w:p w:rsidR="00A8049E" w:rsidRPr="00C5792E" w:rsidRDefault="00A8049E" w:rsidP="007B460D">
      <w:r w:rsidRPr="00C5792E">
        <w:t>Data will feed into</w:t>
      </w:r>
      <w:r w:rsidR="00DC3B29" w:rsidRPr="00C5792E">
        <w:t xml:space="preserve"> the 20</w:t>
      </w:r>
      <w:r w:rsidR="00C5792E" w:rsidRPr="00C5792E">
        <w:t>13</w:t>
      </w:r>
      <w:r w:rsidR="00A36147">
        <w:t>-14</w:t>
      </w:r>
      <w:r w:rsidR="00DC3B29" w:rsidRPr="00C5792E">
        <w:t xml:space="preserve"> annual report on the state of V</w:t>
      </w:r>
      <w:r w:rsidRPr="00C5792E">
        <w:t>ictoria</w:t>
      </w:r>
      <w:r w:rsidR="00DC3B29" w:rsidRPr="00C5792E">
        <w:t>’s c</w:t>
      </w:r>
      <w:r w:rsidRPr="00C5792E">
        <w:t>hildren.</w:t>
      </w:r>
      <w:r w:rsidR="005F1A7F" w:rsidRPr="00C5792E">
        <w:t xml:space="preserve">  </w:t>
      </w:r>
      <w:r w:rsidRPr="00C5792E">
        <w:t>Data relates to children aged from birth to 12 years of age unless otherwise stated.</w:t>
      </w:r>
    </w:p>
    <w:p w:rsidR="002276D5" w:rsidRDefault="00657DAD" w:rsidP="00657DAD">
      <w:r>
        <w:rPr>
          <w:noProof/>
          <w:lang w:eastAsia="en-AU"/>
        </w:rPr>
        <w:drawing>
          <wp:inline distT="0" distB="0" distL="0" distR="0" wp14:anchorId="3DE735CD" wp14:editId="6A07D542">
            <wp:extent cx="3724275" cy="2483951"/>
            <wp:effectExtent l="0" t="0" r="0" b="0"/>
            <wp:docPr id="1" name="Picture 1" descr="schoo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4275" cy="2483951"/>
                    </a:xfrm>
                    <a:prstGeom prst="rect">
                      <a:avLst/>
                    </a:prstGeom>
                  </pic:spPr>
                </pic:pic>
              </a:graphicData>
            </a:graphic>
          </wp:inline>
        </w:drawing>
      </w:r>
      <w:r w:rsidR="00C5792E">
        <w:br w:type="page"/>
      </w:r>
    </w:p>
    <w:p w:rsidR="00A8049E" w:rsidRPr="002276D5" w:rsidRDefault="00A8049E" w:rsidP="006A7146">
      <w:pPr>
        <w:pStyle w:val="Heading2"/>
      </w:pPr>
      <w:bookmarkStart w:id="9" w:name="_Toc420914118"/>
      <w:r w:rsidRPr="002276D5">
        <w:lastRenderedPageBreak/>
        <w:t>When interpreting the VCHWS data…</w:t>
      </w:r>
      <w:bookmarkEnd w:id="9"/>
    </w:p>
    <w:p w:rsidR="00A8049E" w:rsidRPr="00C5792E" w:rsidRDefault="00A8049E" w:rsidP="007B460D">
      <w:pPr>
        <w:numPr>
          <w:ilvl w:val="0"/>
          <w:numId w:val="25"/>
        </w:numPr>
      </w:pPr>
      <w:r w:rsidRPr="00C5792E">
        <w:t>VCHWS is a cross sectional survey – it is possible to identify associations between vari</w:t>
      </w:r>
      <w:r w:rsidR="00C5792E" w:rsidRPr="00C5792E">
        <w:t>ables in the dataset but we can</w:t>
      </w:r>
      <w:r w:rsidRPr="00C5792E">
        <w:t>not attribute cause and effect.</w:t>
      </w:r>
    </w:p>
    <w:p w:rsidR="00A8049E" w:rsidRPr="00C5792E" w:rsidRDefault="00245D62" w:rsidP="007B460D">
      <w:pPr>
        <w:numPr>
          <w:ilvl w:val="0"/>
          <w:numId w:val="25"/>
        </w:numPr>
      </w:pPr>
      <w:r w:rsidRPr="00C5792E">
        <w:t xml:space="preserve">There are no controls for </w:t>
      </w:r>
      <w:r w:rsidR="00A8049E" w:rsidRPr="00C5792E">
        <w:t xml:space="preserve">confounding factors in </w:t>
      </w:r>
      <w:r w:rsidRPr="00C5792E">
        <w:t xml:space="preserve">the </w:t>
      </w:r>
      <w:r w:rsidR="00A8049E" w:rsidRPr="00C5792E">
        <w:t xml:space="preserve">analysis – </w:t>
      </w:r>
      <w:r w:rsidR="00153630">
        <w:t>for example,</w:t>
      </w:r>
      <w:r w:rsidR="00A8049E" w:rsidRPr="00C5792E">
        <w:t xml:space="preserve"> could the increased frequency of smoking among those on health care cards and in rural households really be due to socio economic status</w:t>
      </w:r>
      <w:r w:rsidR="00DC3B29" w:rsidRPr="00C5792E">
        <w:t xml:space="preserve"> or </w:t>
      </w:r>
      <w:r w:rsidR="00A8049E" w:rsidRPr="00C5792E">
        <w:t>some other variable?</w:t>
      </w:r>
    </w:p>
    <w:p w:rsidR="002276D5" w:rsidRDefault="00CB1849" w:rsidP="007B460D">
      <w:pPr>
        <w:numPr>
          <w:ilvl w:val="0"/>
          <w:numId w:val="25"/>
        </w:numPr>
      </w:pPr>
      <w:r w:rsidRPr="00C5792E">
        <w:t>The estimates provided are based on sample data, and the confidence interv</w:t>
      </w:r>
      <w:r w:rsidR="0009627B" w:rsidRPr="00C5792E">
        <w:t>als indicate that there is a 95 per cent</w:t>
      </w:r>
      <w:r w:rsidRPr="00C5792E">
        <w:t xml:space="preserve"> probability that the true value lies between the upper and lower limits of the confidence interval. Therefore, if the confidence intervals of two population groups do not overlap, </w:t>
      </w:r>
      <w:r w:rsidR="0009627B" w:rsidRPr="00C5792E">
        <w:t xml:space="preserve">it can be </w:t>
      </w:r>
      <w:r w:rsidRPr="00C5792E">
        <w:t>assume</w:t>
      </w:r>
      <w:r w:rsidR="0009627B" w:rsidRPr="00C5792E">
        <w:t>d</w:t>
      </w:r>
      <w:r w:rsidRPr="00C5792E">
        <w:t xml:space="preserve"> that the true values of the two estimates are unlikely to fall within the same distribution.</w:t>
      </w:r>
    </w:p>
    <w:p w:rsidR="00A8049E" w:rsidRPr="001A716A" w:rsidRDefault="00A8049E" w:rsidP="001A716A">
      <w:pPr>
        <w:rPr>
          <w:b/>
          <w:sz w:val="24"/>
        </w:rPr>
      </w:pPr>
      <w:bookmarkStart w:id="10" w:name="_Toc420914119"/>
      <w:r w:rsidRPr="001A716A">
        <w:rPr>
          <w:b/>
          <w:sz w:val="24"/>
        </w:rPr>
        <w:t>Comparing respondents</w:t>
      </w:r>
      <w:bookmarkEnd w:id="10"/>
    </w:p>
    <w:p w:rsidR="00A8049E" w:rsidRDefault="00A8049E" w:rsidP="006A7146">
      <w:r w:rsidRPr="00C5792E">
        <w:t>The broad characteristics of respondents included in the 200</w:t>
      </w:r>
      <w:r w:rsidR="00C5792E" w:rsidRPr="00C5792E">
        <w:t>9</w:t>
      </w:r>
      <w:r w:rsidRPr="00C5792E">
        <w:t xml:space="preserve"> and 20</w:t>
      </w:r>
      <w:r w:rsidR="00C5792E" w:rsidRPr="00C5792E">
        <w:t>13</w:t>
      </w:r>
      <w:r w:rsidRPr="00C5792E">
        <w:t xml:space="preserve"> surveys were very similar - therefore it </w:t>
      </w:r>
      <w:r w:rsidR="00245D62" w:rsidRPr="00C5792E">
        <w:t xml:space="preserve">has been deemed </w:t>
      </w:r>
      <w:r w:rsidRPr="00C5792E">
        <w:t xml:space="preserve">appropriate to compare results from the two surveys </w:t>
      </w:r>
      <w:r w:rsidR="00DD7909" w:rsidRPr="00C5792E">
        <w:t xml:space="preserve">(see Table </w:t>
      </w:r>
      <w:r w:rsidR="007228FD" w:rsidRPr="00C5792E">
        <w:t>1</w:t>
      </w:r>
      <w:r w:rsidRPr="00C5792E">
        <w:t>).</w:t>
      </w:r>
    </w:p>
    <w:p w:rsidR="00841749" w:rsidRPr="00A64F3E" w:rsidRDefault="00841749" w:rsidP="006A7146">
      <w:pPr>
        <w:rPr>
          <w:b/>
        </w:rPr>
      </w:pPr>
      <w:r w:rsidRPr="00DE557A">
        <w:t xml:space="preserve">Table </w:t>
      </w:r>
      <w:r w:rsidR="007228FD">
        <w:t>1</w:t>
      </w:r>
      <w:r w:rsidRPr="00DE557A">
        <w:t>:</w:t>
      </w:r>
      <w:r w:rsidR="006A7146">
        <w:t xml:space="preserve"> </w:t>
      </w:r>
      <w:r w:rsidRPr="00DE557A">
        <w:t xml:space="preserve">Profile of subjects (children </w:t>
      </w:r>
      <w:r w:rsidR="00896142">
        <w:t xml:space="preserve">aged 0 to 12 years) in the </w:t>
      </w:r>
      <w:r w:rsidR="00896142" w:rsidRPr="00A64F3E">
        <w:rPr>
          <w:b/>
        </w:rPr>
        <w:t>200</w:t>
      </w:r>
      <w:r w:rsidR="00C5792E" w:rsidRPr="00A64F3E">
        <w:rPr>
          <w:b/>
        </w:rPr>
        <w:t>9</w:t>
      </w:r>
      <w:r w:rsidR="00896142" w:rsidRPr="00A64F3E">
        <w:rPr>
          <w:b/>
        </w:rPr>
        <w:t xml:space="preserve"> and 20</w:t>
      </w:r>
      <w:r w:rsidR="00C5792E" w:rsidRPr="00A64F3E">
        <w:rPr>
          <w:b/>
        </w:rPr>
        <w:t>13</w:t>
      </w:r>
      <w:r w:rsidR="00896142" w:rsidRPr="00A64F3E">
        <w:rPr>
          <w:b/>
        </w:rPr>
        <w:t xml:space="preserve"> </w:t>
      </w:r>
      <w:r w:rsidRPr="00A64F3E">
        <w:rPr>
          <w:b/>
        </w:rPr>
        <w:t>VCHWS</w:t>
      </w:r>
    </w:p>
    <w:tbl>
      <w:tblPr>
        <w:tblStyle w:val="LightList-Accent1"/>
        <w:tblW w:w="6237" w:type="dxa"/>
        <w:tblLayout w:type="fixed"/>
        <w:tblLook w:val="01E0" w:firstRow="1" w:lastRow="1" w:firstColumn="1" w:lastColumn="1" w:noHBand="0" w:noVBand="0"/>
        <w:tblDescription w:val="Profile of subjects children aged 0 to 12 years in the 1009 and 2013 VCHWS"/>
      </w:tblPr>
      <w:tblGrid>
        <w:gridCol w:w="2410"/>
        <w:gridCol w:w="1985"/>
        <w:gridCol w:w="1842"/>
      </w:tblGrid>
      <w:tr w:rsidR="00896142" w:rsidRPr="004C6CF8"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bottom w:val="single" w:sz="12" w:space="0" w:color="4BACC6" w:themeColor="accent5"/>
            </w:tcBorders>
            <w:noWrap/>
          </w:tcPr>
          <w:p w:rsidR="00896142" w:rsidRPr="004C6CF8" w:rsidRDefault="00896142" w:rsidP="000B1B24">
            <w:pPr>
              <w:spacing w:before="120" w:after="120"/>
              <w:rPr>
                <w:b w:val="0"/>
                <w:color w:val="FFFFFF"/>
              </w:rPr>
            </w:pPr>
            <w:r w:rsidRPr="004C6CF8">
              <w:rPr>
                <w:rFonts w:cs="Arial"/>
                <w:b w:val="0"/>
                <w:color w:val="FFFFFF"/>
                <w:sz w:val="18"/>
                <w:szCs w:val="18"/>
              </w:rPr>
              <w:t>Selected characteristic</w:t>
            </w:r>
          </w:p>
        </w:tc>
        <w:tc>
          <w:tcPr>
            <w:cnfStyle w:val="000010000000" w:firstRow="0" w:lastRow="0" w:firstColumn="0" w:lastColumn="0" w:oddVBand="1" w:evenVBand="0" w:oddHBand="0" w:evenHBand="0" w:firstRowFirstColumn="0" w:firstRowLastColumn="0" w:lastRowFirstColumn="0" w:lastRowLastColumn="0"/>
            <w:tcW w:w="1985" w:type="dxa"/>
            <w:tcBorders>
              <w:bottom w:val="single" w:sz="12" w:space="0" w:color="4BACC6" w:themeColor="accent5"/>
            </w:tcBorders>
          </w:tcPr>
          <w:p w:rsidR="00896142" w:rsidRPr="004C6CF8" w:rsidRDefault="00896142" w:rsidP="002276D5">
            <w:pPr>
              <w:rPr>
                <w:rFonts w:cs="Arial"/>
                <w:b w:val="0"/>
                <w:color w:val="FFFFFF"/>
                <w:sz w:val="18"/>
                <w:szCs w:val="18"/>
              </w:rPr>
            </w:pPr>
            <w:r w:rsidRPr="004C6CF8">
              <w:rPr>
                <w:rFonts w:cs="Arial"/>
                <w:b w:val="0"/>
                <w:color w:val="FFFFFF"/>
                <w:sz w:val="18"/>
                <w:szCs w:val="18"/>
              </w:rPr>
              <w:t>Survey Estimate</w:t>
            </w:r>
            <w:r w:rsidR="002276D5">
              <w:rPr>
                <w:rFonts w:cs="Arial"/>
                <w:b w:val="0"/>
                <w:color w:val="FFFFFF"/>
                <w:sz w:val="18"/>
                <w:szCs w:val="18"/>
              </w:rPr>
              <w:t>*</w:t>
            </w:r>
            <w:r w:rsidRPr="004C6CF8">
              <w:rPr>
                <w:rFonts w:cs="Arial"/>
                <w:b w:val="0"/>
                <w:color w:val="FFFFFF"/>
                <w:sz w:val="18"/>
                <w:szCs w:val="18"/>
              </w:rPr>
              <w:t xml:space="preserve"> (per cent)</w:t>
            </w:r>
          </w:p>
          <w:p w:rsidR="00896142" w:rsidRPr="004C6CF8" w:rsidRDefault="00C5792E" w:rsidP="00896142">
            <w:pPr>
              <w:spacing w:before="120" w:after="120"/>
              <w:rPr>
                <w:b w:val="0"/>
                <w:color w:val="FFFFFF"/>
                <w:sz w:val="16"/>
                <w:szCs w:val="16"/>
              </w:rPr>
            </w:pPr>
            <w:r w:rsidRPr="004C6CF8">
              <w:rPr>
                <w:rFonts w:cs="Arial"/>
                <w:b w:val="0"/>
                <w:color w:val="FFFFFF"/>
                <w:sz w:val="18"/>
                <w:szCs w:val="18"/>
              </w:rPr>
              <w:t>2009</w:t>
            </w:r>
          </w:p>
        </w:tc>
        <w:tc>
          <w:tcPr>
            <w:cnfStyle w:val="000100000000" w:firstRow="0" w:lastRow="0" w:firstColumn="0" w:lastColumn="1" w:oddVBand="0" w:evenVBand="0" w:oddHBand="0" w:evenHBand="0" w:firstRowFirstColumn="0" w:firstRowLastColumn="0" w:lastRowFirstColumn="0" w:lastRowLastColumn="0"/>
            <w:tcW w:w="1842" w:type="dxa"/>
            <w:tcBorders>
              <w:bottom w:val="single" w:sz="12" w:space="0" w:color="4BACC6" w:themeColor="accent5"/>
            </w:tcBorders>
            <w:noWrap/>
          </w:tcPr>
          <w:p w:rsidR="00896142" w:rsidRPr="004C6CF8" w:rsidRDefault="002276D5" w:rsidP="002276D5">
            <w:pPr>
              <w:rPr>
                <w:rFonts w:cs="Arial"/>
                <w:b w:val="0"/>
                <w:color w:val="FFFFFF"/>
                <w:sz w:val="18"/>
                <w:szCs w:val="18"/>
              </w:rPr>
            </w:pPr>
            <w:r>
              <w:rPr>
                <w:rFonts w:cs="Arial"/>
                <w:b w:val="0"/>
                <w:color w:val="FFFFFF"/>
                <w:sz w:val="18"/>
                <w:szCs w:val="18"/>
              </w:rPr>
              <w:t xml:space="preserve">Survey Estimate* </w:t>
            </w:r>
            <w:r w:rsidR="00896142" w:rsidRPr="004C6CF8">
              <w:rPr>
                <w:rFonts w:cs="Arial"/>
                <w:b w:val="0"/>
                <w:color w:val="FFFFFF"/>
                <w:sz w:val="18"/>
                <w:szCs w:val="18"/>
              </w:rPr>
              <w:t>(per cent)</w:t>
            </w:r>
          </w:p>
          <w:p w:rsidR="00896142" w:rsidRPr="004C6CF8" w:rsidRDefault="00896142" w:rsidP="00C5792E">
            <w:pPr>
              <w:spacing w:before="120" w:after="120"/>
              <w:rPr>
                <w:b w:val="0"/>
                <w:color w:val="FFFFFF"/>
                <w:sz w:val="16"/>
                <w:szCs w:val="16"/>
              </w:rPr>
            </w:pPr>
            <w:r w:rsidRPr="004C6CF8">
              <w:rPr>
                <w:rFonts w:cs="Arial"/>
                <w:b w:val="0"/>
                <w:color w:val="FFFFFF"/>
                <w:sz w:val="18"/>
                <w:szCs w:val="18"/>
              </w:rPr>
              <w:t>20</w:t>
            </w:r>
            <w:r w:rsidR="00C5792E" w:rsidRPr="004C6CF8">
              <w:rPr>
                <w:rFonts w:cs="Arial"/>
                <w:b w:val="0"/>
                <w:color w:val="FFFFFF"/>
                <w:sz w:val="18"/>
                <w:szCs w:val="18"/>
              </w:rPr>
              <w:t>13</w:t>
            </w:r>
          </w:p>
        </w:tc>
      </w:tr>
      <w:tr w:rsidR="00896142" w:rsidRPr="000B1B24" w:rsidTr="00B66145">
        <w:trPr>
          <w:cnfStyle w:val="100000000000" w:firstRow="1" w:lastRow="0" w:firstColumn="0" w:lastColumn="0" w:oddVBand="0" w:evenVBand="0" w:oddHBand="0" w:evenHBand="0" w:firstRowFirstColumn="0" w:firstRowLastColumn="0" w:lastRowFirstColumn="0" w:lastRowLastColumn="0"/>
          <w:trHeight w:val="239"/>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896142" w:rsidRPr="000B1B24" w:rsidRDefault="00896142" w:rsidP="000B1B24">
            <w:pPr>
              <w:spacing w:before="60" w:after="60"/>
              <w:rPr>
                <w:rFonts w:cs="Arial"/>
                <w:sz w:val="18"/>
                <w:szCs w:val="18"/>
              </w:rPr>
            </w:pPr>
            <w:r w:rsidRPr="000B1B24">
              <w:rPr>
                <w:rFonts w:cs="Arial"/>
                <w:b w:val="0"/>
                <w:sz w:val="18"/>
                <w:szCs w:val="18"/>
              </w:rPr>
              <w:t>Sex</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896142" w:rsidRPr="000B1B24" w:rsidRDefault="00896142" w:rsidP="000B1B24">
            <w:pPr>
              <w:spacing w:before="60" w:after="60"/>
              <w:jc w:val="right"/>
              <w:rPr>
                <w:rFonts w:cs="Arial"/>
                <w:sz w:val="18"/>
                <w:szCs w:val="18"/>
              </w:rPr>
            </w:pP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896142" w:rsidRPr="000B1B24" w:rsidRDefault="00896142" w:rsidP="000B1B24">
            <w:pPr>
              <w:spacing w:before="60" w:after="60"/>
              <w:jc w:val="right"/>
              <w:rPr>
                <w:rFonts w:cs="Arial"/>
                <w:sz w:val="18"/>
                <w:szCs w:val="18"/>
              </w:rPr>
            </w:pP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0B1B24" w:rsidRDefault="00C5792E" w:rsidP="000B1B24">
            <w:pPr>
              <w:spacing w:before="60" w:after="60"/>
              <w:rPr>
                <w:rFonts w:cs="Arial"/>
                <w:sz w:val="18"/>
                <w:szCs w:val="18"/>
              </w:rPr>
            </w:pPr>
            <w:r w:rsidRPr="000B1B24">
              <w:rPr>
                <w:rFonts w:cs="Arial"/>
                <w:sz w:val="18"/>
                <w:szCs w:val="18"/>
              </w:rPr>
              <w:t>Male</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0B1B24" w:rsidRDefault="00C5792E" w:rsidP="00C5792E">
            <w:pPr>
              <w:spacing w:before="60" w:after="60"/>
              <w:jc w:val="center"/>
              <w:rPr>
                <w:rFonts w:cs="Arial"/>
                <w:sz w:val="18"/>
                <w:szCs w:val="18"/>
              </w:rPr>
            </w:pPr>
            <w:r w:rsidRPr="000B1B24">
              <w:rPr>
                <w:rFonts w:cs="Arial"/>
                <w:sz w:val="18"/>
                <w:szCs w:val="18"/>
              </w:rPr>
              <w:t>51.3</w:t>
            </w: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0B1B24" w:rsidRDefault="00A416F0" w:rsidP="0067139D">
            <w:pPr>
              <w:spacing w:before="60" w:after="60"/>
              <w:jc w:val="center"/>
              <w:rPr>
                <w:rFonts w:cs="Arial"/>
                <w:sz w:val="18"/>
                <w:szCs w:val="18"/>
              </w:rPr>
            </w:pPr>
            <w:r>
              <w:rPr>
                <w:rFonts w:cs="Arial"/>
                <w:sz w:val="18"/>
                <w:szCs w:val="18"/>
              </w:rPr>
              <w:t>51.3</w:t>
            </w: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0B1B24" w:rsidRDefault="00C5792E" w:rsidP="000B1B24">
            <w:pPr>
              <w:spacing w:before="60" w:after="60"/>
              <w:rPr>
                <w:rFonts w:cs="Arial"/>
                <w:sz w:val="18"/>
                <w:szCs w:val="18"/>
              </w:rPr>
            </w:pPr>
            <w:r w:rsidRPr="000B1B24">
              <w:rPr>
                <w:rFonts w:cs="Arial"/>
                <w:sz w:val="18"/>
                <w:szCs w:val="18"/>
              </w:rPr>
              <w:t>Female</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0B1B24" w:rsidRDefault="00C5792E" w:rsidP="00C5792E">
            <w:pPr>
              <w:spacing w:before="60" w:after="60"/>
              <w:jc w:val="center"/>
              <w:rPr>
                <w:rFonts w:cs="Arial"/>
                <w:sz w:val="18"/>
                <w:szCs w:val="18"/>
              </w:rPr>
            </w:pPr>
            <w:r w:rsidRPr="000B1B24">
              <w:rPr>
                <w:rFonts w:cs="Arial"/>
                <w:sz w:val="18"/>
                <w:szCs w:val="18"/>
              </w:rPr>
              <w:t>48.7</w:t>
            </w: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0B1B24" w:rsidRDefault="00A416F0" w:rsidP="0067139D">
            <w:pPr>
              <w:spacing w:before="60" w:after="60"/>
              <w:jc w:val="center"/>
              <w:rPr>
                <w:rFonts w:cs="Arial"/>
                <w:sz w:val="18"/>
                <w:szCs w:val="18"/>
              </w:rPr>
            </w:pPr>
            <w:r>
              <w:rPr>
                <w:rFonts w:cs="Arial"/>
                <w:sz w:val="18"/>
                <w:szCs w:val="18"/>
              </w:rPr>
              <w:t>48.7</w:t>
            </w: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0B1B24" w:rsidRDefault="00C5792E" w:rsidP="004C6CF8">
            <w:pPr>
              <w:spacing w:before="60" w:after="60"/>
              <w:rPr>
                <w:rFonts w:cs="Arial"/>
                <w:b w:val="0"/>
                <w:sz w:val="18"/>
                <w:szCs w:val="18"/>
              </w:rPr>
            </w:pPr>
            <w:r w:rsidRPr="000B1B24">
              <w:rPr>
                <w:rFonts w:cs="Arial"/>
                <w:b w:val="0"/>
                <w:sz w:val="18"/>
                <w:szCs w:val="18"/>
              </w:rPr>
              <w:t>Age group</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67139D" w:rsidRDefault="00C5792E" w:rsidP="004C6CF8">
            <w:pPr>
              <w:spacing w:before="60" w:after="60"/>
              <w:rPr>
                <w:rFonts w:cs="Arial"/>
                <w:sz w:val="18"/>
                <w:szCs w:val="18"/>
              </w:rPr>
            </w:pP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C5792E" w:rsidP="004C6CF8">
            <w:pPr>
              <w:spacing w:before="60" w:after="60"/>
              <w:rPr>
                <w:rFonts w:cs="Arial"/>
                <w:sz w:val="18"/>
                <w:szCs w:val="18"/>
              </w:rPr>
            </w:pP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C5792E" w:rsidP="000B1B24">
            <w:pPr>
              <w:spacing w:before="60" w:after="60"/>
              <w:rPr>
                <w:rFonts w:cs="Arial"/>
                <w:sz w:val="18"/>
                <w:szCs w:val="18"/>
              </w:rPr>
            </w:pPr>
            <w:r w:rsidRPr="0067139D">
              <w:rPr>
                <w:rFonts w:cs="Arial"/>
                <w:sz w:val="18"/>
                <w:szCs w:val="18"/>
              </w:rPr>
              <w:t>&lt; 1 year</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67139D" w:rsidRDefault="00C5792E" w:rsidP="00C5792E">
            <w:pPr>
              <w:spacing w:before="60" w:after="60"/>
              <w:jc w:val="center"/>
              <w:rPr>
                <w:rFonts w:cs="Arial"/>
                <w:sz w:val="18"/>
                <w:szCs w:val="18"/>
              </w:rPr>
            </w:pPr>
            <w:r w:rsidRPr="0067139D">
              <w:rPr>
                <w:rFonts w:cs="Arial"/>
                <w:sz w:val="18"/>
                <w:szCs w:val="18"/>
              </w:rPr>
              <w:t>8.0</w:t>
            </w: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A416F0" w:rsidP="0067139D">
            <w:pPr>
              <w:spacing w:before="60" w:after="60"/>
              <w:jc w:val="center"/>
              <w:rPr>
                <w:rFonts w:cs="Arial"/>
                <w:sz w:val="18"/>
                <w:szCs w:val="18"/>
              </w:rPr>
            </w:pPr>
            <w:r>
              <w:rPr>
                <w:rFonts w:cs="Arial"/>
                <w:sz w:val="18"/>
                <w:szCs w:val="18"/>
              </w:rPr>
              <w:t>8.2</w:t>
            </w: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C5792E" w:rsidP="000B1B24">
            <w:pPr>
              <w:spacing w:before="60" w:after="60"/>
              <w:rPr>
                <w:rFonts w:cs="Arial"/>
                <w:sz w:val="18"/>
                <w:szCs w:val="18"/>
              </w:rPr>
            </w:pPr>
            <w:r w:rsidRPr="0067139D">
              <w:rPr>
                <w:rFonts w:cs="Arial"/>
                <w:sz w:val="18"/>
                <w:szCs w:val="18"/>
              </w:rPr>
              <w:t>1 to 4 years</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67139D" w:rsidRDefault="00C5792E" w:rsidP="00C5792E">
            <w:pPr>
              <w:spacing w:before="60" w:after="60"/>
              <w:jc w:val="center"/>
              <w:rPr>
                <w:rFonts w:cs="Arial"/>
                <w:sz w:val="18"/>
                <w:szCs w:val="18"/>
              </w:rPr>
            </w:pPr>
            <w:r w:rsidRPr="0067139D">
              <w:rPr>
                <w:rFonts w:cs="Arial"/>
                <w:sz w:val="18"/>
                <w:szCs w:val="18"/>
              </w:rPr>
              <w:t>30.3</w:t>
            </w: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A416F0" w:rsidP="0067139D">
            <w:pPr>
              <w:spacing w:before="60" w:after="60"/>
              <w:jc w:val="center"/>
              <w:rPr>
                <w:rFonts w:cs="Arial"/>
                <w:sz w:val="18"/>
                <w:szCs w:val="18"/>
              </w:rPr>
            </w:pPr>
            <w:r>
              <w:rPr>
                <w:rFonts w:cs="Arial"/>
                <w:sz w:val="18"/>
                <w:szCs w:val="18"/>
              </w:rPr>
              <w:t>31.8</w:t>
            </w: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C5792E" w:rsidP="000B1B24">
            <w:pPr>
              <w:spacing w:before="60" w:after="60"/>
              <w:rPr>
                <w:rFonts w:cs="Arial"/>
                <w:sz w:val="18"/>
                <w:szCs w:val="18"/>
              </w:rPr>
            </w:pPr>
            <w:r w:rsidRPr="0067139D">
              <w:rPr>
                <w:rFonts w:cs="Arial"/>
                <w:sz w:val="18"/>
                <w:szCs w:val="18"/>
              </w:rPr>
              <w:t>5 to 8 years</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67139D" w:rsidRDefault="00C5792E" w:rsidP="00C5792E">
            <w:pPr>
              <w:spacing w:before="60" w:after="60"/>
              <w:jc w:val="center"/>
              <w:rPr>
                <w:rFonts w:cs="Arial"/>
                <w:sz w:val="18"/>
                <w:szCs w:val="18"/>
              </w:rPr>
            </w:pPr>
            <w:r w:rsidRPr="0067139D">
              <w:rPr>
                <w:rFonts w:cs="Arial"/>
                <w:sz w:val="18"/>
                <w:szCs w:val="18"/>
              </w:rPr>
              <w:t>30.4</w:t>
            </w: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A416F0" w:rsidP="0067139D">
            <w:pPr>
              <w:spacing w:before="60" w:after="60"/>
              <w:jc w:val="center"/>
              <w:rPr>
                <w:rFonts w:cs="Arial"/>
                <w:sz w:val="18"/>
                <w:szCs w:val="18"/>
              </w:rPr>
            </w:pPr>
            <w:r>
              <w:rPr>
                <w:rFonts w:cs="Arial"/>
                <w:sz w:val="18"/>
                <w:szCs w:val="18"/>
              </w:rPr>
              <w:t>30.6</w:t>
            </w: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C5792E" w:rsidP="000B1B24">
            <w:pPr>
              <w:spacing w:before="60" w:after="60"/>
              <w:rPr>
                <w:rFonts w:cs="Arial"/>
                <w:sz w:val="18"/>
                <w:szCs w:val="18"/>
              </w:rPr>
            </w:pPr>
            <w:r w:rsidRPr="0067139D">
              <w:rPr>
                <w:rFonts w:cs="Arial"/>
                <w:sz w:val="18"/>
                <w:szCs w:val="18"/>
              </w:rPr>
              <w:t>9 to 12 years</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67139D" w:rsidRDefault="00C5792E" w:rsidP="00C5792E">
            <w:pPr>
              <w:spacing w:before="60" w:after="60"/>
              <w:jc w:val="center"/>
              <w:rPr>
                <w:rFonts w:cs="Arial"/>
                <w:sz w:val="18"/>
                <w:szCs w:val="18"/>
              </w:rPr>
            </w:pPr>
            <w:r w:rsidRPr="0067139D">
              <w:rPr>
                <w:rFonts w:cs="Arial"/>
                <w:sz w:val="18"/>
                <w:szCs w:val="18"/>
              </w:rPr>
              <w:t>31.3</w:t>
            </w: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A416F0" w:rsidP="0067139D">
            <w:pPr>
              <w:spacing w:before="60" w:after="60"/>
              <w:jc w:val="center"/>
              <w:rPr>
                <w:rFonts w:cs="Arial"/>
                <w:sz w:val="18"/>
                <w:szCs w:val="18"/>
              </w:rPr>
            </w:pPr>
            <w:r>
              <w:rPr>
                <w:rFonts w:cs="Arial"/>
                <w:sz w:val="18"/>
                <w:szCs w:val="18"/>
              </w:rPr>
              <w:t>29.3</w:t>
            </w: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0B1B24" w:rsidRDefault="00C5792E" w:rsidP="000B1B24">
            <w:pPr>
              <w:spacing w:before="60" w:after="60"/>
              <w:rPr>
                <w:rFonts w:cs="Arial"/>
                <w:b w:val="0"/>
                <w:sz w:val="18"/>
                <w:szCs w:val="18"/>
              </w:rPr>
            </w:pPr>
            <w:r w:rsidRPr="000B1B24">
              <w:rPr>
                <w:rFonts w:cs="Arial"/>
                <w:b w:val="0"/>
                <w:sz w:val="18"/>
                <w:szCs w:val="18"/>
              </w:rPr>
              <w:t>Area</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67139D" w:rsidRDefault="00C5792E" w:rsidP="00C5792E">
            <w:pPr>
              <w:spacing w:before="60" w:after="60"/>
              <w:jc w:val="center"/>
              <w:rPr>
                <w:rFonts w:cs="Arial"/>
                <w:sz w:val="18"/>
                <w:szCs w:val="18"/>
              </w:rPr>
            </w:pP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C5792E" w:rsidP="0067139D">
            <w:pPr>
              <w:spacing w:before="60" w:after="60"/>
              <w:jc w:val="center"/>
              <w:rPr>
                <w:rFonts w:cs="Arial"/>
                <w:sz w:val="18"/>
                <w:szCs w:val="18"/>
              </w:rPr>
            </w:pP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C5792E" w:rsidP="000B1B24">
            <w:pPr>
              <w:spacing w:before="60" w:after="60"/>
              <w:rPr>
                <w:rFonts w:cs="Arial"/>
                <w:sz w:val="18"/>
                <w:szCs w:val="18"/>
              </w:rPr>
            </w:pPr>
            <w:r w:rsidRPr="0067139D">
              <w:rPr>
                <w:rFonts w:cs="Arial"/>
                <w:sz w:val="18"/>
                <w:szCs w:val="18"/>
              </w:rPr>
              <w:t>Metropolitan Victoria</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67139D" w:rsidRDefault="00C5792E" w:rsidP="00C5792E">
            <w:pPr>
              <w:spacing w:before="60" w:after="60"/>
              <w:jc w:val="center"/>
              <w:rPr>
                <w:rFonts w:cs="Arial"/>
                <w:sz w:val="18"/>
                <w:szCs w:val="18"/>
              </w:rPr>
            </w:pPr>
            <w:r w:rsidRPr="0067139D">
              <w:rPr>
                <w:rFonts w:cs="Arial"/>
                <w:sz w:val="18"/>
                <w:szCs w:val="18"/>
              </w:rPr>
              <w:t>71.1</w:t>
            </w: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A416F0" w:rsidP="0067139D">
            <w:pPr>
              <w:spacing w:before="60" w:after="60"/>
              <w:jc w:val="center"/>
              <w:rPr>
                <w:rFonts w:cs="Arial"/>
                <w:sz w:val="18"/>
                <w:szCs w:val="18"/>
              </w:rPr>
            </w:pPr>
            <w:r>
              <w:rPr>
                <w:rFonts w:cs="Arial"/>
                <w:sz w:val="18"/>
                <w:szCs w:val="18"/>
              </w:rPr>
              <w:t>73.7</w:t>
            </w: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C5792E" w:rsidP="000B1B24">
            <w:pPr>
              <w:spacing w:before="60" w:after="60"/>
              <w:rPr>
                <w:rFonts w:cs="Arial"/>
                <w:sz w:val="18"/>
                <w:szCs w:val="18"/>
              </w:rPr>
            </w:pPr>
            <w:r w:rsidRPr="0067139D">
              <w:rPr>
                <w:rFonts w:cs="Arial"/>
                <w:sz w:val="18"/>
                <w:szCs w:val="18"/>
              </w:rPr>
              <w:t>Rural Victoria</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67139D" w:rsidRDefault="00C5792E" w:rsidP="00C5792E">
            <w:pPr>
              <w:spacing w:before="60" w:after="60"/>
              <w:jc w:val="center"/>
              <w:rPr>
                <w:rFonts w:cs="Arial"/>
                <w:sz w:val="18"/>
                <w:szCs w:val="18"/>
              </w:rPr>
            </w:pPr>
            <w:r w:rsidRPr="0067139D">
              <w:rPr>
                <w:rFonts w:cs="Arial"/>
                <w:sz w:val="18"/>
                <w:szCs w:val="18"/>
              </w:rPr>
              <w:t>28.9</w:t>
            </w: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A416F0" w:rsidP="0067139D">
            <w:pPr>
              <w:spacing w:before="60" w:after="60"/>
              <w:jc w:val="center"/>
              <w:rPr>
                <w:rFonts w:cs="Arial"/>
                <w:sz w:val="18"/>
                <w:szCs w:val="18"/>
              </w:rPr>
            </w:pPr>
            <w:r>
              <w:rPr>
                <w:rFonts w:cs="Arial"/>
                <w:sz w:val="18"/>
                <w:szCs w:val="18"/>
              </w:rPr>
              <w:t>26.3</w:t>
            </w:r>
          </w:p>
        </w:tc>
      </w:tr>
      <w:tr w:rsidR="002276D5"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2276D5" w:rsidRPr="000B1B24" w:rsidRDefault="002276D5" w:rsidP="002276D5">
            <w:pPr>
              <w:spacing w:before="60" w:after="60"/>
              <w:rPr>
                <w:rFonts w:cs="Arial"/>
                <w:b w:val="0"/>
                <w:sz w:val="18"/>
                <w:szCs w:val="18"/>
              </w:rPr>
            </w:pPr>
            <w:r>
              <w:rPr>
                <w:rFonts w:cs="Arial"/>
                <w:b w:val="0"/>
                <w:sz w:val="18"/>
                <w:szCs w:val="18"/>
              </w:rPr>
              <w:t>Cohort</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2276D5" w:rsidRPr="0067139D" w:rsidRDefault="002276D5" w:rsidP="002276D5">
            <w:pPr>
              <w:spacing w:before="60" w:after="60"/>
              <w:jc w:val="center"/>
              <w:rPr>
                <w:rFonts w:cs="Arial"/>
                <w:sz w:val="18"/>
                <w:szCs w:val="18"/>
              </w:rPr>
            </w:pP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2276D5" w:rsidRPr="0067139D" w:rsidRDefault="002276D5" w:rsidP="002276D5">
            <w:pPr>
              <w:spacing w:before="60" w:after="60"/>
              <w:jc w:val="center"/>
              <w:rPr>
                <w:rFonts w:cs="Arial"/>
                <w:sz w:val="18"/>
                <w:szCs w:val="18"/>
              </w:rPr>
            </w:pPr>
          </w:p>
        </w:tc>
      </w:tr>
      <w:tr w:rsidR="00C5792E" w:rsidRPr="000B1B24" w:rsidTr="00B6614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0B1B24" w:rsidRDefault="00C5792E" w:rsidP="002276D5">
            <w:pPr>
              <w:spacing w:before="60" w:after="60"/>
              <w:rPr>
                <w:rFonts w:cs="Arial"/>
                <w:b w:val="0"/>
                <w:sz w:val="18"/>
                <w:szCs w:val="18"/>
              </w:rPr>
            </w:pPr>
            <w:r w:rsidRPr="000B1B24">
              <w:rPr>
                <w:rFonts w:cs="Arial"/>
                <w:b w:val="0"/>
                <w:sz w:val="18"/>
                <w:szCs w:val="18"/>
              </w:rPr>
              <w:t>Aboriginal or Torres Strait Islander</w:t>
            </w:r>
          </w:p>
        </w:tc>
        <w:tc>
          <w:tcPr>
            <w:cnfStyle w:val="000010000000" w:firstRow="0" w:lastRow="0" w:firstColumn="0" w:lastColumn="0" w:oddVBand="1" w:evenVBand="0" w:oddHBand="0" w:evenHBand="0" w:firstRowFirstColumn="0" w:firstRowLastColumn="0" w:lastRowFirstColumn="0" w:lastRowLastColumn="0"/>
            <w:tcW w:w="198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rsidR="00C5792E" w:rsidRPr="0067139D" w:rsidRDefault="00C5792E" w:rsidP="00C5792E">
            <w:pPr>
              <w:spacing w:before="60" w:after="60"/>
              <w:jc w:val="center"/>
              <w:rPr>
                <w:rFonts w:cs="Arial"/>
                <w:sz w:val="18"/>
                <w:szCs w:val="18"/>
              </w:rPr>
            </w:pPr>
            <w:r w:rsidRPr="0067139D">
              <w:rPr>
                <w:rFonts w:cs="Arial"/>
                <w:sz w:val="18"/>
                <w:szCs w:val="18"/>
              </w:rPr>
              <w:t>1.4</w:t>
            </w:r>
          </w:p>
        </w:tc>
        <w:tc>
          <w:tcPr>
            <w:cnfStyle w:val="000100000000" w:firstRow="0" w:lastRow="0" w:firstColumn="0" w:lastColumn="1" w:oddVBand="0" w:evenVBand="0" w:oddHBand="0" w:evenHBand="0" w:firstRowFirstColumn="0" w:firstRowLastColumn="0" w:lastRowFirstColumn="0" w:lastRowLastColumn="0"/>
            <w:tcW w:w="18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noWrap/>
          </w:tcPr>
          <w:p w:rsidR="00C5792E" w:rsidRPr="0067139D" w:rsidRDefault="00A416F0" w:rsidP="0067139D">
            <w:pPr>
              <w:spacing w:before="60" w:after="60"/>
              <w:jc w:val="center"/>
              <w:rPr>
                <w:rFonts w:cs="Arial"/>
                <w:sz w:val="18"/>
                <w:szCs w:val="18"/>
              </w:rPr>
            </w:pPr>
            <w:r>
              <w:rPr>
                <w:rFonts w:cs="Arial"/>
                <w:sz w:val="18"/>
                <w:szCs w:val="18"/>
              </w:rPr>
              <w:t>1.3</w:t>
            </w:r>
          </w:p>
        </w:tc>
      </w:tr>
    </w:tbl>
    <w:p w:rsidR="001666B5" w:rsidRDefault="001666B5" w:rsidP="001666B5"/>
    <w:p w:rsidR="004C6CF8" w:rsidRPr="002276D5" w:rsidRDefault="002276D5" w:rsidP="004C6CF8">
      <w:pPr>
        <w:pStyle w:val="Body"/>
        <w:rPr>
          <w:sz w:val="18"/>
          <w:szCs w:val="18"/>
          <w:lang w:eastAsia="en-US"/>
        </w:rPr>
      </w:pPr>
      <w:r>
        <w:rPr>
          <w:sz w:val="18"/>
          <w:szCs w:val="18"/>
          <w:lang w:eastAsia="en-US"/>
        </w:rPr>
        <w:t xml:space="preserve">* </w:t>
      </w:r>
      <w:r w:rsidRPr="002276D5">
        <w:rPr>
          <w:sz w:val="18"/>
          <w:szCs w:val="18"/>
          <w:lang w:eastAsia="en-US"/>
        </w:rPr>
        <w:t>Proportions represent demographic splits following the weighting of survey responses.</w:t>
      </w:r>
    </w:p>
    <w:p w:rsidR="00271C76" w:rsidRDefault="003A3238" w:rsidP="006A7146">
      <w:pPr>
        <w:pStyle w:val="Heading1"/>
      </w:pPr>
      <w:r>
        <w:br w:type="page"/>
      </w:r>
      <w:bookmarkStart w:id="11" w:name="_Toc420914120"/>
      <w:r w:rsidR="00271C76">
        <w:lastRenderedPageBreak/>
        <w:t>Key statistics at a glance</w:t>
      </w:r>
      <w:bookmarkEnd w:id="11"/>
    </w:p>
    <w:tbl>
      <w:tblPr>
        <w:tblStyle w:val="LightList-Accent1"/>
        <w:tblW w:w="9409"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ook w:val="04A0" w:firstRow="1" w:lastRow="0" w:firstColumn="1" w:lastColumn="0" w:noHBand="0" w:noVBand="1"/>
        <w:tblDescription w:val="Key statistics at a glance"/>
      </w:tblPr>
      <w:tblGrid>
        <w:gridCol w:w="2518"/>
        <w:gridCol w:w="1306"/>
        <w:gridCol w:w="1275"/>
        <w:gridCol w:w="4310"/>
      </w:tblGrid>
      <w:tr w:rsidR="00271C76" w:rsidRPr="00294735" w:rsidTr="00B66145">
        <w:trPr>
          <w:cnfStyle w:val="100000000000" w:firstRow="1" w:lastRow="0" w:firstColumn="0" w:lastColumn="0" w:oddVBand="0" w:evenVBand="0" w:oddHBand="0" w:evenHBand="0" w:firstRowFirstColumn="0" w:firstRowLastColumn="0" w:lastRowFirstColumn="0" w:lastRowLastColumn="0"/>
          <w:trHeight w:val="771"/>
          <w:tblHeader/>
        </w:trPr>
        <w:tc>
          <w:tcPr>
            <w:cnfStyle w:val="001000000000" w:firstRow="0" w:lastRow="0" w:firstColumn="1" w:lastColumn="0" w:oddVBand="0" w:evenVBand="0" w:oddHBand="0" w:evenHBand="0" w:firstRowFirstColumn="0" w:firstRowLastColumn="0" w:lastRowFirstColumn="0" w:lastRowLastColumn="0"/>
            <w:tcW w:w="2518" w:type="dxa"/>
          </w:tcPr>
          <w:p w:rsidR="00271C76" w:rsidRPr="00EE616F" w:rsidRDefault="00271C76" w:rsidP="00B66145">
            <w:pPr>
              <w:spacing w:after="0"/>
              <w:rPr>
                <w:b w:val="0"/>
                <w:color w:val="FFFFFF"/>
              </w:rPr>
            </w:pPr>
            <w:r w:rsidRPr="00EE616F">
              <w:rPr>
                <w:b w:val="0"/>
                <w:color w:val="FFFFFF"/>
              </w:rPr>
              <w:t>Area</w:t>
            </w:r>
          </w:p>
        </w:tc>
        <w:tc>
          <w:tcPr>
            <w:tcW w:w="1306" w:type="dxa"/>
          </w:tcPr>
          <w:p w:rsidR="00271C76" w:rsidRPr="00EE616F" w:rsidRDefault="00271C76" w:rsidP="00B66145">
            <w:pPr>
              <w:spacing w:after="0"/>
              <w:cnfStyle w:val="100000000000" w:firstRow="1" w:lastRow="0" w:firstColumn="0" w:lastColumn="0" w:oddVBand="0" w:evenVBand="0" w:oddHBand="0" w:evenHBand="0" w:firstRowFirstColumn="0" w:firstRowLastColumn="0" w:lastRowFirstColumn="0" w:lastRowLastColumn="0"/>
              <w:rPr>
                <w:b w:val="0"/>
                <w:color w:val="FFFFFF"/>
              </w:rPr>
            </w:pPr>
            <w:r w:rsidRPr="00EE616F">
              <w:rPr>
                <w:b w:val="0"/>
                <w:color w:val="FFFFFF"/>
              </w:rPr>
              <w:t>2013 value</w:t>
            </w:r>
          </w:p>
        </w:tc>
        <w:tc>
          <w:tcPr>
            <w:tcW w:w="1275" w:type="dxa"/>
          </w:tcPr>
          <w:p w:rsidR="00271C76" w:rsidRPr="00EE616F" w:rsidRDefault="00271C76" w:rsidP="00B66145">
            <w:pPr>
              <w:spacing w:after="0"/>
              <w:cnfStyle w:val="100000000000" w:firstRow="1" w:lastRow="0" w:firstColumn="0" w:lastColumn="0" w:oddVBand="0" w:evenVBand="0" w:oddHBand="0" w:evenHBand="0" w:firstRowFirstColumn="0" w:firstRowLastColumn="0" w:lastRowFirstColumn="0" w:lastRowLastColumn="0"/>
              <w:rPr>
                <w:b w:val="0"/>
                <w:color w:val="FFFFFF"/>
              </w:rPr>
            </w:pPr>
            <w:r w:rsidRPr="00EE616F">
              <w:rPr>
                <w:b w:val="0"/>
                <w:color w:val="FFFFFF"/>
              </w:rPr>
              <w:t>Trend (from 2009)</w:t>
            </w:r>
          </w:p>
        </w:tc>
        <w:tc>
          <w:tcPr>
            <w:tcW w:w="4310" w:type="dxa"/>
          </w:tcPr>
          <w:p w:rsidR="00271C76" w:rsidRPr="00EE616F" w:rsidRDefault="00271C76" w:rsidP="00B66145">
            <w:pPr>
              <w:spacing w:after="0"/>
              <w:cnfStyle w:val="100000000000" w:firstRow="1" w:lastRow="0" w:firstColumn="0" w:lastColumn="0" w:oddVBand="0" w:evenVBand="0" w:oddHBand="0" w:evenHBand="0" w:firstRowFirstColumn="0" w:firstRowLastColumn="0" w:lastRowFirstColumn="0" w:lastRowLastColumn="0"/>
              <w:rPr>
                <w:b w:val="0"/>
                <w:color w:val="FFFFFF"/>
              </w:rPr>
            </w:pPr>
            <w:r w:rsidRPr="00EE616F">
              <w:rPr>
                <w:b w:val="0"/>
                <w:color w:val="FFFFFF"/>
              </w:rPr>
              <w:t>Cohorts/areas of note</w:t>
            </w:r>
          </w:p>
        </w:tc>
      </w:tr>
      <w:tr w:rsidR="00271C76" w:rsidTr="00274E33">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D0660D" w:rsidP="00B66145">
            <w:pPr>
              <w:spacing w:after="0"/>
              <w:rPr>
                <w:b w:val="0"/>
              </w:rPr>
            </w:pPr>
            <w:r w:rsidRPr="00B66145">
              <w:rPr>
                <w:b w:val="0"/>
              </w:rPr>
              <w:t>Prenatal health – c</w:t>
            </w:r>
            <w:r w:rsidR="00955665" w:rsidRPr="00B66145">
              <w:rPr>
                <w:b w:val="0"/>
              </w:rPr>
              <w:t>hildren exposed to alcohol in utero</w:t>
            </w:r>
            <w:r w:rsidR="00271C76" w:rsidRPr="00B66145">
              <w:rPr>
                <w:b w:val="0"/>
              </w:rPr>
              <w:t xml:space="preserve"> </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271C76"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66145">
              <w:rPr>
                <w:b w:val="0"/>
                <w:sz w:val="28"/>
                <w:szCs w:val="28"/>
                <w:bdr w:val="single" w:sz="12" w:space="0" w:color="4BACC6" w:themeColor="accent5"/>
              </w:rPr>
              <w:t>46.7%</w:t>
            </w:r>
          </w:p>
        </w:tc>
        <w:tc>
          <w:tcPr>
            <w:tcW w:w="1275" w:type="dxa"/>
            <w:shd w:val="clear" w:color="auto" w:fill="auto"/>
          </w:tcPr>
          <w:p w:rsidR="00271C76" w:rsidRPr="00B66145" w:rsidRDefault="00EF3FD3"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sym w:font="Wingdings" w:char="F0F2"/>
            </w:r>
            <w:r w:rsidRPr="00B66145">
              <w:rPr>
                <w:b w:val="0"/>
                <w:szCs w:val="20"/>
              </w:rPr>
              <w:t>13.1%</w:t>
            </w:r>
          </w:p>
        </w:tc>
        <w:tc>
          <w:tcPr>
            <w:tcW w:w="4310" w:type="dxa"/>
            <w:shd w:val="clear" w:color="auto" w:fill="auto"/>
          </w:tcPr>
          <w:p w:rsidR="00271C76" w:rsidRPr="00B66145" w:rsidRDefault="006C2265"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Children from areas of low socioeconomic disadvantage were more likely to be exposed the alcohol in utero than children from areas of high socioeconomic disadvantage.</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D0660D" w:rsidP="00B66145">
            <w:pPr>
              <w:spacing w:after="0"/>
              <w:rPr>
                <w:b w:val="0"/>
              </w:rPr>
            </w:pPr>
            <w:r w:rsidRPr="00B66145">
              <w:rPr>
                <w:b w:val="0"/>
              </w:rPr>
              <w:t>General health –</w:t>
            </w:r>
            <w:r w:rsidR="00B66145">
              <w:rPr>
                <w:b w:val="0"/>
              </w:rPr>
              <w:t xml:space="preserve"> c</w:t>
            </w:r>
            <w:r w:rsidR="00271C76" w:rsidRPr="00B66145">
              <w:rPr>
                <w:b w:val="0"/>
              </w:rPr>
              <w:t>hildren with ‘good, very good or excellent’ health</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271C76"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66145">
              <w:rPr>
                <w:b w:val="0"/>
                <w:sz w:val="28"/>
                <w:szCs w:val="28"/>
                <w:bdr w:val="single" w:sz="12" w:space="0" w:color="4BACC6" w:themeColor="accent5"/>
              </w:rPr>
              <w:t>97.9%</w:t>
            </w:r>
          </w:p>
        </w:tc>
        <w:tc>
          <w:tcPr>
            <w:tcW w:w="1275" w:type="dxa"/>
            <w:shd w:val="clear" w:color="auto" w:fill="auto"/>
          </w:tcPr>
          <w:p w:rsidR="00271C76" w:rsidRPr="00B66145" w:rsidRDefault="00EF3FD3"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sym w:font="Wingdings" w:char="F0F2"/>
            </w:r>
            <w:r w:rsidRPr="00B66145">
              <w:rPr>
                <w:b w:val="0"/>
                <w:szCs w:val="20"/>
              </w:rPr>
              <w:t>0.6</w:t>
            </w:r>
            <w:r w:rsidR="00271C76" w:rsidRPr="00B66145">
              <w:rPr>
                <w:b w:val="0"/>
                <w:szCs w:val="20"/>
              </w:rPr>
              <w:t>%</w:t>
            </w:r>
          </w:p>
        </w:tc>
        <w:tc>
          <w:tcPr>
            <w:tcW w:w="4310" w:type="dxa"/>
            <w:shd w:val="clear" w:color="auto" w:fill="auto"/>
          </w:tcPr>
          <w:p w:rsidR="00271C76" w:rsidRPr="00B66145" w:rsidRDefault="006C2265"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Parents of children listed on a Health Care Card were less likely to rate their child’s health as ‘good, very good or excellent’.</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D0660D" w:rsidP="00B66145">
            <w:pPr>
              <w:spacing w:after="0"/>
              <w:rPr>
                <w:b w:val="0"/>
              </w:rPr>
            </w:pPr>
            <w:r w:rsidRPr="00B66145">
              <w:rPr>
                <w:b w:val="0"/>
              </w:rPr>
              <w:t xml:space="preserve">Asthma </w:t>
            </w:r>
            <w:r w:rsidR="00EF3FD3" w:rsidRPr="00B66145">
              <w:rPr>
                <w:b w:val="0"/>
              </w:rPr>
              <w:t>– children with current asthma</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CC1C98"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8"/>
                <w:szCs w:val="28"/>
                <w:bdr w:val="single" w:sz="12" w:space="0" w:color="4BACC6" w:themeColor="accent5"/>
              </w:rPr>
              <w:t>11.3</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271C76"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sym w:font="Wingdings" w:char="F0F1"/>
            </w:r>
            <w:r w:rsidRPr="00B66145">
              <w:rPr>
                <w:b w:val="0"/>
              </w:rPr>
              <w:t xml:space="preserve"> </w:t>
            </w:r>
            <w:r w:rsidR="00EF3FD3" w:rsidRPr="00B66145">
              <w:rPr>
                <w:b w:val="0"/>
                <w:szCs w:val="20"/>
              </w:rPr>
              <w:t>0.1</w:t>
            </w:r>
            <w:r w:rsidRPr="00B66145">
              <w:rPr>
                <w:b w:val="0"/>
                <w:szCs w:val="20"/>
              </w:rPr>
              <w:t>%</w:t>
            </w:r>
          </w:p>
        </w:tc>
        <w:tc>
          <w:tcPr>
            <w:tcW w:w="4310" w:type="dxa"/>
            <w:shd w:val="clear" w:color="auto" w:fill="auto"/>
          </w:tcPr>
          <w:p w:rsidR="00271C76" w:rsidRPr="00B66145" w:rsidRDefault="006C2265"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Boys were significantly more likely to have current asthma than girls.</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D0660D" w:rsidP="00B66145">
            <w:pPr>
              <w:spacing w:after="0"/>
              <w:rPr>
                <w:b w:val="0"/>
              </w:rPr>
            </w:pPr>
            <w:r w:rsidRPr="00B66145">
              <w:rPr>
                <w:b w:val="0"/>
              </w:rPr>
              <w:t xml:space="preserve">Oral health – </w:t>
            </w:r>
            <w:r w:rsidR="00356AB0" w:rsidRPr="00B66145">
              <w:rPr>
                <w:b w:val="0"/>
              </w:rPr>
              <w:t>children who have had a filling</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0B24A9"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66145">
              <w:rPr>
                <w:b w:val="0"/>
                <w:sz w:val="28"/>
                <w:szCs w:val="28"/>
                <w:bdr w:val="single" w:sz="12" w:space="0" w:color="4BACC6" w:themeColor="accent5"/>
              </w:rPr>
              <w:t>19.5</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0B24A9"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B66145">
              <w:rPr>
                <w:b w:val="0"/>
                <w:sz w:val="24"/>
              </w:rPr>
              <w:sym w:font="Wingdings" w:char="F0F1"/>
            </w:r>
            <w:r w:rsidRPr="00B66145">
              <w:rPr>
                <w:b w:val="0"/>
              </w:rPr>
              <w:t xml:space="preserve"> </w:t>
            </w:r>
            <w:r w:rsidRPr="00B66145">
              <w:rPr>
                <w:b w:val="0"/>
                <w:szCs w:val="20"/>
              </w:rPr>
              <w:t>2.0%</w:t>
            </w:r>
          </w:p>
        </w:tc>
        <w:tc>
          <w:tcPr>
            <w:tcW w:w="4310" w:type="dxa"/>
            <w:shd w:val="clear" w:color="auto" w:fill="auto"/>
          </w:tcPr>
          <w:p w:rsidR="00271C76" w:rsidRPr="00B66145" w:rsidRDefault="000B24A9"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Children in regional Victoria were significantly more likely to have had a filling compared with children in metropolitan Victoria</w:t>
            </w:r>
            <w:r w:rsidR="00F0072B" w:rsidRPr="00B66145">
              <w:rPr>
                <w:b w:val="0"/>
              </w:rPr>
              <w:t>.</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D0660D" w:rsidP="00B66145">
            <w:pPr>
              <w:spacing w:after="0"/>
              <w:rPr>
                <w:b w:val="0"/>
              </w:rPr>
            </w:pPr>
            <w:r w:rsidRPr="00B66145">
              <w:rPr>
                <w:b w:val="0"/>
              </w:rPr>
              <w:t>Physical activity –c</w:t>
            </w:r>
            <w:r w:rsidR="00955665" w:rsidRPr="00B66145">
              <w:rPr>
                <w:b w:val="0"/>
              </w:rPr>
              <w:t>hildren aged 5-12 who are active for 60 minutes a day</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955665"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8"/>
                <w:szCs w:val="28"/>
                <w:bdr w:val="single" w:sz="12" w:space="0" w:color="4BACC6" w:themeColor="accent5"/>
              </w:rPr>
              <w:t>62.2</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271C76"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sym w:font="Wingdings" w:char="F0F1"/>
            </w:r>
            <w:r w:rsidRPr="00B66145">
              <w:rPr>
                <w:b w:val="0"/>
              </w:rPr>
              <w:t xml:space="preserve"> </w:t>
            </w:r>
            <w:r w:rsidR="002B7846" w:rsidRPr="00B66145">
              <w:rPr>
                <w:b w:val="0"/>
                <w:szCs w:val="20"/>
              </w:rPr>
              <w:t>1.9</w:t>
            </w:r>
            <w:r w:rsidRPr="00B66145">
              <w:rPr>
                <w:b w:val="0"/>
                <w:szCs w:val="20"/>
              </w:rPr>
              <w:t>%</w:t>
            </w:r>
          </w:p>
        </w:tc>
        <w:tc>
          <w:tcPr>
            <w:tcW w:w="4310" w:type="dxa"/>
            <w:shd w:val="clear" w:color="auto" w:fill="auto"/>
          </w:tcPr>
          <w:p w:rsidR="00271C76" w:rsidRPr="00B66145" w:rsidRDefault="00754ED3"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Children in regional Victoria were more likely to meet the physical activity guidelines compared with children in metropolitan Victoria</w:t>
            </w:r>
            <w:r w:rsidR="00F0072B" w:rsidRPr="00B66145">
              <w:rPr>
                <w:b w:val="0"/>
              </w:rPr>
              <w:t>.</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D0660D" w:rsidP="00B66145">
            <w:pPr>
              <w:spacing w:after="0"/>
              <w:rPr>
                <w:b w:val="0"/>
              </w:rPr>
            </w:pPr>
            <w:r w:rsidRPr="00B66145">
              <w:rPr>
                <w:b w:val="0"/>
              </w:rPr>
              <w:t>Electronic media</w:t>
            </w:r>
            <w:r w:rsidR="00271C76" w:rsidRPr="00B66145">
              <w:rPr>
                <w:b w:val="0"/>
              </w:rPr>
              <w:t xml:space="preserve"> –</w:t>
            </w:r>
            <w:r w:rsidRPr="00B66145">
              <w:rPr>
                <w:b w:val="0"/>
              </w:rPr>
              <w:t xml:space="preserve"> children aged 5-12 who exceed recommended screen time</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D0660D"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8"/>
                <w:szCs w:val="28"/>
                <w:bdr w:val="single" w:sz="12" w:space="0" w:color="4BACC6" w:themeColor="accent5"/>
              </w:rPr>
              <w:t>17.7</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271C76"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sym w:font="Wingdings" w:char="F0F2"/>
            </w:r>
            <w:r w:rsidRPr="00B66145">
              <w:rPr>
                <w:b w:val="0"/>
                <w:szCs w:val="20"/>
              </w:rPr>
              <w:t>1.1%</w:t>
            </w:r>
          </w:p>
        </w:tc>
        <w:tc>
          <w:tcPr>
            <w:tcW w:w="4310" w:type="dxa"/>
            <w:shd w:val="clear" w:color="auto" w:fill="auto"/>
          </w:tcPr>
          <w:p w:rsidR="00271C76" w:rsidRPr="00B66145" w:rsidRDefault="00754ED3"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 xml:space="preserve">Boys were more likely to exceed recommended daily screen time limits than </w:t>
            </w:r>
            <w:r w:rsidR="00837F32" w:rsidRPr="00B66145">
              <w:rPr>
                <w:b w:val="0"/>
              </w:rPr>
              <w:t>girls</w:t>
            </w:r>
            <w:r w:rsidR="00F0072B" w:rsidRPr="00B66145">
              <w:rPr>
                <w:b w:val="0"/>
              </w:rPr>
              <w:t>.</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D23EED" w:rsidP="00B66145">
            <w:pPr>
              <w:spacing w:after="0"/>
              <w:rPr>
                <w:b w:val="0"/>
              </w:rPr>
            </w:pPr>
            <w:r w:rsidRPr="00B66145">
              <w:rPr>
                <w:b w:val="0"/>
              </w:rPr>
              <w:t>Nutrition</w:t>
            </w:r>
            <w:r w:rsidR="00271C76" w:rsidRPr="00B66145">
              <w:rPr>
                <w:b w:val="0"/>
              </w:rPr>
              <w:t xml:space="preserve"> –children </w:t>
            </w:r>
            <w:r w:rsidRPr="00B66145">
              <w:rPr>
                <w:b w:val="0"/>
              </w:rPr>
              <w:t>meeting fruit intake guidelines</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D23EE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66145">
              <w:rPr>
                <w:b w:val="0"/>
                <w:sz w:val="28"/>
                <w:szCs w:val="28"/>
                <w:bdr w:val="single" w:sz="12" w:space="0" w:color="4BACC6" w:themeColor="accent5"/>
              </w:rPr>
              <w:t>73.2</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6171EC"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t>NA</w:t>
            </w:r>
          </w:p>
        </w:tc>
        <w:tc>
          <w:tcPr>
            <w:tcW w:w="4310" w:type="dxa"/>
            <w:shd w:val="clear" w:color="auto" w:fill="auto"/>
          </w:tcPr>
          <w:p w:rsidR="00271C76" w:rsidRPr="00B66145" w:rsidRDefault="006171EC"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Guidelines changed in 2013. Children in regional Victoria were more likely to meet fruit guidelines compared with children in Metropolitan areas</w:t>
            </w:r>
            <w:r w:rsidR="00F0072B" w:rsidRPr="00B66145">
              <w:rPr>
                <w:b w:val="0"/>
              </w:rPr>
              <w:t>.</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D23EED" w:rsidP="00B66145">
            <w:pPr>
              <w:spacing w:after="0"/>
              <w:rPr>
                <w:b w:val="0"/>
              </w:rPr>
            </w:pPr>
            <w:r w:rsidRPr="00B66145">
              <w:rPr>
                <w:b w:val="0"/>
              </w:rPr>
              <w:t>Nutrition</w:t>
            </w:r>
            <w:r w:rsidR="00271C76" w:rsidRPr="00B66145">
              <w:rPr>
                <w:b w:val="0"/>
              </w:rPr>
              <w:t>–</w:t>
            </w:r>
            <w:r w:rsidRPr="00B66145">
              <w:rPr>
                <w:b w:val="0"/>
              </w:rPr>
              <w:t>children meeting vegetable intake guidelines</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D23EE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66145">
              <w:rPr>
                <w:b w:val="0"/>
                <w:sz w:val="28"/>
                <w:szCs w:val="28"/>
                <w:bdr w:val="single" w:sz="12" w:space="0" w:color="4BACC6" w:themeColor="accent5"/>
              </w:rPr>
              <w:t>2.9</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6171EC"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t>NA</w:t>
            </w:r>
          </w:p>
        </w:tc>
        <w:tc>
          <w:tcPr>
            <w:tcW w:w="4310" w:type="dxa"/>
            <w:shd w:val="clear" w:color="auto" w:fill="auto"/>
          </w:tcPr>
          <w:p w:rsidR="00271C76" w:rsidRPr="00B66145" w:rsidRDefault="006171EC"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Guidelines changed in 2013</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E60930" w:rsidP="00B66145">
            <w:pPr>
              <w:spacing w:after="0"/>
              <w:rPr>
                <w:b w:val="0"/>
              </w:rPr>
            </w:pPr>
            <w:r w:rsidRPr="00B66145">
              <w:rPr>
                <w:b w:val="0"/>
              </w:rPr>
              <w:t>Exposure to tobacco smoke</w:t>
            </w:r>
            <w:r w:rsidR="00271C76" w:rsidRPr="00B66145">
              <w:rPr>
                <w:b w:val="0"/>
              </w:rPr>
              <w:t>–</w:t>
            </w:r>
            <w:r w:rsidRPr="00B66145">
              <w:rPr>
                <w:b w:val="0"/>
              </w:rPr>
              <w:t xml:space="preserve"> children living in a smoke free home</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271C76"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66145">
              <w:rPr>
                <w:b w:val="0"/>
                <w:sz w:val="28"/>
                <w:szCs w:val="28"/>
                <w:bdr w:val="single" w:sz="12" w:space="0" w:color="4BACC6" w:themeColor="accent5"/>
              </w:rPr>
              <w:t>8</w:t>
            </w:r>
            <w:r w:rsidR="00E60930" w:rsidRPr="00B66145">
              <w:rPr>
                <w:b w:val="0"/>
                <w:sz w:val="28"/>
                <w:szCs w:val="28"/>
                <w:bdr w:val="single" w:sz="12" w:space="0" w:color="4BACC6" w:themeColor="accent5"/>
              </w:rPr>
              <w:t>1.5</w:t>
            </w:r>
            <w:r w:rsidRPr="00B66145">
              <w:rPr>
                <w:b w:val="0"/>
                <w:sz w:val="28"/>
                <w:szCs w:val="28"/>
                <w:bdr w:val="single" w:sz="12" w:space="0" w:color="4BACC6" w:themeColor="accent5"/>
              </w:rPr>
              <w:t>%</w:t>
            </w:r>
          </w:p>
        </w:tc>
        <w:tc>
          <w:tcPr>
            <w:tcW w:w="1275" w:type="dxa"/>
            <w:shd w:val="clear" w:color="auto" w:fill="auto"/>
          </w:tcPr>
          <w:p w:rsidR="00271C76" w:rsidRPr="00B66145" w:rsidRDefault="00191B88"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sym w:font="Wingdings" w:char="F0F1"/>
            </w:r>
            <w:r w:rsidR="00271C76" w:rsidRPr="00B66145">
              <w:rPr>
                <w:b w:val="0"/>
              </w:rPr>
              <w:t xml:space="preserve"> </w:t>
            </w:r>
            <w:r w:rsidR="002B7846" w:rsidRPr="00B66145">
              <w:rPr>
                <w:b w:val="0"/>
                <w:szCs w:val="20"/>
              </w:rPr>
              <w:t>6.7</w:t>
            </w:r>
            <w:r w:rsidR="00271C76" w:rsidRPr="00B66145">
              <w:rPr>
                <w:b w:val="0"/>
                <w:szCs w:val="20"/>
              </w:rPr>
              <w:t>%</w:t>
            </w:r>
          </w:p>
        </w:tc>
        <w:tc>
          <w:tcPr>
            <w:tcW w:w="4310" w:type="dxa"/>
            <w:shd w:val="clear" w:color="auto" w:fill="auto"/>
          </w:tcPr>
          <w:p w:rsidR="00271C76" w:rsidRPr="00B66145" w:rsidRDefault="00837F32"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Children listed on a Health Care Card were significantly more likely to be exposed to tobacco smoke in the home compared with other children</w:t>
            </w:r>
            <w:r w:rsidR="00F0072B" w:rsidRPr="00B66145">
              <w:rPr>
                <w:b w:val="0"/>
              </w:rPr>
              <w:t>.</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E60930" w:rsidP="00B66145">
            <w:pPr>
              <w:spacing w:after="0"/>
              <w:rPr>
                <w:b w:val="0"/>
              </w:rPr>
            </w:pPr>
            <w:r w:rsidRPr="00B66145">
              <w:rPr>
                <w:b w:val="0"/>
              </w:rPr>
              <w:t>Reading</w:t>
            </w:r>
            <w:r w:rsidR="00271C76" w:rsidRPr="00B66145">
              <w:rPr>
                <w:b w:val="0"/>
              </w:rPr>
              <w:t>–</w:t>
            </w:r>
            <w:r w:rsidR="008534E5" w:rsidRPr="00B66145">
              <w:rPr>
                <w:b w:val="0"/>
              </w:rPr>
              <w:t>children under 5 read to every day by a family member</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662F28"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8"/>
                <w:szCs w:val="28"/>
                <w:bdr w:val="single" w:sz="12" w:space="0" w:color="4BACC6" w:themeColor="accent5"/>
              </w:rPr>
              <w:t>69.6</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2B7846"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4"/>
              </w:rPr>
            </w:pPr>
            <w:r w:rsidRPr="00B66145">
              <w:rPr>
                <w:b w:val="0"/>
                <w:sz w:val="24"/>
              </w:rPr>
              <w:sym w:font="Wingdings" w:char="F0F2"/>
            </w:r>
            <w:r w:rsidRPr="00B66145">
              <w:rPr>
                <w:b w:val="0"/>
                <w:szCs w:val="20"/>
              </w:rPr>
              <w:t>4.7%</w:t>
            </w:r>
          </w:p>
        </w:tc>
        <w:tc>
          <w:tcPr>
            <w:tcW w:w="4310" w:type="dxa"/>
            <w:shd w:val="clear" w:color="auto" w:fill="auto"/>
          </w:tcPr>
          <w:p w:rsidR="00271C76" w:rsidRPr="00B66145" w:rsidRDefault="00F0072B"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Children in more advantaged socioeconomic areas were more likely to be read to every day than children in more disadvantaged areas.</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662F28" w:rsidP="00B66145">
            <w:pPr>
              <w:spacing w:after="0"/>
              <w:rPr>
                <w:b w:val="0"/>
              </w:rPr>
            </w:pPr>
            <w:r w:rsidRPr="00B66145">
              <w:rPr>
                <w:b w:val="0"/>
              </w:rPr>
              <w:t>Food insecurity – children from households reporting running out of food in the last 12 months</w:t>
            </w:r>
          </w:p>
        </w:tc>
        <w:tc>
          <w:tcPr>
            <w:tcW w:w="1306" w:type="dxa"/>
            <w:shd w:val="clear" w:color="auto" w:fill="auto"/>
          </w:tcPr>
          <w:p w:rsidR="002D526D" w:rsidRPr="00B66145" w:rsidRDefault="002D526D"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662F28"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66145">
              <w:rPr>
                <w:b w:val="0"/>
                <w:sz w:val="28"/>
                <w:szCs w:val="28"/>
                <w:bdr w:val="single" w:sz="12" w:space="0" w:color="4BACC6" w:themeColor="accent5"/>
              </w:rPr>
              <w:t>4.9</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6C2265"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sym w:font="Wingdings" w:char="F0F3"/>
            </w:r>
          </w:p>
        </w:tc>
        <w:tc>
          <w:tcPr>
            <w:tcW w:w="4310" w:type="dxa"/>
            <w:shd w:val="clear" w:color="auto" w:fill="auto"/>
          </w:tcPr>
          <w:p w:rsidR="00271C76" w:rsidRPr="00B66145" w:rsidRDefault="00A35366"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One parent families were far more likely than couple families to experience food insecurity.</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662F28" w:rsidP="00B66145">
            <w:pPr>
              <w:spacing w:after="0"/>
              <w:rPr>
                <w:b w:val="0"/>
              </w:rPr>
            </w:pPr>
            <w:r w:rsidRPr="00B66145">
              <w:rPr>
                <w:b w:val="0"/>
              </w:rPr>
              <w:t>Financial insecurity</w:t>
            </w:r>
            <w:r w:rsidR="00271C76" w:rsidRPr="00B66145">
              <w:rPr>
                <w:b w:val="0"/>
              </w:rPr>
              <w:t>–</w:t>
            </w:r>
            <w:r w:rsidRPr="00B66145">
              <w:rPr>
                <w:b w:val="0"/>
              </w:rPr>
              <w:t>children from households unable to raise $2000 in an emergency</w:t>
            </w:r>
          </w:p>
        </w:tc>
        <w:tc>
          <w:tcPr>
            <w:tcW w:w="1306" w:type="dxa"/>
            <w:shd w:val="clear" w:color="auto" w:fill="auto"/>
          </w:tcPr>
          <w:p w:rsidR="00271C76" w:rsidRPr="00B66145" w:rsidRDefault="00662F28"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66145">
              <w:rPr>
                <w:b w:val="0"/>
                <w:sz w:val="28"/>
                <w:szCs w:val="28"/>
                <w:bdr w:val="single" w:sz="12" w:space="0" w:color="4BACC6" w:themeColor="accent5"/>
              </w:rPr>
              <w:t>12.3</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271C76"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sym w:font="Wingdings" w:char="F0F1"/>
            </w:r>
            <w:r w:rsidRPr="00B66145">
              <w:rPr>
                <w:b w:val="0"/>
              </w:rPr>
              <w:t xml:space="preserve"> </w:t>
            </w:r>
            <w:r w:rsidR="006C2265" w:rsidRPr="00B66145">
              <w:rPr>
                <w:b w:val="0"/>
                <w:szCs w:val="20"/>
              </w:rPr>
              <w:t>0.8</w:t>
            </w:r>
            <w:r w:rsidRPr="00B66145">
              <w:rPr>
                <w:b w:val="0"/>
                <w:szCs w:val="20"/>
              </w:rPr>
              <w:t>%</w:t>
            </w:r>
          </w:p>
        </w:tc>
        <w:tc>
          <w:tcPr>
            <w:tcW w:w="4310" w:type="dxa"/>
            <w:shd w:val="clear" w:color="auto" w:fill="auto"/>
          </w:tcPr>
          <w:p w:rsidR="00271C76" w:rsidRPr="00B66145" w:rsidRDefault="00A35366"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One parent families were far more likely than couple families to experience financial insecurity.</w:t>
            </w:r>
          </w:p>
        </w:tc>
      </w:tr>
      <w:tr w:rsidR="00271C76" w:rsidTr="00274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rsidR="00271C76" w:rsidRPr="00B66145" w:rsidRDefault="00662F28" w:rsidP="00B66145">
            <w:pPr>
              <w:spacing w:after="0"/>
              <w:rPr>
                <w:b w:val="0"/>
              </w:rPr>
            </w:pPr>
            <w:r w:rsidRPr="00B66145">
              <w:rPr>
                <w:b w:val="0"/>
              </w:rPr>
              <w:t xml:space="preserve">Family functioning </w:t>
            </w:r>
            <w:r w:rsidR="00271C76" w:rsidRPr="00B66145">
              <w:rPr>
                <w:b w:val="0"/>
              </w:rPr>
              <w:t>–</w:t>
            </w:r>
            <w:r w:rsidRPr="00B66145">
              <w:rPr>
                <w:b w:val="0"/>
              </w:rPr>
              <w:t>children from families with unhealthy family functioning</w:t>
            </w:r>
          </w:p>
        </w:tc>
        <w:tc>
          <w:tcPr>
            <w:tcW w:w="1306" w:type="dxa"/>
            <w:shd w:val="clear" w:color="auto" w:fill="auto"/>
          </w:tcPr>
          <w:p w:rsidR="008B3438" w:rsidRPr="00B66145" w:rsidRDefault="008B3438"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p>
          <w:p w:rsidR="00271C76" w:rsidRPr="00B66145" w:rsidRDefault="00662F28" w:rsidP="00B66145">
            <w:pPr>
              <w:spacing w:after="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B66145">
              <w:rPr>
                <w:b w:val="0"/>
                <w:sz w:val="28"/>
                <w:szCs w:val="28"/>
                <w:bdr w:val="single" w:sz="12" w:space="0" w:color="4BACC6" w:themeColor="accent5"/>
              </w:rPr>
              <w:t>7.6</w:t>
            </w:r>
            <w:r w:rsidR="00271C76" w:rsidRPr="00B66145">
              <w:rPr>
                <w:b w:val="0"/>
                <w:sz w:val="28"/>
                <w:szCs w:val="28"/>
                <w:bdr w:val="single" w:sz="12" w:space="0" w:color="4BACC6" w:themeColor="accent5"/>
              </w:rPr>
              <w:t>%</w:t>
            </w:r>
          </w:p>
        </w:tc>
        <w:tc>
          <w:tcPr>
            <w:tcW w:w="1275" w:type="dxa"/>
            <w:shd w:val="clear" w:color="auto" w:fill="auto"/>
          </w:tcPr>
          <w:p w:rsidR="00271C76" w:rsidRPr="00B66145" w:rsidRDefault="006C2265" w:rsidP="00B66145">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B66145">
              <w:rPr>
                <w:b w:val="0"/>
                <w:sz w:val="24"/>
              </w:rPr>
              <w:sym w:font="Wingdings" w:char="F0F1"/>
            </w:r>
            <w:r w:rsidRPr="00B66145">
              <w:rPr>
                <w:b w:val="0"/>
              </w:rPr>
              <w:t xml:space="preserve"> </w:t>
            </w:r>
            <w:r w:rsidRPr="00B66145">
              <w:rPr>
                <w:b w:val="0"/>
                <w:szCs w:val="20"/>
              </w:rPr>
              <w:t>0.7%</w:t>
            </w:r>
          </w:p>
        </w:tc>
        <w:tc>
          <w:tcPr>
            <w:tcW w:w="4310" w:type="dxa"/>
            <w:shd w:val="clear" w:color="auto" w:fill="auto"/>
          </w:tcPr>
          <w:p w:rsidR="00271C76" w:rsidRPr="00B66145" w:rsidRDefault="00CF032E" w:rsidP="00B66145">
            <w:pPr>
              <w:spacing w:after="0"/>
              <w:cnfStyle w:val="100000000000" w:firstRow="1" w:lastRow="0" w:firstColumn="0" w:lastColumn="0" w:oddVBand="0" w:evenVBand="0" w:oddHBand="0" w:evenHBand="0" w:firstRowFirstColumn="0" w:firstRowLastColumn="0" w:lastRowFirstColumn="0" w:lastRowLastColumn="0"/>
              <w:rPr>
                <w:b w:val="0"/>
              </w:rPr>
            </w:pPr>
            <w:r w:rsidRPr="00B66145">
              <w:rPr>
                <w:b w:val="0"/>
              </w:rPr>
              <w:t>Children from one parent families and from areas of high socioeconomic disadvantage were more likely to be living in families with unhealthy functioning.</w:t>
            </w:r>
          </w:p>
        </w:tc>
      </w:tr>
    </w:tbl>
    <w:p w:rsidR="006A7146" w:rsidRDefault="00955665" w:rsidP="006A7146">
      <w:pPr>
        <w:pStyle w:val="Heading1"/>
      </w:pPr>
      <w:r>
        <w:br w:type="page"/>
      </w:r>
      <w:bookmarkStart w:id="12" w:name="_Toc420914121"/>
      <w:r w:rsidR="00A8049E">
        <w:lastRenderedPageBreak/>
        <w:t>Outcome: Optimal antenatal and infant development</w:t>
      </w:r>
      <w:bookmarkStart w:id="13" w:name="_Toc420914122"/>
      <w:bookmarkEnd w:id="12"/>
    </w:p>
    <w:p w:rsidR="00A8049E" w:rsidRPr="009B58D1" w:rsidRDefault="00A8049E" w:rsidP="006A7146">
      <w:pPr>
        <w:pStyle w:val="Heading2"/>
      </w:pPr>
      <w:r w:rsidRPr="009B58D1">
        <w:t>Prenatal health</w:t>
      </w:r>
      <w:bookmarkEnd w:id="13"/>
    </w:p>
    <w:p w:rsidR="00A8049E" w:rsidRDefault="00EA2FA1" w:rsidP="006A7146">
      <w:r>
        <w:t>A</w:t>
      </w:r>
      <w:r w:rsidR="009B58D1" w:rsidRPr="009B58D1">
        <w:t>round half</w:t>
      </w:r>
      <w:r w:rsidR="00A8049E" w:rsidRPr="009B58D1">
        <w:t xml:space="preserve"> of Victorian mothers (</w:t>
      </w:r>
      <w:r w:rsidR="00391409">
        <w:t>46.7</w:t>
      </w:r>
      <w:r w:rsidR="00452448">
        <w:t xml:space="preserve"> per cent</w:t>
      </w:r>
      <w:r w:rsidR="00391409">
        <w:t xml:space="preserve">) </w:t>
      </w:r>
      <w:r w:rsidR="00A8049E" w:rsidRPr="009B58D1">
        <w:t>recalled drinking alcohol at some point during pregnancy, however most had done so in moderation</w:t>
      </w:r>
      <w:r w:rsidR="00120B06">
        <w:t xml:space="preserve">. </w:t>
      </w:r>
      <w:r w:rsidR="009B58D1" w:rsidRPr="009B58D1">
        <w:t>This was a significant drop from 2009, where 59.8</w:t>
      </w:r>
      <w:r w:rsidR="00452448">
        <w:t xml:space="preserve"> per cent</w:t>
      </w:r>
      <w:r w:rsidR="009B58D1" w:rsidRPr="009B58D1">
        <w:t xml:space="preserve"> of mothers reported drinking alcohol during pregnancy.</w:t>
      </w:r>
      <w:r w:rsidR="00A0121C">
        <w:t xml:space="preserve"> Consumption of alcohol was</w:t>
      </w:r>
      <w:r w:rsidR="00A0121C" w:rsidRPr="00DA6A34">
        <w:t xml:space="preserve"> less common once wome</w:t>
      </w:r>
      <w:r w:rsidR="00A0121C">
        <w:t>n were aware of the pregnancy (see Figure 1).</w:t>
      </w:r>
    </w:p>
    <w:p w:rsidR="003C3888" w:rsidRPr="009B58D1" w:rsidRDefault="003C3888" w:rsidP="006A7146">
      <w:r>
        <w:t>Women from higher socioeconomic areas were more likely to drink in pregnancy (57.5 per cent in the least disadvantaged SEIFA quintile compared with 29.3 per cent in the most disadvantaged).</w:t>
      </w:r>
    </w:p>
    <w:p w:rsidR="00D31CFE" w:rsidRDefault="00A8049E" w:rsidP="006A7146">
      <w:r w:rsidRPr="00DA6A34">
        <w:t xml:space="preserve">The VCHWS also collected data on whether mothers had </w:t>
      </w:r>
      <w:r w:rsidR="00E14C41" w:rsidRPr="00DA6A34">
        <w:t>“</w:t>
      </w:r>
      <w:r w:rsidRPr="00DA6A34">
        <w:t>binged</w:t>
      </w:r>
      <w:r w:rsidR="00E14C41" w:rsidRPr="00DA6A34">
        <w:t>”</w:t>
      </w:r>
      <w:r w:rsidRPr="00DA6A34">
        <w:t xml:space="preserve"> </w:t>
      </w:r>
      <w:r w:rsidR="008E33E1" w:rsidRPr="00DA6A34">
        <w:t xml:space="preserve">(drinking more than 4 alcoholic drinks in one day) </w:t>
      </w:r>
      <w:r w:rsidRPr="00DA6A34">
        <w:t xml:space="preserve">on alcohol during pregnancy. </w:t>
      </w:r>
      <w:r w:rsidR="00DA6A34" w:rsidRPr="00DA6A34">
        <w:t>18.3</w:t>
      </w:r>
      <w:r w:rsidR="00452448">
        <w:t xml:space="preserve"> per cent</w:t>
      </w:r>
      <w:r w:rsidR="00DA6A34" w:rsidRPr="00DA6A34">
        <w:t xml:space="preserve"> </w:t>
      </w:r>
      <w:r w:rsidRPr="00DA6A34">
        <w:t xml:space="preserve">of mothers with infants aged under </w:t>
      </w:r>
      <w:r w:rsidR="008E33E1" w:rsidRPr="00DA6A34">
        <w:t xml:space="preserve">2 </w:t>
      </w:r>
      <w:r w:rsidRPr="00DA6A34">
        <w:t>years recalled binge drinking during their pregnancy. Women were most likely to have binged on alcohol early in their pregnancy, before aware</w:t>
      </w:r>
      <w:r w:rsidR="008E650E" w:rsidRPr="00DA6A34">
        <w:t>ness</w:t>
      </w:r>
      <w:r w:rsidRPr="00DA6A34">
        <w:t xml:space="preserve"> of the pregnancy. </w:t>
      </w:r>
    </w:p>
    <w:p w:rsidR="0000146A" w:rsidRPr="00DC5BFF" w:rsidRDefault="00D31CFE" w:rsidP="00DC5BFF">
      <w:pPr>
        <w:rPr>
          <w:b/>
        </w:rPr>
      </w:pPr>
      <w:r w:rsidRPr="00DC5BFF">
        <w:rPr>
          <w:b/>
        </w:rPr>
        <w:t xml:space="preserve">Figure 1: Proportion of Victorian mothers with infants under 2 years who recalled drinking alcohol during pregnancy, by stage of pregnancy, </w:t>
      </w:r>
      <w:r w:rsidR="002C2731" w:rsidRPr="00DC5BFF">
        <w:rPr>
          <w:b/>
        </w:rPr>
        <w:t xml:space="preserve">2009 and </w:t>
      </w:r>
      <w:r w:rsidRPr="00DC5BFF">
        <w:rPr>
          <w:b/>
        </w:rPr>
        <w:t>20</w:t>
      </w:r>
      <w:r w:rsidR="002C2731" w:rsidRPr="00DC5BFF">
        <w:rPr>
          <w:b/>
        </w:rPr>
        <w:t>13</w:t>
      </w:r>
    </w:p>
    <w:p w:rsidR="0000146A" w:rsidRDefault="006A7146" w:rsidP="00274E33">
      <w:pPr>
        <w:pStyle w:val="Body"/>
        <w:tabs>
          <w:tab w:val="left" w:pos="6379"/>
        </w:tabs>
        <w:rPr>
          <w:noProof/>
        </w:rPr>
      </w:pPr>
      <w:r>
        <w:rPr>
          <w:noProof/>
        </w:rPr>
        <w:drawing>
          <wp:inline distT="0" distB="0" distL="0" distR="0" wp14:anchorId="553B4672" wp14:editId="5E0A674B">
            <wp:extent cx="5163185" cy="2921000"/>
            <wp:effectExtent l="0" t="0" r="18415" b="12700"/>
            <wp:docPr id="3" name="Chart 1" descr="This chart describes the proportion of Victorian mothers with infants under 2 years who recalled drinking alcohol during pregnancy, by stage of pregnancy, 2009 and 20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1CFE" w:rsidRDefault="00D31CFE" w:rsidP="0056402F">
      <w:pPr>
        <w:pStyle w:val="Body"/>
      </w:pPr>
    </w:p>
    <w:p w:rsidR="00A8049E" w:rsidRDefault="00A8049E" w:rsidP="00DF22DA">
      <w:pPr>
        <w:pStyle w:val="Body"/>
      </w:pPr>
    </w:p>
    <w:p w:rsidR="00A8049E" w:rsidRPr="006A7146" w:rsidRDefault="00D31CFE" w:rsidP="006A7146">
      <w:pPr>
        <w:pStyle w:val="Heading1"/>
      </w:pPr>
      <w:r>
        <w:br w:type="page"/>
      </w:r>
      <w:bookmarkStart w:id="14" w:name="_Toc420914123"/>
      <w:r w:rsidR="00A8049E" w:rsidRPr="006A7146">
        <w:lastRenderedPageBreak/>
        <w:t>Outcome: Optimal physical health</w:t>
      </w:r>
      <w:bookmarkEnd w:id="14"/>
    </w:p>
    <w:p w:rsidR="00A8049E" w:rsidRPr="00493E45" w:rsidRDefault="00A8049E" w:rsidP="006A7146">
      <w:pPr>
        <w:pStyle w:val="Heading2"/>
      </w:pPr>
      <w:bookmarkStart w:id="15" w:name="_Toc420914124"/>
      <w:r w:rsidRPr="00493E45">
        <w:t>Proportion of children with ‘good health’</w:t>
      </w:r>
      <w:bookmarkEnd w:id="15"/>
    </w:p>
    <w:p w:rsidR="00A8049E" w:rsidRPr="00493E45" w:rsidRDefault="00A8049E" w:rsidP="006A7146">
      <w:r w:rsidRPr="00493E45">
        <w:t>Most Victorian children were reported to have ‘go</w:t>
      </w:r>
      <w:r w:rsidR="00FD3917" w:rsidRPr="00493E45">
        <w:t>od health’ or better in 2013 (97.9</w:t>
      </w:r>
      <w:r w:rsidR="00CA32C1">
        <w:t xml:space="preserve"> per cent</w:t>
      </w:r>
      <w:r w:rsidRPr="00493E45">
        <w:t>), similar to the 200</w:t>
      </w:r>
      <w:r w:rsidR="00FD3917" w:rsidRPr="00493E45">
        <w:t>9</w:t>
      </w:r>
      <w:r w:rsidRPr="00493E45">
        <w:t xml:space="preserve"> survey results (98.</w:t>
      </w:r>
      <w:r w:rsidR="00FD3917" w:rsidRPr="00493E45">
        <w:t>5</w:t>
      </w:r>
      <w:r w:rsidR="00452448">
        <w:t xml:space="preserve"> per cent</w:t>
      </w:r>
      <w:r w:rsidRPr="00493E45">
        <w:t>).</w:t>
      </w:r>
      <w:r w:rsidR="006C2265">
        <w:t xml:space="preserve"> </w:t>
      </w:r>
      <w:r w:rsidR="006C2265" w:rsidRPr="006C2265">
        <w:t>Parents of children listed on a Health Care Card were less l</w:t>
      </w:r>
      <w:r w:rsidR="006C2265">
        <w:t>ikely to rate their child</w:t>
      </w:r>
      <w:r w:rsidR="006C2265" w:rsidRPr="006C2265">
        <w:t>’s health as ‘good, very good or excellent’</w:t>
      </w:r>
      <w:r w:rsidR="006C2265">
        <w:t xml:space="preserve"> (95.3 per cent compared with 98.7 per cent for other children).</w:t>
      </w:r>
    </w:p>
    <w:p w:rsidR="00A8049E" w:rsidRPr="00493E45" w:rsidRDefault="00A8049E" w:rsidP="006A7146">
      <w:pPr>
        <w:pStyle w:val="Heading2"/>
      </w:pPr>
      <w:bookmarkStart w:id="16" w:name="_Toc420914125"/>
      <w:r w:rsidRPr="00493E45">
        <w:t>Asthma (</w:t>
      </w:r>
      <w:r w:rsidR="004C6CF8">
        <w:t xml:space="preserve">children aged </w:t>
      </w:r>
      <w:r w:rsidRPr="00493E45">
        <w:t>1 to 12 years)</w:t>
      </w:r>
      <w:bookmarkEnd w:id="16"/>
    </w:p>
    <w:p w:rsidR="00DF22DA" w:rsidRDefault="00391409" w:rsidP="006A7146">
      <w:r>
        <w:t>Around one in ten (</w:t>
      </w:r>
      <w:r w:rsidR="00493E45" w:rsidRPr="00493E45">
        <w:t>11.3</w:t>
      </w:r>
      <w:r w:rsidR="00452448">
        <w:t xml:space="preserve"> per cent</w:t>
      </w:r>
      <w:r>
        <w:t xml:space="preserve">) </w:t>
      </w:r>
      <w:r w:rsidR="00A8049E" w:rsidRPr="00493E45">
        <w:t>of children had current asthma (had ever been diagnosed with asthma by a doctor, and had experienced asthma symptoms or taken asthma medication in the past year), and of these, 67.</w:t>
      </w:r>
      <w:r w:rsidR="00493E45" w:rsidRPr="00493E45">
        <w:t>2</w:t>
      </w:r>
      <w:r w:rsidR="00452448">
        <w:t xml:space="preserve"> per cent</w:t>
      </w:r>
      <w:r w:rsidR="00A8049E" w:rsidRPr="00493E45">
        <w:t xml:space="preserve"> had an asthma action plan in place.</w:t>
      </w:r>
    </w:p>
    <w:p w:rsidR="006C2265" w:rsidRPr="00493E45" w:rsidRDefault="006C2265" w:rsidP="006A7146">
      <w:r w:rsidRPr="004664F7">
        <w:t xml:space="preserve">Boys were significantly more likely to have current asthma </w:t>
      </w:r>
      <w:r w:rsidR="004664F7" w:rsidRPr="004664F7">
        <w:t xml:space="preserve">(13.2 per cent) </w:t>
      </w:r>
      <w:r w:rsidRPr="004664F7">
        <w:t>than girls</w:t>
      </w:r>
      <w:r w:rsidR="004664F7" w:rsidRPr="004664F7">
        <w:t xml:space="preserve"> (9.4 per cent)</w:t>
      </w:r>
      <w:r w:rsidRPr="004664F7">
        <w:t>.</w:t>
      </w:r>
    </w:p>
    <w:p w:rsidR="00A8049E" w:rsidRDefault="00A8049E" w:rsidP="006A7146">
      <w:pPr>
        <w:pStyle w:val="Heading1"/>
      </w:pPr>
      <w:bookmarkStart w:id="17" w:name="_Toc420914126"/>
      <w:r>
        <w:t>Outcome: Healthy teeth and gums</w:t>
      </w:r>
      <w:bookmarkEnd w:id="17"/>
    </w:p>
    <w:p w:rsidR="00A8049E" w:rsidRPr="00FD3917" w:rsidRDefault="00A8049E" w:rsidP="006A7146">
      <w:pPr>
        <w:pStyle w:val="Heading2"/>
      </w:pPr>
      <w:bookmarkStart w:id="18" w:name="_Toc420914127"/>
      <w:r w:rsidRPr="00FD3917">
        <w:t>Oral health status (</w:t>
      </w:r>
      <w:r w:rsidR="004C6CF8">
        <w:t xml:space="preserve">children aged </w:t>
      </w:r>
      <w:r w:rsidRPr="00FD3917">
        <w:t>6 months to 12 years)</w:t>
      </w:r>
      <w:bookmarkEnd w:id="18"/>
    </w:p>
    <w:p w:rsidR="000B24A9" w:rsidRPr="00FD3917" w:rsidRDefault="00A8049E" w:rsidP="00EF629F">
      <w:r w:rsidRPr="00FD3917">
        <w:t xml:space="preserve">The majority of children </w:t>
      </w:r>
      <w:r w:rsidR="00391409">
        <w:t>(76.2</w:t>
      </w:r>
      <w:r w:rsidR="00452448">
        <w:t xml:space="preserve"> per cent</w:t>
      </w:r>
      <w:r w:rsidR="00391409">
        <w:t xml:space="preserve">) </w:t>
      </w:r>
      <w:r w:rsidRPr="00FD3917">
        <w:t>were reported to have excellent or very good oral health</w:t>
      </w:r>
      <w:r w:rsidR="000B24A9">
        <w:t>.</w:t>
      </w:r>
    </w:p>
    <w:p w:rsidR="00A8049E" w:rsidRPr="000B24A9" w:rsidRDefault="00E03D44" w:rsidP="00EF629F">
      <w:pPr>
        <w:pStyle w:val="ListParagraph"/>
        <w:numPr>
          <w:ilvl w:val="0"/>
          <w:numId w:val="26"/>
        </w:numPr>
      </w:pPr>
      <w:r w:rsidRPr="000B24A9">
        <w:t>19.5</w:t>
      </w:r>
      <w:r w:rsidR="00452448" w:rsidRPr="000B24A9">
        <w:t xml:space="preserve"> per cent</w:t>
      </w:r>
      <w:r w:rsidRPr="000B24A9">
        <w:t xml:space="preserve"> </w:t>
      </w:r>
      <w:r w:rsidR="00A8049E" w:rsidRPr="000B24A9">
        <w:t xml:space="preserve">children had a filling. </w:t>
      </w:r>
    </w:p>
    <w:p w:rsidR="00A8049E" w:rsidRPr="00FD3917" w:rsidRDefault="00FD3917" w:rsidP="00EF629F">
      <w:pPr>
        <w:pStyle w:val="ListParagraph"/>
        <w:numPr>
          <w:ilvl w:val="0"/>
          <w:numId w:val="26"/>
        </w:numPr>
      </w:pPr>
      <w:r w:rsidRPr="00FD3917">
        <w:t>8.2</w:t>
      </w:r>
      <w:r w:rsidR="00452448">
        <w:t xml:space="preserve"> per cent</w:t>
      </w:r>
      <w:r w:rsidRPr="00FD3917">
        <w:t xml:space="preserve"> </w:t>
      </w:r>
      <w:r w:rsidR="00A8049E" w:rsidRPr="00FD3917">
        <w:t xml:space="preserve">of children </w:t>
      </w:r>
      <w:r w:rsidR="00FB0F52" w:rsidRPr="00FD3917">
        <w:t xml:space="preserve">have </w:t>
      </w:r>
      <w:r w:rsidR="00A8049E" w:rsidRPr="00FD3917">
        <w:t>had a tooth extracted.</w:t>
      </w:r>
    </w:p>
    <w:p w:rsidR="00FD3917" w:rsidRPr="00FD3917" w:rsidRDefault="00A8049E" w:rsidP="00EF629F">
      <w:r w:rsidRPr="00FD3917">
        <w:t xml:space="preserve">Reports of children’s oral </w:t>
      </w:r>
      <w:r w:rsidR="00365A31">
        <w:t xml:space="preserve">health </w:t>
      </w:r>
      <w:r w:rsidRPr="00FD3917">
        <w:t>status did not differ from the 200</w:t>
      </w:r>
      <w:r w:rsidR="00FD3917" w:rsidRPr="00FD3917">
        <w:t>9</w:t>
      </w:r>
      <w:r w:rsidRPr="00FD3917">
        <w:t xml:space="preserve"> data.  As in 200</w:t>
      </w:r>
      <w:r w:rsidR="00FD3917" w:rsidRPr="00FD3917">
        <w:t>9</w:t>
      </w:r>
      <w:r w:rsidRPr="00FD3917">
        <w:t>, there was compelling eviden</w:t>
      </w:r>
      <w:r w:rsidR="000B24A9">
        <w:t>ce that children living in regional</w:t>
      </w:r>
      <w:r w:rsidRPr="00FD3917">
        <w:t xml:space="preserve"> Victoria were more likely to have experienced dental health problems</w:t>
      </w:r>
      <w:r w:rsidR="00365A31">
        <w:t>.</w:t>
      </w:r>
      <w:r w:rsidR="000B24A9">
        <w:t xml:space="preserve"> Significantly higher proportions of children in regional Victoria had had a filling (24.0 per cent compared with 17.9 per cent in metropolitan Victoria), and </w:t>
      </w:r>
      <w:r w:rsidR="00754ED3">
        <w:t>had had a tooth extracted due to a dental problem (11.3 per cent compared with 7.1 per cent).</w:t>
      </w:r>
    </w:p>
    <w:p w:rsidR="00A8049E" w:rsidRPr="00FD3917" w:rsidRDefault="00A8049E" w:rsidP="00EF629F">
      <w:r w:rsidRPr="00FD3917">
        <w:t>The disparity in the oral health st</w:t>
      </w:r>
      <w:r w:rsidR="000B24A9">
        <w:t>atus of children living in regional</w:t>
      </w:r>
      <w:r w:rsidRPr="00FD3917">
        <w:t xml:space="preserve"> and metropolitan areas of Victoria is likely to be explained </w:t>
      </w:r>
      <w:r w:rsidR="00FD1C90" w:rsidRPr="00FD3917">
        <w:t>(</w:t>
      </w:r>
      <w:r w:rsidRPr="00FD3917">
        <w:t>in part</w:t>
      </w:r>
      <w:r w:rsidR="00FD1C90" w:rsidRPr="00FD3917">
        <w:t>)</w:t>
      </w:r>
      <w:r w:rsidRPr="00FD3917">
        <w:t xml:space="preserve"> by access to fluoridated drinking water. </w:t>
      </w:r>
      <w:r w:rsidR="00FD1C90" w:rsidRPr="00FD3917">
        <w:t xml:space="preserve"> </w:t>
      </w:r>
    </w:p>
    <w:p w:rsidR="00A8049E" w:rsidRPr="00650F39" w:rsidRDefault="00A8049E" w:rsidP="006A7146">
      <w:pPr>
        <w:pStyle w:val="Heading2"/>
      </w:pPr>
      <w:bookmarkStart w:id="19" w:name="_Toc420914128"/>
      <w:r w:rsidRPr="00650F39">
        <w:t>Oral health behaviours</w:t>
      </w:r>
      <w:bookmarkEnd w:id="19"/>
    </w:p>
    <w:p w:rsidR="00A8049E" w:rsidRPr="00650F39" w:rsidRDefault="005463BE" w:rsidP="00EF629F">
      <w:r w:rsidRPr="00650F39">
        <w:t xml:space="preserve">As in 2009, </w:t>
      </w:r>
      <w:r w:rsidR="00E54488">
        <w:t>most</w:t>
      </w:r>
      <w:r w:rsidR="00A8049E" w:rsidRPr="00650F39">
        <w:t xml:space="preserve"> children aged </w:t>
      </w:r>
      <w:r w:rsidRPr="00650F39">
        <w:t>8</w:t>
      </w:r>
      <w:r w:rsidR="00A8049E" w:rsidRPr="00650F39">
        <w:t xml:space="preserve"> to 12 years were reported to brush their teeth at least twice a day</w:t>
      </w:r>
      <w:r w:rsidR="00E54488">
        <w:t xml:space="preserve"> (74.0</w:t>
      </w:r>
      <w:r w:rsidR="00452448">
        <w:t xml:space="preserve"> per cent</w:t>
      </w:r>
      <w:r w:rsidR="00E54488">
        <w:t xml:space="preserve"> in 2009, 70.7</w:t>
      </w:r>
      <w:r w:rsidR="00452448">
        <w:t xml:space="preserve"> per cent</w:t>
      </w:r>
      <w:r w:rsidR="00E54488">
        <w:t xml:space="preserve"> in 2013)</w:t>
      </w:r>
      <w:r w:rsidR="00A8049E" w:rsidRPr="00650F39">
        <w:t>.</w:t>
      </w:r>
    </w:p>
    <w:p w:rsidR="00A8049E" w:rsidRPr="00650F39" w:rsidRDefault="00A8049E" w:rsidP="00EF629F">
      <w:r w:rsidRPr="00650F39">
        <w:t>Parents with children aged under 8 years are advised to assist with tooth brushing as young children lack the manual dexterity to brush their teeth effectively</w:t>
      </w:r>
      <w:r w:rsidR="00A1188A">
        <w:t xml:space="preserve"> </w:t>
      </w:r>
      <w:r w:rsidRPr="00A1188A">
        <w:t>(</w:t>
      </w:r>
      <w:r w:rsidR="00A1188A">
        <w:t xml:space="preserve">Dental Health Services Victoria </w:t>
      </w:r>
      <w:r w:rsidR="00DC5BFF">
        <w:br/>
      </w:r>
      <w:hyperlink r:id="rId14" w:history="1">
        <w:r w:rsidR="00DC5BFF">
          <w:rPr>
            <w:rStyle w:val="Hyperlink"/>
          </w:rPr>
          <w:t>General Dental advice for Children</w:t>
        </w:r>
      </w:hyperlink>
      <w:r w:rsidRPr="00A1188A">
        <w:t>).</w:t>
      </w:r>
      <w:r w:rsidRPr="00650F39">
        <w:t xml:space="preserve"> </w:t>
      </w:r>
      <w:r w:rsidR="005A44E7" w:rsidRPr="00650F39">
        <w:t xml:space="preserve">Most parents reported assisting their child to brush their </w:t>
      </w:r>
      <w:r w:rsidR="00452448">
        <w:t xml:space="preserve">teeth either once a day (35.4 per cent) or twice a day or more (42.2 per cent). </w:t>
      </w:r>
      <w:r w:rsidRPr="00650F39">
        <w:t xml:space="preserve">Approximately one in </w:t>
      </w:r>
      <w:r w:rsidR="005A44E7" w:rsidRPr="00650F39">
        <w:t>eight</w:t>
      </w:r>
      <w:r w:rsidRPr="00650F39">
        <w:t xml:space="preserve"> children (</w:t>
      </w:r>
      <w:r w:rsidR="005A44E7" w:rsidRPr="00650F39">
        <w:t>13.4</w:t>
      </w:r>
      <w:r w:rsidR="00452448">
        <w:t xml:space="preserve"> per cent</w:t>
      </w:r>
      <w:r w:rsidR="005A44E7" w:rsidRPr="00650F39">
        <w:t xml:space="preserve">) </w:t>
      </w:r>
      <w:r w:rsidRPr="00650F39">
        <w:t>had a parent or carer who reported never assisting their child with tooth cleaning.</w:t>
      </w:r>
    </w:p>
    <w:p w:rsidR="00EF629F" w:rsidRDefault="00657DAD" w:rsidP="00657DAD">
      <w:pPr>
        <w:spacing w:after="0"/>
        <w:rPr>
          <w:b/>
          <w:color w:val="C00000"/>
          <w:spacing w:val="-9"/>
          <w:sz w:val="48"/>
          <w:szCs w:val="28"/>
          <w:lang w:eastAsia="en-AU"/>
        </w:rPr>
      </w:pPr>
      <w:bookmarkStart w:id="20" w:name="_Toc420914129"/>
      <w:r>
        <w:rPr>
          <w:noProof/>
          <w:lang w:eastAsia="en-AU"/>
        </w:rPr>
        <w:drawing>
          <wp:inline distT="0" distB="0" distL="0" distR="0">
            <wp:extent cx="3164142" cy="1913287"/>
            <wp:effectExtent l="0" t="0" r="0" b="0"/>
            <wp:docPr id="4" name="Picture 4" descr="boy brush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jpg"/>
                    <pic:cNvPicPr/>
                  </pic:nvPicPr>
                  <pic:blipFill rotWithShape="1">
                    <a:blip r:embed="rId15" cstate="print">
                      <a:extLst>
                        <a:ext uri="{28A0092B-C50C-407E-A947-70E740481C1C}">
                          <a14:useLocalDpi xmlns:a14="http://schemas.microsoft.com/office/drawing/2010/main" val="0"/>
                        </a:ext>
                      </a:extLst>
                    </a:blip>
                    <a:srcRect b="9338"/>
                    <a:stretch/>
                  </pic:blipFill>
                  <pic:spPr bwMode="auto">
                    <a:xfrm>
                      <a:off x="0" y="0"/>
                      <a:ext cx="3178149" cy="1921757"/>
                    </a:xfrm>
                    <a:prstGeom prst="rect">
                      <a:avLst/>
                    </a:prstGeom>
                    <a:ln>
                      <a:noFill/>
                    </a:ln>
                    <a:extLst>
                      <a:ext uri="{53640926-AAD7-44D8-BBD7-CCE9431645EC}">
                        <a14:shadowObscured xmlns:a14="http://schemas.microsoft.com/office/drawing/2010/main"/>
                      </a:ext>
                    </a:extLst>
                  </pic:spPr>
                </pic:pic>
              </a:graphicData>
            </a:graphic>
          </wp:inline>
        </w:drawing>
      </w:r>
      <w:r w:rsidR="00EF629F">
        <w:br w:type="page"/>
      </w:r>
    </w:p>
    <w:p w:rsidR="00A8049E" w:rsidRDefault="00A8049E" w:rsidP="006A7146">
      <w:pPr>
        <w:pStyle w:val="Heading1"/>
      </w:pPr>
      <w:r>
        <w:lastRenderedPageBreak/>
        <w:t>Outcome: Adequate exercise and physical activity</w:t>
      </w:r>
      <w:bookmarkEnd w:id="20"/>
    </w:p>
    <w:p w:rsidR="00A8049E" w:rsidRPr="00E51EAE" w:rsidRDefault="00A8049E" w:rsidP="006A7146">
      <w:pPr>
        <w:pStyle w:val="Heading2"/>
      </w:pPr>
      <w:bookmarkStart w:id="21" w:name="_Toc420914130"/>
      <w:r w:rsidRPr="00E51EAE">
        <w:t>Physical activity and inactivity</w:t>
      </w:r>
      <w:bookmarkEnd w:id="21"/>
    </w:p>
    <w:p w:rsidR="00E51EAE" w:rsidRPr="00E51EAE" w:rsidRDefault="00A8049E" w:rsidP="00EF629F">
      <w:r w:rsidRPr="00E51EAE">
        <w:t>In 20</w:t>
      </w:r>
      <w:r w:rsidR="00E51EAE" w:rsidRPr="00E51EAE">
        <w:t>13, 62.2</w:t>
      </w:r>
      <w:r w:rsidR="00452448">
        <w:t xml:space="preserve"> per cent</w:t>
      </w:r>
      <w:r w:rsidR="00E51EAE" w:rsidRPr="00E51EAE">
        <w:t xml:space="preserve"> </w:t>
      </w:r>
      <w:r w:rsidRPr="00E51EAE">
        <w:t xml:space="preserve">of children aged 5 to 12 years were reported to be physically active for at least 60 minutes </w:t>
      </w:r>
      <w:r w:rsidR="00EA2FA1" w:rsidRPr="00E51EAE">
        <w:t>every day</w:t>
      </w:r>
      <w:r w:rsidRPr="00E51EAE">
        <w:t xml:space="preserve">. </w:t>
      </w:r>
      <w:r w:rsidR="00E51EAE" w:rsidRPr="00E51EAE">
        <w:t>This proportion was similar in 2009</w:t>
      </w:r>
      <w:r w:rsidRPr="00E51EAE">
        <w:t xml:space="preserve"> </w:t>
      </w:r>
      <w:r w:rsidR="00C0184E">
        <w:t>(60.3</w:t>
      </w:r>
      <w:r w:rsidR="00452448">
        <w:t xml:space="preserve"> per cent)</w:t>
      </w:r>
    </w:p>
    <w:p w:rsidR="00A8049E" w:rsidRPr="00E51EAE" w:rsidRDefault="00A8049E" w:rsidP="00EF629F">
      <w:r w:rsidRPr="00E51EAE">
        <w:t>As in 200</w:t>
      </w:r>
      <w:r w:rsidR="00E51EAE" w:rsidRPr="00E51EAE">
        <w:t>9</w:t>
      </w:r>
      <w:r w:rsidRPr="00E51EAE">
        <w:t>, children living in rural Victoria were more likely to meet physical activity guidelines</w:t>
      </w:r>
      <w:r w:rsidR="003752C8" w:rsidRPr="00E51EAE">
        <w:t>, and t</w:t>
      </w:r>
      <w:r w:rsidRPr="00E51EAE">
        <w:t>here was again evidence of a drop in physical activity as children aged.</w:t>
      </w:r>
    </w:p>
    <w:p w:rsidR="00761407" w:rsidRPr="00E51EAE" w:rsidRDefault="00761407" w:rsidP="00EF629F">
      <w:r w:rsidRPr="00E51EAE">
        <w:t>Boys were also more likely to meet physical activity guidelines compared to girls.</w:t>
      </w:r>
    </w:p>
    <w:p w:rsidR="00A8049E" w:rsidRPr="00E51EAE" w:rsidRDefault="00A8049E" w:rsidP="00EF629F">
      <w:r w:rsidRPr="00E51EAE">
        <w:t>Inactivity was monitored by asking parents to report on their child’s use of electronic media (including screen time spent in front of computers, television, DVDs, etc). National guidelines recommend children should not exceed more than two hours with electronic media each day.</w:t>
      </w:r>
    </w:p>
    <w:p w:rsidR="00A8049E" w:rsidRPr="00E51EAE" w:rsidRDefault="00452448" w:rsidP="00EF629F">
      <w:r>
        <w:t xml:space="preserve">A minority of children (17.7 per cent) </w:t>
      </w:r>
      <w:r w:rsidR="00A8049E" w:rsidRPr="00E51EAE">
        <w:t>aged 5 to 12 years exceeded the recommended screen time</w:t>
      </w:r>
      <w:r w:rsidR="002B7846">
        <w:t xml:space="preserve">, similar to </w:t>
      </w:r>
      <w:r w:rsidR="008A5406" w:rsidRPr="00E51EAE">
        <w:t>t</w:t>
      </w:r>
      <w:r w:rsidR="00A8049E" w:rsidRPr="00E51EAE">
        <w:t xml:space="preserve">he proportion of children estimated to exceed the guidelines </w:t>
      </w:r>
      <w:r w:rsidR="002B7846">
        <w:t>in</w:t>
      </w:r>
      <w:r w:rsidR="00A8049E" w:rsidRPr="00E51EAE">
        <w:t xml:space="preserve"> 200</w:t>
      </w:r>
      <w:r w:rsidR="00E51EAE" w:rsidRPr="00E51EAE">
        <w:t>9</w:t>
      </w:r>
      <w:r w:rsidR="002B7846">
        <w:t xml:space="preserve"> (18.8 per cent)</w:t>
      </w:r>
      <w:r w:rsidR="00A8049E" w:rsidRPr="00E51EAE">
        <w:t>.</w:t>
      </w:r>
    </w:p>
    <w:p w:rsidR="00BB6B59" w:rsidRPr="00E51EAE" w:rsidRDefault="00A8049E" w:rsidP="00EF629F">
      <w:r w:rsidRPr="00E51EAE">
        <w:t>While boys were more likely to be meeting physical activity guidelines, they were also more likely to be exceeding two hours a day with electronic media</w:t>
      </w:r>
      <w:r w:rsidR="00BB6B59" w:rsidRPr="00E51EAE">
        <w:t xml:space="preserve"> (see Figure 2)</w:t>
      </w:r>
      <w:r w:rsidRPr="00E51EAE">
        <w:t xml:space="preserve">.  </w:t>
      </w:r>
    </w:p>
    <w:p w:rsidR="00BB6B59" w:rsidRPr="00DC5BFF" w:rsidRDefault="00BB6B59" w:rsidP="00DC5BFF">
      <w:pPr>
        <w:rPr>
          <w:b/>
        </w:rPr>
      </w:pPr>
      <w:r w:rsidRPr="00DC5BFF">
        <w:rPr>
          <w:b/>
        </w:rPr>
        <w:t xml:space="preserve">Figure 2: </w:t>
      </w:r>
      <w:r w:rsidR="00D42567" w:rsidRPr="00DC5BFF">
        <w:rPr>
          <w:b/>
        </w:rPr>
        <w:tab/>
      </w:r>
      <w:r w:rsidRPr="00DC5BFF">
        <w:rPr>
          <w:b/>
        </w:rPr>
        <w:t>Proportion of Victorian children aged 5 to 12 years meeting physical activity guidelines, and proportion exceeding e</w:t>
      </w:r>
      <w:r w:rsidR="00E54488" w:rsidRPr="00DC5BFF">
        <w:rPr>
          <w:b/>
        </w:rPr>
        <w:t>lectronic media guidelines, 2009 and 2013</w:t>
      </w:r>
    </w:p>
    <w:p w:rsidR="00BB6B59" w:rsidRDefault="006A7146" w:rsidP="00D42567">
      <w:r>
        <w:rPr>
          <w:noProof/>
          <w:lang w:eastAsia="en-AU"/>
        </w:rPr>
        <w:drawing>
          <wp:inline distT="0" distB="0" distL="0" distR="0" wp14:anchorId="1220C87B" wp14:editId="0EB7DDA5">
            <wp:extent cx="4302760" cy="2578735"/>
            <wp:effectExtent l="0" t="0" r="21590" b="12065"/>
            <wp:docPr id="2" name="Chart 1" descr="This chart shows the proportion of Victorian children aged 5 to 12 years meeting physical activity guidelines, and proportion exceeding electronic media guidelines, 2009 and 20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049E" w:rsidRPr="002D4149" w:rsidRDefault="00A8049E" w:rsidP="00EF629F">
      <w:r w:rsidRPr="002D4149">
        <w:t>The most common method of travelling to school was by car. On average</w:t>
      </w:r>
      <w:r w:rsidR="00D1193D">
        <w:t>,</w:t>
      </w:r>
      <w:r w:rsidRPr="002D4149">
        <w:t xml:space="preserve"> Victorian children made 6.</w:t>
      </w:r>
      <w:r w:rsidR="00E51EAE" w:rsidRPr="002D4149">
        <w:t>9</w:t>
      </w:r>
      <w:r w:rsidRPr="002D4149">
        <w:t xml:space="preserve"> trips to school by car (out of a possible 10 trips) in a usual week, compared to</w:t>
      </w:r>
      <w:r w:rsidR="00183444" w:rsidRPr="002D4149">
        <w:t xml:space="preserve"> just</w:t>
      </w:r>
      <w:r w:rsidRPr="002D4149">
        <w:t xml:space="preserve"> </w:t>
      </w:r>
      <w:r w:rsidR="007E66CB">
        <w:t>2.0</w:t>
      </w:r>
      <w:r w:rsidRPr="002D4149">
        <w:t xml:space="preserve"> trips on foot. For children living within 2km of their school, the car was still the predominant method o</w:t>
      </w:r>
      <w:bookmarkStart w:id="22" w:name="_GoBack"/>
      <w:bookmarkEnd w:id="22"/>
      <w:r w:rsidRPr="002D4149">
        <w:t xml:space="preserve">f transport. On average, these children made </w:t>
      </w:r>
      <w:r w:rsidR="003B383A">
        <w:t xml:space="preserve">6.0 </w:t>
      </w:r>
      <w:r w:rsidRPr="002D4149">
        <w:t>trips to school by car in a usual week</w:t>
      </w:r>
      <w:r w:rsidR="00966CC3" w:rsidRPr="002D4149">
        <w:t xml:space="preserve"> compared to </w:t>
      </w:r>
      <w:r w:rsidR="00183444" w:rsidRPr="002D4149">
        <w:t>3.</w:t>
      </w:r>
      <w:r w:rsidR="003B383A">
        <w:t>4</w:t>
      </w:r>
      <w:r w:rsidR="00966CC3" w:rsidRPr="002D4149">
        <w:t xml:space="preserve"> trips on foot.</w:t>
      </w:r>
      <w:r w:rsidRPr="002D4149">
        <w:t xml:space="preserve"> Trips to school made by bike or public transport were relatively uncommon.</w:t>
      </w:r>
    </w:p>
    <w:p w:rsidR="00274E33" w:rsidRDefault="00274E33">
      <w:pPr>
        <w:spacing w:after="0"/>
        <w:rPr>
          <w:b/>
          <w:color w:val="C00000"/>
          <w:spacing w:val="-9"/>
          <w:sz w:val="48"/>
          <w:szCs w:val="28"/>
          <w:lang w:eastAsia="en-AU"/>
        </w:rPr>
      </w:pPr>
      <w:bookmarkStart w:id="23" w:name="_Toc420914131"/>
      <w:r>
        <w:br w:type="page"/>
      </w:r>
    </w:p>
    <w:p w:rsidR="00A8049E" w:rsidRPr="00650F39" w:rsidRDefault="00A8049E" w:rsidP="006A7146">
      <w:pPr>
        <w:pStyle w:val="Heading1"/>
      </w:pPr>
      <w:r w:rsidRPr="00650F39">
        <w:lastRenderedPageBreak/>
        <w:t>Outcome: Adequate nutrition</w:t>
      </w:r>
      <w:bookmarkEnd w:id="23"/>
    </w:p>
    <w:p w:rsidR="00A8049E" w:rsidRPr="00650F39" w:rsidRDefault="00A8049E" w:rsidP="006A7146">
      <w:pPr>
        <w:pStyle w:val="Heading2"/>
      </w:pPr>
      <w:bookmarkStart w:id="24" w:name="_Toc420914132"/>
      <w:r w:rsidRPr="00650F39">
        <w:t>Fruit and vegetable intake</w:t>
      </w:r>
      <w:bookmarkEnd w:id="24"/>
    </w:p>
    <w:p w:rsidR="00212DF6" w:rsidRPr="00C36F28" w:rsidRDefault="00212DF6" w:rsidP="00EF629F">
      <w:pPr>
        <w:pStyle w:val="Heading3"/>
      </w:pPr>
      <w:bookmarkStart w:id="25" w:name="_Toc243215973"/>
      <w:bookmarkStart w:id="26" w:name="_Toc244584552"/>
      <w:bookmarkStart w:id="27" w:name="_Toc420064474"/>
      <w:bookmarkStart w:id="28" w:name="_Toc420308926"/>
      <w:bookmarkStart w:id="29" w:name="_Toc420914133"/>
      <w:r w:rsidRPr="00C36F28">
        <w:t>Fruit</w:t>
      </w:r>
      <w:bookmarkEnd w:id="25"/>
      <w:bookmarkEnd w:id="26"/>
      <w:bookmarkEnd w:id="27"/>
      <w:bookmarkEnd w:id="28"/>
      <w:bookmarkEnd w:id="29"/>
    </w:p>
    <w:p w:rsidR="00313480" w:rsidRDefault="00926DF4" w:rsidP="00EF629F">
      <w:r w:rsidRPr="00C36F28">
        <w:t>In 2013</w:t>
      </w:r>
      <w:r w:rsidR="00A8049E" w:rsidRPr="00C36F28">
        <w:t xml:space="preserve">, the majority of Victorian children </w:t>
      </w:r>
      <w:r w:rsidRPr="00C36F28">
        <w:t>(</w:t>
      </w:r>
      <w:r w:rsidR="006171EC">
        <w:t>73.2</w:t>
      </w:r>
      <w:r w:rsidR="00452448">
        <w:t xml:space="preserve"> per cent</w:t>
      </w:r>
      <w:r w:rsidR="00841C7E">
        <w:t xml:space="preserve">) </w:t>
      </w:r>
      <w:r w:rsidR="00A8049E" w:rsidRPr="00C36F28">
        <w:t xml:space="preserve">aged 4 to 12 years met the national recommendations for the minimum daily intake of fruit (excluding fruit juice). </w:t>
      </w:r>
      <w:r w:rsidR="00841C7E">
        <w:t>Younger children were more likely to meet the recommended intake (77.4</w:t>
      </w:r>
      <w:r w:rsidR="00452448">
        <w:t xml:space="preserve"> per cent</w:t>
      </w:r>
      <w:r w:rsidR="00841C7E">
        <w:t xml:space="preserve"> of children aged 4 to 8 years, compared with 67.5</w:t>
      </w:r>
      <w:r w:rsidR="00452448">
        <w:t xml:space="preserve"> per cent</w:t>
      </w:r>
      <w:r w:rsidR="00841C7E">
        <w:t xml:space="preserve"> of children aged 9 to 12 years</w:t>
      </w:r>
      <w:r w:rsidR="004C578D">
        <w:t>)</w:t>
      </w:r>
      <w:r w:rsidR="00841C7E">
        <w:t>.</w:t>
      </w:r>
    </w:p>
    <w:p w:rsidR="00841C7E" w:rsidRDefault="00841C7E" w:rsidP="00EF629F">
      <w:r>
        <w:t>Children living in regional Victoria were more likely to consume adequate serves of fruit (76.2</w:t>
      </w:r>
      <w:r w:rsidR="00452448">
        <w:t xml:space="preserve"> per cent</w:t>
      </w:r>
      <w:r>
        <w:t>) compared with children in Metropolitan areas (72.0</w:t>
      </w:r>
      <w:r w:rsidR="00452448">
        <w:t xml:space="preserve"> per cent</w:t>
      </w:r>
      <w:r>
        <w:t>). Children listed on a health care card were less likely to consume the recommended amount of fruit (</w:t>
      </w:r>
      <w:r w:rsidR="004C578D">
        <w:t>69.6</w:t>
      </w:r>
      <w:r w:rsidR="00452448">
        <w:t xml:space="preserve"> per cent</w:t>
      </w:r>
      <w:r w:rsidR="004C578D">
        <w:t>) compared with other children (74.5</w:t>
      </w:r>
      <w:r w:rsidR="00452448">
        <w:t xml:space="preserve"> per cent</w:t>
      </w:r>
      <w:r w:rsidR="004C578D">
        <w:t>).</w:t>
      </w:r>
    </w:p>
    <w:p w:rsidR="004C578D" w:rsidRPr="00C36F28" w:rsidRDefault="004C578D" w:rsidP="00EF629F">
      <w:r>
        <w:t>National Health and Medical Research Council (NHMRC) guidelines for fruit consumption changed in 2013, so the data are not comparable for 2009.</w:t>
      </w:r>
    </w:p>
    <w:p w:rsidR="000942D2" w:rsidRPr="008045DF" w:rsidRDefault="000942D2" w:rsidP="00EF629F">
      <w:pPr>
        <w:pStyle w:val="Heading3"/>
      </w:pPr>
      <w:bookmarkStart w:id="30" w:name="_Toc243215974"/>
      <w:bookmarkStart w:id="31" w:name="_Toc244584553"/>
      <w:bookmarkStart w:id="32" w:name="_Toc420064475"/>
      <w:bookmarkStart w:id="33" w:name="_Toc420308927"/>
      <w:bookmarkStart w:id="34" w:name="_Toc420914134"/>
      <w:r w:rsidRPr="008045DF">
        <w:t>Vegetables</w:t>
      </w:r>
      <w:bookmarkEnd w:id="30"/>
      <w:bookmarkEnd w:id="31"/>
      <w:bookmarkEnd w:id="32"/>
      <w:bookmarkEnd w:id="33"/>
      <w:bookmarkEnd w:id="34"/>
    </w:p>
    <w:p w:rsidR="004C578D" w:rsidRPr="004C578D" w:rsidRDefault="004C578D" w:rsidP="00EF629F">
      <w:r w:rsidRPr="004C578D">
        <w:t xml:space="preserve">Only a small proportion of children </w:t>
      </w:r>
      <w:r>
        <w:t xml:space="preserve">aged 4 to 12 years </w:t>
      </w:r>
      <w:r w:rsidRPr="004C578D">
        <w:t>met the national recommendations for minimum daily intake of vegetables in 2013 (2.9</w:t>
      </w:r>
      <w:r w:rsidR="00CA32C1">
        <w:t xml:space="preserve"> per cent</w:t>
      </w:r>
      <w:r w:rsidRPr="004C578D">
        <w:t>)</w:t>
      </w:r>
      <w:r>
        <w:t>, which range from 4.5 to 5.5 serves of vegetables or legumes per day depending on age and gender</w:t>
      </w:r>
      <w:r w:rsidRPr="004C578D">
        <w:t>.</w:t>
      </w:r>
    </w:p>
    <w:p w:rsidR="00657DAD" w:rsidRPr="00657DAD" w:rsidRDefault="004C578D" w:rsidP="00657DAD">
      <w:pPr>
        <w:rPr>
          <w:b/>
        </w:rPr>
      </w:pPr>
      <w:r>
        <w:t>National Health and Medical Research Council (NHMRC) guidelines for vegetable consumption changed in 2013, so the data are not comparable for 2009.</w:t>
      </w:r>
      <w:bookmarkStart w:id="35" w:name="_Toc420914135"/>
      <w:r w:rsidR="00657DAD">
        <w:rPr>
          <w:noProof/>
          <w:lang w:eastAsia="en-AU"/>
        </w:rPr>
        <w:drawing>
          <wp:inline distT="0" distB="0" distL="0" distR="0" wp14:anchorId="7F4AD509" wp14:editId="74DBA890">
            <wp:extent cx="3442687" cy="2162175"/>
            <wp:effectExtent l="0" t="0" r="5715" b="0"/>
            <wp:docPr id="5" name="Picture 5" descr="fruit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2687" cy="2162175"/>
                    </a:xfrm>
                    <a:prstGeom prst="rect">
                      <a:avLst/>
                    </a:prstGeom>
                  </pic:spPr>
                </pic:pic>
              </a:graphicData>
            </a:graphic>
          </wp:inline>
        </w:drawing>
      </w:r>
    </w:p>
    <w:p w:rsidR="00A8049E" w:rsidRDefault="00A8049E" w:rsidP="006A7146">
      <w:pPr>
        <w:pStyle w:val="Heading1"/>
      </w:pPr>
      <w:r>
        <w:t>Outcome: Healthy adult lifestyle</w:t>
      </w:r>
      <w:bookmarkEnd w:id="35"/>
    </w:p>
    <w:p w:rsidR="00A8049E" w:rsidRPr="00A036C1" w:rsidRDefault="00A8049E" w:rsidP="006A7146">
      <w:pPr>
        <w:pStyle w:val="Heading2"/>
      </w:pPr>
      <w:bookmarkStart w:id="36" w:name="_Toc420914136"/>
      <w:r w:rsidRPr="00A036C1">
        <w:t>Exposure to tobacco smoke</w:t>
      </w:r>
      <w:bookmarkEnd w:id="36"/>
    </w:p>
    <w:p w:rsidR="00A8049E" w:rsidRPr="00A036C1" w:rsidRDefault="00A8049E" w:rsidP="00EF629F">
      <w:r w:rsidRPr="00A036C1">
        <w:t xml:space="preserve">The majority of Victorian children live in smoke free households. </w:t>
      </w:r>
    </w:p>
    <w:p w:rsidR="00A8049E" w:rsidRPr="00A036C1" w:rsidRDefault="00A8049E" w:rsidP="00EF629F">
      <w:r w:rsidRPr="00A036C1">
        <w:t xml:space="preserve">In </w:t>
      </w:r>
      <w:r w:rsidR="00A036C1" w:rsidRPr="00A036C1">
        <w:t>2013, 81.5</w:t>
      </w:r>
      <w:r w:rsidR="00452448">
        <w:t xml:space="preserve"> per cent</w:t>
      </w:r>
      <w:r w:rsidR="00A036C1" w:rsidRPr="00A036C1">
        <w:t xml:space="preserve"> </w:t>
      </w:r>
      <w:r w:rsidRPr="00A036C1">
        <w:t>children aged under 13 years were reported to live in a smoke free household (a household where no adult was reported to be a smoker). This compared favourably to the 200</w:t>
      </w:r>
      <w:r w:rsidR="00A036C1" w:rsidRPr="00A036C1">
        <w:t>9</w:t>
      </w:r>
      <w:r w:rsidRPr="00A036C1">
        <w:t xml:space="preserve"> data, when </w:t>
      </w:r>
      <w:r w:rsidR="00A036C1" w:rsidRPr="00A036C1">
        <w:t>74.8</w:t>
      </w:r>
      <w:r w:rsidR="00452448">
        <w:t xml:space="preserve"> per cent</w:t>
      </w:r>
      <w:r w:rsidR="00A036C1" w:rsidRPr="00A036C1">
        <w:t xml:space="preserve"> </w:t>
      </w:r>
      <w:r w:rsidRPr="00A036C1">
        <w:t xml:space="preserve">of children were reported to live in smoke free households. </w:t>
      </w:r>
    </w:p>
    <w:p w:rsidR="00A8049E" w:rsidRPr="00A036C1" w:rsidRDefault="00A036C1" w:rsidP="00EF629F">
      <w:r w:rsidRPr="00A036C1">
        <w:t>In both the 2009</w:t>
      </w:r>
      <w:r w:rsidR="00A8049E" w:rsidRPr="00A036C1">
        <w:t xml:space="preserve"> and 20</w:t>
      </w:r>
      <w:r w:rsidRPr="00A036C1">
        <w:t>13</w:t>
      </w:r>
      <w:r w:rsidR="00A8049E" w:rsidRPr="00A036C1">
        <w:t xml:space="preserve"> surveys, children living in rural Victoria and ch</w:t>
      </w:r>
      <w:r w:rsidR="00837F32">
        <w:t>ildren listed as dependents on Health Care C</w:t>
      </w:r>
      <w:r w:rsidR="00A8049E" w:rsidRPr="00A036C1">
        <w:t xml:space="preserve">ards were more likely to live with a smoker. </w:t>
      </w:r>
    </w:p>
    <w:p w:rsidR="00A8049E" w:rsidRPr="005B299E" w:rsidRDefault="00A8049E" w:rsidP="00EF629F">
      <w:r w:rsidRPr="005B299E">
        <w:t xml:space="preserve">Among those children who did not live in smoke free households, </w:t>
      </w:r>
      <w:r w:rsidR="005B299E" w:rsidRPr="005B299E">
        <w:t>93.0</w:t>
      </w:r>
      <w:r w:rsidR="00452448">
        <w:t xml:space="preserve"> per cent</w:t>
      </w:r>
      <w:r w:rsidR="005B299E" w:rsidRPr="005B299E">
        <w:t xml:space="preserve"> </w:t>
      </w:r>
      <w:r w:rsidRPr="005B299E">
        <w:t>lived with a smoker (or smokers) who reported always smoking outside the home. In 200</w:t>
      </w:r>
      <w:r w:rsidR="005B299E" w:rsidRPr="005B299E">
        <w:t>9</w:t>
      </w:r>
      <w:r w:rsidRPr="005B299E">
        <w:t>, the proportion of children who lived with smokers who always reported smoking outside was lower</w:t>
      </w:r>
      <w:r w:rsidR="00391409">
        <w:t xml:space="preserve"> (</w:t>
      </w:r>
      <w:r w:rsidR="005B299E" w:rsidRPr="005B299E">
        <w:t>85.8</w:t>
      </w:r>
      <w:r w:rsidR="00452448">
        <w:t xml:space="preserve"> per cent</w:t>
      </w:r>
      <w:r w:rsidR="00391409">
        <w:t>).</w:t>
      </w:r>
    </w:p>
    <w:p w:rsidR="00A8049E" w:rsidRDefault="0009627B" w:rsidP="006A7146">
      <w:pPr>
        <w:pStyle w:val="Heading1"/>
      </w:pPr>
      <w:r>
        <w:br w:type="page"/>
      </w:r>
      <w:bookmarkStart w:id="37" w:name="_Toc420914137"/>
      <w:r w:rsidR="00A8049E">
        <w:lastRenderedPageBreak/>
        <w:t>Outcome: Parent promotion of child health and development</w:t>
      </w:r>
      <w:bookmarkEnd w:id="37"/>
    </w:p>
    <w:p w:rsidR="00A8049E" w:rsidRPr="00CB40F7" w:rsidRDefault="00A8049E" w:rsidP="006A7146">
      <w:pPr>
        <w:pStyle w:val="Heading2"/>
      </w:pPr>
      <w:bookmarkStart w:id="38" w:name="_Toc420914138"/>
      <w:r w:rsidRPr="00CB40F7">
        <w:t>Reading to children</w:t>
      </w:r>
      <w:bookmarkEnd w:id="38"/>
    </w:p>
    <w:p w:rsidR="00A8049E" w:rsidRPr="00CB51A6" w:rsidRDefault="00A8049E" w:rsidP="00EF629F">
      <w:r w:rsidRPr="00CB51A6">
        <w:t xml:space="preserve">In </w:t>
      </w:r>
      <w:r w:rsidR="00CB51A6" w:rsidRPr="00CB51A6">
        <w:t>2013, 46.4</w:t>
      </w:r>
      <w:r w:rsidR="00452448">
        <w:t xml:space="preserve"> per cent</w:t>
      </w:r>
      <w:r w:rsidR="00CB51A6" w:rsidRPr="00CB51A6">
        <w:t xml:space="preserve"> of </w:t>
      </w:r>
      <w:r w:rsidRPr="00CB51A6">
        <w:t xml:space="preserve">children aged from 6 months to 12 years were being read to on a daily basis by a family member. This was </w:t>
      </w:r>
      <w:r w:rsidR="00CB51A6" w:rsidRPr="00CB51A6">
        <w:t>similar to the proportion of</w:t>
      </w:r>
      <w:r w:rsidRPr="00CB51A6">
        <w:t xml:space="preserve"> children who were read to on </w:t>
      </w:r>
      <w:r w:rsidR="002A6823" w:rsidRPr="00CB51A6">
        <w:t xml:space="preserve">a </w:t>
      </w:r>
      <w:r w:rsidRPr="00CB51A6">
        <w:t>daily basis in 200</w:t>
      </w:r>
      <w:r w:rsidR="00452448">
        <w:t>9 (48.3 per cent).</w:t>
      </w:r>
    </w:p>
    <w:p w:rsidR="00A7777C" w:rsidRDefault="00A8049E" w:rsidP="00EF629F">
      <w:r w:rsidRPr="00CB51A6">
        <w:t xml:space="preserve">Not surprisingly, preschool </w:t>
      </w:r>
      <w:r w:rsidR="00837F32">
        <w:t xml:space="preserve">aged </w:t>
      </w:r>
      <w:r w:rsidRPr="00CB51A6">
        <w:t xml:space="preserve">children were most likely to be read to by </w:t>
      </w:r>
      <w:r w:rsidR="00024682" w:rsidRPr="00CB51A6">
        <w:t xml:space="preserve">a </w:t>
      </w:r>
      <w:r w:rsidRPr="00CB51A6">
        <w:t xml:space="preserve">family member.  </w:t>
      </w:r>
      <w:r w:rsidR="00A7777C">
        <w:t>Over two thirds (</w:t>
      </w:r>
      <w:r w:rsidR="000939B0" w:rsidRPr="00CB51A6">
        <w:t>69.6</w:t>
      </w:r>
      <w:r w:rsidR="00A7777C">
        <w:t>)</w:t>
      </w:r>
      <w:r w:rsidR="00452448">
        <w:t xml:space="preserve"> per cent </w:t>
      </w:r>
      <w:r w:rsidRPr="00CB51A6">
        <w:t xml:space="preserve">of children aged </w:t>
      </w:r>
      <w:r w:rsidR="000939B0" w:rsidRPr="00CB51A6">
        <w:t>under 5</w:t>
      </w:r>
      <w:r w:rsidRPr="00CB51A6">
        <w:t xml:space="preserve"> years were read to on a daily </w:t>
      </w:r>
      <w:r w:rsidR="000939B0" w:rsidRPr="00CB51A6">
        <w:t>basis in 2013</w:t>
      </w:r>
      <w:r w:rsidR="00A7777C">
        <w:t>, representing a slight drop from 2009 (74.3</w:t>
      </w:r>
      <w:r w:rsidR="00CA32C1">
        <w:t xml:space="preserve"> per cent</w:t>
      </w:r>
      <w:r w:rsidR="00A7777C">
        <w:t xml:space="preserve">). </w:t>
      </w:r>
      <w:r w:rsidR="00837F32">
        <w:t>Preschool aged children from areas of low socioeconomic disadvantage were significantly more likely to be read to every day (77.9 per cent in SEIFA quintile 5) compared with children from areas of high socioeconomic disadvantage (61.2 per cent in SEIFA quintile 1).</w:t>
      </w:r>
    </w:p>
    <w:p w:rsidR="00A8049E" w:rsidRPr="00CB51A6" w:rsidRDefault="000B0EAE" w:rsidP="00EF629F">
      <w:r>
        <w:t xml:space="preserve">While only around half of parents read to children aged 6 to 11 months </w:t>
      </w:r>
      <w:r w:rsidR="00A7777C">
        <w:t xml:space="preserve">in 2013 </w:t>
      </w:r>
      <w:r>
        <w:t>(47.6 per cent), this proportion rose sharply to 69.1 per cent for 1 year olds. Reading to children peaked at 75.4 per cent for 2 year olds (see Figure 3), then declined slightly though the preschool years, followed by a steep drop as children move through school.</w:t>
      </w:r>
    </w:p>
    <w:p w:rsidR="00A8049E" w:rsidRPr="00E9133A" w:rsidRDefault="00A8049E" w:rsidP="00EF629F">
      <w:r w:rsidRPr="00E9133A">
        <w:t>On average, children aged 5 to 12 years of age read to themselves f</w:t>
      </w:r>
      <w:r w:rsidR="00E9133A" w:rsidRPr="00E9133A">
        <w:t>or pleasure for an estimated 4.3</w:t>
      </w:r>
      <w:r w:rsidRPr="00E9133A">
        <w:t xml:space="preserve"> hours a week.</w:t>
      </w:r>
    </w:p>
    <w:p w:rsidR="00B50CFD" w:rsidRDefault="000C5CC9" w:rsidP="00EF629F">
      <w:pPr>
        <w:pStyle w:val="Heading3"/>
      </w:pPr>
      <w:r>
        <w:t>Figure 3</w:t>
      </w:r>
      <w:r w:rsidRPr="00BB6B59">
        <w:t xml:space="preserve">: </w:t>
      </w:r>
      <w:r>
        <w:tab/>
      </w:r>
      <w:r w:rsidRPr="00BB6B59">
        <w:t xml:space="preserve">Proportion of Victorian children </w:t>
      </w:r>
      <w:r>
        <w:t>read to every day by a family member, by age, 2013</w:t>
      </w:r>
      <w:r w:rsidR="006A7146">
        <w:rPr>
          <w:noProof/>
        </w:rPr>
        <w:drawing>
          <wp:inline distT="0" distB="0" distL="0" distR="0" wp14:anchorId="79933F2E" wp14:editId="20EBD3C1">
            <wp:extent cx="5444490" cy="3858895"/>
            <wp:effectExtent l="0" t="0" r="3810" b="8255"/>
            <wp:docPr id="6" name="Picture 5" descr="This chart shows the proportion of Victorian children read to every day by a family member, by ag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4490" cy="3858895"/>
                    </a:xfrm>
                    <a:prstGeom prst="rect">
                      <a:avLst/>
                    </a:prstGeom>
                    <a:noFill/>
                  </pic:spPr>
                </pic:pic>
              </a:graphicData>
            </a:graphic>
          </wp:inline>
        </w:drawing>
      </w:r>
    </w:p>
    <w:p w:rsidR="00A8049E" w:rsidRDefault="00635DF3" w:rsidP="006A7146">
      <w:pPr>
        <w:pStyle w:val="Heading1"/>
      </w:pPr>
      <w:r>
        <w:br w:type="page"/>
      </w:r>
      <w:bookmarkStart w:id="39" w:name="_Toc420914140"/>
      <w:r w:rsidR="00A8049E">
        <w:lastRenderedPageBreak/>
        <w:t>Outcome: Ability to pay for family essentials</w:t>
      </w:r>
      <w:bookmarkEnd w:id="39"/>
    </w:p>
    <w:p w:rsidR="00A8049E" w:rsidRPr="00081EE4" w:rsidRDefault="00A8049E" w:rsidP="006A7146">
      <w:pPr>
        <w:pStyle w:val="Heading2"/>
      </w:pPr>
      <w:bookmarkStart w:id="40" w:name="_Toc420914141"/>
      <w:r w:rsidRPr="00081EE4">
        <w:t>Finances</w:t>
      </w:r>
      <w:bookmarkEnd w:id="40"/>
    </w:p>
    <w:p w:rsidR="00247B54" w:rsidRDefault="00A8049E" w:rsidP="00EF629F">
      <w:r w:rsidRPr="00081EE4">
        <w:t>Appr</w:t>
      </w:r>
      <w:r w:rsidR="00452448">
        <w:t xml:space="preserve">oximately one in twenty (4.9 per cent) </w:t>
      </w:r>
      <w:r w:rsidRPr="00081EE4">
        <w:t>children aged 0 to 12 came from a household where the main carer reported that there had been a time in the last 12 months when they had run out of food and had not been able to afford to buy more</w:t>
      </w:r>
      <w:r w:rsidR="00D71CA4" w:rsidRPr="00081EE4">
        <w:t xml:space="preserve"> (ie</w:t>
      </w:r>
      <w:r w:rsidR="00B50CFD">
        <w:t>.</w:t>
      </w:r>
      <w:r w:rsidR="00D71CA4" w:rsidRPr="00081EE4">
        <w:t xml:space="preserve"> ‘food insecure’ households)</w:t>
      </w:r>
      <w:r w:rsidRPr="00081EE4">
        <w:t xml:space="preserve">. </w:t>
      </w:r>
      <w:r w:rsidR="00247B54">
        <w:t>One parent families were far more likely to experience food insecurity (18.7 per cent compared with 3.5 per cent of couple families).</w:t>
      </w:r>
    </w:p>
    <w:p w:rsidR="00A8049E" w:rsidRPr="00081EE4" w:rsidRDefault="00A8049E" w:rsidP="00EF629F">
      <w:r w:rsidRPr="00081EE4">
        <w:t>As in 200</w:t>
      </w:r>
      <w:r w:rsidR="00104658" w:rsidRPr="00081EE4">
        <w:t>9</w:t>
      </w:r>
      <w:r w:rsidRPr="00081EE4">
        <w:t>, the most common sources of support reported for families who had run out of food were relatives (</w:t>
      </w:r>
      <w:r w:rsidR="00104658" w:rsidRPr="00081EE4">
        <w:t>32</w:t>
      </w:r>
      <w:r w:rsidRPr="00081EE4">
        <w:t>.</w:t>
      </w:r>
      <w:r w:rsidR="00104658" w:rsidRPr="00081EE4">
        <w:t>3</w:t>
      </w:r>
      <w:r w:rsidR="00452448">
        <w:t xml:space="preserve"> per cent</w:t>
      </w:r>
      <w:r w:rsidRPr="00081EE4">
        <w:t>), welfare ag</w:t>
      </w:r>
      <w:r w:rsidR="00104658" w:rsidRPr="00081EE4">
        <w:t>encies (2</w:t>
      </w:r>
      <w:r w:rsidR="00081EE4" w:rsidRPr="00081EE4">
        <w:t>2</w:t>
      </w:r>
      <w:r w:rsidR="00104658" w:rsidRPr="00081EE4">
        <w:t>.</w:t>
      </w:r>
      <w:r w:rsidR="00081EE4" w:rsidRPr="00081EE4">
        <w:t>3</w:t>
      </w:r>
      <w:r w:rsidR="00452448">
        <w:t xml:space="preserve"> per cent</w:t>
      </w:r>
      <w:r w:rsidR="00104658" w:rsidRPr="00081EE4">
        <w:t>) and friends (10.9</w:t>
      </w:r>
      <w:r w:rsidR="00452448">
        <w:t xml:space="preserve"> per cent</w:t>
      </w:r>
      <w:r w:rsidRPr="00081EE4">
        <w:t xml:space="preserve">).  </w:t>
      </w:r>
    </w:p>
    <w:p w:rsidR="00A8049E" w:rsidRPr="00081EE4" w:rsidRDefault="00081EE4" w:rsidP="00EF629F">
      <w:pPr>
        <w:pStyle w:val="ListParagraph"/>
        <w:numPr>
          <w:ilvl w:val="0"/>
          <w:numId w:val="27"/>
        </w:numPr>
      </w:pPr>
      <w:r w:rsidRPr="00081EE4">
        <w:t>17.5</w:t>
      </w:r>
      <w:r w:rsidR="00452448">
        <w:t xml:space="preserve"> per cent</w:t>
      </w:r>
      <w:r w:rsidR="00A8049E" w:rsidRPr="00081EE4">
        <w:t xml:space="preserve"> of children from food insecure households had a main carer who reported skipping a meal when food had run out.</w:t>
      </w:r>
    </w:p>
    <w:p w:rsidR="00A8049E" w:rsidRPr="00081EE4" w:rsidRDefault="00A8049E" w:rsidP="00EF629F">
      <w:pPr>
        <w:pStyle w:val="ListParagraph"/>
        <w:numPr>
          <w:ilvl w:val="0"/>
          <w:numId w:val="27"/>
        </w:numPr>
      </w:pPr>
      <w:r w:rsidRPr="00081EE4">
        <w:t>12.</w:t>
      </w:r>
      <w:r w:rsidR="00081EE4" w:rsidRPr="00081EE4">
        <w:t>3</w:t>
      </w:r>
      <w:r w:rsidR="00452448">
        <w:t xml:space="preserve"> per cent</w:t>
      </w:r>
      <w:r w:rsidRPr="00081EE4">
        <w:t xml:space="preserve"> of children were from households where the main carer reported that they would not be able to raise $2000 in an emergency </w:t>
      </w:r>
      <w:r w:rsidR="001926D1" w:rsidRPr="00081EE4">
        <w:t xml:space="preserve">- </w:t>
      </w:r>
      <w:r w:rsidRPr="00081EE4">
        <w:t>a similar proportion to 200</w:t>
      </w:r>
      <w:r w:rsidR="00081EE4" w:rsidRPr="00081EE4">
        <w:t>9</w:t>
      </w:r>
      <w:r w:rsidRPr="00081EE4">
        <w:t>.</w:t>
      </w:r>
    </w:p>
    <w:p w:rsidR="00A8049E" w:rsidRPr="00081EE4" w:rsidRDefault="00A8049E" w:rsidP="00EF629F">
      <w:r w:rsidRPr="00081EE4">
        <w:t>As in 200</w:t>
      </w:r>
      <w:r w:rsidR="00081EE4" w:rsidRPr="00081EE4">
        <w:t>9</w:t>
      </w:r>
      <w:r w:rsidR="001052D8" w:rsidRPr="00081EE4">
        <w:t>,</w:t>
      </w:r>
      <w:r w:rsidRPr="00081EE4">
        <w:t xml:space="preserve"> </w:t>
      </w:r>
      <w:r w:rsidR="00CF032E">
        <w:t>one parent families</w:t>
      </w:r>
      <w:r w:rsidRPr="00081EE4">
        <w:t xml:space="preserve"> were less likely to report financial security.  3</w:t>
      </w:r>
      <w:r w:rsidR="00081EE4" w:rsidRPr="00081EE4">
        <w:t>2</w:t>
      </w:r>
      <w:r w:rsidRPr="00081EE4">
        <w:t>.</w:t>
      </w:r>
      <w:r w:rsidR="00081EE4" w:rsidRPr="00081EE4">
        <w:t>5</w:t>
      </w:r>
      <w:r w:rsidR="00452448">
        <w:t xml:space="preserve"> per cent </w:t>
      </w:r>
      <w:r w:rsidRPr="00081EE4">
        <w:t xml:space="preserve">of </w:t>
      </w:r>
      <w:r w:rsidR="00CF032E">
        <w:t xml:space="preserve">one parent families </w:t>
      </w:r>
      <w:r w:rsidRPr="00081EE4">
        <w:t xml:space="preserve">reported that they would not be able to raise $2000 in an emergency compared to </w:t>
      </w:r>
      <w:r w:rsidR="00452448">
        <w:t xml:space="preserve">10.2 per cent </w:t>
      </w:r>
      <w:r w:rsidR="00081EE4" w:rsidRPr="00081EE4">
        <w:t>of co</w:t>
      </w:r>
      <w:r w:rsidR="00CF032E">
        <w:t>uple families</w:t>
      </w:r>
      <w:r w:rsidR="00452448">
        <w:t xml:space="preserve">. Similarly, 18.7 per cent </w:t>
      </w:r>
      <w:r w:rsidRPr="00081EE4">
        <w:t xml:space="preserve">of </w:t>
      </w:r>
      <w:r w:rsidR="00CF032E">
        <w:t>one parent families</w:t>
      </w:r>
      <w:r w:rsidRPr="00081EE4">
        <w:t xml:space="preserve"> reported that their household had run out of food in the previous 12 months compared to 3.</w:t>
      </w:r>
      <w:r w:rsidR="00081EE4" w:rsidRPr="00081EE4">
        <w:t>5</w:t>
      </w:r>
      <w:r w:rsidR="00452448">
        <w:t xml:space="preserve"> per cent</w:t>
      </w:r>
      <w:r w:rsidR="00081EE4" w:rsidRPr="00081EE4">
        <w:t xml:space="preserve"> </w:t>
      </w:r>
      <w:r w:rsidR="00CF032E">
        <w:t xml:space="preserve">of couple </w:t>
      </w:r>
      <w:r w:rsidR="00932134">
        <w:t>families</w:t>
      </w:r>
      <w:r w:rsidRPr="00081EE4">
        <w:t>.</w:t>
      </w:r>
    </w:p>
    <w:p w:rsidR="00657DAD" w:rsidRDefault="00657DAD" w:rsidP="00657DAD">
      <w:bookmarkStart w:id="41" w:name="_Toc420914142"/>
      <w:r>
        <w:rPr>
          <w:noProof/>
          <w:lang w:eastAsia="en-AU"/>
        </w:rPr>
        <w:drawing>
          <wp:inline distT="0" distB="0" distL="0" distR="0">
            <wp:extent cx="3143250" cy="2096428"/>
            <wp:effectExtent l="0" t="0" r="0" b="0"/>
            <wp:docPr id="7" name="Picture 7" descr="Couple working out fin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3250" cy="2096428"/>
                    </a:xfrm>
                    <a:prstGeom prst="rect">
                      <a:avLst/>
                    </a:prstGeom>
                  </pic:spPr>
                </pic:pic>
              </a:graphicData>
            </a:graphic>
          </wp:inline>
        </w:drawing>
      </w:r>
    </w:p>
    <w:p w:rsidR="00A8049E" w:rsidRDefault="00A8049E" w:rsidP="006A7146">
      <w:pPr>
        <w:pStyle w:val="Heading1"/>
      </w:pPr>
      <w:r>
        <w:t>Outcome: Positive family functioning</w:t>
      </w:r>
      <w:bookmarkEnd w:id="41"/>
    </w:p>
    <w:p w:rsidR="00A8049E" w:rsidRPr="00E03D44" w:rsidRDefault="00A8049E" w:rsidP="006A7146">
      <w:pPr>
        <w:pStyle w:val="Heading2"/>
      </w:pPr>
      <w:bookmarkStart w:id="42" w:name="_Toc420914143"/>
      <w:r w:rsidRPr="00E03D44">
        <w:t>Social and emotional health</w:t>
      </w:r>
      <w:bookmarkEnd w:id="42"/>
    </w:p>
    <w:p w:rsidR="00A8049E" w:rsidRPr="00E03D44" w:rsidRDefault="00A8049E" w:rsidP="00EF629F">
      <w:r w:rsidRPr="00E03D44">
        <w:t>Family functioning was assessed using the General Functioning Scale of the McMast</w:t>
      </w:r>
      <w:r w:rsidR="00994CEB" w:rsidRPr="00E03D44">
        <w:t>er Family Assessment Device. 7.6</w:t>
      </w:r>
      <w:r w:rsidR="00452448">
        <w:t xml:space="preserve"> per cent</w:t>
      </w:r>
      <w:r w:rsidR="00994CEB" w:rsidRPr="00E03D44">
        <w:t xml:space="preserve"> </w:t>
      </w:r>
      <w:r w:rsidRPr="00E03D44">
        <w:t xml:space="preserve">of Victorian children were from families classified as having unhealthy family functioning. </w:t>
      </w:r>
      <w:r w:rsidR="00C90644" w:rsidRPr="00E03D44">
        <w:t>However, t</w:t>
      </w:r>
      <w:r w:rsidR="00A35E37" w:rsidRPr="00E03D44">
        <w:t>h</w:t>
      </w:r>
      <w:r w:rsidR="007D078B" w:rsidRPr="00E03D44">
        <w:t>e</w:t>
      </w:r>
      <w:r w:rsidR="00A35E37" w:rsidRPr="00E03D44">
        <w:t xml:space="preserve"> result </w:t>
      </w:r>
      <w:r w:rsidR="007D078B" w:rsidRPr="00E03D44">
        <w:t>was</w:t>
      </w:r>
      <w:r w:rsidRPr="00E03D44">
        <w:t xml:space="preserve"> n</w:t>
      </w:r>
      <w:r w:rsidR="00DE4831" w:rsidRPr="00E03D44">
        <w:t xml:space="preserve">ot significantly </w:t>
      </w:r>
      <w:r w:rsidRPr="00E03D44">
        <w:t>different to 200</w:t>
      </w:r>
      <w:r w:rsidR="00994CEB" w:rsidRPr="00E03D44">
        <w:t>9</w:t>
      </w:r>
      <w:r w:rsidRPr="00E03D44">
        <w:t xml:space="preserve">, where </w:t>
      </w:r>
      <w:r w:rsidR="00994CEB" w:rsidRPr="00E03D44">
        <w:t>6.9</w:t>
      </w:r>
      <w:r w:rsidR="00452448">
        <w:t xml:space="preserve"> per cent</w:t>
      </w:r>
      <w:r w:rsidR="00994CEB" w:rsidRPr="00E03D44">
        <w:t xml:space="preserve"> </w:t>
      </w:r>
      <w:r w:rsidRPr="00E03D44">
        <w:t>of children were estimated to come from families with unhealthy family functioning.</w:t>
      </w:r>
      <w:r w:rsidR="00CF032E">
        <w:t xml:space="preserve"> Children from areas of high socioeconomic disadvantage were significantly more likely to live in families with unhealthy family functioning (11.1 per cent in SEIFA quintile 1) compared with children from areas of low socioeconomic disadvantage (6.3 per cent i</w:t>
      </w:r>
      <w:r w:rsidR="00657DAD">
        <w:t>n SEIFA quintile 5). One parent</w:t>
      </w:r>
      <w:r w:rsidR="00CF032E">
        <w:t xml:space="preserve"> families were also much more likely to show unhealthy functioning (17.9 per cent) compared with couple families (6.6 per cent).</w:t>
      </w:r>
      <w:r w:rsidRPr="00E03D44">
        <w:t xml:space="preserve"> </w:t>
      </w:r>
    </w:p>
    <w:p w:rsidR="00A8049E" w:rsidRPr="00E03D44" w:rsidRDefault="00A8049E" w:rsidP="00EF629F">
      <w:r w:rsidRPr="00E03D44">
        <w:t>Within the VCHWS, the child’s main carer was invited to complete the Kessler 6, a tool to identify adults at risk of mental health problems. In the 20</w:t>
      </w:r>
      <w:r w:rsidR="00994CEB" w:rsidRPr="00E03D44">
        <w:t>1</w:t>
      </w:r>
      <w:r w:rsidR="00493E45">
        <w:t>3</w:t>
      </w:r>
      <w:r w:rsidRPr="00E03D44">
        <w:t xml:space="preserve"> survey, a small minority </w:t>
      </w:r>
      <w:r w:rsidR="00452448">
        <w:t>(</w:t>
      </w:r>
      <w:r w:rsidR="00994CEB" w:rsidRPr="00E03D44">
        <w:t>3.1</w:t>
      </w:r>
      <w:r w:rsidR="00452448">
        <w:t xml:space="preserve"> per cent) </w:t>
      </w:r>
      <w:r w:rsidRPr="00E03D44">
        <w:t xml:space="preserve">of children had parents who were classified as being at risk of mental health problems. There was no evidence to suggest that the proportion of parents identified as being at risk of mental health </w:t>
      </w:r>
      <w:r w:rsidR="00EE3197" w:rsidRPr="00E03D44">
        <w:t>problems was any different to</w:t>
      </w:r>
      <w:r w:rsidRPr="00E03D44">
        <w:t xml:space="preserve"> 200</w:t>
      </w:r>
      <w:r w:rsidR="00994CEB" w:rsidRPr="00E03D44">
        <w:t>9</w:t>
      </w:r>
      <w:r w:rsidRPr="00E03D44">
        <w:t xml:space="preserve">, when </w:t>
      </w:r>
      <w:r w:rsidR="00994CEB" w:rsidRPr="00E03D44">
        <w:t>3.7</w:t>
      </w:r>
      <w:r w:rsidR="00452448">
        <w:t xml:space="preserve"> per cent</w:t>
      </w:r>
      <w:r w:rsidR="00994CEB" w:rsidRPr="00E03D44">
        <w:t xml:space="preserve">, </w:t>
      </w:r>
      <w:r w:rsidRPr="00E03D44">
        <w:t xml:space="preserve">of children had a main carer at risk of experiencing mental health difficulties. </w:t>
      </w:r>
    </w:p>
    <w:sectPr w:rsidR="00A8049E" w:rsidRPr="00E03D44" w:rsidSect="00A64F3E">
      <w:headerReference w:type="even" r:id="rId20"/>
      <w:headerReference w:type="default" r:id="rId21"/>
      <w:footerReference w:type="even" r:id="rId22"/>
      <w:footerReference w:type="default" r:id="rId23"/>
      <w:headerReference w:type="first" r:id="rId24"/>
      <w:pgSz w:w="11900" w:h="16840"/>
      <w:pgMar w:top="1440" w:right="1440" w:bottom="1440" w:left="1440" w:header="709" w:footer="65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4DC" w:rsidRDefault="009454DC">
      <w:r>
        <w:separator/>
      </w:r>
    </w:p>
  </w:endnote>
  <w:endnote w:type="continuationSeparator" w:id="0">
    <w:p w:rsidR="009454DC" w:rsidRDefault="0094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DC" w:rsidRDefault="009454DC">
    <w:pPr>
      <w:pStyle w:val="HeaderFooter"/>
      <w:rPr>
        <w:rFonts w:ascii="Times New Roman" w:eastAsia="Times New Roman" w:hAnsi="Times New Roman"/>
        <w:color w:val="auto"/>
        <w:sz w:val="20"/>
        <w:lang w:val="en-AU"/>
      </w:rPr>
    </w:pPr>
    <w:r>
      <w:fldChar w:fldCharType="begin"/>
    </w:r>
    <w:r>
      <w:instrText xml:space="preserve"> PAGE </w:instrText>
    </w:r>
    <w:r>
      <w:fldChar w:fldCharType="separate"/>
    </w:r>
    <w:r w:rsidR="003B383A">
      <w:rPr>
        <w:noProof/>
      </w:rPr>
      <w:t>1</w:t>
    </w:r>
    <w:r>
      <w:fldChar w:fldCharType="end"/>
    </w: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DC" w:rsidRPr="00C36A92" w:rsidRDefault="009454DC" w:rsidP="00AC0073">
    <w:pPr>
      <w:pStyle w:val="Footer"/>
      <w:tabs>
        <w:tab w:val="clear" w:pos="4153"/>
        <w:tab w:val="clear" w:pos="8306"/>
        <w:tab w:val="right" w:pos="8647"/>
      </w:tabs>
      <w:jc w:val="both"/>
      <w:rPr>
        <w:color w:val="00477D"/>
        <w:sz w:val="16"/>
        <w:szCs w:val="16"/>
      </w:rPr>
    </w:pPr>
    <w:r w:rsidRPr="00C36A92">
      <w:rPr>
        <w:color w:val="00477D"/>
        <w:sz w:val="18"/>
        <w:szCs w:val="18"/>
      </w:rPr>
      <w:t>Summary findings from the 2013 VCHWS</w:t>
    </w:r>
    <w:r>
      <w:rPr>
        <w:sz w:val="16"/>
        <w:szCs w:val="16"/>
      </w:rPr>
      <w:tab/>
    </w:r>
    <w:r w:rsidRPr="00C36A92">
      <w:rPr>
        <w:color w:val="00477D"/>
        <w:sz w:val="16"/>
        <w:szCs w:val="16"/>
      </w:rPr>
      <w:fldChar w:fldCharType="begin"/>
    </w:r>
    <w:r w:rsidRPr="00C36A92">
      <w:rPr>
        <w:color w:val="00477D"/>
        <w:sz w:val="16"/>
        <w:szCs w:val="16"/>
      </w:rPr>
      <w:instrText xml:space="preserve"> PAGE </w:instrText>
    </w:r>
    <w:r w:rsidRPr="00C36A92">
      <w:rPr>
        <w:color w:val="00477D"/>
        <w:sz w:val="16"/>
        <w:szCs w:val="16"/>
      </w:rPr>
      <w:fldChar w:fldCharType="separate"/>
    </w:r>
    <w:r w:rsidR="003B383A">
      <w:rPr>
        <w:noProof/>
        <w:color w:val="00477D"/>
        <w:sz w:val="16"/>
        <w:szCs w:val="16"/>
      </w:rPr>
      <w:t>10</w:t>
    </w:r>
    <w:r w:rsidRPr="00C36A92">
      <w:rPr>
        <w:color w:val="00477D"/>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DC" w:rsidRPr="007A4C56" w:rsidRDefault="009454DC" w:rsidP="00AC0073">
    <w:pPr>
      <w:pStyle w:val="Footer"/>
      <w:tabs>
        <w:tab w:val="clear" w:pos="4153"/>
        <w:tab w:val="clear" w:pos="8306"/>
        <w:tab w:val="right" w:pos="8581"/>
      </w:tabs>
      <w:rPr>
        <w:sz w:val="16"/>
        <w:szCs w:val="16"/>
      </w:rPr>
    </w:pPr>
    <w:r>
      <w:rPr>
        <w:sz w:val="16"/>
        <w:szCs w:val="16"/>
      </w:rPr>
      <w:t>Summary findings from the 2013 VCHWS</w:t>
    </w:r>
    <w:r>
      <w:rPr>
        <w:sz w:val="16"/>
        <w:szCs w:val="16"/>
      </w:rPr>
      <w:tab/>
    </w:r>
    <w:r w:rsidRPr="00B03F5A">
      <w:rPr>
        <w:sz w:val="16"/>
        <w:szCs w:val="16"/>
      </w:rPr>
      <w:fldChar w:fldCharType="begin"/>
    </w:r>
    <w:r w:rsidRPr="00B03F5A">
      <w:rPr>
        <w:sz w:val="16"/>
        <w:szCs w:val="16"/>
      </w:rPr>
      <w:instrText xml:space="preserve"> PAGE </w:instrText>
    </w:r>
    <w:r w:rsidRPr="00B03F5A">
      <w:rPr>
        <w:sz w:val="16"/>
        <w:szCs w:val="16"/>
      </w:rPr>
      <w:fldChar w:fldCharType="separate"/>
    </w:r>
    <w:r w:rsidR="003B383A">
      <w:rPr>
        <w:noProof/>
        <w:sz w:val="16"/>
        <w:szCs w:val="16"/>
      </w:rPr>
      <w:t>9</w:t>
    </w:r>
    <w:r w:rsidRPr="00B03F5A">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4DC" w:rsidRDefault="009454DC">
      <w:r>
        <w:separator/>
      </w:r>
    </w:p>
  </w:footnote>
  <w:footnote w:type="continuationSeparator" w:id="0">
    <w:p w:rsidR="009454DC" w:rsidRDefault="009454DC">
      <w:r>
        <w:continuationSeparator/>
      </w:r>
    </w:p>
  </w:footnote>
  <w:footnote w:id="1">
    <w:p w:rsidR="009454DC" w:rsidRPr="00A36147" w:rsidRDefault="009454DC">
      <w:pPr>
        <w:pStyle w:val="FootnoteText"/>
        <w:rPr>
          <w:rFonts w:ascii="Arial" w:hAnsi="Arial" w:cs="Arial"/>
          <w:sz w:val="18"/>
          <w:szCs w:val="18"/>
        </w:rPr>
      </w:pPr>
      <w:r w:rsidRPr="00A36147">
        <w:rPr>
          <w:rStyle w:val="FootnoteReference"/>
          <w:rFonts w:ascii="Arial" w:hAnsi="Arial" w:cs="Arial"/>
          <w:sz w:val="18"/>
          <w:szCs w:val="18"/>
        </w:rPr>
        <w:footnoteRef/>
      </w:r>
      <w:r w:rsidRPr="00A36147">
        <w:rPr>
          <w:rFonts w:ascii="Arial" w:hAnsi="Arial" w:cs="Arial"/>
          <w:sz w:val="18"/>
          <w:szCs w:val="18"/>
        </w:rPr>
        <w:t xml:space="preserve"> </w:t>
      </w:r>
      <w:hyperlink r:id="rId1" w:history="1">
        <w:r>
          <w:rPr>
            <w:rStyle w:val="Hyperlink"/>
            <w:rFonts w:ascii="Arial" w:hAnsi="Arial" w:cs="Arial"/>
            <w:sz w:val="18"/>
            <w:szCs w:val="18"/>
          </w:rPr>
          <w:t>DHS Area Maps</w:t>
        </w:r>
      </w:hyperlink>
    </w:p>
    <w:p w:rsidR="009454DC" w:rsidRDefault="009454D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DC" w:rsidRDefault="009454DC" w:rsidP="00B66145">
    <w:pPr>
      <w:pStyle w:val="Header"/>
    </w:pPr>
    <w:r>
      <w:rPr>
        <w:noProof/>
        <w:lang w:eastAsia="en-AU"/>
      </w:rPr>
      <w:drawing>
        <wp:inline distT="0" distB="0" distL="0" distR="0" wp14:anchorId="795DC953" wp14:editId="1E016120">
          <wp:extent cx="1857375" cy="400050"/>
          <wp:effectExtent l="0" t="0" r="0" b="0"/>
          <wp:docPr id="21" name="Picture 4" descr="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DC" w:rsidRDefault="009454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DC" w:rsidRDefault="009454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4DC" w:rsidRDefault="009454DC">
    <w:pPr>
      <w:pStyle w:val="Header"/>
    </w:pP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styleLink w:val="Bullet"/>
    <w:lvl w:ilvl="0">
      <w:start w:val="1"/>
      <w:numFmt w:val="bullet"/>
      <w:lvlText w:val="•"/>
      <w:lvlJc w:val="left"/>
      <w:pPr>
        <w:tabs>
          <w:tab w:val="num" w:pos="180"/>
        </w:tabs>
        <w:ind w:left="0" w:firstLine="0"/>
      </w:pPr>
      <w:rPr>
        <w:rFonts w:ascii="Arial" w:hAnsi="Arial"/>
        <w:position w:val="-2"/>
        <w:sz w:val="20"/>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3"/>
    <w:numStyleLink w:val="Bullet"/>
  </w:abstractNum>
  <w:abstractNum w:abstractNumId="2">
    <w:nsid w:val="098F6B94"/>
    <w:multiLevelType w:val="hybridMultilevel"/>
    <w:tmpl w:val="F9D029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E2D15F7"/>
    <w:multiLevelType w:val="hybridMultilevel"/>
    <w:tmpl w:val="A6E0637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F393214"/>
    <w:multiLevelType w:val="hybridMultilevel"/>
    <w:tmpl w:val="A78886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3DA5319"/>
    <w:multiLevelType w:val="multilevel"/>
    <w:tmpl w:val="B0D68FAE"/>
    <w:lvl w:ilvl="0">
      <w:start w:val="1"/>
      <w:numFmt w:val="bullet"/>
      <w:pStyle w:val="subbullet"/>
      <w:lvlText w:val="o"/>
      <w:lvlJc w:val="left"/>
      <w:pPr>
        <w:tabs>
          <w:tab w:val="num" w:pos="951"/>
        </w:tabs>
        <w:ind w:left="951" w:hanging="360"/>
      </w:pPr>
      <w:rPr>
        <w:rFonts w:ascii="Courier New" w:hAnsi="Courier New" w:cs="Courier New" w:hint="default"/>
        <w:position w:val="-2"/>
      </w:rPr>
    </w:lvl>
    <w:lvl w:ilvl="1">
      <w:start w:val="1"/>
      <w:numFmt w:val="bullet"/>
      <w:lvlText w:val="•"/>
      <w:lvlJc w:val="left"/>
      <w:pPr>
        <w:tabs>
          <w:tab w:val="num" w:pos="591"/>
        </w:tabs>
        <w:ind w:left="591" w:firstLine="360"/>
      </w:pPr>
      <w:rPr>
        <w:rFonts w:hint="default"/>
        <w:position w:val="-2"/>
      </w:rPr>
    </w:lvl>
    <w:lvl w:ilvl="2">
      <w:start w:val="1"/>
      <w:numFmt w:val="bullet"/>
      <w:lvlText w:val="•"/>
      <w:lvlJc w:val="left"/>
      <w:pPr>
        <w:tabs>
          <w:tab w:val="num" w:pos="591"/>
        </w:tabs>
        <w:ind w:left="591" w:firstLine="720"/>
      </w:pPr>
      <w:rPr>
        <w:rFonts w:hint="default"/>
        <w:position w:val="-2"/>
      </w:rPr>
    </w:lvl>
    <w:lvl w:ilvl="3">
      <w:start w:val="1"/>
      <w:numFmt w:val="bullet"/>
      <w:lvlText w:val="•"/>
      <w:lvlJc w:val="left"/>
      <w:pPr>
        <w:tabs>
          <w:tab w:val="num" w:pos="591"/>
        </w:tabs>
        <w:ind w:left="591" w:firstLine="1080"/>
      </w:pPr>
      <w:rPr>
        <w:rFonts w:hint="default"/>
        <w:position w:val="-2"/>
      </w:rPr>
    </w:lvl>
    <w:lvl w:ilvl="4">
      <w:start w:val="1"/>
      <w:numFmt w:val="bullet"/>
      <w:lvlText w:val="•"/>
      <w:lvlJc w:val="left"/>
      <w:pPr>
        <w:tabs>
          <w:tab w:val="num" w:pos="591"/>
        </w:tabs>
        <w:ind w:left="591" w:firstLine="1440"/>
      </w:pPr>
      <w:rPr>
        <w:rFonts w:hint="default"/>
        <w:position w:val="-2"/>
      </w:rPr>
    </w:lvl>
    <w:lvl w:ilvl="5">
      <w:start w:val="1"/>
      <w:numFmt w:val="bullet"/>
      <w:lvlText w:val="•"/>
      <w:lvlJc w:val="left"/>
      <w:pPr>
        <w:tabs>
          <w:tab w:val="num" w:pos="591"/>
        </w:tabs>
        <w:ind w:left="591" w:firstLine="1800"/>
      </w:pPr>
      <w:rPr>
        <w:rFonts w:hint="default"/>
        <w:position w:val="-2"/>
      </w:rPr>
    </w:lvl>
    <w:lvl w:ilvl="6">
      <w:start w:val="1"/>
      <w:numFmt w:val="bullet"/>
      <w:lvlText w:val="•"/>
      <w:lvlJc w:val="left"/>
      <w:pPr>
        <w:tabs>
          <w:tab w:val="num" w:pos="591"/>
        </w:tabs>
        <w:ind w:left="591" w:firstLine="2160"/>
      </w:pPr>
      <w:rPr>
        <w:rFonts w:hint="default"/>
        <w:position w:val="-2"/>
      </w:rPr>
    </w:lvl>
    <w:lvl w:ilvl="7">
      <w:start w:val="1"/>
      <w:numFmt w:val="bullet"/>
      <w:lvlText w:val="•"/>
      <w:lvlJc w:val="left"/>
      <w:pPr>
        <w:tabs>
          <w:tab w:val="num" w:pos="591"/>
        </w:tabs>
        <w:ind w:left="591" w:firstLine="2520"/>
      </w:pPr>
      <w:rPr>
        <w:rFonts w:hint="default"/>
        <w:position w:val="-2"/>
      </w:rPr>
    </w:lvl>
    <w:lvl w:ilvl="8">
      <w:start w:val="1"/>
      <w:numFmt w:val="bullet"/>
      <w:lvlText w:val="•"/>
      <w:lvlJc w:val="left"/>
      <w:pPr>
        <w:tabs>
          <w:tab w:val="num" w:pos="591"/>
        </w:tabs>
        <w:ind w:left="591" w:firstLine="2880"/>
      </w:pPr>
      <w:rPr>
        <w:rFonts w:hint="default"/>
        <w:position w:val="-2"/>
      </w:rPr>
    </w:lvl>
  </w:abstractNum>
  <w:abstractNum w:abstractNumId="6">
    <w:nsid w:val="14570A0D"/>
    <w:multiLevelType w:val="multilevel"/>
    <w:tmpl w:val="894EE873"/>
    <w:lvl w:ilvl="0">
      <w:start w:val="1"/>
      <w:numFmt w:val="bullet"/>
      <w:lvlText w:val="•"/>
      <w:lvlJc w:val="left"/>
      <w:pPr>
        <w:tabs>
          <w:tab w:val="num" w:pos="2551"/>
        </w:tabs>
        <w:ind w:left="2551" w:firstLine="0"/>
      </w:pPr>
      <w:rPr>
        <w:rFonts w:hint="default"/>
        <w:position w:val="-2"/>
      </w:rPr>
    </w:lvl>
    <w:lvl w:ilvl="1">
      <w:start w:val="1"/>
      <w:numFmt w:val="bullet"/>
      <w:lvlText w:val="•"/>
      <w:lvlJc w:val="left"/>
      <w:pPr>
        <w:tabs>
          <w:tab w:val="num" w:pos="2551"/>
        </w:tabs>
        <w:ind w:left="2551" w:firstLine="360"/>
      </w:pPr>
      <w:rPr>
        <w:rFonts w:hint="default"/>
        <w:position w:val="-2"/>
      </w:rPr>
    </w:lvl>
    <w:lvl w:ilvl="2">
      <w:start w:val="1"/>
      <w:numFmt w:val="bullet"/>
      <w:lvlText w:val="•"/>
      <w:lvlJc w:val="left"/>
      <w:pPr>
        <w:tabs>
          <w:tab w:val="num" w:pos="2551"/>
        </w:tabs>
        <w:ind w:left="2551" w:firstLine="720"/>
      </w:pPr>
      <w:rPr>
        <w:rFonts w:hint="default"/>
        <w:position w:val="-2"/>
      </w:rPr>
    </w:lvl>
    <w:lvl w:ilvl="3">
      <w:start w:val="1"/>
      <w:numFmt w:val="bullet"/>
      <w:lvlText w:val="•"/>
      <w:lvlJc w:val="left"/>
      <w:pPr>
        <w:tabs>
          <w:tab w:val="num" w:pos="2551"/>
        </w:tabs>
        <w:ind w:left="2551" w:firstLine="1080"/>
      </w:pPr>
      <w:rPr>
        <w:rFonts w:hint="default"/>
        <w:position w:val="-2"/>
      </w:rPr>
    </w:lvl>
    <w:lvl w:ilvl="4">
      <w:start w:val="1"/>
      <w:numFmt w:val="bullet"/>
      <w:lvlText w:val="•"/>
      <w:lvlJc w:val="left"/>
      <w:pPr>
        <w:tabs>
          <w:tab w:val="num" w:pos="2551"/>
        </w:tabs>
        <w:ind w:left="2551" w:firstLine="1440"/>
      </w:pPr>
      <w:rPr>
        <w:rFonts w:hint="default"/>
        <w:position w:val="-2"/>
      </w:rPr>
    </w:lvl>
    <w:lvl w:ilvl="5">
      <w:start w:val="1"/>
      <w:numFmt w:val="bullet"/>
      <w:lvlText w:val="•"/>
      <w:lvlJc w:val="left"/>
      <w:pPr>
        <w:tabs>
          <w:tab w:val="num" w:pos="2551"/>
        </w:tabs>
        <w:ind w:left="2551" w:firstLine="1800"/>
      </w:pPr>
      <w:rPr>
        <w:rFonts w:hint="default"/>
        <w:position w:val="-2"/>
      </w:rPr>
    </w:lvl>
    <w:lvl w:ilvl="6">
      <w:start w:val="1"/>
      <w:numFmt w:val="bullet"/>
      <w:lvlText w:val="•"/>
      <w:lvlJc w:val="left"/>
      <w:pPr>
        <w:tabs>
          <w:tab w:val="num" w:pos="2551"/>
        </w:tabs>
        <w:ind w:left="2551" w:firstLine="2160"/>
      </w:pPr>
      <w:rPr>
        <w:rFonts w:hint="default"/>
        <w:position w:val="-2"/>
      </w:rPr>
    </w:lvl>
    <w:lvl w:ilvl="7">
      <w:start w:val="1"/>
      <w:numFmt w:val="bullet"/>
      <w:lvlText w:val="•"/>
      <w:lvlJc w:val="left"/>
      <w:pPr>
        <w:tabs>
          <w:tab w:val="num" w:pos="2551"/>
        </w:tabs>
        <w:ind w:left="2551" w:firstLine="2520"/>
      </w:pPr>
      <w:rPr>
        <w:rFonts w:hint="default"/>
        <w:position w:val="-2"/>
      </w:rPr>
    </w:lvl>
    <w:lvl w:ilvl="8">
      <w:start w:val="1"/>
      <w:numFmt w:val="bullet"/>
      <w:lvlText w:val="•"/>
      <w:lvlJc w:val="left"/>
      <w:pPr>
        <w:tabs>
          <w:tab w:val="num" w:pos="2551"/>
        </w:tabs>
        <w:ind w:left="2551" w:firstLine="2880"/>
      </w:pPr>
      <w:rPr>
        <w:rFonts w:hint="default"/>
        <w:position w:val="-2"/>
      </w:rPr>
    </w:lvl>
  </w:abstractNum>
  <w:abstractNum w:abstractNumId="7">
    <w:nsid w:val="161E1F3D"/>
    <w:multiLevelType w:val="multilevel"/>
    <w:tmpl w:val="894EE873"/>
    <w:lvl w:ilvl="0">
      <w:start w:val="1"/>
      <w:numFmt w:val="bullet"/>
      <w:lvlText w:val="•"/>
      <w:lvlJc w:val="left"/>
      <w:pPr>
        <w:tabs>
          <w:tab w:val="num" w:pos="2551"/>
        </w:tabs>
        <w:ind w:left="2551" w:firstLine="0"/>
      </w:pPr>
      <w:rPr>
        <w:rFonts w:hint="default"/>
        <w:position w:val="-2"/>
      </w:rPr>
    </w:lvl>
    <w:lvl w:ilvl="1">
      <w:start w:val="1"/>
      <w:numFmt w:val="bullet"/>
      <w:lvlText w:val="•"/>
      <w:lvlJc w:val="left"/>
      <w:pPr>
        <w:tabs>
          <w:tab w:val="num" w:pos="2551"/>
        </w:tabs>
        <w:ind w:left="2551" w:firstLine="360"/>
      </w:pPr>
      <w:rPr>
        <w:rFonts w:hint="default"/>
        <w:position w:val="-2"/>
      </w:rPr>
    </w:lvl>
    <w:lvl w:ilvl="2">
      <w:start w:val="1"/>
      <w:numFmt w:val="bullet"/>
      <w:lvlText w:val="•"/>
      <w:lvlJc w:val="left"/>
      <w:pPr>
        <w:tabs>
          <w:tab w:val="num" w:pos="2551"/>
        </w:tabs>
        <w:ind w:left="2551" w:firstLine="720"/>
      </w:pPr>
      <w:rPr>
        <w:rFonts w:hint="default"/>
        <w:position w:val="-2"/>
      </w:rPr>
    </w:lvl>
    <w:lvl w:ilvl="3">
      <w:start w:val="1"/>
      <w:numFmt w:val="bullet"/>
      <w:lvlText w:val="•"/>
      <w:lvlJc w:val="left"/>
      <w:pPr>
        <w:tabs>
          <w:tab w:val="num" w:pos="2551"/>
        </w:tabs>
        <w:ind w:left="2551" w:firstLine="1080"/>
      </w:pPr>
      <w:rPr>
        <w:rFonts w:hint="default"/>
        <w:position w:val="-2"/>
      </w:rPr>
    </w:lvl>
    <w:lvl w:ilvl="4">
      <w:start w:val="1"/>
      <w:numFmt w:val="bullet"/>
      <w:lvlText w:val="•"/>
      <w:lvlJc w:val="left"/>
      <w:pPr>
        <w:tabs>
          <w:tab w:val="num" w:pos="2551"/>
        </w:tabs>
        <w:ind w:left="2551" w:firstLine="1440"/>
      </w:pPr>
      <w:rPr>
        <w:rFonts w:hint="default"/>
        <w:position w:val="-2"/>
      </w:rPr>
    </w:lvl>
    <w:lvl w:ilvl="5">
      <w:start w:val="1"/>
      <w:numFmt w:val="bullet"/>
      <w:lvlText w:val="•"/>
      <w:lvlJc w:val="left"/>
      <w:pPr>
        <w:tabs>
          <w:tab w:val="num" w:pos="2551"/>
        </w:tabs>
        <w:ind w:left="2551" w:firstLine="1800"/>
      </w:pPr>
      <w:rPr>
        <w:rFonts w:hint="default"/>
        <w:position w:val="-2"/>
      </w:rPr>
    </w:lvl>
    <w:lvl w:ilvl="6">
      <w:start w:val="1"/>
      <w:numFmt w:val="bullet"/>
      <w:lvlText w:val="•"/>
      <w:lvlJc w:val="left"/>
      <w:pPr>
        <w:tabs>
          <w:tab w:val="num" w:pos="2551"/>
        </w:tabs>
        <w:ind w:left="2551" w:firstLine="2160"/>
      </w:pPr>
      <w:rPr>
        <w:rFonts w:hint="default"/>
        <w:position w:val="-2"/>
      </w:rPr>
    </w:lvl>
    <w:lvl w:ilvl="7">
      <w:start w:val="1"/>
      <w:numFmt w:val="bullet"/>
      <w:lvlText w:val="•"/>
      <w:lvlJc w:val="left"/>
      <w:pPr>
        <w:tabs>
          <w:tab w:val="num" w:pos="2551"/>
        </w:tabs>
        <w:ind w:left="2551" w:firstLine="2520"/>
      </w:pPr>
      <w:rPr>
        <w:rFonts w:hint="default"/>
        <w:position w:val="-2"/>
      </w:rPr>
    </w:lvl>
    <w:lvl w:ilvl="8">
      <w:start w:val="1"/>
      <w:numFmt w:val="bullet"/>
      <w:lvlText w:val="•"/>
      <w:lvlJc w:val="left"/>
      <w:pPr>
        <w:tabs>
          <w:tab w:val="num" w:pos="2551"/>
        </w:tabs>
        <w:ind w:left="2551" w:firstLine="2880"/>
      </w:pPr>
      <w:rPr>
        <w:rFonts w:hint="default"/>
        <w:position w:val="-2"/>
      </w:rPr>
    </w:lvl>
  </w:abstractNum>
  <w:abstractNum w:abstractNumId="8">
    <w:nsid w:val="17763CB8"/>
    <w:multiLevelType w:val="hybridMultilevel"/>
    <w:tmpl w:val="4A481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0635A1"/>
    <w:multiLevelType w:val="multilevel"/>
    <w:tmpl w:val="894EE873"/>
    <w:numStyleLink w:val="Bullet"/>
  </w:abstractNum>
  <w:abstractNum w:abstractNumId="10">
    <w:nsid w:val="20F9158B"/>
    <w:multiLevelType w:val="hybridMultilevel"/>
    <w:tmpl w:val="E4540F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2B832B6"/>
    <w:multiLevelType w:val="hybridMultilevel"/>
    <w:tmpl w:val="77D22F38"/>
    <w:lvl w:ilvl="0" w:tplc="0C090001">
      <w:start w:val="1"/>
      <w:numFmt w:val="bullet"/>
      <w:lvlText w:val=""/>
      <w:lvlJc w:val="left"/>
      <w:pPr>
        <w:tabs>
          <w:tab w:val="num" w:pos="720"/>
        </w:tabs>
        <w:ind w:left="720" w:hanging="360"/>
      </w:pPr>
      <w:rPr>
        <w:rFonts w:ascii="Symbol" w:hAnsi="Symbol" w:hint="default"/>
      </w:rPr>
    </w:lvl>
    <w:lvl w:ilvl="1" w:tplc="C450E434">
      <w:start w:val="1"/>
      <w:numFmt w:val="bullet"/>
      <w:lvlText w:val="-"/>
      <w:lvlJc w:val="left"/>
      <w:pPr>
        <w:tabs>
          <w:tab w:val="num" w:pos="1440"/>
        </w:tabs>
        <w:ind w:left="1440" w:hanging="360"/>
      </w:pPr>
      <w:rPr>
        <w:rFonts w:ascii="Times New Roman" w:hAnsi="Times New Roman"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2C40282"/>
    <w:multiLevelType w:val="hybridMultilevel"/>
    <w:tmpl w:val="BDC84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6A3A84"/>
    <w:multiLevelType w:val="multilevel"/>
    <w:tmpl w:val="894EE873"/>
    <w:numStyleLink w:val="Bullet"/>
  </w:abstractNum>
  <w:abstractNum w:abstractNumId="14">
    <w:nsid w:val="2C533A51"/>
    <w:multiLevelType w:val="multilevel"/>
    <w:tmpl w:val="894EE873"/>
    <w:numStyleLink w:val="Bullet"/>
  </w:abstractNum>
  <w:abstractNum w:abstractNumId="15">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33C559F8"/>
    <w:multiLevelType w:val="hybridMultilevel"/>
    <w:tmpl w:val="37EA7C5E"/>
    <w:lvl w:ilvl="0" w:tplc="AF26C0C8">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89457C1"/>
    <w:multiLevelType w:val="hybridMultilevel"/>
    <w:tmpl w:val="7D48A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AEA43F6"/>
    <w:multiLevelType w:val="hybridMultilevel"/>
    <w:tmpl w:val="E45C6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132753D"/>
    <w:multiLevelType w:val="hybridMultilevel"/>
    <w:tmpl w:val="D9D43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9E2477B"/>
    <w:multiLevelType w:val="hybridMultilevel"/>
    <w:tmpl w:val="34B0C006"/>
    <w:lvl w:ilvl="0" w:tplc="0C090001">
      <w:start w:val="1"/>
      <w:numFmt w:val="bullet"/>
      <w:pStyle w:val="bulletNormal"/>
      <w:lvlText w:val=""/>
      <w:lvlJc w:val="left"/>
      <w:pPr>
        <w:tabs>
          <w:tab w:val="num" w:pos="1887"/>
        </w:tabs>
        <w:ind w:left="1887" w:hanging="360"/>
      </w:pPr>
      <w:rPr>
        <w:rFonts w:ascii="Symbol" w:hAnsi="Symbol" w:hint="default"/>
      </w:rPr>
    </w:lvl>
    <w:lvl w:ilvl="1" w:tplc="0C090003">
      <w:start w:val="1"/>
      <w:numFmt w:val="decimal"/>
      <w:lvlText w:val="%2."/>
      <w:lvlJc w:val="left"/>
      <w:pPr>
        <w:tabs>
          <w:tab w:val="num" w:pos="2684"/>
        </w:tabs>
        <w:ind w:left="2684" w:hanging="360"/>
      </w:pPr>
    </w:lvl>
    <w:lvl w:ilvl="2" w:tplc="0C090005">
      <w:start w:val="1"/>
      <w:numFmt w:val="decimal"/>
      <w:lvlText w:val="%3."/>
      <w:lvlJc w:val="left"/>
      <w:pPr>
        <w:tabs>
          <w:tab w:val="num" w:pos="3404"/>
        </w:tabs>
        <w:ind w:left="3404" w:hanging="360"/>
      </w:pPr>
    </w:lvl>
    <w:lvl w:ilvl="3" w:tplc="0C090001">
      <w:start w:val="1"/>
      <w:numFmt w:val="decimal"/>
      <w:lvlText w:val="%4."/>
      <w:lvlJc w:val="left"/>
      <w:pPr>
        <w:tabs>
          <w:tab w:val="num" w:pos="4124"/>
        </w:tabs>
        <w:ind w:left="4124" w:hanging="360"/>
      </w:pPr>
    </w:lvl>
    <w:lvl w:ilvl="4" w:tplc="0C090003">
      <w:start w:val="1"/>
      <w:numFmt w:val="decimal"/>
      <w:lvlText w:val="%5."/>
      <w:lvlJc w:val="left"/>
      <w:pPr>
        <w:tabs>
          <w:tab w:val="num" w:pos="4844"/>
        </w:tabs>
        <w:ind w:left="4844" w:hanging="360"/>
      </w:pPr>
    </w:lvl>
    <w:lvl w:ilvl="5" w:tplc="0C090005">
      <w:start w:val="1"/>
      <w:numFmt w:val="decimal"/>
      <w:lvlText w:val="%6."/>
      <w:lvlJc w:val="left"/>
      <w:pPr>
        <w:tabs>
          <w:tab w:val="num" w:pos="5564"/>
        </w:tabs>
        <w:ind w:left="5564" w:hanging="360"/>
      </w:pPr>
    </w:lvl>
    <w:lvl w:ilvl="6" w:tplc="0C090001">
      <w:start w:val="1"/>
      <w:numFmt w:val="decimal"/>
      <w:lvlText w:val="%7."/>
      <w:lvlJc w:val="left"/>
      <w:pPr>
        <w:tabs>
          <w:tab w:val="num" w:pos="6284"/>
        </w:tabs>
        <w:ind w:left="6284" w:hanging="360"/>
      </w:pPr>
    </w:lvl>
    <w:lvl w:ilvl="7" w:tplc="0C090003">
      <w:start w:val="1"/>
      <w:numFmt w:val="decimal"/>
      <w:lvlText w:val="%8."/>
      <w:lvlJc w:val="left"/>
      <w:pPr>
        <w:tabs>
          <w:tab w:val="num" w:pos="7004"/>
        </w:tabs>
        <w:ind w:left="7004" w:hanging="360"/>
      </w:pPr>
    </w:lvl>
    <w:lvl w:ilvl="8" w:tplc="0C090005">
      <w:start w:val="1"/>
      <w:numFmt w:val="decimal"/>
      <w:lvlText w:val="%9."/>
      <w:lvlJc w:val="left"/>
      <w:pPr>
        <w:tabs>
          <w:tab w:val="num" w:pos="7724"/>
        </w:tabs>
        <w:ind w:left="7724" w:hanging="360"/>
      </w:pPr>
    </w:lvl>
  </w:abstractNum>
  <w:abstractNum w:abstractNumId="21">
    <w:nsid w:val="6BC819F7"/>
    <w:multiLevelType w:val="hybridMultilevel"/>
    <w:tmpl w:val="D8FCF95C"/>
    <w:lvl w:ilvl="0" w:tplc="B1D852E0">
      <w:start w:val="3"/>
      <w:numFmt w:val="bullet"/>
      <w:lvlText w:val="–"/>
      <w:lvlJc w:val="left"/>
      <w:pPr>
        <w:tabs>
          <w:tab w:val="num" w:pos="1080"/>
        </w:tabs>
        <w:ind w:left="1080" w:hanging="360"/>
      </w:pPr>
      <w:rPr>
        <w:rFonts w:ascii="Arial" w:eastAsia="ヒラギノ角ゴ Pro W3" w:hAnsi="Arial" w:cs="Aria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2">
    <w:nsid w:val="6C431E4A"/>
    <w:multiLevelType w:val="multilevel"/>
    <w:tmpl w:val="A78886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FCC2628"/>
    <w:multiLevelType w:val="hybridMultilevel"/>
    <w:tmpl w:val="E7A07FD8"/>
    <w:lvl w:ilvl="0" w:tplc="0C090001">
      <w:start w:val="1"/>
      <w:numFmt w:val="bullet"/>
      <w:lvlText w:val=""/>
      <w:lvlJc w:val="left"/>
      <w:pPr>
        <w:tabs>
          <w:tab w:val="num" w:pos="351"/>
        </w:tabs>
        <w:ind w:left="351" w:hanging="360"/>
      </w:pPr>
      <w:rPr>
        <w:rFonts w:ascii="Symbol" w:hAnsi="Symbol" w:hint="default"/>
      </w:rPr>
    </w:lvl>
    <w:lvl w:ilvl="1" w:tplc="0C090003">
      <w:start w:val="1"/>
      <w:numFmt w:val="bullet"/>
      <w:lvlText w:val="o"/>
      <w:lvlJc w:val="left"/>
      <w:pPr>
        <w:tabs>
          <w:tab w:val="num" w:pos="1071"/>
        </w:tabs>
        <w:ind w:left="1071" w:hanging="360"/>
      </w:pPr>
      <w:rPr>
        <w:rFonts w:ascii="Courier New" w:hAnsi="Courier New" w:cs="Courier New" w:hint="default"/>
      </w:rPr>
    </w:lvl>
    <w:lvl w:ilvl="2" w:tplc="0C090005" w:tentative="1">
      <w:start w:val="1"/>
      <w:numFmt w:val="bullet"/>
      <w:lvlText w:val=""/>
      <w:lvlJc w:val="left"/>
      <w:pPr>
        <w:tabs>
          <w:tab w:val="num" w:pos="1791"/>
        </w:tabs>
        <w:ind w:left="1791" w:hanging="360"/>
      </w:pPr>
      <w:rPr>
        <w:rFonts w:ascii="Wingdings" w:hAnsi="Wingdings" w:hint="default"/>
      </w:rPr>
    </w:lvl>
    <w:lvl w:ilvl="3" w:tplc="0C090001" w:tentative="1">
      <w:start w:val="1"/>
      <w:numFmt w:val="bullet"/>
      <w:lvlText w:val=""/>
      <w:lvlJc w:val="left"/>
      <w:pPr>
        <w:tabs>
          <w:tab w:val="num" w:pos="2511"/>
        </w:tabs>
        <w:ind w:left="2511" w:hanging="360"/>
      </w:pPr>
      <w:rPr>
        <w:rFonts w:ascii="Symbol" w:hAnsi="Symbol" w:hint="default"/>
      </w:rPr>
    </w:lvl>
    <w:lvl w:ilvl="4" w:tplc="0C090003" w:tentative="1">
      <w:start w:val="1"/>
      <w:numFmt w:val="bullet"/>
      <w:lvlText w:val="o"/>
      <w:lvlJc w:val="left"/>
      <w:pPr>
        <w:tabs>
          <w:tab w:val="num" w:pos="3231"/>
        </w:tabs>
        <w:ind w:left="3231" w:hanging="360"/>
      </w:pPr>
      <w:rPr>
        <w:rFonts w:ascii="Courier New" w:hAnsi="Courier New" w:cs="Courier New" w:hint="default"/>
      </w:rPr>
    </w:lvl>
    <w:lvl w:ilvl="5" w:tplc="0C090005" w:tentative="1">
      <w:start w:val="1"/>
      <w:numFmt w:val="bullet"/>
      <w:lvlText w:val=""/>
      <w:lvlJc w:val="left"/>
      <w:pPr>
        <w:tabs>
          <w:tab w:val="num" w:pos="3951"/>
        </w:tabs>
        <w:ind w:left="3951" w:hanging="360"/>
      </w:pPr>
      <w:rPr>
        <w:rFonts w:ascii="Wingdings" w:hAnsi="Wingdings" w:hint="default"/>
      </w:rPr>
    </w:lvl>
    <w:lvl w:ilvl="6" w:tplc="0C090001" w:tentative="1">
      <w:start w:val="1"/>
      <w:numFmt w:val="bullet"/>
      <w:lvlText w:val=""/>
      <w:lvlJc w:val="left"/>
      <w:pPr>
        <w:tabs>
          <w:tab w:val="num" w:pos="4671"/>
        </w:tabs>
        <w:ind w:left="4671" w:hanging="360"/>
      </w:pPr>
      <w:rPr>
        <w:rFonts w:ascii="Symbol" w:hAnsi="Symbol" w:hint="default"/>
      </w:rPr>
    </w:lvl>
    <w:lvl w:ilvl="7" w:tplc="0C090003" w:tentative="1">
      <w:start w:val="1"/>
      <w:numFmt w:val="bullet"/>
      <w:lvlText w:val="o"/>
      <w:lvlJc w:val="left"/>
      <w:pPr>
        <w:tabs>
          <w:tab w:val="num" w:pos="5391"/>
        </w:tabs>
        <w:ind w:left="5391" w:hanging="360"/>
      </w:pPr>
      <w:rPr>
        <w:rFonts w:ascii="Courier New" w:hAnsi="Courier New" w:cs="Courier New" w:hint="default"/>
      </w:rPr>
    </w:lvl>
    <w:lvl w:ilvl="8" w:tplc="0C090005" w:tentative="1">
      <w:start w:val="1"/>
      <w:numFmt w:val="bullet"/>
      <w:lvlText w:val=""/>
      <w:lvlJc w:val="left"/>
      <w:pPr>
        <w:tabs>
          <w:tab w:val="num" w:pos="6111"/>
        </w:tabs>
        <w:ind w:left="6111" w:hanging="360"/>
      </w:pPr>
      <w:rPr>
        <w:rFonts w:ascii="Wingdings" w:hAnsi="Wingdings" w:hint="default"/>
      </w:rPr>
    </w:lvl>
  </w:abstractNum>
  <w:num w:numId="1">
    <w:abstractNumId w:val="0"/>
  </w:num>
  <w:num w:numId="2">
    <w:abstractNumId w:val="1"/>
  </w:num>
  <w:num w:numId="3">
    <w:abstractNumId w:val="20"/>
  </w:num>
  <w:num w:numId="4">
    <w:abstractNumId w:val="20"/>
  </w:num>
  <w:num w:numId="5">
    <w:abstractNumId w:val="4"/>
  </w:num>
  <w:num w:numId="6">
    <w:abstractNumId w:val="22"/>
  </w:num>
  <w:num w:numId="7">
    <w:abstractNumId w:val="16"/>
  </w:num>
  <w:num w:numId="8">
    <w:abstractNumId w:val="11"/>
  </w:num>
  <w:num w:numId="9">
    <w:abstractNumId w:val="23"/>
  </w:num>
  <w:num w:numId="10">
    <w:abstractNumId w:val="6"/>
  </w:num>
  <w:num w:numId="11">
    <w:abstractNumId w:val="7"/>
  </w:num>
  <w:num w:numId="12">
    <w:abstractNumId w:val="5"/>
  </w:num>
  <w:num w:numId="13">
    <w:abstractNumId w:val="14"/>
  </w:num>
  <w:num w:numId="14">
    <w:abstractNumId w:val="0"/>
  </w:num>
  <w:num w:numId="15">
    <w:abstractNumId w:val="21"/>
  </w:num>
  <w:num w:numId="16">
    <w:abstractNumId w:val="13"/>
  </w:num>
  <w:num w:numId="17">
    <w:abstractNumId w:val="9"/>
  </w:num>
  <w:num w:numId="18">
    <w:abstractNumId w:val="15"/>
  </w:num>
  <w:num w:numId="19">
    <w:abstractNumId w:val="3"/>
  </w:num>
  <w:num w:numId="20">
    <w:abstractNumId w:val="2"/>
  </w:num>
  <w:num w:numId="21">
    <w:abstractNumId w:val="19"/>
  </w:num>
  <w:num w:numId="22">
    <w:abstractNumId w:val="10"/>
  </w:num>
  <w:num w:numId="23">
    <w:abstractNumId w:val="20"/>
  </w:num>
  <w:num w:numId="24">
    <w:abstractNumId w:val="8"/>
  </w:num>
  <w:num w:numId="25">
    <w:abstractNumId w:val="12"/>
  </w:num>
  <w:num w:numId="26">
    <w:abstractNumId w:val="18"/>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13B"/>
    <w:rsid w:val="00000FBF"/>
    <w:rsid w:val="0000146A"/>
    <w:rsid w:val="00006C05"/>
    <w:rsid w:val="0000716F"/>
    <w:rsid w:val="00007376"/>
    <w:rsid w:val="00010937"/>
    <w:rsid w:val="0001234A"/>
    <w:rsid w:val="00015639"/>
    <w:rsid w:val="00022104"/>
    <w:rsid w:val="00024682"/>
    <w:rsid w:val="00025101"/>
    <w:rsid w:val="000431AB"/>
    <w:rsid w:val="00044DB8"/>
    <w:rsid w:val="00045619"/>
    <w:rsid w:val="00055336"/>
    <w:rsid w:val="00057581"/>
    <w:rsid w:val="00061131"/>
    <w:rsid w:val="00061BFC"/>
    <w:rsid w:val="00070FE8"/>
    <w:rsid w:val="00081EE4"/>
    <w:rsid w:val="00082FC9"/>
    <w:rsid w:val="000841D6"/>
    <w:rsid w:val="00085539"/>
    <w:rsid w:val="00086C64"/>
    <w:rsid w:val="00091C2B"/>
    <w:rsid w:val="000939B0"/>
    <w:rsid w:val="000942D2"/>
    <w:rsid w:val="00095905"/>
    <w:rsid w:val="0009627B"/>
    <w:rsid w:val="000A341D"/>
    <w:rsid w:val="000A3ECC"/>
    <w:rsid w:val="000B0EAE"/>
    <w:rsid w:val="000B1B24"/>
    <w:rsid w:val="000B24A9"/>
    <w:rsid w:val="000C1A8E"/>
    <w:rsid w:val="000C5689"/>
    <w:rsid w:val="000C5CC9"/>
    <w:rsid w:val="000C685F"/>
    <w:rsid w:val="000D6A0D"/>
    <w:rsid w:val="000D7A9C"/>
    <w:rsid w:val="000E23D0"/>
    <w:rsid w:val="000E7968"/>
    <w:rsid w:val="000F6B48"/>
    <w:rsid w:val="00100907"/>
    <w:rsid w:val="00101D98"/>
    <w:rsid w:val="00104658"/>
    <w:rsid w:val="001052D8"/>
    <w:rsid w:val="00111794"/>
    <w:rsid w:val="00111A4B"/>
    <w:rsid w:val="00112873"/>
    <w:rsid w:val="00114AE3"/>
    <w:rsid w:val="00116C2C"/>
    <w:rsid w:val="0011725F"/>
    <w:rsid w:val="001201E1"/>
    <w:rsid w:val="00120B06"/>
    <w:rsid w:val="00123CE7"/>
    <w:rsid w:val="0014300E"/>
    <w:rsid w:val="00146F43"/>
    <w:rsid w:val="00147FE6"/>
    <w:rsid w:val="00153630"/>
    <w:rsid w:val="001566F8"/>
    <w:rsid w:val="00162622"/>
    <w:rsid w:val="001666B5"/>
    <w:rsid w:val="00167C58"/>
    <w:rsid w:val="001729C1"/>
    <w:rsid w:val="001752FF"/>
    <w:rsid w:val="00183444"/>
    <w:rsid w:val="00183DD4"/>
    <w:rsid w:val="0018580C"/>
    <w:rsid w:val="001863E7"/>
    <w:rsid w:val="001873D3"/>
    <w:rsid w:val="00191B88"/>
    <w:rsid w:val="001926D1"/>
    <w:rsid w:val="00193C86"/>
    <w:rsid w:val="001A378E"/>
    <w:rsid w:val="001A4824"/>
    <w:rsid w:val="001A716A"/>
    <w:rsid w:val="001C58C1"/>
    <w:rsid w:val="001D293C"/>
    <w:rsid w:val="001E101E"/>
    <w:rsid w:val="001E2EF7"/>
    <w:rsid w:val="001F3F41"/>
    <w:rsid w:val="001F4A26"/>
    <w:rsid w:val="001F6B4F"/>
    <w:rsid w:val="001F7253"/>
    <w:rsid w:val="002001AF"/>
    <w:rsid w:val="00201A9F"/>
    <w:rsid w:val="00207654"/>
    <w:rsid w:val="0021197B"/>
    <w:rsid w:val="00212DF6"/>
    <w:rsid w:val="00217BFF"/>
    <w:rsid w:val="002200B0"/>
    <w:rsid w:val="00222B2C"/>
    <w:rsid w:val="0022334C"/>
    <w:rsid w:val="002276D5"/>
    <w:rsid w:val="002410E5"/>
    <w:rsid w:val="002430EA"/>
    <w:rsid w:val="00245902"/>
    <w:rsid w:val="00245D62"/>
    <w:rsid w:val="0024771E"/>
    <w:rsid w:val="00247B54"/>
    <w:rsid w:val="00250A88"/>
    <w:rsid w:val="00250C5A"/>
    <w:rsid w:val="00251803"/>
    <w:rsid w:val="00253AFC"/>
    <w:rsid w:val="00261F37"/>
    <w:rsid w:val="0026385E"/>
    <w:rsid w:val="00267D5E"/>
    <w:rsid w:val="00271C76"/>
    <w:rsid w:val="00274E33"/>
    <w:rsid w:val="00276A61"/>
    <w:rsid w:val="0028203D"/>
    <w:rsid w:val="0028402C"/>
    <w:rsid w:val="00292A29"/>
    <w:rsid w:val="00294A62"/>
    <w:rsid w:val="002A0074"/>
    <w:rsid w:val="002A5A5D"/>
    <w:rsid w:val="002A6823"/>
    <w:rsid w:val="002B7846"/>
    <w:rsid w:val="002C2731"/>
    <w:rsid w:val="002C7C8A"/>
    <w:rsid w:val="002D4149"/>
    <w:rsid w:val="002D526D"/>
    <w:rsid w:val="002D561A"/>
    <w:rsid w:val="002E676F"/>
    <w:rsid w:val="002E67FE"/>
    <w:rsid w:val="002F1EDF"/>
    <w:rsid w:val="002F46A7"/>
    <w:rsid w:val="002F6B8D"/>
    <w:rsid w:val="0030533E"/>
    <w:rsid w:val="003114B9"/>
    <w:rsid w:val="00313480"/>
    <w:rsid w:val="0031571F"/>
    <w:rsid w:val="00316021"/>
    <w:rsid w:val="00323C09"/>
    <w:rsid w:val="00325F82"/>
    <w:rsid w:val="00331DE1"/>
    <w:rsid w:val="0033644D"/>
    <w:rsid w:val="003376A9"/>
    <w:rsid w:val="00345243"/>
    <w:rsid w:val="003453F8"/>
    <w:rsid w:val="00347EAC"/>
    <w:rsid w:val="00350394"/>
    <w:rsid w:val="00351360"/>
    <w:rsid w:val="003553CF"/>
    <w:rsid w:val="00356770"/>
    <w:rsid w:val="00356AB0"/>
    <w:rsid w:val="00365A31"/>
    <w:rsid w:val="0037260F"/>
    <w:rsid w:val="003752C8"/>
    <w:rsid w:val="0037606B"/>
    <w:rsid w:val="00385839"/>
    <w:rsid w:val="00391409"/>
    <w:rsid w:val="003A3238"/>
    <w:rsid w:val="003B383A"/>
    <w:rsid w:val="003C23A8"/>
    <w:rsid w:val="003C3888"/>
    <w:rsid w:val="003C58A9"/>
    <w:rsid w:val="003D0569"/>
    <w:rsid w:val="003D06BF"/>
    <w:rsid w:val="003D1A96"/>
    <w:rsid w:val="003E5713"/>
    <w:rsid w:val="003F5029"/>
    <w:rsid w:val="00404077"/>
    <w:rsid w:val="004165E3"/>
    <w:rsid w:val="004312B8"/>
    <w:rsid w:val="0043554F"/>
    <w:rsid w:val="00446E42"/>
    <w:rsid w:val="00452448"/>
    <w:rsid w:val="00460FE1"/>
    <w:rsid w:val="004626D6"/>
    <w:rsid w:val="00463201"/>
    <w:rsid w:val="004664F7"/>
    <w:rsid w:val="00466A62"/>
    <w:rsid w:val="00467231"/>
    <w:rsid w:val="00471B79"/>
    <w:rsid w:val="00475FAE"/>
    <w:rsid w:val="004904C8"/>
    <w:rsid w:val="00490720"/>
    <w:rsid w:val="004934E5"/>
    <w:rsid w:val="00493E45"/>
    <w:rsid w:val="004969B2"/>
    <w:rsid w:val="004A777D"/>
    <w:rsid w:val="004B11F5"/>
    <w:rsid w:val="004B126E"/>
    <w:rsid w:val="004C578D"/>
    <w:rsid w:val="004C6CF8"/>
    <w:rsid w:val="004C707F"/>
    <w:rsid w:val="004D3054"/>
    <w:rsid w:val="004D5034"/>
    <w:rsid w:val="004D513B"/>
    <w:rsid w:val="004D56B8"/>
    <w:rsid w:val="004D7ED1"/>
    <w:rsid w:val="004E170F"/>
    <w:rsid w:val="004E3AD1"/>
    <w:rsid w:val="004E4BFD"/>
    <w:rsid w:val="004F28EC"/>
    <w:rsid w:val="004F45D4"/>
    <w:rsid w:val="004F780A"/>
    <w:rsid w:val="004F7D5B"/>
    <w:rsid w:val="0050018B"/>
    <w:rsid w:val="005034CD"/>
    <w:rsid w:val="00507836"/>
    <w:rsid w:val="0050799C"/>
    <w:rsid w:val="0052282A"/>
    <w:rsid w:val="00532973"/>
    <w:rsid w:val="005334D1"/>
    <w:rsid w:val="00534967"/>
    <w:rsid w:val="00534F60"/>
    <w:rsid w:val="00541462"/>
    <w:rsid w:val="00545915"/>
    <w:rsid w:val="00545C77"/>
    <w:rsid w:val="005463BE"/>
    <w:rsid w:val="00550A65"/>
    <w:rsid w:val="00552173"/>
    <w:rsid w:val="00563680"/>
    <w:rsid w:val="0056402F"/>
    <w:rsid w:val="0056663D"/>
    <w:rsid w:val="0057394D"/>
    <w:rsid w:val="00573C1C"/>
    <w:rsid w:val="005745E3"/>
    <w:rsid w:val="0057623C"/>
    <w:rsid w:val="00576E42"/>
    <w:rsid w:val="00576F73"/>
    <w:rsid w:val="00586D20"/>
    <w:rsid w:val="005951C2"/>
    <w:rsid w:val="005A44E7"/>
    <w:rsid w:val="005B299E"/>
    <w:rsid w:val="005B430A"/>
    <w:rsid w:val="005C16C8"/>
    <w:rsid w:val="005C5308"/>
    <w:rsid w:val="005C7B1B"/>
    <w:rsid w:val="005D3F9A"/>
    <w:rsid w:val="005E21E0"/>
    <w:rsid w:val="005E3DE7"/>
    <w:rsid w:val="005E6F16"/>
    <w:rsid w:val="005F1A7F"/>
    <w:rsid w:val="005F3A27"/>
    <w:rsid w:val="00602049"/>
    <w:rsid w:val="0061065F"/>
    <w:rsid w:val="00614545"/>
    <w:rsid w:val="006171EC"/>
    <w:rsid w:val="00626864"/>
    <w:rsid w:val="00631199"/>
    <w:rsid w:val="00632EBE"/>
    <w:rsid w:val="00635DF3"/>
    <w:rsid w:val="00636733"/>
    <w:rsid w:val="0064673C"/>
    <w:rsid w:val="00647B44"/>
    <w:rsid w:val="00650F39"/>
    <w:rsid w:val="00656FA4"/>
    <w:rsid w:val="0065727A"/>
    <w:rsid w:val="00657DAD"/>
    <w:rsid w:val="00660C5D"/>
    <w:rsid w:val="00662F28"/>
    <w:rsid w:val="0067139D"/>
    <w:rsid w:val="00673F82"/>
    <w:rsid w:val="006810BA"/>
    <w:rsid w:val="006A4489"/>
    <w:rsid w:val="006A7146"/>
    <w:rsid w:val="006A74AA"/>
    <w:rsid w:val="006B1E2D"/>
    <w:rsid w:val="006B3432"/>
    <w:rsid w:val="006C08BD"/>
    <w:rsid w:val="006C2265"/>
    <w:rsid w:val="006C3387"/>
    <w:rsid w:val="006C5F0A"/>
    <w:rsid w:val="006D1044"/>
    <w:rsid w:val="006D11F5"/>
    <w:rsid w:val="006E3AA8"/>
    <w:rsid w:val="006E3B69"/>
    <w:rsid w:val="006E5832"/>
    <w:rsid w:val="0070048B"/>
    <w:rsid w:val="00707748"/>
    <w:rsid w:val="007144D8"/>
    <w:rsid w:val="007178DD"/>
    <w:rsid w:val="007228FD"/>
    <w:rsid w:val="00730B46"/>
    <w:rsid w:val="00744700"/>
    <w:rsid w:val="00746FA3"/>
    <w:rsid w:val="00754ED3"/>
    <w:rsid w:val="0076056F"/>
    <w:rsid w:val="00760DDA"/>
    <w:rsid w:val="00761407"/>
    <w:rsid w:val="00762C41"/>
    <w:rsid w:val="00773645"/>
    <w:rsid w:val="00775E8E"/>
    <w:rsid w:val="00782B61"/>
    <w:rsid w:val="00785136"/>
    <w:rsid w:val="00785558"/>
    <w:rsid w:val="00786CA6"/>
    <w:rsid w:val="007914E5"/>
    <w:rsid w:val="007928B2"/>
    <w:rsid w:val="00794165"/>
    <w:rsid w:val="00794D70"/>
    <w:rsid w:val="007A4C56"/>
    <w:rsid w:val="007A55B2"/>
    <w:rsid w:val="007A5EE6"/>
    <w:rsid w:val="007A6C44"/>
    <w:rsid w:val="007B460D"/>
    <w:rsid w:val="007B5FF1"/>
    <w:rsid w:val="007B67E2"/>
    <w:rsid w:val="007C0E4F"/>
    <w:rsid w:val="007D078B"/>
    <w:rsid w:val="007D21D5"/>
    <w:rsid w:val="007D7BB9"/>
    <w:rsid w:val="007E4DF5"/>
    <w:rsid w:val="007E66CB"/>
    <w:rsid w:val="007F1ABD"/>
    <w:rsid w:val="007F2A5F"/>
    <w:rsid w:val="007F367D"/>
    <w:rsid w:val="008045DF"/>
    <w:rsid w:val="00827377"/>
    <w:rsid w:val="00833351"/>
    <w:rsid w:val="00833C1D"/>
    <w:rsid w:val="00837F32"/>
    <w:rsid w:val="00841749"/>
    <w:rsid w:val="00841C7E"/>
    <w:rsid w:val="0084233D"/>
    <w:rsid w:val="00842B43"/>
    <w:rsid w:val="0084483D"/>
    <w:rsid w:val="008534E5"/>
    <w:rsid w:val="00857E27"/>
    <w:rsid w:val="008644CD"/>
    <w:rsid w:val="0086451C"/>
    <w:rsid w:val="00864A81"/>
    <w:rsid w:val="0087048D"/>
    <w:rsid w:val="00871585"/>
    <w:rsid w:val="00873969"/>
    <w:rsid w:val="0088292B"/>
    <w:rsid w:val="008857FA"/>
    <w:rsid w:val="00895BC3"/>
    <w:rsid w:val="00896142"/>
    <w:rsid w:val="008A5406"/>
    <w:rsid w:val="008A6506"/>
    <w:rsid w:val="008B3438"/>
    <w:rsid w:val="008B3933"/>
    <w:rsid w:val="008C070E"/>
    <w:rsid w:val="008D24E9"/>
    <w:rsid w:val="008D4399"/>
    <w:rsid w:val="008E33E1"/>
    <w:rsid w:val="008E650E"/>
    <w:rsid w:val="008F20F0"/>
    <w:rsid w:val="008F2F21"/>
    <w:rsid w:val="008F45CA"/>
    <w:rsid w:val="008F56EF"/>
    <w:rsid w:val="008F71ED"/>
    <w:rsid w:val="008F75A9"/>
    <w:rsid w:val="00903984"/>
    <w:rsid w:val="0090542F"/>
    <w:rsid w:val="00905836"/>
    <w:rsid w:val="00911F6C"/>
    <w:rsid w:val="009148EC"/>
    <w:rsid w:val="009200F8"/>
    <w:rsid w:val="009229C8"/>
    <w:rsid w:val="00922A41"/>
    <w:rsid w:val="00925181"/>
    <w:rsid w:val="00926DF4"/>
    <w:rsid w:val="00927850"/>
    <w:rsid w:val="00932134"/>
    <w:rsid w:val="00933C71"/>
    <w:rsid w:val="0093675E"/>
    <w:rsid w:val="009454DC"/>
    <w:rsid w:val="0095031D"/>
    <w:rsid w:val="00951429"/>
    <w:rsid w:val="0095241F"/>
    <w:rsid w:val="00952D5D"/>
    <w:rsid w:val="009530D0"/>
    <w:rsid w:val="00953991"/>
    <w:rsid w:val="00954B80"/>
    <w:rsid w:val="00955408"/>
    <w:rsid w:val="00955665"/>
    <w:rsid w:val="00955FC6"/>
    <w:rsid w:val="00956F99"/>
    <w:rsid w:val="009610F2"/>
    <w:rsid w:val="00961830"/>
    <w:rsid w:val="00966A11"/>
    <w:rsid w:val="00966CC3"/>
    <w:rsid w:val="009777E6"/>
    <w:rsid w:val="009844E6"/>
    <w:rsid w:val="00994CEB"/>
    <w:rsid w:val="00997EC1"/>
    <w:rsid w:val="009A15AE"/>
    <w:rsid w:val="009A2515"/>
    <w:rsid w:val="009A31C5"/>
    <w:rsid w:val="009A3F6E"/>
    <w:rsid w:val="009B4CC1"/>
    <w:rsid w:val="009B58D1"/>
    <w:rsid w:val="009E1384"/>
    <w:rsid w:val="009F22A0"/>
    <w:rsid w:val="009F4BAA"/>
    <w:rsid w:val="009F6B08"/>
    <w:rsid w:val="00A001EB"/>
    <w:rsid w:val="00A0121C"/>
    <w:rsid w:val="00A036C1"/>
    <w:rsid w:val="00A059FB"/>
    <w:rsid w:val="00A1188A"/>
    <w:rsid w:val="00A12DF2"/>
    <w:rsid w:val="00A13CA8"/>
    <w:rsid w:val="00A13DCF"/>
    <w:rsid w:val="00A154A7"/>
    <w:rsid w:val="00A213AF"/>
    <w:rsid w:val="00A23F55"/>
    <w:rsid w:val="00A32639"/>
    <w:rsid w:val="00A3284E"/>
    <w:rsid w:val="00A34D28"/>
    <w:rsid w:val="00A35366"/>
    <w:rsid w:val="00A35E37"/>
    <w:rsid w:val="00A36147"/>
    <w:rsid w:val="00A40C54"/>
    <w:rsid w:val="00A416F0"/>
    <w:rsid w:val="00A5240C"/>
    <w:rsid w:val="00A52AD7"/>
    <w:rsid w:val="00A57BD8"/>
    <w:rsid w:val="00A64F3E"/>
    <w:rsid w:val="00A66C30"/>
    <w:rsid w:val="00A737C6"/>
    <w:rsid w:val="00A742C5"/>
    <w:rsid w:val="00A75C7B"/>
    <w:rsid w:val="00A75EB8"/>
    <w:rsid w:val="00A7777C"/>
    <w:rsid w:val="00A8049E"/>
    <w:rsid w:val="00A869DE"/>
    <w:rsid w:val="00A93A96"/>
    <w:rsid w:val="00A944AE"/>
    <w:rsid w:val="00AA1E68"/>
    <w:rsid w:val="00AA46FD"/>
    <w:rsid w:val="00AB0905"/>
    <w:rsid w:val="00AB294D"/>
    <w:rsid w:val="00AB2FE3"/>
    <w:rsid w:val="00AB7729"/>
    <w:rsid w:val="00AC0073"/>
    <w:rsid w:val="00AC05AE"/>
    <w:rsid w:val="00AC11E5"/>
    <w:rsid w:val="00AD6804"/>
    <w:rsid w:val="00AE0196"/>
    <w:rsid w:val="00AE1372"/>
    <w:rsid w:val="00AE26B5"/>
    <w:rsid w:val="00AE338E"/>
    <w:rsid w:val="00AE51D2"/>
    <w:rsid w:val="00AE5580"/>
    <w:rsid w:val="00AF4D89"/>
    <w:rsid w:val="00AF5197"/>
    <w:rsid w:val="00B0035E"/>
    <w:rsid w:val="00B006B8"/>
    <w:rsid w:val="00B03F5A"/>
    <w:rsid w:val="00B04208"/>
    <w:rsid w:val="00B073BC"/>
    <w:rsid w:val="00B10F84"/>
    <w:rsid w:val="00B21C43"/>
    <w:rsid w:val="00B275F7"/>
    <w:rsid w:val="00B32584"/>
    <w:rsid w:val="00B367A0"/>
    <w:rsid w:val="00B4006D"/>
    <w:rsid w:val="00B4032F"/>
    <w:rsid w:val="00B50CFD"/>
    <w:rsid w:val="00B5137F"/>
    <w:rsid w:val="00B528D2"/>
    <w:rsid w:val="00B5298C"/>
    <w:rsid w:val="00B533F8"/>
    <w:rsid w:val="00B65383"/>
    <w:rsid w:val="00B66145"/>
    <w:rsid w:val="00B66639"/>
    <w:rsid w:val="00B760A4"/>
    <w:rsid w:val="00B905DE"/>
    <w:rsid w:val="00B92CA3"/>
    <w:rsid w:val="00B94849"/>
    <w:rsid w:val="00B95D94"/>
    <w:rsid w:val="00B96FB4"/>
    <w:rsid w:val="00B97989"/>
    <w:rsid w:val="00BA14F3"/>
    <w:rsid w:val="00BA183A"/>
    <w:rsid w:val="00BA65B9"/>
    <w:rsid w:val="00BB1880"/>
    <w:rsid w:val="00BB6B59"/>
    <w:rsid w:val="00BC1174"/>
    <w:rsid w:val="00BC34A1"/>
    <w:rsid w:val="00BE0F5D"/>
    <w:rsid w:val="00BF0876"/>
    <w:rsid w:val="00BF1A26"/>
    <w:rsid w:val="00BF4CB1"/>
    <w:rsid w:val="00C0184E"/>
    <w:rsid w:val="00C0338D"/>
    <w:rsid w:val="00C05012"/>
    <w:rsid w:val="00C1013C"/>
    <w:rsid w:val="00C11795"/>
    <w:rsid w:val="00C21107"/>
    <w:rsid w:val="00C34C92"/>
    <w:rsid w:val="00C3554F"/>
    <w:rsid w:val="00C36A92"/>
    <w:rsid w:val="00C36DA1"/>
    <w:rsid w:val="00C36F28"/>
    <w:rsid w:val="00C375AF"/>
    <w:rsid w:val="00C5188D"/>
    <w:rsid w:val="00C5792E"/>
    <w:rsid w:val="00C6154A"/>
    <w:rsid w:val="00C64593"/>
    <w:rsid w:val="00C67325"/>
    <w:rsid w:val="00C82729"/>
    <w:rsid w:val="00C84E5F"/>
    <w:rsid w:val="00C90644"/>
    <w:rsid w:val="00C92D70"/>
    <w:rsid w:val="00C9338A"/>
    <w:rsid w:val="00C93729"/>
    <w:rsid w:val="00CA32C1"/>
    <w:rsid w:val="00CB0A4C"/>
    <w:rsid w:val="00CB0CEB"/>
    <w:rsid w:val="00CB1849"/>
    <w:rsid w:val="00CB40F7"/>
    <w:rsid w:val="00CB51A6"/>
    <w:rsid w:val="00CC0432"/>
    <w:rsid w:val="00CC15CE"/>
    <w:rsid w:val="00CC1C98"/>
    <w:rsid w:val="00CC699C"/>
    <w:rsid w:val="00CD4292"/>
    <w:rsid w:val="00CE6B75"/>
    <w:rsid w:val="00CE7384"/>
    <w:rsid w:val="00CF032E"/>
    <w:rsid w:val="00CF2D96"/>
    <w:rsid w:val="00CF6369"/>
    <w:rsid w:val="00CF689C"/>
    <w:rsid w:val="00CF7F5F"/>
    <w:rsid w:val="00D0615D"/>
    <w:rsid w:val="00D0660D"/>
    <w:rsid w:val="00D11452"/>
    <w:rsid w:val="00D1193D"/>
    <w:rsid w:val="00D12D90"/>
    <w:rsid w:val="00D209AC"/>
    <w:rsid w:val="00D23EED"/>
    <w:rsid w:val="00D31CFE"/>
    <w:rsid w:val="00D35A4B"/>
    <w:rsid w:val="00D36F95"/>
    <w:rsid w:val="00D42567"/>
    <w:rsid w:val="00D47391"/>
    <w:rsid w:val="00D50FD2"/>
    <w:rsid w:val="00D642C7"/>
    <w:rsid w:val="00D645E3"/>
    <w:rsid w:val="00D6692B"/>
    <w:rsid w:val="00D71CA4"/>
    <w:rsid w:val="00D735E2"/>
    <w:rsid w:val="00D758D0"/>
    <w:rsid w:val="00D75EFC"/>
    <w:rsid w:val="00D81555"/>
    <w:rsid w:val="00D83D6C"/>
    <w:rsid w:val="00D86A4D"/>
    <w:rsid w:val="00D9443D"/>
    <w:rsid w:val="00DA6A34"/>
    <w:rsid w:val="00DA6A53"/>
    <w:rsid w:val="00DC34CB"/>
    <w:rsid w:val="00DC3B29"/>
    <w:rsid w:val="00DC4BE1"/>
    <w:rsid w:val="00DC5BFF"/>
    <w:rsid w:val="00DD10CD"/>
    <w:rsid w:val="00DD3DCF"/>
    <w:rsid w:val="00DD3E3E"/>
    <w:rsid w:val="00DD5C2C"/>
    <w:rsid w:val="00DD7909"/>
    <w:rsid w:val="00DE4203"/>
    <w:rsid w:val="00DE4831"/>
    <w:rsid w:val="00DE6F82"/>
    <w:rsid w:val="00DF22DA"/>
    <w:rsid w:val="00DF598E"/>
    <w:rsid w:val="00DF5B5F"/>
    <w:rsid w:val="00E03D44"/>
    <w:rsid w:val="00E057D6"/>
    <w:rsid w:val="00E129EB"/>
    <w:rsid w:val="00E13FBA"/>
    <w:rsid w:val="00E14C41"/>
    <w:rsid w:val="00E2135F"/>
    <w:rsid w:val="00E27267"/>
    <w:rsid w:val="00E31F22"/>
    <w:rsid w:val="00E36D1A"/>
    <w:rsid w:val="00E41423"/>
    <w:rsid w:val="00E51EAE"/>
    <w:rsid w:val="00E54488"/>
    <w:rsid w:val="00E56979"/>
    <w:rsid w:val="00E60088"/>
    <w:rsid w:val="00E60930"/>
    <w:rsid w:val="00E619A2"/>
    <w:rsid w:val="00E67B61"/>
    <w:rsid w:val="00E74539"/>
    <w:rsid w:val="00E9133A"/>
    <w:rsid w:val="00EA2FA1"/>
    <w:rsid w:val="00EA39B0"/>
    <w:rsid w:val="00EB0448"/>
    <w:rsid w:val="00EB220D"/>
    <w:rsid w:val="00EB3946"/>
    <w:rsid w:val="00EB5425"/>
    <w:rsid w:val="00EB5646"/>
    <w:rsid w:val="00EC14B1"/>
    <w:rsid w:val="00EC14B9"/>
    <w:rsid w:val="00EC18F9"/>
    <w:rsid w:val="00ED3FFA"/>
    <w:rsid w:val="00EE3197"/>
    <w:rsid w:val="00EE4EBF"/>
    <w:rsid w:val="00EE616F"/>
    <w:rsid w:val="00EE6781"/>
    <w:rsid w:val="00EF0639"/>
    <w:rsid w:val="00EF3B55"/>
    <w:rsid w:val="00EF3FD3"/>
    <w:rsid w:val="00EF4478"/>
    <w:rsid w:val="00EF629F"/>
    <w:rsid w:val="00F0072B"/>
    <w:rsid w:val="00F02CBF"/>
    <w:rsid w:val="00F036ED"/>
    <w:rsid w:val="00F0507A"/>
    <w:rsid w:val="00F05301"/>
    <w:rsid w:val="00F11ABD"/>
    <w:rsid w:val="00F211EE"/>
    <w:rsid w:val="00F3181E"/>
    <w:rsid w:val="00F44A3F"/>
    <w:rsid w:val="00F44F5C"/>
    <w:rsid w:val="00F51F3B"/>
    <w:rsid w:val="00F52701"/>
    <w:rsid w:val="00F6290B"/>
    <w:rsid w:val="00F71C1B"/>
    <w:rsid w:val="00F75E09"/>
    <w:rsid w:val="00F764AB"/>
    <w:rsid w:val="00F82D01"/>
    <w:rsid w:val="00F82F0C"/>
    <w:rsid w:val="00F87F67"/>
    <w:rsid w:val="00F92477"/>
    <w:rsid w:val="00FA3386"/>
    <w:rsid w:val="00FA5620"/>
    <w:rsid w:val="00FA63CF"/>
    <w:rsid w:val="00FB0116"/>
    <w:rsid w:val="00FB0F52"/>
    <w:rsid w:val="00FB38A7"/>
    <w:rsid w:val="00FB7029"/>
    <w:rsid w:val="00FB7AEF"/>
    <w:rsid w:val="00FC01BB"/>
    <w:rsid w:val="00FD1C90"/>
    <w:rsid w:val="00FD3917"/>
    <w:rsid w:val="00FD6B1F"/>
    <w:rsid w:val="00FD74BF"/>
    <w:rsid w:val="00FD7739"/>
    <w:rsid w:val="00FE16AD"/>
    <w:rsid w:val="00FE6280"/>
    <w:rsid w:val="00FF0135"/>
    <w:rsid w:val="00FF58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
    <w:qFormat/>
    <w:rsid w:val="00EF629F"/>
    <w:pPr>
      <w:spacing w:after="160"/>
    </w:pPr>
    <w:rPr>
      <w:rFonts w:ascii="Arial" w:eastAsia="ヒラギノ角ゴ Pro W3" w:hAnsi="Arial"/>
      <w:color w:val="000000" w:themeColor="text1"/>
      <w:szCs w:val="24"/>
      <w:lang w:eastAsia="en-US"/>
    </w:rPr>
  </w:style>
  <w:style w:type="paragraph" w:styleId="Heading1">
    <w:name w:val="heading 1"/>
    <w:basedOn w:val="Title"/>
    <w:autoRedefine/>
    <w:qFormat/>
    <w:rsid w:val="00C36A92"/>
    <w:pPr>
      <w:spacing w:before="120" w:after="240"/>
      <w:ind w:right="-52"/>
      <w:outlineLvl w:val="0"/>
    </w:pPr>
    <w:rPr>
      <w:b/>
      <w:color w:val="C00000"/>
      <w:szCs w:val="28"/>
    </w:rPr>
  </w:style>
  <w:style w:type="paragraph" w:styleId="Heading2">
    <w:name w:val="heading 2"/>
    <w:next w:val="Body"/>
    <w:autoRedefine/>
    <w:qFormat/>
    <w:rsid w:val="006A7146"/>
    <w:pPr>
      <w:keepNext/>
      <w:spacing w:before="120" w:after="120"/>
      <w:ind w:left="-284" w:firstLine="284"/>
      <w:outlineLvl w:val="1"/>
    </w:pPr>
    <w:rPr>
      <w:rFonts w:ascii="Arial" w:eastAsia="ヒラギノ角ゴ Pro W3" w:hAnsi="Arial"/>
      <w:b/>
      <w:color w:val="00477D"/>
      <w:sz w:val="32"/>
      <w:szCs w:val="19"/>
      <w:lang w:eastAsia="en-US"/>
    </w:rPr>
  </w:style>
  <w:style w:type="paragraph" w:styleId="Heading3">
    <w:name w:val="heading 3"/>
    <w:next w:val="Body"/>
    <w:link w:val="Heading3Char"/>
    <w:qFormat/>
    <w:rsid w:val="00A154A7"/>
    <w:pPr>
      <w:keepNext/>
      <w:spacing w:before="180"/>
      <w:outlineLvl w:val="2"/>
    </w:pPr>
    <w:rPr>
      <w:rFonts w:ascii="Arial" w:eastAsia="ヒラギノ角ゴ Pro W3" w:hAnsi="Arial"/>
      <w:color w:val="131313"/>
      <w:sz w:val="22"/>
    </w:rPr>
  </w:style>
  <w:style w:type="paragraph" w:styleId="Heading4">
    <w:name w:val="heading 4"/>
    <w:basedOn w:val="Normal"/>
    <w:next w:val="Normal"/>
    <w:qFormat/>
    <w:rsid w:val="00A154A7"/>
    <w:pPr>
      <w:keepNext/>
      <w:spacing w:before="240" w:after="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632"/>
      </w:tabs>
      <w:ind w:firstLine="850"/>
    </w:pPr>
    <w:rPr>
      <w:rFonts w:ascii="Helvetica" w:eastAsia="ヒラギノ角ゴ Pro W3" w:hAnsi="Helvetica"/>
      <w:color w:val="3A3C3B"/>
      <w:sz w:val="16"/>
      <w:lang w:val="en-US"/>
    </w:rPr>
  </w:style>
  <w:style w:type="paragraph" w:customStyle="1" w:styleId="Body">
    <w:name w:val="Body"/>
    <w:link w:val="BodyChar"/>
    <w:rsid w:val="00AE26B5"/>
    <w:pPr>
      <w:spacing w:after="80" w:line="288" w:lineRule="auto"/>
    </w:pPr>
    <w:rPr>
      <w:rFonts w:ascii="Arial" w:eastAsia="ヒラギノ角ゴ Pro W3" w:hAnsi="Arial"/>
      <w:color w:val="333333"/>
    </w:rPr>
  </w:style>
  <w:style w:type="character" w:styleId="CommentReference">
    <w:name w:val="annotation reference"/>
    <w:semiHidden/>
    <w:rsid w:val="009A2515"/>
    <w:rPr>
      <w:sz w:val="16"/>
      <w:szCs w:val="16"/>
    </w:rPr>
  </w:style>
  <w:style w:type="numbering" w:customStyle="1" w:styleId="Bullet">
    <w:name w:val="Bullet"/>
    <w:autoRedefine/>
    <w:rsid w:val="00C93729"/>
    <w:pPr>
      <w:numPr>
        <w:numId w:val="1"/>
      </w:numPr>
    </w:pPr>
  </w:style>
  <w:style w:type="paragraph" w:customStyle="1" w:styleId="Quotestyle">
    <w:name w:val="Quote style"/>
    <w:rsid w:val="006E3AA8"/>
    <w:pPr>
      <w:spacing w:before="180" w:after="180" w:line="288" w:lineRule="auto"/>
    </w:pPr>
    <w:rPr>
      <w:rFonts w:ascii="Arial" w:eastAsia="ヒラギノ角ゴ Pro W3" w:hAnsi="Arial"/>
      <w:b/>
      <w:i/>
      <w:color w:val="333333"/>
      <w:sz w:val="18"/>
    </w:rPr>
  </w:style>
  <w:style w:type="paragraph" w:styleId="CommentText">
    <w:name w:val="annotation text"/>
    <w:basedOn w:val="Normal"/>
    <w:semiHidden/>
    <w:rsid w:val="009A2515"/>
    <w:rPr>
      <w:szCs w:val="20"/>
    </w:rPr>
  </w:style>
  <w:style w:type="paragraph" w:styleId="CommentSubject">
    <w:name w:val="annotation subject"/>
    <w:basedOn w:val="CommentText"/>
    <w:next w:val="CommentText"/>
    <w:semiHidden/>
    <w:rsid w:val="009A2515"/>
    <w:rPr>
      <w:b/>
      <w:bCs/>
    </w:rPr>
  </w:style>
  <w:style w:type="paragraph" w:customStyle="1" w:styleId="TableHeading">
    <w:name w:val="Table Heading"/>
    <w:link w:val="TableHeadingChar"/>
    <w:rsid w:val="00EE3197"/>
    <w:pPr>
      <w:tabs>
        <w:tab w:val="left" w:pos="993"/>
      </w:tabs>
      <w:spacing w:after="180" w:line="288" w:lineRule="auto"/>
      <w:ind w:left="993" w:hanging="993"/>
    </w:pPr>
    <w:rPr>
      <w:rFonts w:ascii="Arial" w:eastAsia="ヒラギノ角ゴ Pro W3" w:hAnsi="Arial"/>
      <w:b/>
      <w:color w:val="3D67B0"/>
    </w:rPr>
  </w:style>
  <w:style w:type="character" w:customStyle="1" w:styleId="bulletNormalChar">
    <w:name w:val="bullet Normal Char"/>
    <w:link w:val="bulletNormal"/>
    <w:rsid w:val="00903984"/>
    <w:rPr>
      <w:rFonts w:ascii="Arial" w:eastAsia="ヒラギノ角ゴ Pro W3" w:hAnsi="Arial"/>
      <w:color w:val="333333"/>
      <w:lang w:eastAsia="en-AU"/>
    </w:rPr>
  </w:style>
  <w:style w:type="paragraph" w:customStyle="1" w:styleId="TableBold">
    <w:name w:val="Table Bold"/>
    <w:rsid w:val="009610F2"/>
    <w:pPr>
      <w:keepNext/>
    </w:pPr>
    <w:rPr>
      <w:rFonts w:ascii="Arial" w:eastAsia="ヒラギノ角ゴ Pro W3" w:hAnsi="Arial"/>
      <w:b/>
      <w:color w:val="000000"/>
    </w:rPr>
  </w:style>
  <w:style w:type="paragraph" w:customStyle="1" w:styleId="TableBody">
    <w:name w:val="Table Body"/>
    <w:rsid w:val="009610F2"/>
    <w:pPr>
      <w:spacing w:after="180" w:line="288" w:lineRule="auto"/>
      <w:jc w:val="right"/>
    </w:pPr>
    <w:rPr>
      <w:rFonts w:ascii="Arial" w:eastAsia="ヒラギノ角ゴ Pro W3" w:hAnsi="Arial"/>
      <w:color w:val="3B3C3C"/>
    </w:rPr>
  </w:style>
  <w:style w:type="paragraph" w:customStyle="1" w:styleId="TableSource">
    <w:name w:val="Table Source"/>
    <w:link w:val="TableSourceChar"/>
    <w:pPr>
      <w:spacing w:after="180" w:line="288" w:lineRule="auto"/>
    </w:pPr>
    <w:rPr>
      <w:rFonts w:ascii="Arial" w:eastAsia="ヒラギノ角ゴ Pro W3" w:hAnsi="Arial"/>
      <w:color w:val="3B3C3C"/>
      <w:sz w:val="16"/>
      <w:lang w:val="en-US"/>
    </w:rPr>
  </w:style>
  <w:style w:type="character" w:customStyle="1" w:styleId="Unknown0">
    <w:name w:val="Unknown 0"/>
    <w:semiHidden/>
    <w:rPr>
      <w:caps w:val="0"/>
      <w:smallCaps w:val="0"/>
      <w:strike w:val="0"/>
      <w:dstrike w:val="0"/>
      <w:vanish w:val="0"/>
      <w:color w:val="3B3C3C"/>
      <w:spacing w:val="0"/>
      <w:kern w:val="0"/>
      <w:position w:val="0"/>
      <w:sz w:val="18"/>
      <w:u w:val="none"/>
      <w:shd w:val="clear" w:color="auto" w:fill="auto"/>
      <w:vertAlign w:val="baseline"/>
      <w:lang w:val="en-US"/>
      <w14:textOutline w14:w="0" w14:cap="rnd" w14:cmpd="sng" w14:algn="ctr">
        <w14:noFill/>
        <w14:prstDash w14:val="solid"/>
        <w14:bevel/>
      </w14:textOutline>
    </w:rPr>
  </w:style>
  <w:style w:type="paragraph" w:customStyle="1" w:styleId="ImprintText">
    <w:name w:val="Imprint Text"/>
    <w:autoRedefine/>
    <w:pPr>
      <w:spacing w:after="180" w:line="288" w:lineRule="auto"/>
    </w:pPr>
    <w:rPr>
      <w:rFonts w:ascii="Arial" w:eastAsia="ヒラギノ角ゴ Pro W3" w:hAnsi="Arial"/>
      <w:color w:val="3B3C3C"/>
      <w:sz w:val="16"/>
      <w:lang w:val="en-US"/>
    </w:rPr>
  </w:style>
  <w:style w:type="paragraph" w:styleId="Title">
    <w:name w:val="Title"/>
    <w:qFormat/>
    <w:rsid w:val="00A154A7"/>
    <w:pPr>
      <w:spacing w:line="480" w:lineRule="atLeast"/>
    </w:pPr>
    <w:rPr>
      <w:rFonts w:ascii="Arial" w:eastAsia="ヒラギノ角ゴ Pro W3" w:hAnsi="Arial"/>
      <w:color w:val="3D67B0"/>
      <w:spacing w:val="-9"/>
      <w:sz w:val="44"/>
      <w:szCs w:val="44"/>
    </w:rPr>
  </w:style>
  <w:style w:type="paragraph" w:customStyle="1" w:styleId="TitleSubhead">
    <w:name w:val="Title Subhead"/>
    <w:rsid w:val="00116C2C"/>
    <w:pPr>
      <w:spacing w:before="57" w:line="330" w:lineRule="atLeast"/>
    </w:pPr>
    <w:rPr>
      <w:rFonts w:ascii="Arial" w:eastAsia="ヒラギノ角ゴ Pro W3" w:hAnsi="Arial"/>
      <w:color w:val="4F5150"/>
      <w:spacing w:val="-6"/>
      <w:sz w:val="28"/>
    </w:rPr>
  </w:style>
  <w:style w:type="paragraph" w:styleId="Header">
    <w:name w:val="header"/>
    <w:basedOn w:val="Normal"/>
    <w:rsid w:val="00DD10CD"/>
    <w:pPr>
      <w:tabs>
        <w:tab w:val="center" w:pos="4153"/>
        <w:tab w:val="right" w:pos="8306"/>
      </w:tabs>
    </w:pPr>
  </w:style>
  <w:style w:type="paragraph" w:styleId="Footer">
    <w:name w:val="footer"/>
    <w:basedOn w:val="Normal"/>
    <w:rsid w:val="00DD10CD"/>
    <w:pPr>
      <w:tabs>
        <w:tab w:val="center" w:pos="4153"/>
        <w:tab w:val="right" w:pos="8306"/>
      </w:tabs>
    </w:pPr>
  </w:style>
  <w:style w:type="paragraph" w:customStyle="1" w:styleId="bulletNormal">
    <w:name w:val="bullet Normal"/>
    <w:basedOn w:val="Normal"/>
    <w:link w:val="bulletNormalChar"/>
    <w:rsid w:val="00903984"/>
    <w:pPr>
      <w:numPr>
        <w:numId w:val="3"/>
      </w:numPr>
      <w:spacing w:after="80" w:line="288" w:lineRule="auto"/>
    </w:pPr>
    <w:rPr>
      <w:color w:val="333333"/>
      <w:szCs w:val="20"/>
      <w:lang w:eastAsia="en-AU"/>
    </w:rPr>
  </w:style>
  <w:style w:type="paragraph" w:customStyle="1" w:styleId="CopyrightDetails">
    <w:name w:val="Copyright Details"/>
    <w:basedOn w:val="Normal"/>
    <w:rsid w:val="001752FF"/>
    <w:pPr>
      <w:spacing w:line="260" w:lineRule="exact"/>
      <w:ind w:right="3820"/>
    </w:pPr>
    <w:rPr>
      <w:rFonts w:eastAsia="Times New Roman"/>
      <w:color w:val="747378"/>
      <w:sz w:val="18"/>
      <w:lang w:eastAsia="en-AU"/>
    </w:rPr>
  </w:style>
  <w:style w:type="paragraph" w:styleId="TOC1">
    <w:name w:val="toc 1"/>
    <w:basedOn w:val="Normal"/>
    <w:next w:val="Normal"/>
    <w:autoRedefine/>
    <w:uiPriority w:val="39"/>
    <w:rsid w:val="004165E3"/>
    <w:pPr>
      <w:tabs>
        <w:tab w:val="right" w:leader="dot" w:pos="6503"/>
      </w:tabs>
      <w:spacing w:before="120" w:after="120"/>
    </w:pPr>
  </w:style>
  <w:style w:type="paragraph" w:styleId="TOC2">
    <w:name w:val="toc 2"/>
    <w:basedOn w:val="Normal"/>
    <w:next w:val="Normal"/>
    <w:autoRedefine/>
    <w:uiPriority w:val="39"/>
    <w:rsid w:val="004165E3"/>
    <w:pPr>
      <w:tabs>
        <w:tab w:val="right" w:leader="dot" w:pos="6503"/>
      </w:tabs>
      <w:ind w:left="238"/>
    </w:pPr>
  </w:style>
  <w:style w:type="character" w:styleId="Hyperlink">
    <w:name w:val="Hyperlink"/>
    <w:uiPriority w:val="99"/>
    <w:rsid w:val="00785558"/>
    <w:rPr>
      <w:color w:val="0000FF"/>
      <w:u w:val="single"/>
    </w:rPr>
  </w:style>
  <w:style w:type="paragraph" w:customStyle="1" w:styleId="subbullet">
    <w:name w:val="sub bullet"/>
    <w:basedOn w:val="Normal"/>
    <w:rsid w:val="00E36D1A"/>
    <w:pPr>
      <w:numPr>
        <w:numId w:val="12"/>
      </w:numPr>
      <w:tabs>
        <w:tab w:val="clear" w:pos="951"/>
      </w:tabs>
      <w:spacing w:after="80"/>
      <w:ind w:left="709" w:hanging="283"/>
    </w:pPr>
    <w:rPr>
      <w:rFonts w:cs="Arial"/>
      <w:szCs w:val="19"/>
    </w:rPr>
  </w:style>
  <w:style w:type="paragraph" w:styleId="BalloonText">
    <w:name w:val="Balloon Text"/>
    <w:basedOn w:val="Normal"/>
    <w:semiHidden/>
    <w:rsid w:val="00A52AD7"/>
    <w:rPr>
      <w:rFonts w:ascii="Tahoma" w:hAnsi="Tahoma" w:cs="Tahoma"/>
      <w:sz w:val="16"/>
      <w:szCs w:val="16"/>
    </w:rPr>
  </w:style>
  <w:style w:type="paragraph" w:styleId="TOC3">
    <w:name w:val="toc 3"/>
    <w:basedOn w:val="Normal"/>
    <w:next w:val="Normal"/>
    <w:autoRedefine/>
    <w:uiPriority w:val="39"/>
    <w:rsid w:val="004D56B8"/>
    <w:pPr>
      <w:tabs>
        <w:tab w:val="left" w:pos="6503"/>
      </w:tabs>
      <w:ind w:left="480"/>
    </w:pPr>
  </w:style>
  <w:style w:type="table" w:styleId="TableGrid">
    <w:name w:val="Table Grid"/>
    <w:basedOn w:val="TableNormal"/>
    <w:rsid w:val="00FD7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154A7"/>
    <w:rPr>
      <w:rFonts w:ascii="Arial" w:eastAsia="ヒラギノ角ゴ Pro W3" w:hAnsi="Arial"/>
      <w:color w:val="131313"/>
      <w:sz w:val="22"/>
      <w:lang w:val="en-AU" w:eastAsia="en-AU" w:bidi="ar-SA"/>
    </w:rPr>
  </w:style>
  <w:style w:type="character" w:customStyle="1" w:styleId="BodyChar">
    <w:name w:val="Body Char"/>
    <w:link w:val="Body"/>
    <w:rsid w:val="00AE26B5"/>
    <w:rPr>
      <w:rFonts w:ascii="Arial" w:eastAsia="ヒラギノ角ゴ Pro W3" w:hAnsi="Arial"/>
      <w:color w:val="333333"/>
      <w:lang w:val="en-AU" w:eastAsia="en-AU" w:bidi="ar-SA"/>
    </w:rPr>
  </w:style>
  <w:style w:type="character" w:customStyle="1" w:styleId="TableHeadingChar">
    <w:name w:val="Table Heading Char"/>
    <w:link w:val="TableHeading"/>
    <w:rsid w:val="00EE3197"/>
    <w:rPr>
      <w:rFonts w:ascii="Arial" w:eastAsia="ヒラギノ角ゴ Pro W3" w:hAnsi="Arial"/>
      <w:b/>
      <w:color w:val="3D67B0"/>
      <w:lang w:val="en-AU" w:eastAsia="en-AU" w:bidi="ar-SA"/>
    </w:rPr>
  </w:style>
  <w:style w:type="character" w:customStyle="1" w:styleId="TableSourceChar">
    <w:name w:val="Table Source Char"/>
    <w:link w:val="TableSource"/>
    <w:rsid w:val="005034CD"/>
    <w:rPr>
      <w:rFonts w:ascii="Arial" w:eastAsia="ヒラギノ角ゴ Pro W3" w:hAnsi="Arial"/>
      <w:color w:val="3B3C3C"/>
      <w:sz w:val="16"/>
      <w:lang w:val="en-US" w:eastAsia="en-AU" w:bidi="ar-SA"/>
    </w:rPr>
  </w:style>
  <w:style w:type="paragraph" w:customStyle="1" w:styleId="TableofContents">
    <w:name w:val="Table of Contents"/>
    <w:basedOn w:val="TOC1"/>
    <w:rsid w:val="00CF6369"/>
    <w:pPr>
      <w:spacing w:after="60" w:line="360" w:lineRule="auto"/>
    </w:pPr>
    <w:rPr>
      <w:noProof/>
      <w:sz w:val="22"/>
      <w:szCs w:val="22"/>
    </w:rPr>
  </w:style>
  <w:style w:type="paragraph" w:customStyle="1" w:styleId="ReportTitle">
    <w:name w:val="Report Title"/>
    <w:basedOn w:val="Normal"/>
    <w:rsid w:val="004D513B"/>
    <w:pPr>
      <w:spacing w:after="35" w:line="480" w:lineRule="exact"/>
    </w:pPr>
    <w:rPr>
      <w:rFonts w:eastAsia="Times New Roman"/>
      <w:color w:val="054196"/>
      <w:spacing w:val="-12"/>
      <w:sz w:val="46"/>
      <w:szCs w:val="46"/>
    </w:rPr>
  </w:style>
  <w:style w:type="paragraph" w:customStyle="1" w:styleId="ReportSub-Title">
    <w:name w:val="Report Sub-Title"/>
    <w:basedOn w:val="Normal"/>
    <w:rsid w:val="004D513B"/>
    <w:pPr>
      <w:spacing w:after="210" w:line="330" w:lineRule="exact"/>
    </w:pPr>
    <w:rPr>
      <w:rFonts w:eastAsia="Times New Roman"/>
      <w:color w:val="808080"/>
      <w:spacing w:val="-6"/>
      <w:sz w:val="28"/>
      <w:szCs w:val="28"/>
    </w:rPr>
  </w:style>
  <w:style w:type="paragraph" w:styleId="NormalWeb">
    <w:name w:val="Normal (Web)"/>
    <w:basedOn w:val="Normal"/>
    <w:uiPriority w:val="99"/>
    <w:unhideWhenUsed/>
    <w:rsid w:val="00350394"/>
    <w:pPr>
      <w:spacing w:before="100" w:beforeAutospacing="1" w:after="100" w:afterAutospacing="1"/>
    </w:pPr>
    <w:rPr>
      <w:rFonts w:ascii="Times New Roman" w:eastAsia="Times New Roman" w:hAnsi="Times New Roman"/>
      <w:color w:val="auto"/>
      <w:sz w:val="24"/>
      <w:lang w:eastAsia="en-AU"/>
    </w:rPr>
  </w:style>
  <w:style w:type="paragraph" w:styleId="FootnoteText">
    <w:name w:val="footnote text"/>
    <w:basedOn w:val="Normal"/>
    <w:link w:val="FootnoteTextChar"/>
    <w:rsid w:val="007B67E2"/>
    <w:rPr>
      <w:rFonts w:ascii="Times New Roman" w:eastAsia="Times New Roman" w:hAnsi="Times New Roman"/>
      <w:color w:val="auto"/>
      <w:szCs w:val="20"/>
      <w:lang w:eastAsia="en-AU"/>
    </w:rPr>
  </w:style>
  <w:style w:type="character" w:customStyle="1" w:styleId="FootnoteTextChar">
    <w:name w:val="Footnote Text Char"/>
    <w:basedOn w:val="DefaultParagraphFont"/>
    <w:link w:val="FootnoteText"/>
    <w:rsid w:val="007B67E2"/>
  </w:style>
  <w:style w:type="character" w:styleId="FootnoteReference">
    <w:name w:val="footnote reference"/>
    <w:rsid w:val="007B67E2"/>
    <w:rPr>
      <w:vertAlign w:val="superscript"/>
    </w:rPr>
  </w:style>
  <w:style w:type="paragraph" w:styleId="ListParagraph">
    <w:name w:val="List Paragraph"/>
    <w:basedOn w:val="Normal"/>
    <w:uiPriority w:val="34"/>
    <w:qFormat/>
    <w:rsid w:val="00EF629F"/>
    <w:pPr>
      <w:ind w:left="720"/>
      <w:contextualSpacing/>
    </w:pPr>
  </w:style>
  <w:style w:type="table" w:styleId="LightList-Accent1">
    <w:name w:val="Light List Accent 1"/>
    <w:basedOn w:val="TableNormal"/>
    <w:uiPriority w:val="61"/>
    <w:rsid w:val="00B6614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
    <w:qFormat/>
    <w:rsid w:val="00EF629F"/>
    <w:pPr>
      <w:spacing w:after="160"/>
    </w:pPr>
    <w:rPr>
      <w:rFonts w:ascii="Arial" w:eastAsia="ヒラギノ角ゴ Pro W3" w:hAnsi="Arial"/>
      <w:color w:val="000000" w:themeColor="text1"/>
      <w:szCs w:val="24"/>
      <w:lang w:eastAsia="en-US"/>
    </w:rPr>
  </w:style>
  <w:style w:type="paragraph" w:styleId="Heading1">
    <w:name w:val="heading 1"/>
    <w:basedOn w:val="Title"/>
    <w:autoRedefine/>
    <w:qFormat/>
    <w:rsid w:val="00C36A92"/>
    <w:pPr>
      <w:spacing w:before="120" w:after="240"/>
      <w:ind w:right="-52"/>
      <w:outlineLvl w:val="0"/>
    </w:pPr>
    <w:rPr>
      <w:b/>
      <w:color w:val="C00000"/>
      <w:szCs w:val="28"/>
    </w:rPr>
  </w:style>
  <w:style w:type="paragraph" w:styleId="Heading2">
    <w:name w:val="heading 2"/>
    <w:next w:val="Body"/>
    <w:autoRedefine/>
    <w:qFormat/>
    <w:rsid w:val="006A7146"/>
    <w:pPr>
      <w:keepNext/>
      <w:spacing w:before="120" w:after="120"/>
      <w:ind w:left="-284" w:firstLine="284"/>
      <w:outlineLvl w:val="1"/>
    </w:pPr>
    <w:rPr>
      <w:rFonts w:ascii="Arial" w:eastAsia="ヒラギノ角ゴ Pro W3" w:hAnsi="Arial"/>
      <w:b/>
      <w:color w:val="00477D"/>
      <w:sz w:val="32"/>
      <w:szCs w:val="19"/>
      <w:lang w:eastAsia="en-US"/>
    </w:rPr>
  </w:style>
  <w:style w:type="paragraph" w:styleId="Heading3">
    <w:name w:val="heading 3"/>
    <w:next w:val="Body"/>
    <w:link w:val="Heading3Char"/>
    <w:qFormat/>
    <w:rsid w:val="00A154A7"/>
    <w:pPr>
      <w:keepNext/>
      <w:spacing w:before="180"/>
      <w:outlineLvl w:val="2"/>
    </w:pPr>
    <w:rPr>
      <w:rFonts w:ascii="Arial" w:eastAsia="ヒラギノ角ゴ Pro W3" w:hAnsi="Arial"/>
      <w:color w:val="131313"/>
      <w:sz w:val="22"/>
    </w:rPr>
  </w:style>
  <w:style w:type="paragraph" w:styleId="Heading4">
    <w:name w:val="heading 4"/>
    <w:basedOn w:val="Normal"/>
    <w:next w:val="Normal"/>
    <w:qFormat/>
    <w:rsid w:val="00A154A7"/>
    <w:pPr>
      <w:keepNext/>
      <w:spacing w:before="240" w:after="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632"/>
      </w:tabs>
      <w:ind w:firstLine="850"/>
    </w:pPr>
    <w:rPr>
      <w:rFonts w:ascii="Helvetica" w:eastAsia="ヒラギノ角ゴ Pro W3" w:hAnsi="Helvetica"/>
      <w:color w:val="3A3C3B"/>
      <w:sz w:val="16"/>
      <w:lang w:val="en-US"/>
    </w:rPr>
  </w:style>
  <w:style w:type="paragraph" w:customStyle="1" w:styleId="Body">
    <w:name w:val="Body"/>
    <w:link w:val="BodyChar"/>
    <w:rsid w:val="00AE26B5"/>
    <w:pPr>
      <w:spacing w:after="80" w:line="288" w:lineRule="auto"/>
    </w:pPr>
    <w:rPr>
      <w:rFonts w:ascii="Arial" w:eastAsia="ヒラギノ角ゴ Pro W3" w:hAnsi="Arial"/>
      <w:color w:val="333333"/>
    </w:rPr>
  </w:style>
  <w:style w:type="character" w:styleId="CommentReference">
    <w:name w:val="annotation reference"/>
    <w:semiHidden/>
    <w:rsid w:val="009A2515"/>
    <w:rPr>
      <w:sz w:val="16"/>
      <w:szCs w:val="16"/>
    </w:rPr>
  </w:style>
  <w:style w:type="numbering" w:customStyle="1" w:styleId="Bullet">
    <w:name w:val="Bullet"/>
    <w:autoRedefine/>
    <w:rsid w:val="00C93729"/>
    <w:pPr>
      <w:numPr>
        <w:numId w:val="1"/>
      </w:numPr>
    </w:pPr>
  </w:style>
  <w:style w:type="paragraph" w:customStyle="1" w:styleId="Quotestyle">
    <w:name w:val="Quote style"/>
    <w:rsid w:val="006E3AA8"/>
    <w:pPr>
      <w:spacing w:before="180" w:after="180" w:line="288" w:lineRule="auto"/>
    </w:pPr>
    <w:rPr>
      <w:rFonts w:ascii="Arial" w:eastAsia="ヒラギノ角ゴ Pro W3" w:hAnsi="Arial"/>
      <w:b/>
      <w:i/>
      <w:color w:val="333333"/>
      <w:sz w:val="18"/>
    </w:rPr>
  </w:style>
  <w:style w:type="paragraph" w:styleId="CommentText">
    <w:name w:val="annotation text"/>
    <w:basedOn w:val="Normal"/>
    <w:semiHidden/>
    <w:rsid w:val="009A2515"/>
    <w:rPr>
      <w:szCs w:val="20"/>
    </w:rPr>
  </w:style>
  <w:style w:type="paragraph" w:styleId="CommentSubject">
    <w:name w:val="annotation subject"/>
    <w:basedOn w:val="CommentText"/>
    <w:next w:val="CommentText"/>
    <w:semiHidden/>
    <w:rsid w:val="009A2515"/>
    <w:rPr>
      <w:b/>
      <w:bCs/>
    </w:rPr>
  </w:style>
  <w:style w:type="paragraph" w:customStyle="1" w:styleId="TableHeading">
    <w:name w:val="Table Heading"/>
    <w:link w:val="TableHeadingChar"/>
    <w:rsid w:val="00EE3197"/>
    <w:pPr>
      <w:tabs>
        <w:tab w:val="left" w:pos="993"/>
      </w:tabs>
      <w:spacing w:after="180" w:line="288" w:lineRule="auto"/>
      <w:ind w:left="993" w:hanging="993"/>
    </w:pPr>
    <w:rPr>
      <w:rFonts w:ascii="Arial" w:eastAsia="ヒラギノ角ゴ Pro W3" w:hAnsi="Arial"/>
      <w:b/>
      <w:color w:val="3D67B0"/>
    </w:rPr>
  </w:style>
  <w:style w:type="character" w:customStyle="1" w:styleId="bulletNormalChar">
    <w:name w:val="bullet Normal Char"/>
    <w:link w:val="bulletNormal"/>
    <w:rsid w:val="00903984"/>
    <w:rPr>
      <w:rFonts w:ascii="Arial" w:eastAsia="ヒラギノ角ゴ Pro W3" w:hAnsi="Arial"/>
      <w:color w:val="333333"/>
      <w:lang w:eastAsia="en-AU"/>
    </w:rPr>
  </w:style>
  <w:style w:type="paragraph" w:customStyle="1" w:styleId="TableBold">
    <w:name w:val="Table Bold"/>
    <w:rsid w:val="009610F2"/>
    <w:pPr>
      <w:keepNext/>
    </w:pPr>
    <w:rPr>
      <w:rFonts w:ascii="Arial" w:eastAsia="ヒラギノ角ゴ Pro W3" w:hAnsi="Arial"/>
      <w:b/>
      <w:color w:val="000000"/>
    </w:rPr>
  </w:style>
  <w:style w:type="paragraph" w:customStyle="1" w:styleId="TableBody">
    <w:name w:val="Table Body"/>
    <w:rsid w:val="009610F2"/>
    <w:pPr>
      <w:spacing w:after="180" w:line="288" w:lineRule="auto"/>
      <w:jc w:val="right"/>
    </w:pPr>
    <w:rPr>
      <w:rFonts w:ascii="Arial" w:eastAsia="ヒラギノ角ゴ Pro W3" w:hAnsi="Arial"/>
      <w:color w:val="3B3C3C"/>
    </w:rPr>
  </w:style>
  <w:style w:type="paragraph" w:customStyle="1" w:styleId="TableSource">
    <w:name w:val="Table Source"/>
    <w:link w:val="TableSourceChar"/>
    <w:pPr>
      <w:spacing w:after="180" w:line="288" w:lineRule="auto"/>
    </w:pPr>
    <w:rPr>
      <w:rFonts w:ascii="Arial" w:eastAsia="ヒラギノ角ゴ Pro W3" w:hAnsi="Arial"/>
      <w:color w:val="3B3C3C"/>
      <w:sz w:val="16"/>
      <w:lang w:val="en-US"/>
    </w:rPr>
  </w:style>
  <w:style w:type="character" w:customStyle="1" w:styleId="Unknown0">
    <w:name w:val="Unknown 0"/>
    <w:semiHidden/>
    <w:rPr>
      <w:caps w:val="0"/>
      <w:smallCaps w:val="0"/>
      <w:strike w:val="0"/>
      <w:dstrike w:val="0"/>
      <w:vanish w:val="0"/>
      <w:color w:val="3B3C3C"/>
      <w:spacing w:val="0"/>
      <w:kern w:val="0"/>
      <w:position w:val="0"/>
      <w:sz w:val="18"/>
      <w:u w:val="none"/>
      <w:shd w:val="clear" w:color="auto" w:fill="auto"/>
      <w:vertAlign w:val="baseline"/>
      <w:lang w:val="en-US"/>
      <w14:textOutline w14:w="0" w14:cap="rnd" w14:cmpd="sng" w14:algn="ctr">
        <w14:noFill/>
        <w14:prstDash w14:val="solid"/>
        <w14:bevel/>
      </w14:textOutline>
    </w:rPr>
  </w:style>
  <w:style w:type="paragraph" w:customStyle="1" w:styleId="ImprintText">
    <w:name w:val="Imprint Text"/>
    <w:autoRedefine/>
    <w:pPr>
      <w:spacing w:after="180" w:line="288" w:lineRule="auto"/>
    </w:pPr>
    <w:rPr>
      <w:rFonts w:ascii="Arial" w:eastAsia="ヒラギノ角ゴ Pro W3" w:hAnsi="Arial"/>
      <w:color w:val="3B3C3C"/>
      <w:sz w:val="16"/>
      <w:lang w:val="en-US"/>
    </w:rPr>
  </w:style>
  <w:style w:type="paragraph" w:styleId="Title">
    <w:name w:val="Title"/>
    <w:qFormat/>
    <w:rsid w:val="00A154A7"/>
    <w:pPr>
      <w:spacing w:line="480" w:lineRule="atLeast"/>
    </w:pPr>
    <w:rPr>
      <w:rFonts w:ascii="Arial" w:eastAsia="ヒラギノ角ゴ Pro W3" w:hAnsi="Arial"/>
      <w:color w:val="3D67B0"/>
      <w:spacing w:val="-9"/>
      <w:sz w:val="44"/>
      <w:szCs w:val="44"/>
    </w:rPr>
  </w:style>
  <w:style w:type="paragraph" w:customStyle="1" w:styleId="TitleSubhead">
    <w:name w:val="Title Subhead"/>
    <w:rsid w:val="00116C2C"/>
    <w:pPr>
      <w:spacing w:before="57" w:line="330" w:lineRule="atLeast"/>
    </w:pPr>
    <w:rPr>
      <w:rFonts w:ascii="Arial" w:eastAsia="ヒラギノ角ゴ Pro W3" w:hAnsi="Arial"/>
      <w:color w:val="4F5150"/>
      <w:spacing w:val="-6"/>
      <w:sz w:val="28"/>
    </w:rPr>
  </w:style>
  <w:style w:type="paragraph" w:styleId="Header">
    <w:name w:val="header"/>
    <w:basedOn w:val="Normal"/>
    <w:rsid w:val="00DD10CD"/>
    <w:pPr>
      <w:tabs>
        <w:tab w:val="center" w:pos="4153"/>
        <w:tab w:val="right" w:pos="8306"/>
      </w:tabs>
    </w:pPr>
  </w:style>
  <w:style w:type="paragraph" w:styleId="Footer">
    <w:name w:val="footer"/>
    <w:basedOn w:val="Normal"/>
    <w:rsid w:val="00DD10CD"/>
    <w:pPr>
      <w:tabs>
        <w:tab w:val="center" w:pos="4153"/>
        <w:tab w:val="right" w:pos="8306"/>
      </w:tabs>
    </w:pPr>
  </w:style>
  <w:style w:type="paragraph" w:customStyle="1" w:styleId="bulletNormal">
    <w:name w:val="bullet Normal"/>
    <w:basedOn w:val="Normal"/>
    <w:link w:val="bulletNormalChar"/>
    <w:rsid w:val="00903984"/>
    <w:pPr>
      <w:numPr>
        <w:numId w:val="3"/>
      </w:numPr>
      <w:spacing w:after="80" w:line="288" w:lineRule="auto"/>
    </w:pPr>
    <w:rPr>
      <w:color w:val="333333"/>
      <w:szCs w:val="20"/>
      <w:lang w:eastAsia="en-AU"/>
    </w:rPr>
  </w:style>
  <w:style w:type="paragraph" w:customStyle="1" w:styleId="CopyrightDetails">
    <w:name w:val="Copyright Details"/>
    <w:basedOn w:val="Normal"/>
    <w:rsid w:val="001752FF"/>
    <w:pPr>
      <w:spacing w:line="260" w:lineRule="exact"/>
      <w:ind w:right="3820"/>
    </w:pPr>
    <w:rPr>
      <w:rFonts w:eastAsia="Times New Roman"/>
      <w:color w:val="747378"/>
      <w:sz w:val="18"/>
      <w:lang w:eastAsia="en-AU"/>
    </w:rPr>
  </w:style>
  <w:style w:type="paragraph" w:styleId="TOC1">
    <w:name w:val="toc 1"/>
    <w:basedOn w:val="Normal"/>
    <w:next w:val="Normal"/>
    <w:autoRedefine/>
    <w:uiPriority w:val="39"/>
    <w:rsid w:val="004165E3"/>
    <w:pPr>
      <w:tabs>
        <w:tab w:val="right" w:leader="dot" w:pos="6503"/>
      </w:tabs>
      <w:spacing w:before="120" w:after="120"/>
    </w:pPr>
  </w:style>
  <w:style w:type="paragraph" w:styleId="TOC2">
    <w:name w:val="toc 2"/>
    <w:basedOn w:val="Normal"/>
    <w:next w:val="Normal"/>
    <w:autoRedefine/>
    <w:uiPriority w:val="39"/>
    <w:rsid w:val="004165E3"/>
    <w:pPr>
      <w:tabs>
        <w:tab w:val="right" w:leader="dot" w:pos="6503"/>
      </w:tabs>
      <w:ind w:left="238"/>
    </w:pPr>
  </w:style>
  <w:style w:type="character" w:styleId="Hyperlink">
    <w:name w:val="Hyperlink"/>
    <w:uiPriority w:val="99"/>
    <w:rsid w:val="00785558"/>
    <w:rPr>
      <w:color w:val="0000FF"/>
      <w:u w:val="single"/>
    </w:rPr>
  </w:style>
  <w:style w:type="paragraph" w:customStyle="1" w:styleId="subbullet">
    <w:name w:val="sub bullet"/>
    <w:basedOn w:val="Normal"/>
    <w:rsid w:val="00E36D1A"/>
    <w:pPr>
      <w:numPr>
        <w:numId w:val="12"/>
      </w:numPr>
      <w:tabs>
        <w:tab w:val="clear" w:pos="951"/>
      </w:tabs>
      <w:spacing w:after="80"/>
      <w:ind w:left="709" w:hanging="283"/>
    </w:pPr>
    <w:rPr>
      <w:rFonts w:cs="Arial"/>
      <w:szCs w:val="19"/>
    </w:rPr>
  </w:style>
  <w:style w:type="paragraph" w:styleId="BalloonText">
    <w:name w:val="Balloon Text"/>
    <w:basedOn w:val="Normal"/>
    <w:semiHidden/>
    <w:rsid w:val="00A52AD7"/>
    <w:rPr>
      <w:rFonts w:ascii="Tahoma" w:hAnsi="Tahoma" w:cs="Tahoma"/>
      <w:sz w:val="16"/>
      <w:szCs w:val="16"/>
    </w:rPr>
  </w:style>
  <w:style w:type="paragraph" w:styleId="TOC3">
    <w:name w:val="toc 3"/>
    <w:basedOn w:val="Normal"/>
    <w:next w:val="Normal"/>
    <w:autoRedefine/>
    <w:uiPriority w:val="39"/>
    <w:rsid w:val="004D56B8"/>
    <w:pPr>
      <w:tabs>
        <w:tab w:val="left" w:pos="6503"/>
      </w:tabs>
      <w:ind w:left="480"/>
    </w:pPr>
  </w:style>
  <w:style w:type="table" w:styleId="TableGrid">
    <w:name w:val="Table Grid"/>
    <w:basedOn w:val="TableNormal"/>
    <w:rsid w:val="00FD7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154A7"/>
    <w:rPr>
      <w:rFonts w:ascii="Arial" w:eastAsia="ヒラギノ角ゴ Pro W3" w:hAnsi="Arial"/>
      <w:color w:val="131313"/>
      <w:sz w:val="22"/>
      <w:lang w:val="en-AU" w:eastAsia="en-AU" w:bidi="ar-SA"/>
    </w:rPr>
  </w:style>
  <w:style w:type="character" w:customStyle="1" w:styleId="BodyChar">
    <w:name w:val="Body Char"/>
    <w:link w:val="Body"/>
    <w:rsid w:val="00AE26B5"/>
    <w:rPr>
      <w:rFonts w:ascii="Arial" w:eastAsia="ヒラギノ角ゴ Pro W3" w:hAnsi="Arial"/>
      <w:color w:val="333333"/>
      <w:lang w:val="en-AU" w:eastAsia="en-AU" w:bidi="ar-SA"/>
    </w:rPr>
  </w:style>
  <w:style w:type="character" w:customStyle="1" w:styleId="TableHeadingChar">
    <w:name w:val="Table Heading Char"/>
    <w:link w:val="TableHeading"/>
    <w:rsid w:val="00EE3197"/>
    <w:rPr>
      <w:rFonts w:ascii="Arial" w:eastAsia="ヒラギノ角ゴ Pro W3" w:hAnsi="Arial"/>
      <w:b/>
      <w:color w:val="3D67B0"/>
      <w:lang w:val="en-AU" w:eastAsia="en-AU" w:bidi="ar-SA"/>
    </w:rPr>
  </w:style>
  <w:style w:type="character" w:customStyle="1" w:styleId="TableSourceChar">
    <w:name w:val="Table Source Char"/>
    <w:link w:val="TableSource"/>
    <w:rsid w:val="005034CD"/>
    <w:rPr>
      <w:rFonts w:ascii="Arial" w:eastAsia="ヒラギノ角ゴ Pro W3" w:hAnsi="Arial"/>
      <w:color w:val="3B3C3C"/>
      <w:sz w:val="16"/>
      <w:lang w:val="en-US" w:eastAsia="en-AU" w:bidi="ar-SA"/>
    </w:rPr>
  </w:style>
  <w:style w:type="paragraph" w:customStyle="1" w:styleId="TableofContents">
    <w:name w:val="Table of Contents"/>
    <w:basedOn w:val="TOC1"/>
    <w:rsid w:val="00CF6369"/>
    <w:pPr>
      <w:spacing w:after="60" w:line="360" w:lineRule="auto"/>
    </w:pPr>
    <w:rPr>
      <w:noProof/>
      <w:sz w:val="22"/>
      <w:szCs w:val="22"/>
    </w:rPr>
  </w:style>
  <w:style w:type="paragraph" w:customStyle="1" w:styleId="ReportTitle">
    <w:name w:val="Report Title"/>
    <w:basedOn w:val="Normal"/>
    <w:rsid w:val="004D513B"/>
    <w:pPr>
      <w:spacing w:after="35" w:line="480" w:lineRule="exact"/>
    </w:pPr>
    <w:rPr>
      <w:rFonts w:eastAsia="Times New Roman"/>
      <w:color w:val="054196"/>
      <w:spacing w:val="-12"/>
      <w:sz w:val="46"/>
      <w:szCs w:val="46"/>
    </w:rPr>
  </w:style>
  <w:style w:type="paragraph" w:customStyle="1" w:styleId="ReportSub-Title">
    <w:name w:val="Report Sub-Title"/>
    <w:basedOn w:val="Normal"/>
    <w:rsid w:val="004D513B"/>
    <w:pPr>
      <w:spacing w:after="210" w:line="330" w:lineRule="exact"/>
    </w:pPr>
    <w:rPr>
      <w:rFonts w:eastAsia="Times New Roman"/>
      <w:color w:val="808080"/>
      <w:spacing w:val="-6"/>
      <w:sz w:val="28"/>
      <w:szCs w:val="28"/>
    </w:rPr>
  </w:style>
  <w:style w:type="paragraph" w:styleId="NormalWeb">
    <w:name w:val="Normal (Web)"/>
    <w:basedOn w:val="Normal"/>
    <w:uiPriority w:val="99"/>
    <w:unhideWhenUsed/>
    <w:rsid w:val="00350394"/>
    <w:pPr>
      <w:spacing w:before="100" w:beforeAutospacing="1" w:after="100" w:afterAutospacing="1"/>
    </w:pPr>
    <w:rPr>
      <w:rFonts w:ascii="Times New Roman" w:eastAsia="Times New Roman" w:hAnsi="Times New Roman"/>
      <w:color w:val="auto"/>
      <w:sz w:val="24"/>
      <w:lang w:eastAsia="en-AU"/>
    </w:rPr>
  </w:style>
  <w:style w:type="paragraph" w:styleId="FootnoteText">
    <w:name w:val="footnote text"/>
    <w:basedOn w:val="Normal"/>
    <w:link w:val="FootnoteTextChar"/>
    <w:rsid w:val="007B67E2"/>
    <w:rPr>
      <w:rFonts w:ascii="Times New Roman" w:eastAsia="Times New Roman" w:hAnsi="Times New Roman"/>
      <w:color w:val="auto"/>
      <w:szCs w:val="20"/>
      <w:lang w:eastAsia="en-AU"/>
    </w:rPr>
  </w:style>
  <w:style w:type="character" w:customStyle="1" w:styleId="FootnoteTextChar">
    <w:name w:val="Footnote Text Char"/>
    <w:basedOn w:val="DefaultParagraphFont"/>
    <w:link w:val="FootnoteText"/>
    <w:rsid w:val="007B67E2"/>
  </w:style>
  <w:style w:type="character" w:styleId="FootnoteReference">
    <w:name w:val="footnote reference"/>
    <w:rsid w:val="007B67E2"/>
    <w:rPr>
      <w:vertAlign w:val="superscript"/>
    </w:rPr>
  </w:style>
  <w:style w:type="paragraph" w:styleId="ListParagraph">
    <w:name w:val="List Paragraph"/>
    <w:basedOn w:val="Normal"/>
    <w:uiPriority w:val="34"/>
    <w:qFormat/>
    <w:rsid w:val="00EF629F"/>
    <w:pPr>
      <w:ind w:left="720"/>
      <w:contextualSpacing/>
    </w:pPr>
  </w:style>
  <w:style w:type="table" w:styleId="LightList-Accent1">
    <w:name w:val="Light List Accent 1"/>
    <w:basedOn w:val="TableNormal"/>
    <w:uiPriority w:val="61"/>
    <w:rsid w:val="00B6614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508485">
      <w:bodyDiv w:val="1"/>
      <w:marLeft w:val="0"/>
      <w:marRight w:val="0"/>
      <w:marTop w:val="0"/>
      <w:marBottom w:val="0"/>
      <w:divBdr>
        <w:top w:val="none" w:sz="0" w:space="0" w:color="auto"/>
        <w:left w:val="none" w:sz="0" w:space="0" w:color="auto"/>
        <w:bottom w:val="none" w:sz="0" w:space="0" w:color="auto"/>
        <w:right w:val="none" w:sz="0" w:space="0" w:color="auto"/>
      </w:divBdr>
    </w:div>
    <w:div w:id="674188497">
      <w:bodyDiv w:val="1"/>
      <w:marLeft w:val="0"/>
      <w:marRight w:val="0"/>
      <w:marTop w:val="0"/>
      <w:marBottom w:val="0"/>
      <w:divBdr>
        <w:top w:val="none" w:sz="0" w:space="0" w:color="auto"/>
        <w:left w:val="none" w:sz="0" w:space="0" w:color="auto"/>
        <w:bottom w:val="none" w:sz="0" w:space="0" w:color="auto"/>
        <w:right w:val="none" w:sz="0" w:space="0" w:color="auto"/>
      </w:divBdr>
    </w:div>
    <w:div w:id="720979045">
      <w:bodyDiv w:val="1"/>
      <w:marLeft w:val="0"/>
      <w:marRight w:val="0"/>
      <w:marTop w:val="0"/>
      <w:marBottom w:val="0"/>
      <w:divBdr>
        <w:top w:val="none" w:sz="0" w:space="0" w:color="auto"/>
        <w:left w:val="none" w:sz="0" w:space="0" w:color="auto"/>
        <w:bottom w:val="none" w:sz="0" w:space="0" w:color="auto"/>
        <w:right w:val="none" w:sz="0" w:space="0" w:color="auto"/>
      </w:divBdr>
    </w:div>
    <w:div w:id="745884473">
      <w:bodyDiv w:val="1"/>
      <w:marLeft w:val="0"/>
      <w:marRight w:val="0"/>
      <w:marTop w:val="0"/>
      <w:marBottom w:val="0"/>
      <w:divBdr>
        <w:top w:val="none" w:sz="0" w:space="0" w:color="auto"/>
        <w:left w:val="none" w:sz="0" w:space="0" w:color="auto"/>
        <w:bottom w:val="none" w:sz="0" w:space="0" w:color="auto"/>
        <w:right w:val="none" w:sz="0" w:space="0" w:color="auto"/>
      </w:divBdr>
    </w:div>
    <w:div w:id="823933769">
      <w:bodyDiv w:val="1"/>
      <w:marLeft w:val="0"/>
      <w:marRight w:val="0"/>
      <w:marTop w:val="0"/>
      <w:marBottom w:val="0"/>
      <w:divBdr>
        <w:top w:val="none" w:sz="0" w:space="0" w:color="auto"/>
        <w:left w:val="none" w:sz="0" w:space="0" w:color="auto"/>
        <w:bottom w:val="none" w:sz="0" w:space="0" w:color="auto"/>
        <w:right w:val="none" w:sz="0" w:space="0" w:color="auto"/>
      </w:divBdr>
    </w:div>
    <w:div w:id="825708340">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1761370010">
          <w:marLeft w:val="0"/>
          <w:marRight w:val="0"/>
          <w:marTop w:val="0"/>
          <w:marBottom w:val="0"/>
          <w:divBdr>
            <w:top w:val="none" w:sz="0" w:space="0" w:color="auto"/>
            <w:left w:val="none" w:sz="0" w:space="0" w:color="auto"/>
            <w:bottom w:val="none" w:sz="0" w:space="0" w:color="auto"/>
            <w:right w:val="none" w:sz="0" w:space="0" w:color="auto"/>
          </w:divBdr>
          <w:divsChild>
            <w:div w:id="1455755855">
              <w:marLeft w:val="0"/>
              <w:marRight w:val="0"/>
              <w:marTop w:val="0"/>
              <w:marBottom w:val="0"/>
              <w:divBdr>
                <w:top w:val="none" w:sz="0" w:space="0" w:color="auto"/>
                <w:left w:val="none" w:sz="0" w:space="0" w:color="auto"/>
                <w:bottom w:val="none" w:sz="0" w:space="0" w:color="auto"/>
                <w:right w:val="none" w:sz="0" w:space="0" w:color="auto"/>
              </w:divBdr>
              <w:divsChild>
                <w:div w:id="65953681">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1092167491">
      <w:bodyDiv w:val="1"/>
      <w:marLeft w:val="0"/>
      <w:marRight w:val="0"/>
      <w:marTop w:val="0"/>
      <w:marBottom w:val="0"/>
      <w:divBdr>
        <w:top w:val="none" w:sz="0" w:space="0" w:color="auto"/>
        <w:left w:val="none" w:sz="0" w:space="0" w:color="auto"/>
        <w:bottom w:val="none" w:sz="0" w:space="0" w:color="auto"/>
        <w:right w:val="none" w:sz="0" w:space="0" w:color="auto"/>
      </w:divBdr>
    </w:div>
    <w:div w:id="1226137685">
      <w:bodyDiv w:val="1"/>
      <w:marLeft w:val="0"/>
      <w:marRight w:val="0"/>
      <w:marTop w:val="0"/>
      <w:marBottom w:val="0"/>
      <w:divBdr>
        <w:top w:val="none" w:sz="0" w:space="0" w:color="auto"/>
        <w:left w:val="none" w:sz="0" w:space="0" w:color="auto"/>
        <w:bottom w:val="none" w:sz="0" w:space="0" w:color="auto"/>
        <w:right w:val="none" w:sz="0" w:space="0" w:color="auto"/>
      </w:divBdr>
    </w:div>
    <w:div w:id="1352491461">
      <w:bodyDiv w:val="1"/>
      <w:marLeft w:val="0"/>
      <w:marRight w:val="0"/>
      <w:marTop w:val="0"/>
      <w:marBottom w:val="0"/>
      <w:divBdr>
        <w:top w:val="none" w:sz="0" w:space="0" w:color="auto"/>
        <w:left w:val="none" w:sz="0" w:space="0" w:color="auto"/>
        <w:bottom w:val="none" w:sz="0" w:space="0" w:color="auto"/>
        <w:right w:val="none" w:sz="0" w:space="0" w:color="auto"/>
      </w:divBdr>
    </w:div>
    <w:div w:id="1680152841">
      <w:bodyDiv w:val="1"/>
      <w:marLeft w:val="0"/>
      <w:marRight w:val="0"/>
      <w:marTop w:val="0"/>
      <w:marBottom w:val="0"/>
      <w:divBdr>
        <w:top w:val="none" w:sz="0" w:space="0" w:color="auto"/>
        <w:left w:val="none" w:sz="0" w:space="0" w:color="auto"/>
        <w:bottom w:val="none" w:sz="0" w:space="0" w:color="auto"/>
        <w:right w:val="none" w:sz="0" w:space="0" w:color="auto"/>
      </w:divBdr>
    </w:div>
    <w:div w:id="1792437263">
      <w:bodyDiv w:val="1"/>
      <w:marLeft w:val="0"/>
      <w:marRight w:val="0"/>
      <w:marTop w:val="0"/>
      <w:marBottom w:val="0"/>
      <w:divBdr>
        <w:top w:val="none" w:sz="0" w:space="0" w:color="auto"/>
        <w:left w:val="none" w:sz="0" w:space="0" w:color="auto"/>
        <w:bottom w:val="none" w:sz="0" w:space="0" w:color="auto"/>
        <w:right w:val="none" w:sz="0" w:space="0" w:color="auto"/>
      </w:divBdr>
    </w:div>
    <w:div w:id="1794668802">
      <w:bodyDiv w:val="1"/>
      <w:marLeft w:val="0"/>
      <w:marRight w:val="0"/>
      <w:marTop w:val="0"/>
      <w:marBottom w:val="0"/>
      <w:divBdr>
        <w:top w:val="none" w:sz="0" w:space="0" w:color="auto"/>
        <w:left w:val="none" w:sz="0" w:space="0" w:color="auto"/>
        <w:bottom w:val="none" w:sz="0" w:space="0" w:color="auto"/>
        <w:right w:val="none" w:sz="0" w:space="0" w:color="auto"/>
      </w:divBdr>
      <w:divsChild>
        <w:div w:id="1401636975">
          <w:marLeft w:val="0"/>
          <w:marRight w:val="0"/>
          <w:marTop w:val="0"/>
          <w:marBottom w:val="0"/>
          <w:divBdr>
            <w:top w:val="none" w:sz="0" w:space="0" w:color="auto"/>
            <w:left w:val="none" w:sz="0" w:space="0" w:color="auto"/>
            <w:bottom w:val="none" w:sz="0" w:space="0" w:color="auto"/>
            <w:right w:val="none" w:sz="0" w:space="0" w:color="auto"/>
          </w:divBdr>
          <w:divsChild>
            <w:div w:id="915821413">
              <w:marLeft w:val="0"/>
              <w:marRight w:val="0"/>
              <w:marTop w:val="0"/>
              <w:marBottom w:val="0"/>
              <w:divBdr>
                <w:top w:val="none" w:sz="0" w:space="0" w:color="auto"/>
                <w:left w:val="none" w:sz="0" w:space="0" w:color="auto"/>
                <w:bottom w:val="none" w:sz="0" w:space="0" w:color="auto"/>
                <w:right w:val="none" w:sz="0" w:space="0" w:color="auto"/>
              </w:divBdr>
            </w:div>
            <w:div w:id="17824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3279">
      <w:bodyDiv w:val="1"/>
      <w:marLeft w:val="0"/>
      <w:marRight w:val="0"/>
      <w:marTop w:val="0"/>
      <w:marBottom w:val="0"/>
      <w:divBdr>
        <w:top w:val="none" w:sz="0" w:space="0" w:color="auto"/>
        <w:left w:val="none" w:sz="0" w:space="0" w:color="auto"/>
        <w:bottom w:val="none" w:sz="0" w:space="0" w:color="auto"/>
        <w:right w:val="none" w:sz="0" w:space="0" w:color="auto"/>
      </w:divBdr>
    </w:div>
    <w:div w:id="1996833655">
      <w:bodyDiv w:val="1"/>
      <w:marLeft w:val="0"/>
      <w:marRight w:val="0"/>
      <w:marTop w:val="0"/>
      <w:marBottom w:val="0"/>
      <w:divBdr>
        <w:top w:val="none" w:sz="0" w:space="0" w:color="auto"/>
        <w:left w:val="none" w:sz="0" w:space="0" w:color="auto"/>
        <w:bottom w:val="none" w:sz="0" w:space="0" w:color="auto"/>
        <w:right w:val="none" w:sz="0" w:space="0" w:color="auto"/>
      </w:divBdr>
    </w:div>
    <w:div w:id="209192472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dhsv.org.au/dental-advice/general-dental-advice/children" TargetMode="External"/><Relationship Id="rId22" Type="http://schemas.openxmlformats.org/officeDocument/2006/relationships/footer" Target="footer2.xml"/><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www.dhs.vic.gov.au/about-the-department/documents-and-resources/reports-publications/department-of-human-services-area-ma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education.vic.gov.au\SHARE\RAD\General\Statewide%20Outcomes\Annual%20report%202013\Analysis\VCHWSJoy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ducation.vic.gov.au\SHARE\RAD\General\Statewide%20Outcomes\Annual%20report%202013\Analysis\VCHWSJoye.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'1.8Stage'!$J$16</c:f>
              <c:strCache>
                <c:ptCount val="1"/>
                <c:pt idx="0">
                  <c:v>2013</c:v>
                </c:pt>
              </c:strCache>
            </c:strRef>
          </c:tx>
          <c:marker>
            <c:symbol val="none"/>
          </c:marker>
          <c:dLbls>
            <c:dLbl>
              <c:idx val="0"/>
              <c:layout>
                <c:manualLayout>
                  <c:x val="-4.4820794341022929E-2"/>
                  <c:y val="9.4281764075265242E-2"/>
                </c:manualLayout>
              </c:layout>
              <c:dLblPos val="r"/>
              <c:showLegendKey val="0"/>
              <c:showVal val="1"/>
              <c:showCatName val="0"/>
              <c:showSerName val="0"/>
              <c:showPercent val="0"/>
              <c:showBubbleSize val="0"/>
            </c:dLbl>
            <c:dLbl>
              <c:idx val="1"/>
              <c:layout>
                <c:manualLayout>
                  <c:x val="-8.9764606991888887E-2"/>
                  <c:y val="2.6676130272448337E-2"/>
                </c:manualLayout>
              </c:layout>
              <c:dLblPos val="r"/>
              <c:showLegendKey val="0"/>
              <c:showVal val="1"/>
              <c:showCatName val="0"/>
              <c:showSerName val="0"/>
              <c:showPercent val="0"/>
              <c:showBubbleSize val="0"/>
            </c:dLbl>
            <c:dLbl>
              <c:idx val="2"/>
              <c:layout>
                <c:manualLayout>
                  <c:x val="-6.2975263545664061E-3"/>
                  <c:y val="4.1409190048427042E-3"/>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errBars>
            <c:errDir val="y"/>
            <c:errBarType val="both"/>
            <c:errValType val="cust"/>
            <c:noEndCap val="0"/>
            <c:plus>
              <c:numRef>
                <c:f>'1.8Stage'!$M$17:$M$19</c:f>
                <c:numCache>
                  <c:formatCode>General</c:formatCode>
                  <c:ptCount val="3"/>
                  <c:pt idx="0">
                    <c:v>4.6928600000000001E-2</c:v>
                  </c:pt>
                  <c:pt idx="1">
                    <c:v>3.4287199999999997E-2</c:v>
                  </c:pt>
                  <c:pt idx="2">
                    <c:v>3.4536999999999998E-2</c:v>
                  </c:pt>
                </c:numCache>
              </c:numRef>
            </c:plus>
            <c:minus>
              <c:numRef>
                <c:f>'1.8Stage'!$M$17:$M$19</c:f>
                <c:numCache>
                  <c:formatCode>General</c:formatCode>
                  <c:ptCount val="3"/>
                  <c:pt idx="0">
                    <c:v>4.6928600000000001E-2</c:v>
                  </c:pt>
                  <c:pt idx="1">
                    <c:v>3.4287199999999997E-2</c:v>
                  </c:pt>
                  <c:pt idx="2">
                    <c:v>3.4536999999999998E-2</c:v>
                  </c:pt>
                </c:numCache>
              </c:numRef>
            </c:minus>
          </c:errBars>
          <c:cat>
            <c:strRef>
              <c:f>'1.8Stage'!$I$17:$I$19</c:f>
              <c:strCache>
                <c:ptCount val="3"/>
                <c:pt idx="0">
                  <c:v>Pre-awareness of pregnancy</c:v>
                </c:pt>
                <c:pt idx="1">
                  <c:v>Newly aware of pregnancy</c:v>
                </c:pt>
                <c:pt idx="2">
                  <c:v>Late in pregnancy</c:v>
                </c:pt>
              </c:strCache>
            </c:strRef>
          </c:cat>
          <c:val>
            <c:numRef>
              <c:f>'1.8Stage'!$J$17:$J$19</c:f>
              <c:numCache>
                <c:formatCode>0.0%</c:formatCode>
                <c:ptCount val="3"/>
                <c:pt idx="0">
                  <c:v>0.43527529999999998</c:v>
                </c:pt>
                <c:pt idx="1">
                  <c:v>0.1490561</c:v>
                </c:pt>
                <c:pt idx="2">
                  <c:v>0.15215989999999999</c:v>
                </c:pt>
              </c:numCache>
            </c:numRef>
          </c:val>
          <c:smooth val="0"/>
        </c:ser>
        <c:ser>
          <c:idx val="1"/>
          <c:order val="1"/>
          <c:tx>
            <c:strRef>
              <c:f>'1.8Stage'!$K$16</c:f>
              <c:strCache>
                <c:ptCount val="1"/>
                <c:pt idx="0">
                  <c:v>2009</c:v>
                </c:pt>
              </c:strCache>
            </c:strRef>
          </c:tx>
          <c:marker>
            <c:symbol val="none"/>
          </c:marker>
          <c:dLbls>
            <c:dLbl>
              <c:idx val="0"/>
              <c:layout>
                <c:manualLayout>
                  <c:x val="-6.2975263545664061E-3"/>
                  <c:y val="-2.9661897896565745E-2"/>
                </c:manualLayout>
              </c:layout>
              <c:dLblPos val="r"/>
              <c:showLegendKey val="0"/>
              <c:showVal val="1"/>
              <c:showCatName val="0"/>
              <c:showSerName val="0"/>
              <c:showPercent val="0"/>
              <c:showBubbleSize val="0"/>
            </c:dLbl>
            <c:dLbl>
              <c:idx val="1"/>
              <c:layout>
                <c:manualLayout>
                  <c:x val="-1.2718071018975827E-2"/>
                  <c:y val="-4.0929503530368561E-2"/>
                </c:manualLayout>
              </c:layout>
              <c:dLblPos val="r"/>
              <c:showLegendKey val="0"/>
              <c:showVal val="1"/>
              <c:showCatName val="0"/>
              <c:showSerName val="0"/>
              <c:showPercent val="0"/>
              <c:showBubbleSize val="0"/>
            </c:dLbl>
            <c:dLbl>
              <c:idx val="2"/>
              <c:layout>
                <c:manualLayout>
                  <c:x val="-6.2975263545664061E-3"/>
                  <c:y val="-7.1266866289601124E-3"/>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errBars>
            <c:errDir val="y"/>
            <c:errBarType val="both"/>
            <c:errValType val="cust"/>
            <c:noEndCap val="0"/>
            <c:plus>
              <c:numRef>
                <c:f>'1.8Stage'!$N$17:$N$19</c:f>
                <c:numCache>
                  <c:formatCode>General</c:formatCode>
                  <c:ptCount val="3"/>
                  <c:pt idx="0">
                    <c:v>4.5014800000000001E-2</c:v>
                  </c:pt>
                  <c:pt idx="1">
                    <c:v>3.9959799999999997E-2</c:v>
                  </c:pt>
                  <c:pt idx="2">
                    <c:v>3.9442600000000001E-2</c:v>
                  </c:pt>
                </c:numCache>
              </c:numRef>
            </c:plus>
            <c:minus>
              <c:numRef>
                <c:f>'1.8Stage'!$N$17:$N$19</c:f>
                <c:numCache>
                  <c:formatCode>General</c:formatCode>
                  <c:ptCount val="3"/>
                  <c:pt idx="0">
                    <c:v>4.5014800000000001E-2</c:v>
                  </c:pt>
                  <c:pt idx="1">
                    <c:v>3.9959799999999997E-2</c:v>
                  </c:pt>
                  <c:pt idx="2">
                    <c:v>3.9442600000000001E-2</c:v>
                  </c:pt>
                </c:numCache>
              </c:numRef>
            </c:minus>
          </c:errBars>
          <c:cat>
            <c:strRef>
              <c:f>'1.8Stage'!$I$17:$I$19</c:f>
              <c:strCache>
                <c:ptCount val="3"/>
                <c:pt idx="0">
                  <c:v>Pre-awareness of pregnancy</c:v>
                </c:pt>
                <c:pt idx="1">
                  <c:v>Newly aware of pregnancy</c:v>
                </c:pt>
                <c:pt idx="2">
                  <c:v>Late in pregnancy</c:v>
                </c:pt>
              </c:strCache>
            </c:strRef>
          </c:cat>
          <c:val>
            <c:numRef>
              <c:f>'1.8Stage'!$K$17:$K$19</c:f>
              <c:numCache>
                <c:formatCode>0.0%</c:formatCode>
                <c:ptCount val="3"/>
                <c:pt idx="0">
                  <c:v>0.56012059999999997</c:v>
                </c:pt>
                <c:pt idx="1">
                  <c:v>0.26292409999999999</c:v>
                </c:pt>
                <c:pt idx="2">
                  <c:v>0.23421049999999999</c:v>
                </c:pt>
              </c:numCache>
            </c:numRef>
          </c:val>
          <c:smooth val="0"/>
        </c:ser>
        <c:dLbls>
          <c:showLegendKey val="0"/>
          <c:showVal val="0"/>
          <c:showCatName val="0"/>
          <c:showSerName val="0"/>
          <c:showPercent val="0"/>
          <c:showBubbleSize val="0"/>
        </c:dLbls>
        <c:marker val="1"/>
        <c:smooth val="0"/>
        <c:axId val="237559808"/>
        <c:axId val="237561344"/>
      </c:lineChart>
      <c:catAx>
        <c:axId val="237559808"/>
        <c:scaling>
          <c:orientation val="minMax"/>
        </c:scaling>
        <c:delete val="0"/>
        <c:axPos val="b"/>
        <c:numFmt formatCode="@" sourceLinked="1"/>
        <c:majorTickMark val="out"/>
        <c:minorTickMark val="none"/>
        <c:tickLblPos val="nextTo"/>
        <c:crossAx val="237561344"/>
        <c:crosses val="autoZero"/>
        <c:auto val="1"/>
        <c:lblAlgn val="ctr"/>
        <c:lblOffset val="100"/>
        <c:noMultiLvlLbl val="0"/>
      </c:catAx>
      <c:valAx>
        <c:axId val="237561344"/>
        <c:scaling>
          <c:orientation val="minMax"/>
        </c:scaling>
        <c:delete val="0"/>
        <c:axPos val="l"/>
        <c:majorGridlines>
          <c:spPr>
            <a:ln>
              <a:noFill/>
            </a:ln>
          </c:spPr>
        </c:majorGridlines>
        <c:numFmt formatCode="0.0%" sourceLinked="1"/>
        <c:majorTickMark val="out"/>
        <c:minorTickMark val="none"/>
        <c:tickLblPos val="nextTo"/>
        <c:crossAx val="23755980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'9.1a'!$J$17</c:f>
              <c:strCache>
                <c:ptCount val="1"/>
                <c:pt idx="0">
                  <c:v>2009</c:v>
                </c:pt>
              </c:strCache>
            </c:strRef>
          </c:tx>
          <c:invertIfNegative val="0"/>
          <c:dLbls>
            <c:dLbl>
              <c:idx val="0"/>
              <c:layout>
                <c:manualLayout>
                  <c:x val="1.9444444444444445E-2"/>
                  <c:y val="-9.2592592592592587E-3"/>
                </c:manualLayout>
              </c:layout>
              <c:dLblPos val="outEnd"/>
              <c:showLegendKey val="0"/>
              <c:showVal val="1"/>
              <c:showCatName val="0"/>
              <c:showSerName val="0"/>
              <c:showPercent val="0"/>
              <c:showBubbleSize val="0"/>
            </c:dLbl>
            <c:dLbl>
              <c:idx val="1"/>
              <c:layout>
                <c:manualLayout>
                  <c:x val="1.6666666666666666E-2"/>
                  <c:y val="0"/>
                </c:manualLayout>
              </c:layout>
              <c:dLblPos val="outEnd"/>
              <c:showLegendKey val="0"/>
              <c:showVal val="1"/>
              <c:showCatName val="0"/>
              <c:showSerName val="0"/>
              <c:showPercent val="0"/>
              <c:showBubbleSize val="0"/>
            </c:dLbl>
            <c:dLbl>
              <c:idx val="2"/>
              <c:layout>
                <c:manualLayout>
                  <c:x val="8.3333333333333332E-3"/>
                  <c:y val="0"/>
                </c:manualLayout>
              </c:layout>
              <c:dLblPos val="outEnd"/>
              <c:showLegendKey val="0"/>
              <c:showVal val="1"/>
              <c:showCatName val="0"/>
              <c:showSerName val="0"/>
              <c:showPercent val="0"/>
              <c:showBubbleSize val="0"/>
            </c:dLbl>
            <c:dLbl>
              <c:idx val="3"/>
              <c:layout>
                <c:manualLayout>
                  <c:x val="1.3888888888888888E-2"/>
                  <c:y val="-4.6296296296296294E-3"/>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'9.1a'!$N$18:$N$21</c:f>
                <c:numCache>
                  <c:formatCode>General</c:formatCode>
                  <c:ptCount val="4"/>
                  <c:pt idx="0">
                    <c:v>2.9255799999999998E-2</c:v>
                  </c:pt>
                  <c:pt idx="1">
                    <c:v>3.15164E-2</c:v>
                  </c:pt>
                  <c:pt idx="2">
                    <c:v>2.39084E-2</c:v>
                  </c:pt>
                  <c:pt idx="3">
                    <c:v>2.1856400000000002E-2</c:v>
                  </c:pt>
                </c:numCache>
              </c:numRef>
            </c:plus>
            <c:minus>
              <c:numRef>
                <c:f>'9.1a'!$N$18:$N$21</c:f>
                <c:numCache>
                  <c:formatCode>General</c:formatCode>
                  <c:ptCount val="4"/>
                  <c:pt idx="0">
                    <c:v>2.9255799999999998E-2</c:v>
                  </c:pt>
                  <c:pt idx="1">
                    <c:v>3.15164E-2</c:v>
                  </c:pt>
                  <c:pt idx="2">
                    <c:v>2.39084E-2</c:v>
                  </c:pt>
                  <c:pt idx="3">
                    <c:v>2.1856400000000002E-2</c:v>
                  </c:pt>
                </c:numCache>
              </c:numRef>
            </c:minus>
          </c:errBars>
          <c:cat>
            <c:multiLvlStrRef>
              <c:f>'9.1a'!$H$18:$I$21</c:f>
              <c:multiLvlStrCache>
                <c:ptCount val="4"/>
                <c:lvl>
                  <c:pt idx="0">
                    <c:v>Boys</c:v>
                  </c:pt>
                  <c:pt idx="1">
                    <c:v>Girls</c:v>
                  </c:pt>
                  <c:pt idx="2">
                    <c:v>Boys</c:v>
                  </c:pt>
                  <c:pt idx="3">
                    <c:v>Girls</c:v>
                  </c:pt>
                </c:lvl>
                <c:lvl>
                  <c:pt idx="0">
                    <c:v>Meeting physical activity guidelines</c:v>
                  </c:pt>
                  <c:pt idx="2">
                    <c:v>Exceeding electronic media guidelines</c:v>
                  </c:pt>
                </c:lvl>
              </c:multiLvlStrCache>
            </c:multiLvlStrRef>
          </c:cat>
          <c:val>
            <c:numRef>
              <c:f>'9.1a'!$J$18:$J$21</c:f>
              <c:numCache>
                <c:formatCode>0.0%</c:formatCode>
                <c:ptCount val="4"/>
                <c:pt idx="0">
                  <c:v>0.64321390000000001</c:v>
                </c:pt>
                <c:pt idx="1">
                  <c:v>0.56122490000000003</c:v>
                </c:pt>
                <c:pt idx="2">
                  <c:v>0.2125853</c:v>
                </c:pt>
                <c:pt idx="3">
                  <c:v>0.1613916</c:v>
                </c:pt>
              </c:numCache>
            </c:numRef>
          </c:val>
        </c:ser>
        <c:ser>
          <c:idx val="1"/>
          <c:order val="1"/>
          <c:tx>
            <c:strRef>
              <c:f>'9.1a'!$K$17</c:f>
              <c:strCache>
                <c:ptCount val="1"/>
                <c:pt idx="0">
                  <c:v>2013</c:v>
                </c:pt>
              </c:strCache>
            </c:strRef>
          </c:tx>
          <c:invertIfNegative val="0"/>
          <c:dLbls>
            <c:dLbl>
              <c:idx val="0"/>
              <c:layout>
                <c:manualLayout>
                  <c:x val="1.3888888888888788E-2"/>
                  <c:y val="-4.6296296296296294E-3"/>
                </c:manualLayout>
              </c:layout>
              <c:dLblPos val="outEnd"/>
              <c:showLegendKey val="0"/>
              <c:showVal val="1"/>
              <c:showCatName val="0"/>
              <c:showSerName val="0"/>
              <c:showPercent val="0"/>
              <c:showBubbleSize val="0"/>
            </c:dLbl>
            <c:dLbl>
              <c:idx val="1"/>
              <c:layout>
                <c:manualLayout>
                  <c:x val="2.2222222222222223E-2"/>
                  <c:y val="-4.6296296296296294E-3"/>
                </c:manualLayout>
              </c:layout>
              <c:dLblPos val="outEnd"/>
              <c:showLegendKey val="0"/>
              <c:showVal val="1"/>
              <c:showCatName val="0"/>
              <c:showSerName val="0"/>
              <c:showPercent val="0"/>
              <c:showBubbleSize val="0"/>
            </c:dLbl>
            <c:dLbl>
              <c:idx val="3"/>
              <c:layout>
                <c:manualLayout>
                  <c:x val="1.9444444444444445E-2"/>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'9.1a'!$O$18:$O$21</c:f>
                <c:numCache>
                  <c:formatCode>General</c:formatCode>
                  <c:ptCount val="4"/>
                  <c:pt idx="0">
                    <c:v>2.23754E-2</c:v>
                  </c:pt>
                  <c:pt idx="1">
                    <c:v>2.42256E-2</c:v>
                  </c:pt>
                  <c:pt idx="2">
                    <c:v>1.8286799999999999E-2</c:v>
                  </c:pt>
                  <c:pt idx="3">
                    <c:v>1.8311600000000001E-2</c:v>
                  </c:pt>
                </c:numCache>
              </c:numRef>
            </c:plus>
            <c:minus>
              <c:numRef>
                <c:f>'9.1a'!$O$18:$O$21</c:f>
                <c:numCache>
                  <c:formatCode>General</c:formatCode>
                  <c:ptCount val="4"/>
                  <c:pt idx="0">
                    <c:v>2.23754E-2</c:v>
                  </c:pt>
                  <c:pt idx="1">
                    <c:v>2.42256E-2</c:v>
                  </c:pt>
                  <c:pt idx="2">
                    <c:v>1.8286799999999999E-2</c:v>
                  </c:pt>
                  <c:pt idx="3">
                    <c:v>1.8311600000000001E-2</c:v>
                  </c:pt>
                </c:numCache>
              </c:numRef>
            </c:minus>
          </c:errBars>
          <c:cat>
            <c:multiLvlStrRef>
              <c:f>'9.1a'!$H$18:$I$21</c:f>
              <c:multiLvlStrCache>
                <c:ptCount val="4"/>
                <c:lvl>
                  <c:pt idx="0">
                    <c:v>Boys</c:v>
                  </c:pt>
                  <c:pt idx="1">
                    <c:v>Girls</c:v>
                  </c:pt>
                  <c:pt idx="2">
                    <c:v>Boys</c:v>
                  </c:pt>
                  <c:pt idx="3">
                    <c:v>Girls</c:v>
                  </c:pt>
                </c:lvl>
                <c:lvl>
                  <c:pt idx="0">
                    <c:v>Meeting physical activity guidelines</c:v>
                  </c:pt>
                  <c:pt idx="2">
                    <c:v>Exceeding electronic media guidelines</c:v>
                  </c:pt>
                </c:lvl>
              </c:multiLvlStrCache>
            </c:multiLvlStrRef>
          </c:cat>
          <c:val>
            <c:numRef>
              <c:f>'9.1a'!$K$18:$K$21</c:f>
              <c:numCache>
                <c:formatCode>0.0%</c:formatCode>
                <c:ptCount val="4"/>
                <c:pt idx="0">
                  <c:v>0.67181619999999997</c:v>
                </c:pt>
                <c:pt idx="1">
                  <c:v>0.56980920000000002</c:v>
                </c:pt>
                <c:pt idx="2">
                  <c:v>0.18866440000000001</c:v>
                </c:pt>
                <c:pt idx="3">
                  <c:v>0.16442300000000001</c:v>
                </c:pt>
              </c:numCache>
            </c:numRef>
          </c:val>
        </c:ser>
        <c:dLbls>
          <c:showLegendKey val="0"/>
          <c:showVal val="0"/>
          <c:showCatName val="0"/>
          <c:showSerName val="0"/>
          <c:showPercent val="0"/>
          <c:showBubbleSize val="0"/>
        </c:dLbls>
        <c:gapWidth val="150"/>
        <c:axId val="237895680"/>
        <c:axId val="237897216"/>
      </c:barChart>
      <c:catAx>
        <c:axId val="237895680"/>
        <c:scaling>
          <c:orientation val="minMax"/>
        </c:scaling>
        <c:delete val="0"/>
        <c:axPos val="l"/>
        <c:majorTickMark val="out"/>
        <c:minorTickMark val="none"/>
        <c:tickLblPos val="nextTo"/>
        <c:crossAx val="237897216"/>
        <c:crosses val="autoZero"/>
        <c:auto val="1"/>
        <c:lblAlgn val="ctr"/>
        <c:lblOffset val="100"/>
        <c:noMultiLvlLbl val="0"/>
      </c:catAx>
      <c:valAx>
        <c:axId val="237897216"/>
        <c:scaling>
          <c:orientation val="minMax"/>
        </c:scaling>
        <c:delete val="0"/>
        <c:axPos val="b"/>
        <c:numFmt formatCode="0.0%" sourceLinked="1"/>
        <c:majorTickMark val="out"/>
        <c:minorTickMark val="none"/>
        <c:tickLblPos val="nextTo"/>
        <c:crossAx val="23789568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PublishingStartDate xmlns="76b566cd-adb9-46c2-964b-22eba181fd0b" xsi:nil="true"/>
    <PublishingExpirationDate xmlns="http://schemas.microsoft.com/sharepoint/v3" xsi:nil="true"/>
    <DEECD_Keywords xmlns="http://schemas.microsoft.com/sharepoint/v3">2013 VCHWS SummaryFindings</DEECD_Keywords>
    <DEECD_Publisher xmlns="http://schemas.microsoft.com/sharepoint/v3">Department of Education and Training</DEECD_Publisher>
    <TaxCatchAll xmlns="cb9114c1-daad-44dd-acad-30f4246641f2">
      <Value>94</Value>
      <Value>101</Value>
    </TaxCatchAll>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936ED32E-96E1-4A20-B35C-6434A08A71BF}"/>
</file>

<file path=customXml/itemProps2.xml><?xml version="1.0" encoding="utf-8"?>
<ds:datastoreItem xmlns:ds="http://schemas.openxmlformats.org/officeDocument/2006/customXml" ds:itemID="{5B78361B-3B25-48C2-8630-9F40C5A39691}"/>
</file>

<file path=customXml/itemProps3.xml><?xml version="1.0" encoding="utf-8"?>
<ds:datastoreItem xmlns:ds="http://schemas.openxmlformats.org/officeDocument/2006/customXml" ds:itemID="{00B351D8-0A08-45AF-ADC9-E2DDC82E1B28}"/>
</file>

<file path=customXml/itemProps4.xml><?xml version="1.0" encoding="utf-8"?>
<ds:datastoreItem xmlns:ds="http://schemas.openxmlformats.org/officeDocument/2006/customXml" ds:itemID="{F79E74F8-0C46-47FE-998C-AC92A710735B}"/>
</file>

<file path=docProps/app.xml><?xml version="1.0" encoding="utf-8"?>
<Properties xmlns="http://schemas.openxmlformats.org/officeDocument/2006/extended-properties" xmlns:vt="http://schemas.openxmlformats.org/officeDocument/2006/docPropsVTypes">
  <Template>Normal</Template>
  <TotalTime>111</TotalTime>
  <Pages>13</Pages>
  <Words>3253</Words>
  <Characters>18435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lpstr>
    </vt:vector>
  </TitlesOfParts>
  <Company>Cato Purnell Partners Pty Ltd</Company>
  <LinksUpToDate>false</LinksUpToDate>
  <CharactersWithSpaces>21645</CharactersWithSpaces>
  <SharedDoc>false</SharedDoc>
  <HLinks>
    <vt:vector size="156" baseType="variant">
      <vt:variant>
        <vt:i4>4456524</vt:i4>
      </vt:variant>
      <vt:variant>
        <vt:i4>144</vt:i4>
      </vt:variant>
      <vt:variant>
        <vt:i4>0</vt:i4>
      </vt:variant>
      <vt:variant>
        <vt:i4>5</vt:i4>
      </vt:variant>
      <vt:variant>
        <vt:lpwstr>https://www.dhsv.org.au/dental-advice/general-dental-advice/children</vt:lpwstr>
      </vt:variant>
      <vt:variant>
        <vt:lpwstr/>
      </vt:variant>
      <vt:variant>
        <vt:i4>1900605</vt:i4>
      </vt:variant>
      <vt:variant>
        <vt:i4>137</vt:i4>
      </vt:variant>
      <vt:variant>
        <vt:i4>0</vt:i4>
      </vt:variant>
      <vt:variant>
        <vt:i4>5</vt:i4>
      </vt:variant>
      <vt:variant>
        <vt:lpwstr/>
      </vt:variant>
      <vt:variant>
        <vt:lpwstr>_Toc420308935</vt:lpwstr>
      </vt:variant>
      <vt:variant>
        <vt:i4>1900605</vt:i4>
      </vt:variant>
      <vt:variant>
        <vt:i4>131</vt:i4>
      </vt:variant>
      <vt:variant>
        <vt:i4>0</vt:i4>
      </vt:variant>
      <vt:variant>
        <vt:i4>5</vt:i4>
      </vt:variant>
      <vt:variant>
        <vt:lpwstr/>
      </vt:variant>
      <vt:variant>
        <vt:lpwstr>_Toc420308934</vt:lpwstr>
      </vt:variant>
      <vt:variant>
        <vt:i4>1900605</vt:i4>
      </vt:variant>
      <vt:variant>
        <vt:i4>125</vt:i4>
      </vt:variant>
      <vt:variant>
        <vt:i4>0</vt:i4>
      </vt:variant>
      <vt:variant>
        <vt:i4>5</vt:i4>
      </vt:variant>
      <vt:variant>
        <vt:lpwstr/>
      </vt:variant>
      <vt:variant>
        <vt:lpwstr>_Toc420308933</vt:lpwstr>
      </vt:variant>
      <vt:variant>
        <vt:i4>1900605</vt:i4>
      </vt:variant>
      <vt:variant>
        <vt:i4>119</vt:i4>
      </vt:variant>
      <vt:variant>
        <vt:i4>0</vt:i4>
      </vt:variant>
      <vt:variant>
        <vt:i4>5</vt:i4>
      </vt:variant>
      <vt:variant>
        <vt:lpwstr/>
      </vt:variant>
      <vt:variant>
        <vt:lpwstr>_Toc420308932</vt:lpwstr>
      </vt:variant>
      <vt:variant>
        <vt:i4>1900605</vt:i4>
      </vt:variant>
      <vt:variant>
        <vt:i4>113</vt:i4>
      </vt:variant>
      <vt:variant>
        <vt:i4>0</vt:i4>
      </vt:variant>
      <vt:variant>
        <vt:i4>5</vt:i4>
      </vt:variant>
      <vt:variant>
        <vt:lpwstr/>
      </vt:variant>
      <vt:variant>
        <vt:lpwstr>_Toc420308931</vt:lpwstr>
      </vt:variant>
      <vt:variant>
        <vt:i4>1900605</vt:i4>
      </vt:variant>
      <vt:variant>
        <vt:i4>107</vt:i4>
      </vt:variant>
      <vt:variant>
        <vt:i4>0</vt:i4>
      </vt:variant>
      <vt:variant>
        <vt:i4>5</vt:i4>
      </vt:variant>
      <vt:variant>
        <vt:lpwstr/>
      </vt:variant>
      <vt:variant>
        <vt:lpwstr>_Toc420308930</vt:lpwstr>
      </vt:variant>
      <vt:variant>
        <vt:i4>1835069</vt:i4>
      </vt:variant>
      <vt:variant>
        <vt:i4>101</vt:i4>
      </vt:variant>
      <vt:variant>
        <vt:i4>0</vt:i4>
      </vt:variant>
      <vt:variant>
        <vt:i4>5</vt:i4>
      </vt:variant>
      <vt:variant>
        <vt:lpwstr/>
      </vt:variant>
      <vt:variant>
        <vt:lpwstr>_Toc420308929</vt:lpwstr>
      </vt:variant>
      <vt:variant>
        <vt:i4>1835069</vt:i4>
      </vt:variant>
      <vt:variant>
        <vt:i4>95</vt:i4>
      </vt:variant>
      <vt:variant>
        <vt:i4>0</vt:i4>
      </vt:variant>
      <vt:variant>
        <vt:i4>5</vt:i4>
      </vt:variant>
      <vt:variant>
        <vt:lpwstr/>
      </vt:variant>
      <vt:variant>
        <vt:lpwstr>_Toc420308928</vt:lpwstr>
      </vt:variant>
      <vt:variant>
        <vt:i4>1835069</vt:i4>
      </vt:variant>
      <vt:variant>
        <vt:i4>89</vt:i4>
      </vt:variant>
      <vt:variant>
        <vt:i4>0</vt:i4>
      </vt:variant>
      <vt:variant>
        <vt:i4>5</vt:i4>
      </vt:variant>
      <vt:variant>
        <vt:lpwstr/>
      </vt:variant>
      <vt:variant>
        <vt:lpwstr>_Toc420308925</vt:lpwstr>
      </vt:variant>
      <vt:variant>
        <vt:i4>1835069</vt:i4>
      </vt:variant>
      <vt:variant>
        <vt:i4>83</vt:i4>
      </vt:variant>
      <vt:variant>
        <vt:i4>0</vt:i4>
      </vt:variant>
      <vt:variant>
        <vt:i4>5</vt:i4>
      </vt:variant>
      <vt:variant>
        <vt:lpwstr/>
      </vt:variant>
      <vt:variant>
        <vt:lpwstr>_Toc420308924</vt:lpwstr>
      </vt:variant>
      <vt:variant>
        <vt:i4>1835069</vt:i4>
      </vt:variant>
      <vt:variant>
        <vt:i4>77</vt:i4>
      </vt:variant>
      <vt:variant>
        <vt:i4>0</vt:i4>
      </vt:variant>
      <vt:variant>
        <vt:i4>5</vt:i4>
      </vt:variant>
      <vt:variant>
        <vt:lpwstr/>
      </vt:variant>
      <vt:variant>
        <vt:lpwstr>_Toc420308923</vt:lpwstr>
      </vt:variant>
      <vt:variant>
        <vt:i4>1835069</vt:i4>
      </vt:variant>
      <vt:variant>
        <vt:i4>71</vt:i4>
      </vt:variant>
      <vt:variant>
        <vt:i4>0</vt:i4>
      </vt:variant>
      <vt:variant>
        <vt:i4>5</vt:i4>
      </vt:variant>
      <vt:variant>
        <vt:lpwstr/>
      </vt:variant>
      <vt:variant>
        <vt:lpwstr>_Toc420308922</vt:lpwstr>
      </vt:variant>
      <vt:variant>
        <vt:i4>1835069</vt:i4>
      </vt:variant>
      <vt:variant>
        <vt:i4>65</vt:i4>
      </vt:variant>
      <vt:variant>
        <vt:i4>0</vt:i4>
      </vt:variant>
      <vt:variant>
        <vt:i4>5</vt:i4>
      </vt:variant>
      <vt:variant>
        <vt:lpwstr/>
      </vt:variant>
      <vt:variant>
        <vt:lpwstr>_Toc420308921</vt:lpwstr>
      </vt:variant>
      <vt:variant>
        <vt:i4>1835069</vt:i4>
      </vt:variant>
      <vt:variant>
        <vt:i4>59</vt:i4>
      </vt:variant>
      <vt:variant>
        <vt:i4>0</vt:i4>
      </vt:variant>
      <vt:variant>
        <vt:i4>5</vt:i4>
      </vt:variant>
      <vt:variant>
        <vt:lpwstr/>
      </vt:variant>
      <vt:variant>
        <vt:lpwstr>_Toc420308920</vt:lpwstr>
      </vt:variant>
      <vt:variant>
        <vt:i4>2031677</vt:i4>
      </vt:variant>
      <vt:variant>
        <vt:i4>53</vt:i4>
      </vt:variant>
      <vt:variant>
        <vt:i4>0</vt:i4>
      </vt:variant>
      <vt:variant>
        <vt:i4>5</vt:i4>
      </vt:variant>
      <vt:variant>
        <vt:lpwstr/>
      </vt:variant>
      <vt:variant>
        <vt:lpwstr>_Toc420308919</vt:lpwstr>
      </vt:variant>
      <vt:variant>
        <vt:i4>2031677</vt:i4>
      </vt:variant>
      <vt:variant>
        <vt:i4>47</vt:i4>
      </vt:variant>
      <vt:variant>
        <vt:i4>0</vt:i4>
      </vt:variant>
      <vt:variant>
        <vt:i4>5</vt:i4>
      </vt:variant>
      <vt:variant>
        <vt:lpwstr/>
      </vt:variant>
      <vt:variant>
        <vt:lpwstr>_Toc420308918</vt:lpwstr>
      </vt:variant>
      <vt:variant>
        <vt:i4>2031677</vt:i4>
      </vt:variant>
      <vt:variant>
        <vt:i4>41</vt:i4>
      </vt:variant>
      <vt:variant>
        <vt:i4>0</vt:i4>
      </vt:variant>
      <vt:variant>
        <vt:i4>5</vt:i4>
      </vt:variant>
      <vt:variant>
        <vt:lpwstr/>
      </vt:variant>
      <vt:variant>
        <vt:lpwstr>_Toc420308917</vt:lpwstr>
      </vt:variant>
      <vt:variant>
        <vt:i4>2031677</vt:i4>
      </vt:variant>
      <vt:variant>
        <vt:i4>35</vt:i4>
      </vt:variant>
      <vt:variant>
        <vt:i4>0</vt:i4>
      </vt:variant>
      <vt:variant>
        <vt:i4>5</vt:i4>
      </vt:variant>
      <vt:variant>
        <vt:lpwstr/>
      </vt:variant>
      <vt:variant>
        <vt:lpwstr>_Toc420308916</vt:lpwstr>
      </vt:variant>
      <vt:variant>
        <vt:i4>2031677</vt:i4>
      </vt:variant>
      <vt:variant>
        <vt:i4>29</vt:i4>
      </vt:variant>
      <vt:variant>
        <vt:i4>0</vt:i4>
      </vt:variant>
      <vt:variant>
        <vt:i4>5</vt:i4>
      </vt:variant>
      <vt:variant>
        <vt:lpwstr/>
      </vt:variant>
      <vt:variant>
        <vt:lpwstr>_Toc420308915</vt:lpwstr>
      </vt:variant>
      <vt:variant>
        <vt:i4>2031677</vt:i4>
      </vt:variant>
      <vt:variant>
        <vt:i4>26</vt:i4>
      </vt:variant>
      <vt:variant>
        <vt:i4>0</vt:i4>
      </vt:variant>
      <vt:variant>
        <vt:i4>5</vt:i4>
      </vt:variant>
      <vt:variant>
        <vt:lpwstr/>
      </vt:variant>
      <vt:variant>
        <vt:lpwstr>_Toc420308914</vt:lpwstr>
      </vt:variant>
      <vt:variant>
        <vt:i4>2031677</vt:i4>
      </vt:variant>
      <vt:variant>
        <vt:i4>20</vt:i4>
      </vt:variant>
      <vt:variant>
        <vt:i4>0</vt:i4>
      </vt:variant>
      <vt:variant>
        <vt:i4>5</vt:i4>
      </vt:variant>
      <vt:variant>
        <vt:lpwstr/>
      </vt:variant>
      <vt:variant>
        <vt:lpwstr>_Toc420308914</vt:lpwstr>
      </vt:variant>
      <vt:variant>
        <vt:i4>2031677</vt:i4>
      </vt:variant>
      <vt:variant>
        <vt:i4>14</vt:i4>
      </vt:variant>
      <vt:variant>
        <vt:i4>0</vt:i4>
      </vt:variant>
      <vt:variant>
        <vt:i4>5</vt:i4>
      </vt:variant>
      <vt:variant>
        <vt:lpwstr/>
      </vt:variant>
      <vt:variant>
        <vt:lpwstr>_Toc420308913</vt:lpwstr>
      </vt:variant>
      <vt:variant>
        <vt:i4>2031677</vt:i4>
      </vt:variant>
      <vt:variant>
        <vt:i4>8</vt:i4>
      </vt:variant>
      <vt:variant>
        <vt:i4>0</vt:i4>
      </vt:variant>
      <vt:variant>
        <vt:i4>5</vt:i4>
      </vt:variant>
      <vt:variant>
        <vt:lpwstr/>
      </vt:variant>
      <vt:variant>
        <vt:lpwstr>_Toc420308912</vt:lpwstr>
      </vt:variant>
      <vt:variant>
        <vt:i4>2031677</vt:i4>
      </vt:variant>
      <vt:variant>
        <vt:i4>2</vt:i4>
      </vt:variant>
      <vt:variant>
        <vt:i4>0</vt:i4>
      </vt:variant>
      <vt:variant>
        <vt:i4>5</vt:i4>
      </vt:variant>
      <vt:variant>
        <vt:lpwstr/>
      </vt:variant>
      <vt:variant>
        <vt:lpwstr>_Toc420308911</vt:lpwstr>
      </vt:variant>
      <vt:variant>
        <vt:i4>7143481</vt:i4>
      </vt:variant>
      <vt:variant>
        <vt:i4>0</vt:i4>
      </vt:variant>
      <vt:variant>
        <vt:i4>0</vt:i4>
      </vt:variant>
      <vt:variant>
        <vt:i4>5</vt:i4>
      </vt:variant>
      <vt:variant>
        <vt:lpwstr>http://www.dhs.vic.gov.au/about-the-department/documents-and-resources/reports-publications/department-of-human-services-area-maps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08467236</dc:creator>
  <cp:keywords/>
  <cp:lastModifiedBy>McLaren, Kirstie K</cp:lastModifiedBy>
  <cp:revision>8</cp:revision>
  <cp:lastPrinted>2015-06-11T01:01:00Z</cp:lastPrinted>
  <dcterms:created xsi:type="dcterms:W3CDTF">2015-06-01T00:53:00Z</dcterms:created>
  <dcterms:modified xsi:type="dcterms:W3CDTF">2015-06-11T04:36:00Z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ECD_Author">
    <vt:lpwstr>94;#Education|5232e41c-5101-41fe-b638-7d41d1371531</vt:lpwstr>
  </property>
  <property fmtid="{D5CDD505-2E9C-101B-9397-08002B2CF9AE}" pid="4" name="DEECD_SubjectCategory">
    <vt:lpwstr/>
  </property>
  <property fmtid="{D5CDD505-2E9C-101B-9397-08002B2CF9AE}" pid="5" name="ContentTypeId">
    <vt:lpwstr>0x0101008840106FE30D4F50BC61A726A7CA6E3800A01D47DD30CBB54F95863B7DC80A2CEC</vt:lpwstr>
  </property>
  <property fmtid="{D5CDD505-2E9C-101B-9397-08002B2CF9AE}" pid="6" name="DEECD_ItemType">
    <vt:lpwstr>101;#Page|eb523acf-a821-456c-a76b-7607578309d7</vt:lpwstr>
  </property>
  <property fmtid="{D5CDD505-2E9C-101B-9397-08002B2CF9AE}" pid="7" name="DEECD_Audience">
    <vt:lpwstr/>
  </property>
</Properties>
</file>