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398E" w14:textId="5D2F8DF5" w:rsidR="003B3904" w:rsidRDefault="003B3904" w:rsidP="008766A4">
      <w:pPr>
        <w:pStyle w:val="Heading1"/>
      </w:pPr>
      <w:r w:rsidRPr="003E29B5">
        <w:rPr>
          <w:noProof/>
          <w:lang w:val="en-AU" w:eastAsia="en-AU"/>
        </w:rPr>
        <mc:AlternateContent>
          <mc:Choice Requires="wps">
            <w:drawing>
              <wp:anchor distT="0" distB="0" distL="114300" distR="114300" simplePos="0" relativeHeight="251660288" behindDoc="0" locked="0" layoutInCell="1" allowOverlap="1" wp14:anchorId="142C1659" wp14:editId="7CADE6CE">
                <wp:simplePos x="0" y="0"/>
                <wp:positionH relativeFrom="column">
                  <wp:posOffset>-81915</wp:posOffset>
                </wp:positionH>
                <wp:positionV relativeFrom="paragraph">
                  <wp:posOffset>3810</wp:posOffset>
                </wp:positionV>
                <wp:extent cx="6807200" cy="704850"/>
                <wp:effectExtent l="0" t="0" r="0" b="0"/>
                <wp:wrapTight wrapText="bothSides">
                  <wp:wrapPolygon edited="0">
                    <wp:start x="121" y="0"/>
                    <wp:lineTo x="121" y="21016"/>
                    <wp:lineTo x="21399" y="21016"/>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81BAF" w14:textId="6F860E6A" w:rsidR="003B3904" w:rsidRPr="00037AC8" w:rsidRDefault="00A7527B" w:rsidP="00493D5D">
                            <w:pPr>
                              <w:pStyle w:val="Title"/>
                              <w:rPr>
                                <w:lang w:val="en-AU"/>
                              </w:rPr>
                            </w:pPr>
                            <w:r w:rsidRPr="00273019">
                              <w:rPr>
                                <w:lang w:val="en-AU"/>
                              </w:rPr>
                              <w:t xml:space="preserve">Transition Support </w:t>
                            </w:r>
                            <w:r w:rsidRPr="00493D5D">
                              <w:rPr>
                                <w:lang w:val="en-AU"/>
                              </w:rPr>
                              <w:t>Funding</w:t>
                            </w:r>
                            <w:r w:rsidR="00273019" w:rsidRPr="00493D5D">
                              <w:rPr>
                                <w:color w:val="ED7D31" w:themeColor="accent2"/>
                                <w:lang w:val="en-AU"/>
                              </w:rPr>
                              <w:t xml:space="preserve"> </w:t>
                            </w:r>
                            <w:r w:rsidR="00273019" w:rsidRPr="00273019">
                              <w:rPr>
                                <w:lang w:val="en-AU"/>
                              </w:rPr>
                              <w:t>Fact Sheet</w:t>
                            </w:r>
                          </w:p>
                          <w:p w14:paraId="2F9AFD99" w14:textId="756B983B" w:rsidR="003E29B5" w:rsidRPr="008766A4" w:rsidRDefault="00A7527B" w:rsidP="003B3904">
                            <w:pPr>
                              <w:pStyle w:val="Subtitle"/>
                            </w:pPr>
                            <w:r>
                              <w:rPr>
                                <w:lang w:val="en-AU"/>
                              </w:rPr>
                              <w:t xml:space="preserve">Program for Students with Disabilities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6.45pt;margin-top:.3pt;width:536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U7rAIAAKM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" filled="f" stroked="f">
                <v:textbox>
                  <w:txbxContent>
                    <w:p w14:paraId="44281BAF" w14:textId="6F860E6A" w:rsidR="003B3904" w:rsidRPr="00037AC8" w:rsidRDefault="00A7527B" w:rsidP="00493D5D">
                      <w:pPr>
                        <w:pStyle w:val="Title"/>
                        <w:rPr>
                          <w:lang w:val="en-AU"/>
                        </w:rPr>
                      </w:pPr>
                      <w:r w:rsidRPr="00273019">
                        <w:rPr>
                          <w:lang w:val="en-AU"/>
                        </w:rPr>
                        <w:t xml:space="preserve">Transition Support </w:t>
                      </w:r>
                      <w:r w:rsidRPr="00493D5D">
                        <w:rPr>
                          <w:lang w:val="en-AU"/>
                        </w:rPr>
                        <w:t>Funding</w:t>
                      </w:r>
                      <w:r w:rsidR="00273019" w:rsidRPr="00493D5D">
                        <w:rPr>
                          <w:color w:val="ED7D31" w:themeColor="accent2"/>
                          <w:lang w:val="en-AU"/>
                        </w:rPr>
                        <w:t xml:space="preserve"> </w:t>
                      </w:r>
                      <w:r w:rsidR="00273019" w:rsidRPr="00273019">
                        <w:rPr>
                          <w:lang w:val="en-AU"/>
                        </w:rPr>
                        <w:t>Fact Sheet</w:t>
                      </w:r>
                    </w:p>
                    <w:p w14:paraId="2F9AFD99" w14:textId="756B983B" w:rsidR="003E29B5" w:rsidRPr="008766A4" w:rsidRDefault="00A7527B" w:rsidP="003B3904">
                      <w:pPr>
                        <w:pStyle w:val="Subtitle"/>
                      </w:pPr>
                      <w:r>
                        <w:rPr>
                          <w:lang w:val="en-AU"/>
                        </w:rPr>
                        <w:t xml:space="preserve">Program for Students with Disabilities </w:t>
                      </w:r>
                    </w:p>
                  </w:txbxContent>
                </v:textbox>
                <w10:wrap type="tight"/>
              </v:shape>
            </w:pict>
          </mc:Fallback>
        </mc:AlternateContent>
      </w:r>
    </w:p>
    <w:p w14:paraId="1600153E" w14:textId="77777777" w:rsidR="00C21DE4" w:rsidRPr="00C21DE4" w:rsidRDefault="00C21DE4" w:rsidP="00C21DE4">
      <w:r w:rsidRPr="00C21DE4">
        <w:t xml:space="preserve">The Department is committed to delivering an inclusive education system that ensures all students have access to a quality education that meets their needs. 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5D74C79F" w14:textId="7E23AC90" w:rsidR="00D27AFE" w:rsidRDefault="00D27AFE" w:rsidP="00D27AFE">
      <w:r w:rsidRPr="00AA6F78">
        <w:rPr>
          <w:b/>
        </w:rPr>
        <w:t>Transition Support Funding</w:t>
      </w:r>
      <w:r w:rsidRPr="00C21DE4">
        <w:t xml:space="preserve"> is available </w:t>
      </w:r>
      <w:r w:rsidR="00C153FA">
        <w:t xml:space="preserve">to </w:t>
      </w:r>
      <w:r>
        <w:t xml:space="preserve">government secondary schools </w:t>
      </w:r>
      <w:r w:rsidR="00B61E4F">
        <w:t xml:space="preserve">in </w:t>
      </w:r>
      <w:bookmarkStart w:id="0" w:name="_GoBack"/>
      <w:r w:rsidR="00B61E4F">
        <w:t>2017</w:t>
      </w:r>
      <w:r w:rsidR="008123AB">
        <w:t xml:space="preserve">, 2018 and 2019 </w:t>
      </w:r>
      <w:bookmarkEnd w:id="0"/>
      <w:r w:rsidRPr="00C21DE4">
        <w:t>to support students starting Year 7 who are no longer eligible for the PSD after their Year 6</w:t>
      </w:r>
      <w:r w:rsidR="00472B9E">
        <w:t>-7</w:t>
      </w:r>
      <w:r w:rsidRPr="00C21DE4">
        <w:t xml:space="preserve"> Review.</w:t>
      </w:r>
      <w:r w:rsidRPr="00AA6F78">
        <w:t xml:space="preserve"> </w:t>
      </w:r>
      <w:r>
        <w:t xml:space="preserve"> </w:t>
      </w:r>
      <w:r w:rsidR="00D75E47">
        <w:t xml:space="preserve">An allocation of </w:t>
      </w:r>
      <w:r>
        <w:t>$</w:t>
      </w:r>
      <w:r w:rsidR="00D75E47">
        <w:t>3</w:t>
      </w:r>
      <w:r>
        <w:t>000 per student (pro rata) will be included in the SRP to support the delivery of personalised teaching and learning programs that respond to students' needs.</w:t>
      </w:r>
    </w:p>
    <w:p w14:paraId="38BEC46D" w14:textId="71131856" w:rsidR="00C66D5D" w:rsidRPr="00493D5D" w:rsidRDefault="008239E4" w:rsidP="00493D5D">
      <w:pPr>
        <w:pStyle w:val="Heading2"/>
      </w:pPr>
      <w:r w:rsidRPr="00493D5D">
        <w:t xml:space="preserve">SUPPORT FOR StUDENTS AND </w:t>
      </w:r>
      <w:r w:rsidR="00C66D5D" w:rsidRPr="00493D5D">
        <w:t>USE OF FUNDS</w:t>
      </w:r>
    </w:p>
    <w:p w14:paraId="55A53060" w14:textId="266F8AA7" w:rsidR="00C21DE4" w:rsidRDefault="00C21DE4" w:rsidP="00C21DE4">
      <w:r>
        <w:t xml:space="preserve">Evidence shows that the quality of teaching has one of the largest impacts on student learning, and building teaching excellence is central to making schools more inclusive and improving outcomes for students with learning support needs.  </w:t>
      </w:r>
    </w:p>
    <w:p w14:paraId="3D3DAB5E" w14:textId="77777777" w:rsidR="00C21DE4" w:rsidRDefault="00C21DE4" w:rsidP="00C21DE4">
      <w:r>
        <w:t>In delivering effective programs for students with disabilities and additional learning needs, school leaders and teachers should ensure their practice is:</w:t>
      </w:r>
    </w:p>
    <w:p w14:paraId="01E3FC7C" w14:textId="78CA9151" w:rsidR="00C21DE4" w:rsidRPr="00C21DE4" w:rsidRDefault="00C21DE4" w:rsidP="00C21DE4">
      <w:pPr>
        <w:pStyle w:val="ListParagraph"/>
        <w:numPr>
          <w:ilvl w:val="0"/>
          <w:numId w:val="15"/>
        </w:numPr>
        <w:rPr>
          <w:rStyle w:val="Hyperlink"/>
          <w:color w:val="auto"/>
          <w:u w:val="none"/>
          <w:shd w:val="clear" w:color="auto" w:fill="FFFFFF"/>
        </w:rPr>
      </w:pPr>
      <w:r w:rsidRPr="00C21DE4">
        <w:rPr>
          <w:rStyle w:val="Hyperlink"/>
          <w:color w:val="auto"/>
          <w:u w:val="none"/>
          <w:shd w:val="clear" w:color="auto" w:fill="FFFFFF"/>
        </w:rPr>
        <w:t xml:space="preserve">guided by the Victorian Curriculum, inclusive of Levels A-D and Foundation to 10, see: </w:t>
      </w:r>
      <w:hyperlink r:id="rId11" w:history="1">
        <w:r w:rsidR="00D75E47" w:rsidRPr="00D75E47">
          <w:rPr>
            <w:rStyle w:val="Hyperlink"/>
            <w:color w:val="0000FF"/>
            <w:shd w:val="clear" w:color="auto" w:fill="FFFFFF"/>
          </w:rPr>
          <w:t>http://victoriancurriculum.vcaa.vic.edu.au/</w:t>
        </w:r>
      </w:hyperlink>
      <w:r w:rsidR="00D75E47">
        <w:rPr>
          <w:rStyle w:val="Hyperlink"/>
          <w:color w:val="0000FF"/>
          <w:shd w:val="clear" w:color="auto" w:fill="FFFFFF"/>
        </w:rPr>
        <w:t xml:space="preserve"> </w:t>
      </w:r>
      <w:r w:rsidRPr="00C21DE4">
        <w:rPr>
          <w:rStyle w:val="Hyperlink"/>
          <w:color w:val="auto"/>
          <w:u w:val="none"/>
          <w:shd w:val="clear" w:color="auto" w:fill="FFFFFF"/>
        </w:rPr>
        <w:t xml:space="preserve"> </w:t>
      </w:r>
    </w:p>
    <w:p w14:paraId="2259D187" w14:textId="64343DA2" w:rsidR="00C21DE4" w:rsidRPr="00C21DE4" w:rsidRDefault="00C21DE4" w:rsidP="00C21DE4">
      <w:pPr>
        <w:pStyle w:val="ListParagraph"/>
        <w:numPr>
          <w:ilvl w:val="0"/>
          <w:numId w:val="15"/>
        </w:numPr>
        <w:rPr>
          <w:rStyle w:val="Hyperlink"/>
          <w:color w:val="auto"/>
          <w:u w:val="none"/>
          <w:shd w:val="clear" w:color="auto" w:fill="FFFFFF"/>
        </w:rPr>
      </w:pPr>
      <w:r w:rsidRPr="00C21DE4">
        <w:rPr>
          <w:rStyle w:val="Hyperlink"/>
          <w:color w:val="auto"/>
          <w:u w:val="none"/>
          <w:shd w:val="clear" w:color="auto" w:fill="FFFFFF"/>
        </w:rPr>
        <w:t xml:space="preserve">informed by disability specific professional learning activities undertaken annually as part of teacher registration requirements, see: </w:t>
      </w:r>
      <w:hyperlink r:id="rId12" w:history="1">
        <w:r w:rsidR="00D75E47" w:rsidRPr="00D75E47">
          <w:rPr>
            <w:rStyle w:val="Hyperlink"/>
            <w:color w:val="0000FF"/>
            <w:shd w:val="clear" w:color="auto" w:fill="FFFFFF"/>
          </w:rPr>
          <w:t>http://www.vit.vic.edu.au/registered-teacher/special-needs-plan</w:t>
        </w:r>
      </w:hyperlink>
      <w:r w:rsidR="00D75E47">
        <w:rPr>
          <w:rStyle w:val="Hyperlink"/>
          <w:color w:val="0000FF"/>
          <w:shd w:val="clear" w:color="auto" w:fill="FFFFFF"/>
        </w:rPr>
        <w:t xml:space="preserve"> </w:t>
      </w:r>
      <w:r w:rsidRPr="00037AC8">
        <w:rPr>
          <w:rStyle w:val="Hyperlink"/>
          <w:color w:val="0000FF"/>
          <w:u w:val="none"/>
          <w:shd w:val="clear" w:color="auto" w:fill="FFFFFF"/>
        </w:rPr>
        <w:t xml:space="preserve"> </w:t>
      </w:r>
    </w:p>
    <w:p w14:paraId="55DCE8CD" w14:textId="0C5F96A9" w:rsidR="00A7527B" w:rsidRPr="00C21DE4" w:rsidRDefault="00C21DE4" w:rsidP="00C21DE4">
      <w:pPr>
        <w:pStyle w:val="ListParagraph"/>
        <w:numPr>
          <w:ilvl w:val="0"/>
          <w:numId w:val="15"/>
        </w:numPr>
        <w:rPr>
          <w:rStyle w:val="Hyperlink"/>
          <w:color w:val="auto"/>
          <w:u w:val="none"/>
          <w:shd w:val="clear" w:color="auto" w:fill="FFFFFF"/>
        </w:rPr>
      </w:pPr>
      <w:r w:rsidRPr="00C21DE4">
        <w:rPr>
          <w:rStyle w:val="Hyperlink"/>
          <w:color w:val="auto"/>
          <w:u w:val="none"/>
          <w:shd w:val="clear" w:color="auto" w:fill="FFFFFF"/>
        </w:rPr>
        <w:t xml:space="preserve">evidence based and planned, implemented and monitored in line with the Framework for Improving Student Outcomes, see: </w:t>
      </w:r>
      <w:hyperlink r:id="rId13" w:history="1">
        <w:r w:rsidR="00D75E47" w:rsidRPr="00D75E47">
          <w:rPr>
            <w:rStyle w:val="Hyperlink"/>
            <w:color w:val="0000FF"/>
            <w:shd w:val="clear" w:color="auto" w:fill="FFFFFF"/>
          </w:rPr>
          <w:t>http://www.education.vic.gov.au/about/educationstate/Pages/outcomes.aspx</w:t>
        </w:r>
      </w:hyperlink>
      <w:r w:rsidR="00D75E47">
        <w:rPr>
          <w:rStyle w:val="Hyperlink"/>
          <w:color w:val="0000FF"/>
          <w:shd w:val="clear" w:color="auto" w:fill="FFFFFF"/>
        </w:rPr>
        <w:t xml:space="preserve"> </w:t>
      </w:r>
      <w:r w:rsidRPr="00C21DE4">
        <w:rPr>
          <w:rStyle w:val="Hyperlink"/>
          <w:color w:val="auto"/>
          <w:u w:val="none"/>
          <w:shd w:val="clear" w:color="auto" w:fill="FFFFFF"/>
        </w:rPr>
        <w:t xml:space="preserve">   </w:t>
      </w:r>
    </w:p>
    <w:p w14:paraId="2CD0C438" w14:textId="14878ADC" w:rsidR="00C21DE4" w:rsidRPr="00C21DE4" w:rsidRDefault="00C21DE4" w:rsidP="00C21DE4">
      <w:r w:rsidRPr="00C21DE4">
        <w:t>In addition, school policy and practice should reflect collaboration between the school leaders and teachers, parent/guardian/</w:t>
      </w:r>
      <w:proofErr w:type="spellStart"/>
      <w:r w:rsidRPr="00C21DE4">
        <w:t>carer</w:t>
      </w:r>
      <w:proofErr w:type="spellEnd"/>
      <w:r w:rsidRPr="00C21DE4">
        <w:t>(s)</w:t>
      </w:r>
      <w:r w:rsidR="00B03706">
        <w:t xml:space="preserve"> and</w:t>
      </w:r>
      <w:r w:rsidRPr="00C21DE4">
        <w:t xml:space="preserve"> specialist education or allied health staff to develop agreed understandings and responses to students’ needs, including students with a disability or additional learning needs.  </w:t>
      </w:r>
    </w:p>
    <w:p w14:paraId="60046C43" w14:textId="38D8FB8D" w:rsidR="00C21DE4" w:rsidRPr="00C21DE4" w:rsidRDefault="00C21DE4" w:rsidP="00C21DE4">
      <w:r w:rsidRPr="00C21DE4">
        <w:t xml:space="preserve">Schools are encouraged to </w:t>
      </w:r>
      <w:r w:rsidR="00C153FA">
        <w:t>use</w:t>
      </w:r>
      <w:r w:rsidR="00B87A7A">
        <w:t xml:space="preserve"> the</w:t>
      </w:r>
      <w:r w:rsidRPr="00C21DE4">
        <w:t xml:space="preserve"> </w:t>
      </w:r>
      <w:r w:rsidR="00B87A7A" w:rsidRPr="00C21DE4">
        <w:t xml:space="preserve">Student Support Group (SSG) </w:t>
      </w:r>
      <w:r w:rsidRPr="00C21DE4">
        <w:t>process to draw on the expertise of the group to formulate and commit to specific strategies and implementation plans that will support the</w:t>
      </w:r>
      <w:r w:rsidR="00C153FA">
        <w:t xml:space="preserve"> student’s</w:t>
      </w:r>
      <w:r w:rsidRPr="00C21DE4">
        <w:t xml:space="preserve"> educational needs, inclusion and engagement.  The progress of the agreed strategies should be regularly reviewed at SSG meetings each term.  </w:t>
      </w:r>
      <w:hyperlink r:id="rId14" w:history="1">
        <w:r w:rsidRPr="00C21DE4">
          <w:t xml:space="preserve">Guidelines are available </w:t>
        </w:r>
      </w:hyperlink>
      <w:r w:rsidRPr="00C21DE4">
        <w:t xml:space="preserve">to assist schools in supporting students with disabilities and additional learning needs, see: </w:t>
      </w:r>
      <w:hyperlink r:id="rId15" w:anchor="link36" w:history="1">
        <w:r w:rsidRPr="00D75E47">
          <w:rPr>
            <w:rStyle w:val="Hyperlink"/>
            <w:color w:val="0000FF"/>
            <w:shd w:val="clear" w:color="auto" w:fill="FFFFFF"/>
          </w:rPr>
          <w:t>Student Support Group Guidelines</w:t>
        </w:r>
      </w:hyperlink>
      <w:r w:rsidRPr="00C21DE4">
        <w:t>.</w:t>
      </w:r>
    </w:p>
    <w:p w14:paraId="2151218E" w14:textId="16C0EC00" w:rsidR="00F16D3D" w:rsidRPr="00C21DE4" w:rsidRDefault="00F16D3D" w:rsidP="00F16D3D">
      <w:r>
        <w:t xml:space="preserve">Transition Support Funding resources, in consultation with the SSG, </w:t>
      </w:r>
      <w:r w:rsidR="00E676C3">
        <w:t xml:space="preserve">could </w:t>
      </w:r>
      <w:r>
        <w:t>be used to access</w:t>
      </w:r>
      <w:r w:rsidRPr="00C21DE4">
        <w:t>:</w:t>
      </w:r>
    </w:p>
    <w:p w14:paraId="4080FE22" w14:textId="215D5D63" w:rsidR="00F16D3D" w:rsidRPr="00C21DE4" w:rsidRDefault="00F16D3D" w:rsidP="00F16D3D">
      <w:pPr>
        <w:pStyle w:val="ListParagraph"/>
        <w:numPr>
          <w:ilvl w:val="0"/>
          <w:numId w:val="15"/>
        </w:numPr>
        <w:rPr>
          <w:rStyle w:val="Hyperlink"/>
          <w:color w:val="auto"/>
          <w:u w:val="none"/>
          <w:shd w:val="clear" w:color="auto" w:fill="FFFFFF"/>
        </w:rPr>
      </w:pPr>
      <w:r>
        <w:rPr>
          <w:rStyle w:val="Hyperlink"/>
          <w:color w:val="auto"/>
          <w:u w:val="none"/>
          <w:shd w:val="clear" w:color="auto" w:fill="FFFFFF"/>
        </w:rPr>
        <w:t>Consultation</w:t>
      </w:r>
      <w:r w:rsidRPr="00C21DE4">
        <w:rPr>
          <w:rStyle w:val="Hyperlink"/>
          <w:color w:val="auto"/>
          <w:u w:val="none"/>
          <w:shd w:val="clear" w:color="auto" w:fill="FFFFFF"/>
        </w:rPr>
        <w:t xml:space="preserve"> </w:t>
      </w:r>
      <w:r>
        <w:rPr>
          <w:rStyle w:val="Hyperlink"/>
          <w:color w:val="auto"/>
          <w:u w:val="none"/>
          <w:shd w:val="clear" w:color="auto" w:fill="FFFFFF"/>
        </w:rPr>
        <w:t xml:space="preserve">or support </w:t>
      </w:r>
      <w:r w:rsidR="00BA53A9">
        <w:rPr>
          <w:rStyle w:val="Hyperlink"/>
          <w:color w:val="auto"/>
          <w:u w:val="none"/>
          <w:shd w:val="clear" w:color="auto" w:fill="FFFFFF"/>
        </w:rPr>
        <w:t xml:space="preserve">from </w:t>
      </w:r>
      <w:r>
        <w:rPr>
          <w:rStyle w:val="Hyperlink"/>
          <w:color w:val="auto"/>
          <w:u w:val="none"/>
          <w:shd w:val="clear" w:color="auto" w:fill="FFFFFF"/>
        </w:rPr>
        <w:t>s</w:t>
      </w:r>
      <w:r w:rsidRPr="00C21DE4">
        <w:rPr>
          <w:rStyle w:val="Hyperlink"/>
          <w:color w:val="auto"/>
          <w:u w:val="none"/>
          <w:shd w:val="clear" w:color="auto" w:fill="FFFFFF"/>
        </w:rPr>
        <w:t xml:space="preserve">pecialist education or allied health </w:t>
      </w:r>
      <w:r>
        <w:rPr>
          <w:rStyle w:val="Hyperlink"/>
          <w:color w:val="auto"/>
          <w:u w:val="none"/>
          <w:shd w:val="clear" w:color="auto" w:fill="FFFFFF"/>
        </w:rPr>
        <w:t>staff</w:t>
      </w:r>
    </w:p>
    <w:p w14:paraId="2FA22503" w14:textId="77777777" w:rsidR="00F16D3D" w:rsidRPr="00C21DE4" w:rsidRDefault="00F16D3D" w:rsidP="00F16D3D">
      <w:pPr>
        <w:pStyle w:val="ListParagraph"/>
        <w:numPr>
          <w:ilvl w:val="0"/>
          <w:numId w:val="15"/>
        </w:numPr>
        <w:rPr>
          <w:rStyle w:val="Hyperlink"/>
          <w:color w:val="auto"/>
          <w:u w:val="none"/>
          <w:shd w:val="clear" w:color="auto" w:fill="FFFFFF"/>
        </w:rPr>
      </w:pPr>
      <w:r>
        <w:rPr>
          <w:rStyle w:val="Hyperlink"/>
          <w:color w:val="auto"/>
          <w:u w:val="none"/>
          <w:shd w:val="clear" w:color="auto" w:fill="FFFFFF"/>
        </w:rPr>
        <w:t>P</w:t>
      </w:r>
      <w:r w:rsidRPr="00C21DE4">
        <w:rPr>
          <w:rStyle w:val="Hyperlink"/>
          <w:color w:val="auto"/>
          <w:u w:val="none"/>
          <w:shd w:val="clear" w:color="auto" w:fill="FFFFFF"/>
        </w:rPr>
        <w:t>rofessional development​</w:t>
      </w:r>
    </w:p>
    <w:p w14:paraId="7A72A294" w14:textId="77777777" w:rsidR="00F16D3D" w:rsidRPr="00C21DE4" w:rsidRDefault="00F16D3D" w:rsidP="00F16D3D">
      <w:pPr>
        <w:pStyle w:val="ListParagraph"/>
        <w:numPr>
          <w:ilvl w:val="0"/>
          <w:numId w:val="15"/>
        </w:numPr>
        <w:rPr>
          <w:rStyle w:val="Hyperlink"/>
          <w:color w:val="auto"/>
          <w:u w:val="none"/>
          <w:shd w:val="clear" w:color="auto" w:fill="FFFFFF"/>
        </w:rPr>
      </w:pPr>
      <w:r w:rsidRPr="00C21DE4">
        <w:rPr>
          <w:rStyle w:val="Hyperlink"/>
          <w:color w:val="auto"/>
          <w:u w:val="none"/>
          <w:shd w:val="clear" w:color="auto" w:fill="FFFFFF"/>
        </w:rPr>
        <w:t>Specialist equipment or materials</w:t>
      </w:r>
    </w:p>
    <w:p w14:paraId="61B0D034" w14:textId="4E8476EB" w:rsidR="00BA53A9" w:rsidRDefault="00982596" w:rsidP="00C21DE4">
      <w:r>
        <w:t xml:space="preserve">Consideration should be given to maximising the benefits of </w:t>
      </w:r>
      <w:r w:rsidR="00ED6213">
        <w:t>this additional investment</w:t>
      </w:r>
      <w:r w:rsidR="00C153FA">
        <w:t>,</w:t>
      </w:r>
      <w:r>
        <w:t xml:space="preserve"> specific to the individual needs of the student.  This may vary between </w:t>
      </w:r>
      <w:r w:rsidR="00BA53A9">
        <w:t xml:space="preserve">providing more </w:t>
      </w:r>
      <w:r>
        <w:lastRenderedPageBreak/>
        <w:t>intense support at the beginning of the school year, or</w:t>
      </w:r>
      <w:r w:rsidR="00BA53A9">
        <w:t xml:space="preserve"> identifying equipment and materials that will be used over a longer period of time.  For example:</w:t>
      </w:r>
    </w:p>
    <w:p w14:paraId="4CE33F80" w14:textId="69BB5DDA" w:rsidR="00D27AFE" w:rsidRDefault="00BA53A9" w:rsidP="00BA53A9">
      <w:pPr>
        <w:pStyle w:val="ListParagraph"/>
        <w:numPr>
          <w:ilvl w:val="0"/>
          <w:numId w:val="15"/>
        </w:numPr>
      </w:pPr>
      <w:r>
        <w:t xml:space="preserve">For a student with </w:t>
      </w:r>
      <w:r w:rsidRPr="00172063">
        <w:rPr>
          <w:b/>
        </w:rPr>
        <w:t>behaviour support needs</w:t>
      </w:r>
      <w:r>
        <w:t xml:space="preserve">, Transition Support Funding may be used </w:t>
      </w:r>
      <w:r w:rsidR="00172063">
        <w:t>for</w:t>
      </w:r>
      <w:r>
        <w:t xml:space="preserve"> professional development and consultation </w:t>
      </w:r>
      <w:r w:rsidR="00172063">
        <w:t xml:space="preserve">focused at </w:t>
      </w:r>
      <w:r>
        <w:t>the beginning of the school year.  This could provide school staff with the necessary knowledge and skills, develop and implement behaviour support plans and resources across the school, and support other adjustments</w:t>
      </w:r>
      <w:r w:rsidR="00172063">
        <w:t xml:space="preserve"> to the school environment as the student begins secondary school.</w:t>
      </w:r>
    </w:p>
    <w:p w14:paraId="59B40682" w14:textId="1D806E98" w:rsidR="00BA53A9" w:rsidRDefault="00BA53A9" w:rsidP="00BA53A9">
      <w:pPr>
        <w:pStyle w:val="ListParagraph"/>
        <w:numPr>
          <w:ilvl w:val="0"/>
          <w:numId w:val="15"/>
        </w:numPr>
      </w:pPr>
      <w:r>
        <w:t xml:space="preserve">For a student with </w:t>
      </w:r>
      <w:r w:rsidRPr="00172063">
        <w:rPr>
          <w:b/>
        </w:rPr>
        <w:t>learning support needs</w:t>
      </w:r>
      <w:r>
        <w:t>, Transition Support Funding may be used to access specialist educa</w:t>
      </w:r>
      <w:r w:rsidR="00ED6213">
        <w:t xml:space="preserve">tion or allied health support.  This may </w:t>
      </w:r>
      <w:r>
        <w:t xml:space="preserve">identify specialist equipment and educational resources that the school can purchase for the student’s personalised learning and support needs.  </w:t>
      </w:r>
    </w:p>
    <w:p w14:paraId="1B0FF256" w14:textId="2EE6CB87" w:rsidR="00BA53A9" w:rsidRDefault="00BA53A9" w:rsidP="008D795E">
      <w:pPr>
        <w:pStyle w:val="ListParagraph"/>
        <w:numPr>
          <w:ilvl w:val="0"/>
          <w:numId w:val="15"/>
        </w:numPr>
      </w:pPr>
      <w:r>
        <w:t xml:space="preserve">For a student with </w:t>
      </w:r>
      <w:r w:rsidRPr="00172063">
        <w:rPr>
          <w:b/>
        </w:rPr>
        <w:t>sensory or health support needs</w:t>
      </w:r>
      <w:r>
        <w:t xml:space="preserve">, </w:t>
      </w:r>
      <w:r w:rsidR="008D795E">
        <w:t xml:space="preserve">Transition Support Funding may be used to purchase personal equipment or resources, specific to the student’s needs, that will enhance their access and participation in the school’s educational programs.  </w:t>
      </w:r>
    </w:p>
    <w:p w14:paraId="0BD9C40E" w14:textId="5E1439F8" w:rsidR="00C21DE4" w:rsidRPr="00C21DE4" w:rsidRDefault="00C21DE4" w:rsidP="00C21DE4">
      <w:r w:rsidRPr="00C21DE4">
        <w:t xml:space="preserve">Transition </w:t>
      </w:r>
      <w:r w:rsidR="00B87A7A">
        <w:t>Support Funding</w:t>
      </w:r>
      <w:r w:rsidRPr="00C21DE4">
        <w:t xml:space="preserve"> resources do not define or limit the support provided by a school for a student with a disability.  It is the responsibility of the school, in consultation with </w:t>
      </w:r>
      <w:r w:rsidR="00F16D3D" w:rsidRPr="00C21DE4">
        <w:t>parent/guardian/</w:t>
      </w:r>
      <w:proofErr w:type="spellStart"/>
      <w:r w:rsidR="00F16D3D" w:rsidRPr="00C21DE4">
        <w:t>carer</w:t>
      </w:r>
      <w:proofErr w:type="spellEnd"/>
      <w:r w:rsidR="00F16D3D" w:rsidRPr="00C21DE4">
        <w:t>(s)</w:t>
      </w:r>
      <w:r w:rsidRPr="00C21DE4">
        <w:t xml:space="preserve"> in the </w:t>
      </w:r>
      <w:r w:rsidR="00F16D3D">
        <w:t>SSG</w:t>
      </w:r>
      <w:r w:rsidRPr="00C21DE4">
        <w:t>, to determine the specific nature of the support required.</w:t>
      </w:r>
    </w:p>
    <w:p w14:paraId="3C42F194" w14:textId="49717258" w:rsidR="00C21DE4" w:rsidRPr="00C21DE4" w:rsidRDefault="00C21DE4" w:rsidP="00C21DE4">
      <w:r w:rsidRPr="00C21DE4">
        <w:t xml:space="preserve">For further information, see: </w:t>
      </w:r>
      <w:hyperlink r:id="rId16" w:history="1">
        <w:r w:rsidRPr="00037AC8">
          <w:rPr>
            <w:rStyle w:val="Hyperlink"/>
            <w:color w:val="0000FF"/>
            <w:shd w:val="clear" w:color="auto" w:fill="FFFFFF"/>
          </w:rPr>
          <w:t>School Policy and Advisory Guide - Students with a Disability</w:t>
        </w:r>
      </w:hyperlink>
      <w:r w:rsidRPr="00C21DE4">
        <w:t>.</w:t>
      </w:r>
    </w:p>
    <w:p w14:paraId="300294E6" w14:textId="4FE7593C" w:rsidR="00B87A7A" w:rsidRPr="00493D5D" w:rsidRDefault="00B87A7A" w:rsidP="00493D5D">
      <w:pPr>
        <w:pStyle w:val="Heading2"/>
      </w:pPr>
      <w:r w:rsidRPr="00493D5D">
        <w:t xml:space="preserve">Allocation of Funding – Program for Students with Disabilities Management System </w:t>
      </w:r>
    </w:p>
    <w:p w14:paraId="05693660" w14:textId="7CF0DAB7" w:rsidR="00C21DE4" w:rsidRPr="00C21DE4" w:rsidRDefault="00C21DE4" w:rsidP="00C21DE4">
      <w:r w:rsidRPr="00C21DE4">
        <w:t xml:space="preserve">Transition </w:t>
      </w:r>
      <w:r w:rsidR="00D67A6C">
        <w:t>Support Funding</w:t>
      </w:r>
      <w:r w:rsidRPr="00C21DE4">
        <w:t xml:space="preserve"> </w:t>
      </w:r>
      <w:r w:rsidR="00D67A6C">
        <w:t>is</w:t>
      </w:r>
      <w:r w:rsidRPr="00C21DE4">
        <w:t xml:space="preserve"> allocated </w:t>
      </w:r>
      <w:r w:rsidR="00172063">
        <w:t xml:space="preserve">in the SRP </w:t>
      </w:r>
      <w:r w:rsidRPr="00C21DE4">
        <w:t xml:space="preserve">based on up-to-date enrolment information provided by schools via the Program for Students with Disabilities Management System (PSDMS) prior to </w:t>
      </w:r>
      <w:r w:rsidR="00C66D5D" w:rsidRPr="00EC13FD">
        <w:t>2</w:t>
      </w:r>
      <w:r w:rsidR="00C66D5D">
        <w:t>8</w:t>
      </w:r>
      <w:r w:rsidR="00C66D5D" w:rsidRPr="00EC13FD">
        <w:t xml:space="preserve"> February </w:t>
      </w:r>
      <w:r w:rsidR="00B61E4F">
        <w:t>of each school year</w:t>
      </w:r>
      <w:r w:rsidRPr="00C21DE4">
        <w:t>.</w:t>
      </w:r>
    </w:p>
    <w:p w14:paraId="2C0BAC6F" w14:textId="6B16545A" w:rsidR="00B87A7A" w:rsidRPr="00A9005C" w:rsidRDefault="00B87A7A" w:rsidP="00B87A7A">
      <w:r>
        <w:t xml:space="preserve">It is essential for schools to confirm that </w:t>
      </w:r>
      <w:r w:rsidRPr="00655B2A">
        <w:rPr>
          <w:b/>
        </w:rPr>
        <w:t>all students in receipt of PSD support</w:t>
      </w:r>
      <w:r>
        <w:rPr>
          <w:b/>
        </w:rPr>
        <w:t xml:space="preserve"> (including Transition Support Funding) </w:t>
      </w:r>
      <w:r w:rsidRPr="00655B2A">
        <w:t>are listed</w:t>
      </w:r>
      <w:r w:rsidR="00C66D5D">
        <w:t xml:space="preserve"> on the system by this date, </w:t>
      </w:r>
      <w:r w:rsidRPr="00C21DE4">
        <w:t xml:space="preserve">see: </w:t>
      </w:r>
      <w:hyperlink r:id="rId17" w:tgtFrame="_blank" w:history="1">
        <w:r w:rsidRPr="00037AC8">
          <w:rPr>
            <w:rStyle w:val="Hyperlink"/>
            <w:color w:val="0000FF"/>
            <w:shd w:val="clear" w:color="auto" w:fill="FFFFFF"/>
          </w:rPr>
          <w:t>PSDMS</w:t>
        </w:r>
      </w:hyperlink>
      <w:r w:rsidRPr="00C21DE4">
        <w:t>.</w:t>
      </w:r>
    </w:p>
    <w:p w14:paraId="3EC09D95" w14:textId="77777777" w:rsidR="00D27AFE" w:rsidRDefault="00D27AFE" w:rsidP="00D27AFE">
      <w:r w:rsidRPr="00EC13FD">
        <w:t>Enrolment details not listed in PSDMS must be uploaded from CASES21 and registered in PSDMS</w:t>
      </w:r>
      <w:r>
        <w:t xml:space="preserve">, see: </w:t>
      </w:r>
    </w:p>
    <w:p w14:paraId="7E6A2D86" w14:textId="68E06C6C" w:rsidR="00D27AFE" w:rsidRDefault="008123AB" w:rsidP="00D27AFE">
      <w:pPr>
        <w:pStyle w:val="ListParagraph"/>
        <w:numPr>
          <w:ilvl w:val="0"/>
          <w:numId w:val="15"/>
        </w:numPr>
        <w:rPr>
          <w:rStyle w:val="Hyperlink"/>
          <w:color w:val="0000FF"/>
          <w:shd w:val="clear" w:color="auto" w:fill="FFFFFF"/>
        </w:rPr>
      </w:pPr>
      <w:hyperlink r:id="rId18" w:history="1">
        <w:r w:rsidR="00D27AFE" w:rsidRPr="00037AC8">
          <w:rPr>
            <w:rStyle w:val="Hyperlink"/>
            <w:color w:val="0000FF"/>
            <w:shd w:val="clear" w:color="auto" w:fill="FFFFFF"/>
          </w:rPr>
          <w:t>Quick Reference Guide - Adding Student Details to PSDMS</w:t>
        </w:r>
      </w:hyperlink>
    </w:p>
    <w:p w14:paraId="11F1E3BE" w14:textId="77777777" w:rsidR="00B61E4F" w:rsidRDefault="00B61E4F" w:rsidP="00B61E4F">
      <w:r>
        <w:t>In line with the Confirmed Student Resource Package</w:t>
      </w:r>
      <w:r w:rsidRPr="005378C7">
        <w:t xml:space="preserve"> </w:t>
      </w:r>
      <w:r>
        <w:t xml:space="preserve">release each year, school principals will be emailed directly to detail Transition Support Funding allocations.  </w:t>
      </w:r>
    </w:p>
    <w:p w14:paraId="07BAA3F4" w14:textId="77777777" w:rsidR="00B61E4F" w:rsidRPr="0048082E" w:rsidRDefault="00B61E4F" w:rsidP="00B61E4F">
      <w:pPr>
        <w:pStyle w:val="ListParagraph"/>
        <w:numPr>
          <w:ilvl w:val="0"/>
          <w:numId w:val="15"/>
        </w:numPr>
      </w:pPr>
      <w:r>
        <w:t xml:space="preserve">For details, see: </w:t>
      </w:r>
      <w:hyperlink r:id="rId19" w:history="1">
        <w:r w:rsidRPr="00B61E4F">
          <w:rPr>
            <w:rStyle w:val="Hyperlink"/>
            <w:color w:val="0000FF"/>
            <w:shd w:val="clear" w:color="auto" w:fill="FFFFFF"/>
          </w:rPr>
          <w:t>SRP Guide – Transition Support Funding (Reference 66)</w:t>
        </w:r>
      </w:hyperlink>
      <w:r>
        <w:t>.</w:t>
      </w:r>
    </w:p>
    <w:p w14:paraId="7ABF7EE4" w14:textId="77777777" w:rsidR="00447ED8" w:rsidRPr="00493D5D" w:rsidRDefault="00447ED8" w:rsidP="00493D5D">
      <w:pPr>
        <w:pStyle w:val="Heading2"/>
      </w:pPr>
      <w:r w:rsidRPr="00493D5D">
        <w:t>Assistance for schools and contact information</w:t>
      </w:r>
    </w:p>
    <w:p w14:paraId="184A0A64" w14:textId="211D879D" w:rsidR="00D27AFE" w:rsidRDefault="00D27AFE" w:rsidP="00D27AFE">
      <w:r>
        <w:t xml:space="preserve">For </w:t>
      </w:r>
      <w:r w:rsidRPr="00ED6213">
        <w:rPr>
          <w:b/>
        </w:rPr>
        <w:t>transition support resources</w:t>
      </w:r>
      <w:r>
        <w:t>, see.</w:t>
      </w:r>
    </w:p>
    <w:p w14:paraId="6B7D5300" w14:textId="6A57F8E9" w:rsidR="00D27AFE" w:rsidRPr="00037AC8" w:rsidRDefault="008123AB" w:rsidP="00D27AFE">
      <w:pPr>
        <w:pStyle w:val="ListParagraph"/>
        <w:numPr>
          <w:ilvl w:val="0"/>
          <w:numId w:val="15"/>
        </w:numPr>
        <w:rPr>
          <w:rStyle w:val="Hyperlink"/>
          <w:color w:val="0000FF"/>
          <w:shd w:val="clear" w:color="auto" w:fill="FFFFFF"/>
        </w:rPr>
      </w:pPr>
      <w:hyperlink r:id="rId20" w:history="1">
        <w:r w:rsidR="00D27AFE" w:rsidRPr="00037AC8">
          <w:rPr>
            <w:rStyle w:val="Hyperlink"/>
            <w:color w:val="0000FF"/>
            <w:shd w:val="clear" w:color="auto" w:fill="FFFFFF"/>
          </w:rPr>
          <w:t>Transitioning from Primary to Secondary School</w:t>
        </w:r>
      </w:hyperlink>
      <w:r w:rsidR="00D27AFE" w:rsidRPr="00037AC8">
        <w:rPr>
          <w:rStyle w:val="Hyperlink"/>
          <w:color w:val="0000FF"/>
          <w:shd w:val="clear" w:color="auto" w:fill="FFFFFF"/>
        </w:rPr>
        <w:t xml:space="preserve"> </w:t>
      </w:r>
    </w:p>
    <w:p w14:paraId="5E9C0914" w14:textId="1D144A35" w:rsidR="00447ED8" w:rsidRPr="00447ED8" w:rsidRDefault="00447ED8" w:rsidP="00447ED8">
      <w:r>
        <w:t xml:space="preserve">For </w:t>
      </w:r>
      <w:r w:rsidRPr="009811EE">
        <w:rPr>
          <w:b/>
        </w:rPr>
        <w:t>technical enqui</w:t>
      </w:r>
      <w:r w:rsidR="00236AAF" w:rsidRPr="009811EE">
        <w:rPr>
          <w:b/>
        </w:rPr>
        <w:t>ries</w:t>
      </w:r>
      <w:r w:rsidR="009811EE">
        <w:t xml:space="preserve"> about the PSDMS</w:t>
      </w:r>
      <w:r w:rsidR="00037AC8">
        <w:t xml:space="preserve"> and SRP funding allocation processes</w:t>
      </w:r>
      <w:r w:rsidR="00236AAF">
        <w:t>, please log a service call with</w:t>
      </w:r>
      <w:r>
        <w:t xml:space="preserve">: </w:t>
      </w:r>
      <w:hyperlink r:id="rId21" w:history="1">
        <w:r w:rsidRPr="00037AC8">
          <w:rPr>
            <w:rStyle w:val="Hyperlink"/>
            <w:color w:val="0000FF"/>
          </w:rPr>
          <w:t>DET Service Gateway</w:t>
        </w:r>
      </w:hyperlink>
      <w:r>
        <w:t xml:space="preserve"> or phone</w:t>
      </w:r>
      <w:r w:rsidRPr="00447ED8">
        <w:t xml:space="preserve"> 1800 641 943</w:t>
      </w:r>
      <w:r>
        <w:t>.</w:t>
      </w:r>
    </w:p>
    <w:p w14:paraId="23153197" w14:textId="45644D0E" w:rsidR="00447ED8" w:rsidRPr="00447ED8" w:rsidRDefault="00037AC8" w:rsidP="00447ED8">
      <w:r>
        <w:t xml:space="preserve">For </w:t>
      </w:r>
      <w:r w:rsidRPr="00447ED8">
        <w:rPr>
          <w:b/>
        </w:rPr>
        <w:t>student-specific queries</w:t>
      </w:r>
      <w:r w:rsidRPr="00447ED8">
        <w:t xml:space="preserve"> regarding student support</w:t>
      </w:r>
      <w:r>
        <w:t xml:space="preserve">, </w:t>
      </w:r>
      <w:r w:rsidR="00447ED8" w:rsidRPr="00447ED8">
        <w:t>Regional Disabilities Coordinator</w:t>
      </w:r>
      <w:r w:rsidR="00172063">
        <w:t>s</w:t>
      </w:r>
      <w:r w:rsidR="00447ED8" w:rsidRPr="00447ED8">
        <w:t xml:space="preserve"> </w:t>
      </w:r>
      <w:r>
        <w:t xml:space="preserve">are available </w:t>
      </w:r>
      <w:r w:rsidR="00447ED8" w:rsidRPr="00447ED8">
        <w:t>in your region. Contact details are provided below.</w:t>
      </w:r>
    </w:p>
    <w:tbl>
      <w:tblPr>
        <w:tblStyle w:val="LightList-Accent2"/>
        <w:tblW w:w="5000" w:type="pct"/>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7A0" w:firstRow="1" w:lastRow="0" w:firstColumn="1" w:lastColumn="1" w:noHBand="1" w:noVBand="1"/>
      </w:tblPr>
      <w:tblGrid>
        <w:gridCol w:w="3337"/>
        <w:gridCol w:w="3337"/>
        <w:gridCol w:w="3335"/>
      </w:tblGrid>
      <w:tr w:rsidR="00447ED8" w:rsidRPr="00447ED8" w14:paraId="57EC5BA0" w14:textId="77777777" w:rsidTr="00493D5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67" w:type="pct"/>
            <w:shd w:val="clear" w:color="auto" w:fill="AF272F"/>
            <w:vAlign w:val="center"/>
          </w:tcPr>
          <w:p w14:paraId="7F1C21DA" w14:textId="77777777" w:rsidR="00447ED8" w:rsidRPr="00447ED8" w:rsidRDefault="00447ED8" w:rsidP="00447ED8">
            <w:r w:rsidRPr="00447ED8">
              <w:br w:type="page"/>
              <w:t>Region</w:t>
            </w:r>
          </w:p>
        </w:tc>
        <w:tc>
          <w:tcPr>
            <w:tcW w:w="1667" w:type="pct"/>
            <w:shd w:val="clear" w:color="auto" w:fill="AF272F"/>
            <w:vAlign w:val="center"/>
          </w:tcPr>
          <w:p w14:paraId="754BAAA4" w14:textId="77777777" w:rsidR="00447ED8" w:rsidRPr="00447ED8" w:rsidRDefault="00447ED8" w:rsidP="00447ED8">
            <w:pPr>
              <w:cnfStyle w:val="100000000000" w:firstRow="1" w:lastRow="0" w:firstColumn="0" w:lastColumn="0" w:oddVBand="0" w:evenVBand="0" w:oddHBand="0" w:evenHBand="0" w:firstRowFirstColumn="0" w:firstRowLastColumn="0" w:lastRowFirstColumn="0" w:lastRowLastColumn="0"/>
            </w:pPr>
            <w:r w:rsidRPr="00447ED8">
              <w:t>Regional Office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AF272F"/>
            <w:vAlign w:val="center"/>
          </w:tcPr>
          <w:p w14:paraId="72DE5EEB" w14:textId="77777777" w:rsidR="00447ED8" w:rsidRPr="00447ED8" w:rsidRDefault="00447ED8" w:rsidP="00447ED8">
            <w:r w:rsidRPr="00447ED8">
              <w:t>Phone</w:t>
            </w:r>
          </w:p>
        </w:tc>
      </w:tr>
      <w:tr w:rsidR="00447ED8" w:rsidRPr="00447ED8" w14:paraId="1CC94952"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14:paraId="2183E584" w14:textId="77777777" w:rsidR="00447ED8" w:rsidRPr="00447ED8" w:rsidRDefault="00447ED8" w:rsidP="00447ED8">
            <w:r w:rsidRPr="00447ED8">
              <w:lastRenderedPageBreak/>
              <w:t xml:space="preserve">North Eastern Victoria </w:t>
            </w:r>
          </w:p>
        </w:tc>
        <w:tc>
          <w:tcPr>
            <w:tcW w:w="1667" w:type="pct"/>
            <w:vAlign w:val="center"/>
          </w:tcPr>
          <w:p w14:paraId="5C08AB01"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proofErr w:type="spellStart"/>
            <w:r w:rsidRPr="00447ED8">
              <w:rPr>
                <w:color w:val="000000"/>
              </w:rPr>
              <w:t>Benalla</w:t>
            </w:r>
            <w:proofErr w:type="spellEnd"/>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53952C17" w14:textId="77777777" w:rsidR="00447ED8" w:rsidRPr="00447ED8" w:rsidRDefault="00447ED8" w:rsidP="00447ED8">
            <w:r w:rsidRPr="00447ED8">
              <w:t>8392 9500</w:t>
            </w:r>
          </w:p>
        </w:tc>
      </w:tr>
      <w:tr w:rsidR="00447ED8" w:rsidRPr="00447ED8" w14:paraId="4F60FC0D"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14:paraId="710E95E5" w14:textId="77777777" w:rsidR="00447ED8" w:rsidRPr="00447ED8" w:rsidRDefault="00447ED8" w:rsidP="00447ED8"/>
        </w:tc>
        <w:tc>
          <w:tcPr>
            <w:tcW w:w="1667" w:type="pct"/>
            <w:vAlign w:val="center"/>
          </w:tcPr>
          <w:p w14:paraId="57995A7E"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Glen Waverley</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3131679F" w14:textId="77777777" w:rsidR="00447ED8" w:rsidRPr="00447ED8" w:rsidRDefault="00447ED8" w:rsidP="00447ED8">
            <w:r w:rsidRPr="00447ED8">
              <w:t>8392 9300</w:t>
            </w:r>
          </w:p>
        </w:tc>
      </w:tr>
      <w:tr w:rsidR="00447ED8" w:rsidRPr="00447ED8" w14:paraId="725ED2D6"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14:paraId="56B26EE4" w14:textId="77777777" w:rsidR="00447ED8" w:rsidRPr="00447ED8" w:rsidRDefault="00447ED8" w:rsidP="00447ED8">
            <w:r w:rsidRPr="00447ED8">
              <w:t>North Western Victoria</w:t>
            </w:r>
          </w:p>
        </w:tc>
        <w:tc>
          <w:tcPr>
            <w:tcW w:w="1667" w:type="pct"/>
            <w:vAlign w:val="center"/>
          </w:tcPr>
          <w:p w14:paraId="1654F773"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Coburg</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54A5A95A" w14:textId="77777777" w:rsidR="00447ED8" w:rsidRPr="00447ED8" w:rsidRDefault="00447ED8" w:rsidP="00447ED8">
            <w:r w:rsidRPr="00447ED8">
              <w:t xml:space="preserve">9488 9488 </w:t>
            </w:r>
          </w:p>
        </w:tc>
      </w:tr>
      <w:tr w:rsidR="00447ED8" w:rsidRPr="00447ED8" w14:paraId="266B9632"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14:paraId="3ACB4039" w14:textId="77777777" w:rsidR="00447ED8" w:rsidRPr="00447ED8" w:rsidRDefault="00447ED8" w:rsidP="00447ED8"/>
        </w:tc>
        <w:tc>
          <w:tcPr>
            <w:tcW w:w="1667" w:type="pct"/>
            <w:vAlign w:val="center"/>
          </w:tcPr>
          <w:p w14:paraId="226B9483"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Bendigo</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142D3C36" w14:textId="77777777" w:rsidR="00447ED8" w:rsidRPr="00447ED8" w:rsidRDefault="00447ED8" w:rsidP="00447ED8">
            <w:r w:rsidRPr="00447ED8">
              <w:t>5440 3111</w:t>
            </w:r>
          </w:p>
        </w:tc>
      </w:tr>
      <w:tr w:rsidR="00447ED8" w:rsidRPr="00447ED8" w14:paraId="276B38DE"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14:paraId="086DC6F2" w14:textId="77777777" w:rsidR="00447ED8" w:rsidRPr="00447ED8" w:rsidRDefault="00447ED8" w:rsidP="00447ED8">
            <w:r w:rsidRPr="00447ED8">
              <w:t>South Eastern Victoria</w:t>
            </w:r>
          </w:p>
        </w:tc>
        <w:tc>
          <w:tcPr>
            <w:tcW w:w="1667" w:type="pct"/>
            <w:vAlign w:val="center"/>
          </w:tcPr>
          <w:p w14:paraId="7675F007"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proofErr w:type="spellStart"/>
            <w:r w:rsidRPr="00447ED8">
              <w:rPr>
                <w:color w:val="000000"/>
              </w:rPr>
              <w:t>Dandenong</w:t>
            </w:r>
            <w:proofErr w:type="spellEnd"/>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25862CA3" w14:textId="77777777" w:rsidR="00447ED8" w:rsidRPr="00447ED8" w:rsidRDefault="00447ED8" w:rsidP="00447ED8">
            <w:r w:rsidRPr="00447ED8">
              <w:t>8765 5600</w:t>
            </w:r>
          </w:p>
        </w:tc>
      </w:tr>
      <w:tr w:rsidR="00447ED8" w:rsidRPr="00447ED8" w14:paraId="2A2E44F2"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14:paraId="57715358" w14:textId="77777777" w:rsidR="00447ED8" w:rsidRPr="00447ED8" w:rsidRDefault="00447ED8" w:rsidP="00447ED8"/>
        </w:tc>
        <w:tc>
          <w:tcPr>
            <w:tcW w:w="1667" w:type="pct"/>
            <w:vAlign w:val="center"/>
          </w:tcPr>
          <w:p w14:paraId="319747BD"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Moe</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13A7DF4D" w14:textId="77777777" w:rsidR="00447ED8" w:rsidRPr="00447ED8" w:rsidRDefault="00447ED8" w:rsidP="00447ED8">
            <w:r w:rsidRPr="00447ED8">
              <w:t>5127 0400</w:t>
            </w:r>
          </w:p>
        </w:tc>
      </w:tr>
      <w:tr w:rsidR="00447ED8" w:rsidRPr="00447ED8" w14:paraId="4997ABB9"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14:paraId="4C17C5B0" w14:textId="77777777" w:rsidR="00447ED8" w:rsidRPr="00447ED8" w:rsidRDefault="00447ED8" w:rsidP="00447ED8">
            <w:r w:rsidRPr="00447ED8">
              <w:t>South Western Victoria</w:t>
            </w:r>
          </w:p>
        </w:tc>
        <w:tc>
          <w:tcPr>
            <w:tcW w:w="1667" w:type="pct"/>
            <w:vAlign w:val="center"/>
          </w:tcPr>
          <w:p w14:paraId="4707DF9B"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Ballarat</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141A2204" w14:textId="77777777" w:rsidR="00447ED8" w:rsidRPr="00447ED8" w:rsidRDefault="00447ED8" w:rsidP="00447ED8">
            <w:r w:rsidRPr="00447ED8">
              <w:t>5337 8444</w:t>
            </w:r>
          </w:p>
        </w:tc>
      </w:tr>
      <w:tr w:rsidR="00447ED8" w:rsidRPr="00447ED8" w14:paraId="0643309F"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14:paraId="5AA3C1DB" w14:textId="77777777" w:rsidR="00447ED8" w:rsidRPr="00447ED8" w:rsidRDefault="00447ED8" w:rsidP="00447ED8"/>
        </w:tc>
        <w:tc>
          <w:tcPr>
            <w:tcW w:w="1667" w:type="pct"/>
            <w:vAlign w:val="center"/>
          </w:tcPr>
          <w:p w14:paraId="5750CCBE"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Footscray</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51CB7B3A" w14:textId="77777777" w:rsidR="00447ED8" w:rsidRPr="00447ED8" w:rsidRDefault="00447ED8" w:rsidP="00447ED8">
            <w:r w:rsidRPr="00447ED8">
              <w:t>8397 0300</w:t>
            </w:r>
          </w:p>
        </w:tc>
      </w:tr>
      <w:tr w:rsidR="00447ED8" w:rsidRPr="00447ED8" w14:paraId="1D3B032B" w14:textId="77777777" w:rsidTr="00493D5D">
        <w:trPr>
          <w:trHeight w:val="454"/>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14:paraId="5AAD015A" w14:textId="77777777" w:rsidR="00447ED8" w:rsidRPr="00447ED8" w:rsidRDefault="00447ED8" w:rsidP="00447ED8"/>
        </w:tc>
        <w:tc>
          <w:tcPr>
            <w:tcW w:w="1667" w:type="pct"/>
            <w:vAlign w:val="center"/>
          </w:tcPr>
          <w:p w14:paraId="3A19BF60" w14:textId="77777777" w:rsidR="00447ED8" w:rsidRPr="00447ED8" w:rsidRDefault="00447ED8" w:rsidP="00447ED8">
            <w:pPr>
              <w:cnfStyle w:val="000000000000" w:firstRow="0" w:lastRow="0" w:firstColumn="0" w:lastColumn="0" w:oddVBand="0" w:evenVBand="0" w:oddHBand="0" w:evenHBand="0" w:firstRowFirstColumn="0" w:firstRowLastColumn="0" w:lastRowFirstColumn="0" w:lastRowLastColumn="0"/>
              <w:rPr>
                <w:color w:val="000000"/>
              </w:rPr>
            </w:pPr>
            <w:r w:rsidRPr="00447ED8">
              <w:rPr>
                <w:color w:val="000000"/>
              </w:rPr>
              <w:t>Geelong</w:t>
            </w:r>
          </w:p>
        </w:tc>
        <w:tc>
          <w:tcPr>
            <w:cnfStyle w:val="000100000000" w:firstRow="0" w:lastRow="0" w:firstColumn="0" w:lastColumn="1" w:oddVBand="0" w:evenVBand="0" w:oddHBand="0" w:evenHBand="0" w:firstRowFirstColumn="0" w:firstRowLastColumn="0" w:lastRowFirstColumn="0" w:lastRowLastColumn="0"/>
            <w:tcW w:w="1667" w:type="pct"/>
            <w:vAlign w:val="center"/>
          </w:tcPr>
          <w:p w14:paraId="08CF8C03" w14:textId="77777777" w:rsidR="00447ED8" w:rsidRPr="00447ED8" w:rsidRDefault="00447ED8" w:rsidP="00447ED8">
            <w:r w:rsidRPr="00447ED8">
              <w:t>5225 1000</w:t>
            </w:r>
          </w:p>
        </w:tc>
      </w:tr>
    </w:tbl>
    <w:p w14:paraId="1EF63D81" w14:textId="25D61E35" w:rsidR="003B3904" w:rsidRPr="003B3904" w:rsidRDefault="003B3904"/>
    <w:sectPr w:rsidR="003B3904" w:rsidRPr="003B3904" w:rsidSect="00172063">
      <w:headerReference w:type="default" r:id="rId22"/>
      <w:footerReference w:type="default" r:id="rId23"/>
      <w:pgSz w:w="11900" w:h="16840"/>
      <w:pgMar w:top="2694" w:right="737" w:bottom="709" w:left="1134" w:header="624" w:footer="17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024D" w14:textId="77777777" w:rsidR="00E7031C" w:rsidRDefault="00E7031C" w:rsidP="008766A4">
      <w:r>
        <w:separator/>
      </w:r>
    </w:p>
  </w:endnote>
  <w:endnote w:type="continuationSeparator" w:id="0">
    <w:p w14:paraId="39FF78C9" w14:textId="77777777" w:rsidR="00E7031C" w:rsidRDefault="00E7031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AE3F010"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7BD8" w14:textId="77777777" w:rsidR="00E7031C" w:rsidRDefault="00E7031C" w:rsidP="008766A4">
      <w:r>
        <w:separator/>
      </w:r>
    </w:p>
  </w:footnote>
  <w:footnote w:type="continuationSeparator" w:id="0">
    <w:p w14:paraId="7C769CBE" w14:textId="77777777" w:rsidR="00E7031C" w:rsidRDefault="00E7031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4B1D825">
          <wp:simplePos x="0" y="0"/>
          <wp:positionH relativeFrom="page">
            <wp:posOffset>7225</wp:posOffset>
          </wp:positionH>
          <wp:positionV relativeFrom="page">
            <wp:posOffset>0</wp:posOffset>
          </wp:positionV>
          <wp:extent cx="7547638" cy="201777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1254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A3280"/>
    <w:multiLevelType w:val="hybridMultilevel"/>
    <w:tmpl w:val="1B562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51D06"/>
    <w:multiLevelType w:val="hybridMultilevel"/>
    <w:tmpl w:val="7066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12DC5"/>
    <w:multiLevelType w:val="hybridMultilevel"/>
    <w:tmpl w:val="930C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6F11DE"/>
    <w:multiLevelType w:val="hybridMultilevel"/>
    <w:tmpl w:val="2BA0F494"/>
    <w:lvl w:ilvl="0" w:tplc="E46C82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C1C4E"/>
    <w:multiLevelType w:val="hybridMultilevel"/>
    <w:tmpl w:val="41523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041749"/>
    <w:multiLevelType w:val="hybridMultilevel"/>
    <w:tmpl w:val="F0AA67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3"/>
  </w:num>
  <w:num w:numId="15">
    <w:abstractNumId w:val="15"/>
  </w:num>
  <w:num w:numId="16">
    <w:abstractNumId w:val="14"/>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AC8"/>
    <w:rsid w:val="00090D79"/>
    <w:rsid w:val="00101B07"/>
    <w:rsid w:val="0014310A"/>
    <w:rsid w:val="00172063"/>
    <w:rsid w:val="00223FDD"/>
    <w:rsid w:val="00236AAF"/>
    <w:rsid w:val="00273019"/>
    <w:rsid w:val="00292FA5"/>
    <w:rsid w:val="00326F48"/>
    <w:rsid w:val="003B01B0"/>
    <w:rsid w:val="003B0E39"/>
    <w:rsid w:val="003B3904"/>
    <w:rsid w:val="003E29B5"/>
    <w:rsid w:val="00447ED8"/>
    <w:rsid w:val="00472B9E"/>
    <w:rsid w:val="0048082E"/>
    <w:rsid w:val="00493D5D"/>
    <w:rsid w:val="004D1C80"/>
    <w:rsid w:val="005378C7"/>
    <w:rsid w:val="00596923"/>
    <w:rsid w:val="00655B2A"/>
    <w:rsid w:val="006F0972"/>
    <w:rsid w:val="007D6ECF"/>
    <w:rsid w:val="007E202F"/>
    <w:rsid w:val="008123AB"/>
    <w:rsid w:val="00816ED5"/>
    <w:rsid w:val="008239E4"/>
    <w:rsid w:val="008351F7"/>
    <w:rsid w:val="00844E9D"/>
    <w:rsid w:val="008766A4"/>
    <w:rsid w:val="008D795E"/>
    <w:rsid w:val="00911FF1"/>
    <w:rsid w:val="009120D5"/>
    <w:rsid w:val="00980015"/>
    <w:rsid w:val="009811EE"/>
    <w:rsid w:val="00982596"/>
    <w:rsid w:val="009F2302"/>
    <w:rsid w:val="00A66273"/>
    <w:rsid w:val="00A7527B"/>
    <w:rsid w:val="00B03706"/>
    <w:rsid w:val="00B61E4F"/>
    <w:rsid w:val="00B800B3"/>
    <w:rsid w:val="00B87A7A"/>
    <w:rsid w:val="00BA53A9"/>
    <w:rsid w:val="00C153FA"/>
    <w:rsid w:val="00C21DE4"/>
    <w:rsid w:val="00C262CE"/>
    <w:rsid w:val="00C66D5D"/>
    <w:rsid w:val="00CA0FEB"/>
    <w:rsid w:val="00D27AFE"/>
    <w:rsid w:val="00D31299"/>
    <w:rsid w:val="00D67A6C"/>
    <w:rsid w:val="00D75E47"/>
    <w:rsid w:val="00DE4884"/>
    <w:rsid w:val="00E676C3"/>
    <w:rsid w:val="00E7031C"/>
    <w:rsid w:val="00EC13FD"/>
    <w:rsid w:val="00ED6213"/>
    <w:rsid w:val="00F02590"/>
    <w:rsid w:val="00F16D3D"/>
    <w:rsid w:val="00F5039C"/>
    <w:rsid w:val="00FD69CC"/>
    <w:rsid w:val="00FF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93D5D"/>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CA0FEB"/>
    <w:pPr>
      <w:spacing w:after="60" w:line="300" w:lineRule="atLeast"/>
    </w:pPr>
    <w:rPr>
      <w:b/>
      <w:bCs/>
      <w:color w:val="595959" w:themeColor="text1" w:themeTint="A6"/>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5B9BD5"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CA0FEB"/>
    <w:rPr>
      <w:rFonts w:ascii="Arial" w:hAnsi="Arial" w:cs="Arial"/>
      <w:b/>
      <w:bCs/>
      <w:color w:val="595959" w:themeColor="text1" w:themeTint="A6"/>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93D5D"/>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character" w:styleId="Hyperlink">
    <w:name w:val="Hyperlink"/>
    <w:basedOn w:val="DefaultParagraphFont"/>
    <w:uiPriority w:val="99"/>
    <w:unhideWhenUsed/>
    <w:rsid w:val="003B3904"/>
    <w:rPr>
      <w:color w:val="0563C1" w:themeColor="hyperlink"/>
      <w:u w:val="single"/>
    </w:rPr>
  </w:style>
  <w:style w:type="character" w:styleId="FollowedHyperlink">
    <w:name w:val="FollowedHyperlink"/>
    <w:basedOn w:val="DefaultParagraphFont"/>
    <w:uiPriority w:val="99"/>
    <w:semiHidden/>
    <w:unhideWhenUsed/>
    <w:rsid w:val="003B3904"/>
    <w:rPr>
      <w:color w:val="954F72" w:themeColor="followedHyperlink"/>
      <w:u w:val="single"/>
    </w:rPr>
  </w:style>
  <w:style w:type="paragraph" w:styleId="ListBullet">
    <w:name w:val="List Bullet"/>
    <w:basedOn w:val="Normal"/>
    <w:rsid w:val="003B3904"/>
    <w:pPr>
      <w:numPr>
        <w:numId w:val="12"/>
      </w:numPr>
    </w:pPr>
    <w:rPr>
      <w:rFonts w:eastAsia="Times New Roman" w:cs="Times New Roman"/>
      <w:spacing w:val="5"/>
      <w:sz w:val="20"/>
      <w:szCs w:val="24"/>
      <w:lang w:val="en-AU"/>
    </w:rPr>
  </w:style>
  <w:style w:type="table" w:styleId="LightList-Accent1">
    <w:name w:val="Light List Accent 1"/>
    <w:basedOn w:val="TableNormal"/>
    <w:uiPriority w:val="61"/>
    <w:rsid w:val="003B3904"/>
    <w:rPr>
      <w:rFonts w:ascii="Times New Roman" w:eastAsia="Times New Roman" w:hAnsi="Times New Roman" w:cs="Times New Roman"/>
      <w:sz w:val="20"/>
      <w:szCs w:val="20"/>
      <w:lang w:val="en-AU"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3B390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11">
    <w:name w:val="Grid Table 4 - Accent 11"/>
    <w:basedOn w:val="TableNormal"/>
    <w:uiPriority w:val="49"/>
    <w:rsid w:val="00447ED8"/>
    <w:rPr>
      <w:rFonts w:ascii="Times New Roman" w:eastAsia="Times New Roman" w:hAnsi="Times New Roman" w:cs="Times New Roman"/>
      <w:sz w:val="20"/>
      <w:szCs w:val="20"/>
      <w:lang w:val="en-AU"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link w:val="ListParagraphChar"/>
    <w:uiPriority w:val="34"/>
    <w:qFormat/>
    <w:rsid w:val="00447ED8"/>
    <w:pPr>
      <w:ind w:left="720"/>
      <w:contextualSpacing/>
    </w:pPr>
  </w:style>
  <w:style w:type="character" w:customStyle="1" w:styleId="ListParagraphChar">
    <w:name w:val="List Paragraph Char"/>
    <w:basedOn w:val="DefaultParagraphFont"/>
    <w:link w:val="ListParagraph"/>
    <w:uiPriority w:val="34"/>
    <w:locked/>
    <w:rsid w:val="00C21DE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463">
      <w:bodyDiv w:val="1"/>
      <w:marLeft w:val="0"/>
      <w:marRight w:val="0"/>
      <w:marTop w:val="0"/>
      <w:marBottom w:val="0"/>
      <w:divBdr>
        <w:top w:val="none" w:sz="0" w:space="0" w:color="auto"/>
        <w:left w:val="none" w:sz="0" w:space="0" w:color="auto"/>
        <w:bottom w:val="none" w:sz="0" w:space="0" w:color="auto"/>
        <w:right w:val="none" w:sz="0" w:space="0" w:color="auto"/>
      </w:divBdr>
    </w:div>
    <w:div w:id="615528402">
      <w:bodyDiv w:val="1"/>
      <w:marLeft w:val="0"/>
      <w:marRight w:val="0"/>
      <w:marTop w:val="0"/>
      <w:marBottom w:val="0"/>
      <w:divBdr>
        <w:top w:val="none" w:sz="0" w:space="0" w:color="auto"/>
        <w:left w:val="none" w:sz="0" w:space="0" w:color="auto"/>
        <w:bottom w:val="none" w:sz="0" w:space="0" w:color="auto"/>
        <w:right w:val="none" w:sz="0" w:space="0" w:color="auto"/>
      </w:divBdr>
    </w:div>
    <w:div w:id="749274939">
      <w:bodyDiv w:val="1"/>
      <w:marLeft w:val="0"/>
      <w:marRight w:val="0"/>
      <w:marTop w:val="0"/>
      <w:marBottom w:val="0"/>
      <w:divBdr>
        <w:top w:val="none" w:sz="0" w:space="0" w:color="auto"/>
        <w:left w:val="none" w:sz="0" w:space="0" w:color="auto"/>
        <w:bottom w:val="none" w:sz="0" w:space="0" w:color="auto"/>
        <w:right w:val="none" w:sz="0" w:space="0" w:color="auto"/>
      </w:divBdr>
    </w:div>
    <w:div w:id="917789041">
      <w:bodyDiv w:val="1"/>
      <w:marLeft w:val="0"/>
      <w:marRight w:val="0"/>
      <w:marTop w:val="0"/>
      <w:marBottom w:val="0"/>
      <w:divBdr>
        <w:top w:val="none" w:sz="0" w:space="0" w:color="auto"/>
        <w:left w:val="none" w:sz="0" w:space="0" w:color="auto"/>
        <w:bottom w:val="none" w:sz="0" w:space="0" w:color="auto"/>
        <w:right w:val="none" w:sz="0" w:space="0" w:color="auto"/>
      </w:divBdr>
    </w:div>
    <w:div w:id="1166018188">
      <w:bodyDiv w:val="1"/>
      <w:marLeft w:val="0"/>
      <w:marRight w:val="0"/>
      <w:marTop w:val="0"/>
      <w:marBottom w:val="0"/>
      <w:divBdr>
        <w:top w:val="none" w:sz="0" w:space="0" w:color="auto"/>
        <w:left w:val="none" w:sz="0" w:space="0" w:color="auto"/>
        <w:bottom w:val="none" w:sz="0" w:space="0" w:color="auto"/>
        <w:right w:val="none" w:sz="0" w:space="0" w:color="auto"/>
      </w:divBdr>
    </w:div>
    <w:div w:id="1877621387">
      <w:bodyDiv w:val="1"/>
      <w:marLeft w:val="0"/>
      <w:marRight w:val="0"/>
      <w:marTop w:val="0"/>
      <w:marBottom w:val="0"/>
      <w:divBdr>
        <w:top w:val="none" w:sz="0" w:space="0" w:color="auto"/>
        <w:left w:val="none" w:sz="0" w:space="0" w:color="auto"/>
        <w:bottom w:val="none" w:sz="0" w:space="0" w:color="auto"/>
        <w:right w:val="none" w:sz="0" w:space="0" w:color="auto"/>
      </w:divBdr>
    </w:div>
    <w:div w:id="2130539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educationstate/Pages/outcomes.aspx" TargetMode="External"/><Relationship Id="rId18" Type="http://schemas.openxmlformats.org/officeDocument/2006/relationships/hyperlink" Target="http://www.education.vic.gov.au/Documents/school/principals/finance/PSDMS_QRG_AddingStudentDetails.docx" TargetMode="External"/><Relationship Id="rId3" Type="http://schemas.openxmlformats.org/officeDocument/2006/relationships/customXml" Target="../customXml/item3.xml"/><Relationship Id="rId21" Type="http://schemas.openxmlformats.org/officeDocument/2006/relationships/hyperlink" Target="https://servicegateway.eduweb.vic.gov.au/MSMSelfService/" TargetMode="External"/><Relationship Id="rId7" Type="http://schemas.openxmlformats.org/officeDocument/2006/relationships/settings" Target="settings.xml"/><Relationship Id="rId12" Type="http://schemas.openxmlformats.org/officeDocument/2006/relationships/hyperlink" Target="http://www.vit.vic.edu.au/registered-teacher/special-needs-plan" TargetMode="External"/><Relationship Id="rId17" Type="http://schemas.openxmlformats.org/officeDocument/2006/relationships/hyperlink" Target="http://www.eduweb.vic.gov.au/PSDMS/Hom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principals/spag/participation/Pages/studentswithdisability.aspx" TargetMode="External"/><Relationship Id="rId20" Type="http://schemas.openxmlformats.org/officeDocument/2006/relationships/hyperlink" Target="http://www.education.vic.gov.au/school/teachers/studentmanagement/transitions/Pages/transdisabil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school/teachers/support/diversity/Pages/handbook.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vic.gov.au/school/teachers/management/finance/Pages/srpref066.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teachingresources/diversity/Pages/handbook.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98BD7-DBD4-4B45-B05D-710892893B9F}"/>
</file>

<file path=customXml/itemProps2.xml><?xml version="1.0" encoding="utf-8"?>
<ds:datastoreItem xmlns:ds="http://schemas.openxmlformats.org/officeDocument/2006/customXml" ds:itemID="{4D44729B-F187-4065-8EC8-74231D7B82EC}"/>
</file>

<file path=customXml/itemProps3.xml><?xml version="1.0" encoding="utf-8"?>
<ds:datastoreItem xmlns:ds="http://schemas.openxmlformats.org/officeDocument/2006/customXml" ds:itemID="{DA12E4A0-8584-44DC-B720-7972F4B5F06E}"/>
</file>

<file path=customXml/itemProps4.xml><?xml version="1.0" encoding="utf-8"?>
<ds:datastoreItem xmlns:ds="http://schemas.openxmlformats.org/officeDocument/2006/customXml" ds:itemID="{6A058D2F-2988-4B29-8131-F31E469E71A8}"/>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2018-06-04T04:51:00Z</dcterms:created>
  <dcterms:modified xsi:type="dcterms:W3CDTF">2018-06-04T04:51:00Z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