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81951" w14:textId="77777777" w:rsidR="00A02B5A" w:rsidRDefault="00A02B5A" w:rsidP="00C957CB">
      <w:bookmarkStart w:id="0" w:name="_Toc238124297"/>
      <w:bookmarkStart w:id="1" w:name="_Toc236310084"/>
      <w:bookmarkStart w:id="2" w:name="_Toc236310183"/>
      <w:r>
        <w:rPr>
          <w:noProof/>
        </w:rPr>
        <w:drawing>
          <wp:inline distT="0" distB="0" distL="0" distR="0" wp14:anchorId="1E6EFB09" wp14:editId="22A15273">
            <wp:extent cx="977900" cy="736600"/>
            <wp:effectExtent l="0" t="0" r="0" b="0"/>
            <wp:docPr id="1735680260" name="Picture 1" descr="State Government of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680260" name="Picture 1" descr="State Government of Victoria logo"/>
                    <pic:cNvPicPr/>
                  </pic:nvPicPr>
                  <pic:blipFill>
                    <a:blip r:embed="rId12">
                      <a:extLst>
                        <a:ext uri="{28A0092B-C50C-407E-A947-70E740481C1C}">
                          <a14:useLocalDpi xmlns:a14="http://schemas.microsoft.com/office/drawing/2010/main" val="0"/>
                        </a:ext>
                      </a:extLst>
                    </a:blip>
                    <a:stretch>
                      <a:fillRect/>
                    </a:stretch>
                  </pic:blipFill>
                  <pic:spPr>
                    <a:xfrm>
                      <a:off x="0" y="0"/>
                      <a:ext cx="977900" cy="736600"/>
                    </a:xfrm>
                    <a:prstGeom prst="rect">
                      <a:avLst/>
                    </a:prstGeom>
                  </pic:spPr>
                </pic:pic>
              </a:graphicData>
            </a:graphic>
          </wp:inline>
        </w:drawing>
      </w:r>
      <w:bookmarkEnd w:id="0"/>
    </w:p>
    <w:p w14:paraId="72103ED8" w14:textId="77777777" w:rsidR="00BC3E97" w:rsidRPr="00BC3E97" w:rsidRDefault="00BC3E97" w:rsidP="00C957CB">
      <w:pPr>
        <w:pStyle w:val="Title"/>
      </w:pPr>
      <w:bookmarkStart w:id="3" w:name="_Toc238124298"/>
      <w:proofErr w:type="spellStart"/>
      <w:r w:rsidRPr="00BC3E97">
        <w:t>Marrung</w:t>
      </w:r>
      <w:proofErr w:type="spellEnd"/>
      <w:r w:rsidRPr="00BC3E97">
        <w:t xml:space="preserve"> 2026–2036</w:t>
      </w:r>
      <w:bookmarkEnd w:id="1"/>
      <w:bookmarkEnd w:id="2"/>
      <w:bookmarkEnd w:id="3"/>
    </w:p>
    <w:p w14:paraId="7447DF93" w14:textId="77777777" w:rsidR="00BC3E97" w:rsidRDefault="00BC3E97" w:rsidP="00C957CB">
      <w:pPr>
        <w:pStyle w:val="Title"/>
      </w:pPr>
      <w:bookmarkStart w:id="4" w:name="_Toc236310085"/>
      <w:bookmarkStart w:id="5" w:name="_Toc236310184"/>
      <w:bookmarkStart w:id="6" w:name="_Toc238124299"/>
      <w:r w:rsidRPr="00BC3E97">
        <w:t>First Nations Education Strategy</w:t>
      </w:r>
      <w:bookmarkEnd w:id="4"/>
      <w:bookmarkEnd w:id="5"/>
      <w:bookmarkEnd w:id="6"/>
    </w:p>
    <w:p w14:paraId="0458F507" w14:textId="77777777" w:rsidR="00BC3E97" w:rsidRPr="00BC3E97" w:rsidRDefault="00BC3E97" w:rsidP="00BC3E97">
      <w:pPr>
        <w:pStyle w:val="Heading1"/>
      </w:pPr>
      <w:bookmarkStart w:id="7" w:name="_Toc238720403"/>
      <w:bookmarkStart w:id="8" w:name="_Toc239930987"/>
      <w:r w:rsidRPr="00BC3E97">
        <w:t>Acknowledgment of Country</w:t>
      </w:r>
      <w:bookmarkEnd w:id="7"/>
      <w:bookmarkEnd w:id="8"/>
    </w:p>
    <w:p w14:paraId="63BCD34D" w14:textId="77777777" w:rsidR="00BC3E97" w:rsidRPr="00BC3E97" w:rsidRDefault="00BC3E97" w:rsidP="00BC3E97">
      <w:r w:rsidRPr="00BC3E97">
        <w:t>We, the partners of this strategy, proudly acknowledge the Traditional Owners of the unceded lands, waterways and skies across what is now known as Victoria, and pay respect to all Elders past and present.</w:t>
      </w:r>
    </w:p>
    <w:p w14:paraId="5E030EEE" w14:textId="77777777" w:rsidR="00BC3E97" w:rsidRPr="00BC3E97" w:rsidRDefault="00BC3E97" w:rsidP="00BC3E97">
      <w:r w:rsidRPr="00BC3E97">
        <w:t>We recognise First Nations people as Victoria’s first educators, artists and scientists, and we value their ongoing contributions to Victorian life and how this enriches us all.</w:t>
      </w:r>
    </w:p>
    <w:p w14:paraId="3660B81F" w14:textId="77777777" w:rsidR="00BC3E97" w:rsidRPr="00BC3E97" w:rsidRDefault="00BC3E97" w:rsidP="00BC3E97">
      <w:r w:rsidRPr="00BC3E97">
        <w:t>We also commit to working together to deliver the Victorian Government’s commitment to self-determination, Truth and Treaty.</w:t>
      </w:r>
    </w:p>
    <w:p w14:paraId="37845A2C" w14:textId="77777777" w:rsidR="00BC3E97" w:rsidRPr="00BC3E97" w:rsidRDefault="00BC3E97" w:rsidP="00BC3E97">
      <w:pPr>
        <w:pStyle w:val="Heading1"/>
      </w:pPr>
      <w:bookmarkStart w:id="9" w:name="_Toc238720404"/>
      <w:bookmarkStart w:id="10" w:name="_Toc239930988"/>
      <w:r w:rsidRPr="00BC3E97">
        <w:t>Language statement</w:t>
      </w:r>
      <w:bookmarkEnd w:id="9"/>
      <w:bookmarkEnd w:id="10"/>
    </w:p>
    <w:p w14:paraId="6B842CD0" w14:textId="77777777" w:rsidR="00BC3E97" w:rsidRPr="00BC3E97" w:rsidRDefault="00BC3E97" w:rsidP="00BC3E97">
      <w:r w:rsidRPr="00BC3E97">
        <w:t>Throughout this publication, the terms ‘Koorie’ or ‘First Nations’ are used to refer to both Aboriginal and Torres Strait Islander people. Use of the terms ‘Aboriginal’ or ‘Aboriginal and Torres Strait Islander’ are retained in the names of programs and data references.</w:t>
      </w:r>
    </w:p>
    <w:p w14:paraId="48B817CE" w14:textId="77777777" w:rsidR="00BC3E97" w:rsidRPr="00BC3E97" w:rsidRDefault="00BC3E97" w:rsidP="00BC3E97">
      <w:r>
        <w:t>MARRUNG (MA-roong) is a Wamba Wemba word for the Murray Cypress pine tree (Callitris columellaris) — representing branches of education and knowledge.</w:t>
      </w:r>
    </w:p>
    <w:p w14:paraId="59761792" w14:textId="77777777" w:rsidR="00BC3E97" w:rsidRDefault="00BC3E97" w:rsidP="00BC3E97">
      <w:r>
        <w:t>We thank the Wamba Wemba people for allowing the use of their language in the naming of this strategy.</w:t>
      </w:r>
    </w:p>
    <w:sdt>
      <w:sdtPr>
        <w:rPr>
          <w:rFonts w:eastAsia="MS Mincho" w:cs="Arial"/>
          <w:b w:val="0"/>
          <w:bCs w:val="0"/>
          <w:sz w:val="24"/>
          <w:szCs w:val="32"/>
        </w:rPr>
        <w:id w:val="1192889669"/>
        <w:docPartObj>
          <w:docPartGallery w:val="Table of Contents"/>
          <w:docPartUnique/>
        </w:docPartObj>
      </w:sdtPr>
      <w:sdtEndPr>
        <w:rPr>
          <w:noProof/>
        </w:rPr>
      </w:sdtEndPr>
      <w:sdtContent>
        <w:p w14:paraId="3FD1870C" w14:textId="77777777" w:rsidR="00C11A7A" w:rsidRDefault="00BC3E97" w:rsidP="00B73FBF">
          <w:pPr>
            <w:pStyle w:val="TOCHeading"/>
            <w:rPr>
              <w:noProof/>
            </w:rPr>
          </w:pPr>
          <w:r>
            <w:t>Contents</w:t>
          </w:r>
          <w:r>
            <w:rPr>
              <w:rFonts w:asciiTheme="minorHAnsi" w:hAnsiTheme="minorHAnsi" w:cstheme="minorHAnsi"/>
              <w:b w:val="0"/>
              <w:bCs w:val="0"/>
              <w:sz w:val="22"/>
              <w:szCs w:val="22"/>
            </w:rPr>
            <w:fldChar w:fldCharType="begin"/>
          </w:r>
          <w:r>
            <w:instrText xml:space="preserve"> TOC \o "1-3" \h \z \u </w:instrText>
          </w:r>
          <w:r>
            <w:rPr>
              <w:rFonts w:asciiTheme="minorHAnsi" w:hAnsiTheme="minorHAnsi" w:cstheme="minorHAnsi"/>
              <w:b w:val="0"/>
              <w:bCs w:val="0"/>
              <w:sz w:val="22"/>
              <w:szCs w:val="22"/>
            </w:rPr>
            <w:fldChar w:fldCharType="separate"/>
          </w:r>
        </w:p>
        <w:p w14:paraId="6436BC83" w14:textId="68B9C443"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0987" w:history="1">
            <w:r w:rsidRPr="00007093">
              <w:rPr>
                <w:rStyle w:val="Hyperlink"/>
                <w:noProof/>
              </w:rPr>
              <w:t>Acknowledgment of Country</w:t>
            </w:r>
            <w:r>
              <w:rPr>
                <w:noProof/>
                <w:webHidden/>
              </w:rPr>
              <w:tab/>
            </w:r>
            <w:r>
              <w:rPr>
                <w:noProof/>
                <w:webHidden/>
              </w:rPr>
              <w:fldChar w:fldCharType="begin"/>
            </w:r>
            <w:r>
              <w:rPr>
                <w:noProof/>
                <w:webHidden/>
              </w:rPr>
              <w:instrText xml:space="preserve"> PAGEREF _Toc239930987 \h </w:instrText>
            </w:r>
            <w:r>
              <w:rPr>
                <w:noProof/>
                <w:webHidden/>
              </w:rPr>
            </w:r>
            <w:r>
              <w:rPr>
                <w:noProof/>
                <w:webHidden/>
              </w:rPr>
              <w:fldChar w:fldCharType="separate"/>
            </w:r>
            <w:r>
              <w:rPr>
                <w:noProof/>
                <w:webHidden/>
              </w:rPr>
              <w:t>1</w:t>
            </w:r>
            <w:r>
              <w:rPr>
                <w:noProof/>
                <w:webHidden/>
              </w:rPr>
              <w:fldChar w:fldCharType="end"/>
            </w:r>
          </w:hyperlink>
        </w:p>
        <w:p w14:paraId="22EACFAC" w14:textId="79548E9F"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0988" w:history="1">
            <w:r w:rsidRPr="00007093">
              <w:rPr>
                <w:rStyle w:val="Hyperlink"/>
                <w:noProof/>
              </w:rPr>
              <w:t>Language statement</w:t>
            </w:r>
            <w:r>
              <w:rPr>
                <w:noProof/>
                <w:webHidden/>
              </w:rPr>
              <w:tab/>
            </w:r>
            <w:r>
              <w:rPr>
                <w:noProof/>
                <w:webHidden/>
              </w:rPr>
              <w:fldChar w:fldCharType="begin"/>
            </w:r>
            <w:r>
              <w:rPr>
                <w:noProof/>
                <w:webHidden/>
              </w:rPr>
              <w:instrText xml:space="preserve"> PAGEREF _Toc239930988 \h </w:instrText>
            </w:r>
            <w:r>
              <w:rPr>
                <w:noProof/>
                <w:webHidden/>
              </w:rPr>
            </w:r>
            <w:r>
              <w:rPr>
                <w:noProof/>
                <w:webHidden/>
              </w:rPr>
              <w:fldChar w:fldCharType="separate"/>
            </w:r>
            <w:r>
              <w:rPr>
                <w:noProof/>
                <w:webHidden/>
              </w:rPr>
              <w:t>1</w:t>
            </w:r>
            <w:r>
              <w:rPr>
                <w:noProof/>
                <w:webHidden/>
              </w:rPr>
              <w:fldChar w:fldCharType="end"/>
            </w:r>
          </w:hyperlink>
        </w:p>
        <w:p w14:paraId="252DCA69" w14:textId="1149189E"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0989" w:history="1">
            <w:r w:rsidRPr="00007093">
              <w:rPr>
                <w:rStyle w:val="Hyperlink"/>
                <w:noProof/>
              </w:rPr>
              <w:t>Artwork information</w:t>
            </w:r>
            <w:r>
              <w:rPr>
                <w:noProof/>
                <w:webHidden/>
              </w:rPr>
              <w:tab/>
            </w:r>
            <w:r>
              <w:rPr>
                <w:noProof/>
                <w:webHidden/>
              </w:rPr>
              <w:fldChar w:fldCharType="begin"/>
            </w:r>
            <w:r>
              <w:rPr>
                <w:noProof/>
                <w:webHidden/>
              </w:rPr>
              <w:instrText xml:space="preserve"> PAGEREF _Toc239930989 \h </w:instrText>
            </w:r>
            <w:r>
              <w:rPr>
                <w:noProof/>
                <w:webHidden/>
              </w:rPr>
            </w:r>
            <w:r>
              <w:rPr>
                <w:noProof/>
                <w:webHidden/>
              </w:rPr>
              <w:fldChar w:fldCharType="separate"/>
            </w:r>
            <w:r>
              <w:rPr>
                <w:noProof/>
                <w:webHidden/>
              </w:rPr>
              <w:t>4</w:t>
            </w:r>
            <w:r>
              <w:rPr>
                <w:noProof/>
                <w:webHidden/>
              </w:rPr>
              <w:fldChar w:fldCharType="end"/>
            </w:r>
          </w:hyperlink>
        </w:p>
        <w:p w14:paraId="68BAD836" w14:textId="4D42CC3F"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0990" w:history="1">
            <w:r w:rsidRPr="00007093">
              <w:rPr>
                <w:rStyle w:val="Hyperlink"/>
                <w:noProof/>
              </w:rPr>
              <w:t>Introduction from the Victorian Aboriginal Education Association Incorporation</w:t>
            </w:r>
            <w:r>
              <w:rPr>
                <w:noProof/>
                <w:webHidden/>
              </w:rPr>
              <w:tab/>
            </w:r>
            <w:r>
              <w:rPr>
                <w:noProof/>
                <w:webHidden/>
              </w:rPr>
              <w:fldChar w:fldCharType="begin"/>
            </w:r>
            <w:r>
              <w:rPr>
                <w:noProof/>
                <w:webHidden/>
              </w:rPr>
              <w:instrText xml:space="preserve"> PAGEREF _Toc239930990 \h </w:instrText>
            </w:r>
            <w:r>
              <w:rPr>
                <w:noProof/>
                <w:webHidden/>
              </w:rPr>
            </w:r>
            <w:r>
              <w:rPr>
                <w:noProof/>
                <w:webHidden/>
              </w:rPr>
              <w:fldChar w:fldCharType="separate"/>
            </w:r>
            <w:r>
              <w:rPr>
                <w:noProof/>
                <w:webHidden/>
              </w:rPr>
              <w:t>5</w:t>
            </w:r>
            <w:r>
              <w:rPr>
                <w:noProof/>
                <w:webHidden/>
              </w:rPr>
              <w:fldChar w:fldCharType="end"/>
            </w:r>
          </w:hyperlink>
        </w:p>
        <w:p w14:paraId="6305870D" w14:textId="70E10D01"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0991" w:history="1">
            <w:r w:rsidRPr="00007093">
              <w:rPr>
                <w:rStyle w:val="Hyperlink"/>
                <w:noProof/>
              </w:rPr>
              <w:t>Geraldine Atkinson</w:t>
            </w:r>
            <w:r>
              <w:rPr>
                <w:noProof/>
                <w:webHidden/>
              </w:rPr>
              <w:tab/>
            </w:r>
            <w:r>
              <w:rPr>
                <w:noProof/>
                <w:webHidden/>
              </w:rPr>
              <w:fldChar w:fldCharType="begin"/>
            </w:r>
            <w:r>
              <w:rPr>
                <w:noProof/>
                <w:webHidden/>
              </w:rPr>
              <w:instrText xml:space="preserve"> PAGEREF _Toc239930991 \h </w:instrText>
            </w:r>
            <w:r>
              <w:rPr>
                <w:noProof/>
                <w:webHidden/>
              </w:rPr>
            </w:r>
            <w:r>
              <w:rPr>
                <w:noProof/>
                <w:webHidden/>
              </w:rPr>
              <w:fldChar w:fldCharType="separate"/>
            </w:r>
            <w:r>
              <w:rPr>
                <w:noProof/>
                <w:webHidden/>
              </w:rPr>
              <w:t>5</w:t>
            </w:r>
            <w:r>
              <w:rPr>
                <w:noProof/>
                <w:webHidden/>
              </w:rPr>
              <w:fldChar w:fldCharType="end"/>
            </w:r>
          </w:hyperlink>
        </w:p>
        <w:p w14:paraId="661AEC17" w14:textId="5BF0B9F9"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0992" w:history="1">
            <w:r w:rsidRPr="00007093">
              <w:rPr>
                <w:rStyle w:val="Hyperlink"/>
                <w:noProof/>
              </w:rPr>
              <w:t>Vision</w:t>
            </w:r>
            <w:r>
              <w:rPr>
                <w:noProof/>
                <w:webHidden/>
              </w:rPr>
              <w:tab/>
            </w:r>
            <w:r>
              <w:rPr>
                <w:noProof/>
                <w:webHidden/>
              </w:rPr>
              <w:fldChar w:fldCharType="begin"/>
            </w:r>
            <w:r>
              <w:rPr>
                <w:noProof/>
                <w:webHidden/>
              </w:rPr>
              <w:instrText xml:space="preserve"> PAGEREF _Toc239930992 \h </w:instrText>
            </w:r>
            <w:r>
              <w:rPr>
                <w:noProof/>
                <w:webHidden/>
              </w:rPr>
            </w:r>
            <w:r>
              <w:rPr>
                <w:noProof/>
                <w:webHidden/>
              </w:rPr>
              <w:fldChar w:fldCharType="separate"/>
            </w:r>
            <w:r>
              <w:rPr>
                <w:noProof/>
                <w:webHidden/>
              </w:rPr>
              <w:t>6</w:t>
            </w:r>
            <w:r>
              <w:rPr>
                <w:noProof/>
                <w:webHidden/>
              </w:rPr>
              <w:fldChar w:fldCharType="end"/>
            </w:r>
          </w:hyperlink>
        </w:p>
        <w:p w14:paraId="31E01D8D" w14:textId="5E7154CA"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0993" w:history="1">
            <w:r w:rsidRPr="00007093">
              <w:rPr>
                <w:rStyle w:val="Hyperlink"/>
                <w:noProof/>
              </w:rPr>
              <w:t>Ministers’ Foreword</w:t>
            </w:r>
            <w:r>
              <w:rPr>
                <w:noProof/>
                <w:webHidden/>
              </w:rPr>
              <w:tab/>
            </w:r>
            <w:r>
              <w:rPr>
                <w:noProof/>
                <w:webHidden/>
              </w:rPr>
              <w:fldChar w:fldCharType="begin"/>
            </w:r>
            <w:r>
              <w:rPr>
                <w:noProof/>
                <w:webHidden/>
              </w:rPr>
              <w:instrText xml:space="preserve"> PAGEREF _Toc239930993 \h </w:instrText>
            </w:r>
            <w:r>
              <w:rPr>
                <w:noProof/>
                <w:webHidden/>
              </w:rPr>
            </w:r>
            <w:r>
              <w:rPr>
                <w:noProof/>
                <w:webHidden/>
              </w:rPr>
              <w:fldChar w:fldCharType="separate"/>
            </w:r>
            <w:r>
              <w:rPr>
                <w:noProof/>
                <w:webHidden/>
              </w:rPr>
              <w:t>6</w:t>
            </w:r>
            <w:r>
              <w:rPr>
                <w:noProof/>
                <w:webHidden/>
              </w:rPr>
              <w:fldChar w:fldCharType="end"/>
            </w:r>
          </w:hyperlink>
        </w:p>
        <w:p w14:paraId="7DDA72F9" w14:textId="5ED9ED8F"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0994" w:history="1">
            <w:r w:rsidRPr="00007093">
              <w:rPr>
                <w:rStyle w:val="Hyperlink"/>
                <w:noProof/>
              </w:rPr>
              <w:t>Policy Context</w:t>
            </w:r>
            <w:r>
              <w:rPr>
                <w:noProof/>
                <w:webHidden/>
              </w:rPr>
              <w:tab/>
            </w:r>
            <w:r>
              <w:rPr>
                <w:noProof/>
                <w:webHidden/>
              </w:rPr>
              <w:fldChar w:fldCharType="begin"/>
            </w:r>
            <w:r>
              <w:rPr>
                <w:noProof/>
                <w:webHidden/>
              </w:rPr>
              <w:instrText xml:space="preserve"> PAGEREF _Toc239930994 \h </w:instrText>
            </w:r>
            <w:r>
              <w:rPr>
                <w:noProof/>
                <w:webHidden/>
              </w:rPr>
            </w:r>
            <w:r>
              <w:rPr>
                <w:noProof/>
                <w:webHidden/>
              </w:rPr>
              <w:fldChar w:fldCharType="separate"/>
            </w:r>
            <w:r>
              <w:rPr>
                <w:noProof/>
                <w:webHidden/>
              </w:rPr>
              <w:t>8</w:t>
            </w:r>
            <w:r>
              <w:rPr>
                <w:noProof/>
                <w:webHidden/>
              </w:rPr>
              <w:fldChar w:fldCharType="end"/>
            </w:r>
          </w:hyperlink>
        </w:p>
        <w:p w14:paraId="4079C8F9" w14:textId="3E200CD7"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0995" w:history="1">
            <w:r w:rsidRPr="00007093">
              <w:rPr>
                <w:rStyle w:val="Hyperlink"/>
                <w:noProof/>
              </w:rPr>
              <w:t>Data: Where were we, where are we now, and what does that tell us?</w:t>
            </w:r>
            <w:r>
              <w:rPr>
                <w:noProof/>
                <w:webHidden/>
              </w:rPr>
              <w:tab/>
            </w:r>
            <w:r>
              <w:rPr>
                <w:noProof/>
                <w:webHidden/>
              </w:rPr>
              <w:fldChar w:fldCharType="begin"/>
            </w:r>
            <w:r>
              <w:rPr>
                <w:noProof/>
                <w:webHidden/>
              </w:rPr>
              <w:instrText xml:space="preserve"> PAGEREF _Toc239930995 \h </w:instrText>
            </w:r>
            <w:r>
              <w:rPr>
                <w:noProof/>
                <w:webHidden/>
              </w:rPr>
            </w:r>
            <w:r>
              <w:rPr>
                <w:noProof/>
                <w:webHidden/>
              </w:rPr>
              <w:fldChar w:fldCharType="separate"/>
            </w:r>
            <w:r>
              <w:rPr>
                <w:noProof/>
                <w:webHidden/>
              </w:rPr>
              <w:t>9</w:t>
            </w:r>
            <w:r>
              <w:rPr>
                <w:noProof/>
                <w:webHidden/>
              </w:rPr>
              <w:fldChar w:fldCharType="end"/>
            </w:r>
          </w:hyperlink>
        </w:p>
        <w:p w14:paraId="1B1FBE84" w14:textId="0C3EAF91"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0996" w:history="1">
            <w:r w:rsidRPr="00007093">
              <w:rPr>
                <w:rStyle w:val="Hyperlink"/>
                <w:noProof/>
              </w:rPr>
              <w:t>Kindergarten</w:t>
            </w:r>
            <w:r>
              <w:rPr>
                <w:noProof/>
                <w:webHidden/>
              </w:rPr>
              <w:tab/>
            </w:r>
            <w:r>
              <w:rPr>
                <w:noProof/>
                <w:webHidden/>
              </w:rPr>
              <w:fldChar w:fldCharType="begin"/>
            </w:r>
            <w:r>
              <w:rPr>
                <w:noProof/>
                <w:webHidden/>
              </w:rPr>
              <w:instrText xml:space="preserve"> PAGEREF _Toc239930996 \h </w:instrText>
            </w:r>
            <w:r>
              <w:rPr>
                <w:noProof/>
                <w:webHidden/>
              </w:rPr>
            </w:r>
            <w:r>
              <w:rPr>
                <w:noProof/>
                <w:webHidden/>
              </w:rPr>
              <w:fldChar w:fldCharType="separate"/>
            </w:r>
            <w:r>
              <w:rPr>
                <w:noProof/>
                <w:webHidden/>
              </w:rPr>
              <w:t>10</w:t>
            </w:r>
            <w:r>
              <w:rPr>
                <w:noProof/>
                <w:webHidden/>
              </w:rPr>
              <w:fldChar w:fldCharType="end"/>
            </w:r>
          </w:hyperlink>
        </w:p>
        <w:p w14:paraId="2BDCA16D" w14:textId="0A866D7F"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0997" w:history="1">
            <w:r w:rsidRPr="00007093">
              <w:rPr>
                <w:rStyle w:val="Hyperlink"/>
                <w:noProof/>
              </w:rPr>
              <w:t>Enrolment</w:t>
            </w:r>
            <w:r>
              <w:rPr>
                <w:noProof/>
                <w:webHidden/>
              </w:rPr>
              <w:tab/>
            </w:r>
            <w:r>
              <w:rPr>
                <w:noProof/>
                <w:webHidden/>
              </w:rPr>
              <w:fldChar w:fldCharType="begin"/>
            </w:r>
            <w:r>
              <w:rPr>
                <w:noProof/>
                <w:webHidden/>
              </w:rPr>
              <w:instrText xml:space="preserve"> PAGEREF _Toc239930997 \h </w:instrText>
            </w:r>
            <w:r>
              <w:rPr>
                <w:noProof/>
                <w:webHidden/>
              </w:rPr>
            </w:r>
            <w:r>
              <w:rPr>
                <w:noProof/>
                <w:webHidden/>
              </w:rPr>
              <w:fldChar w:fldCharType="separate"/>
            </w:r>
            <w:r>
              <w:rPr>
                <w:noProof/>
                <w:webHidden/>
              </w:rPr>
              <w:t>10</w:t>
            </w:r>
            <w:r>
              <w:rPr>
                <w:noProof/>
                <w:webHidden/>
              </w:rPr>
              <w:fldChar w:fldCharType="end"/>
            </w:r>
          </w:hyperlink>
        </w:p>
        <w:p w14:paraId="4A299369" w14:textId="0010211C"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0998" w:history="1">
            <w:r w:rsidRPr="00007093">
              <w:rPr>
                <w:rStyle w:val="Hyperlink"/>
                <w:noProof/>
              </w:rPr>
              <w:t>Participation</w:t>
            </w:r>
            <w:r>
              <w:rPr>
                <w:noProof/>
                <w:webHidden/>
              </w:rPr>
              <w:tab/>
            </w:r>
            <w:r>
              <w:rPr>
                <w:noProof/>
                <w:webHidden/>
              </w:rPr>
              <w:fldChar w:fldCharType="begin"/>
            </w:r>
            <w:r>
              <w:rPr>
                <w:noProof/>
                <w:webHidden/>
              </w:rPr>
              <w:instrText xml:space="preserve"> PAGEREF _Toc239930998 \h </w:instrText>
            </w:r>
            <w:r>
              <w:rPr>
                <w:noProof/>
                <w:webHidden/>
              </w:rPr>
            </w:r>
            <w:r>
              <w:rPr>
                <w:noProof/>
                <w:webHidden/>
              </w:rPr>
              <w:fldChar w:fldCharType="separate"/>
            </w:r>
            <w:r>
              <w:rPr>
                <w:noProof/>
                <w:webHidden/>
              </w:rPr>
              <w:t>10</w:t>
            </w:r>
            <w:r>
              <w:rPr>
                <w:noProof/>
                <w:webHidden/>
              </w:rPr>
              <w:fldChar w:fldCharType="end"/>
            </w:r>
          </w:hyperlink>
        </w:p>
        <w:p w14:paraId="3809018E" w14:textId="043CE3C7"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0999" w:history="1">
            <w:r w:rsidRPr="00007093">
              <w:rPr>
                <w:rStyle w:val="Hyperlink"/>
                <w:noProof/>
              </w:rPr>
              <w:t>School</w:t>
            </w:r>
            <w:r>
              <w:rPr>
                <w:noProof/>
                <w:webHidden/>
              </w:rPr>
              <w:tab/>
            </w:r>
            <w:r>
              <w:rPr>
                <w:noProof/>
                <w:webHidden/>
              </w:rPr>
              <w:fldChar w:fldCharType="begin"/>
            </w:r>
            <w:r>
              <w:rPr>
                <w:noProof/>
                <w:webHidden/>
              </w:rPr>
              <w:instrText xml:space="preserve"> PAGEREF _Toc239930999 \h </w:instrText>
            </w:r>
            <w:r>
              <w:rPr>
                <w:noProof/>
                <w:webHidden/>
              </w:rPr>
            </w:r>
            <w:r>
              <w:rPr>
                <w:noProof/>
                <w:webHidden/>
              </w:rPr>
              <w:fldChar w:fldCharType="separate"/>
            </w:r>
            <w:r>
              <w:rPr>
                <w:noProof/>
                <w:webHidden/>
              </w:rPr>
              <w:t>10</w:t>
            </w:r>
            <w:r>
              <w:rPr>
                <w:noProof/>
                <w:webHidden/>
              </w:rPr>
              <w:fldChar w:fldCharType="end"/>
            </w:r>
          </w:hyperlink>
        </w:p>
        <w:p w14:paraId="4C8D7954" w14:textId="6E6193F6"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00" w:history="1">
            <w:r w:rsidRPr="00007093">
              <w:rPr>
                <w:rStyle w:val="Hyperlink"/>
                <w:noProof/>
              </w:rPr>
              <w:t>Experience of racism</w:t>
            </w:r>
            <w:r>
              <w:rPr>
                <w:noProof/>
                <w:webHidden/>
              </w:rPr>
              <w:tab/>
            </w:r>
            <w:r>
              <w:rPr>
                <w:noProof/>
                <w:webHidden/>
              </w:rPr>
              <w:fldChar w:fldCharType="begin"/>
            </w:r>
            <w:r>
              <w:rPr>
                <w:noProof/>
                <w:webHidden/>
              </w:rPr>
              <w:instrText xml:space="preserve"> PAGEREF _Toc239931000 \h </w:instrText>
            </w:r>
            <w:r>
              <w:rPr>
                <w:noProof/>
                <w:webHidden/>
              </w:rPr>
            </w:r>
            <w:r>
              <w:rPr>
                <w:noProof/>
                <w:webHidden/>
              </w:rPr>
              <w:fldChar w:fldCharType="separate"/>
            </w:r>
            <w:r>
              <w:rPr>
                <w:noProof/>
                <w:webHidden/>
              </w:rPr>
              <w:t>10</w:t>
            </w:r>
            <w:r>
              <w:rPr>
                <w:noProof/>
                <w:webHidden/>
              </w:rPr>
              <w:fldChar w:fldCharType="end"/>
            </w:r>
          </w:hyperlink>
        </w:p>
        <w:p w14:paraId="6A747610" w14:textId="4270FAF6"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01" w:history="1">
            <w:r w:rsidRPr="00007093">
              <w:rPr>
                <w:rStyle w:val="Hyperlink"/>
                <w:noProof/>
              </w:rPr>
              <w:t>Attendance rates</w:t>
            </w:r>
            <w:r>
              <w:rPr>
                <w:noProof/>
                <w:webHidden/>
              </w:rPr>
              <w:tab/>
            </w:r>
            <w:r>
              <w:rPr>
                <w:noProof/>
                <w:webHidden/>
              </w:rPr>
              <w:fldChar w:fldCharType="begin"/>
            </w:r>
            <w:r>
              <w:rPr>
                <w:noProof/>
                <w:webHidden/>
              </w:rPr>
              <w:instrText xml:space="preserve"> PAGEREF _Toc239931001 \h </w:instrText>
            </w:r>
            <w:r>
              <w:rPr>
                <w:noProof/>
                <w:webHidden/>
              </w:rPr>
            </w:r>
            <w:r>
              <w:rPr>
                <w:noProof/>
                <w:webHidden/>
              </w:rPr>
              <w:fldChar w:fldCharType="separate"/>
            </w:r>
            <w:r>
              <w:rPr>
                <w:noProof/>
                <w:webHidden/>
              </w:rPr>
              <w:t>11</w:t>
            </w:r>
            <w:r>
              <w:rPr>
                <w:noProof/>
                <w:webHidden/>
              </w:rPr>
              <w:fldChar w:fldCharType="end"/>
            </w:r>
          </w:hyperlink>
        </w:p>
        <w:p w14:paraId="10E228E5" w14:textId="762A2CB5"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02" w:history="1">
            <w:r w:rsidRPr="00007093">
              <w:rPr>
                <w:rStyle w:val="Hyperlink"/>
                <w:noProof/>
              </w:rPr>
              <w:t>Environment</w:t>
            </w:r>
            <w:r>
              <w:rPr>
                <w:noProof/>
                <w:webHidden/>
              </w:rPr>
              <w:tab/>
            </w:r>
            <w:r>
              <w:rPr>
                <w:noProof/>
                <w:webHidden/>
              </w:rPr>
              <w:fldChar w:fldCharType="begin"/>
            </w:r>
            <w:r>
              <w:rPr>
                <w:noProof/>
                <w:webHidden/>
              </w:rPr>
              <w:instrText xml:space="preserve"> PAGEREF _Toc239931002 \h </w:instrText>
            </w:r>
            <w:r>
              <w:rPr>
                <w:noProof/>
                <w:webHidden/>
              </w:rPr>
            </w:r>
            <w:r>
              <w:rPr>
                <w:noProof/>
                <w:webHidden/>
              </w:rPr>
              <w:fldChar w:fldCharType="separate"/>
            </w:r>
            <w:r>
              <w:rPr>
                <w:noProof/>
                <w:webHidden/>
              </w:rPr>
              <w:t>11</w:t>
            </w:r>
            <w:r>
              <w:rPr>
                <w:noProof/>
                <w:webHidden/>
              </w:rPr>
              <w:fldChar w:fldCharType="end"/>
            </w:r>
          </w:hyperlink>
        </w:p>
        <w:p w14:paraId="4F478DF1" w14:textId="2AC0BA22"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03" w:history="1">
            <w:r w:rsidRPr="00007093">
              <w:rPr>
                <w:rStyle w:val="Hyperlink"/>
                <w:noProof/>
              </w:rPr>
              <w:t>NAPLAN results 2023–2025</w:t>
            </w:r>
            <w:r>
              <w:rPr>
                <w:noProof/>
                <w:webHidden/>
              </w:rPr>
              <w:tab/>
            </w:r>
            <w:r>
              <w:rPr>
                <w:noProof/>
                <w:webHidden/>
              </w:rPr>
              <w:fldChar w:fldCharType="begin"/>
            </w:r>
            <w:r>
              <w:rPr>
                <w:noProof/>
                <w:webHidden/>
              </w:rPr>
              <w:instrText xml:space="preserve"> PAGEREF _Toc239931003 \h </w:instrText>
            </w:r>
            <w:r>
              <w:rPr>
                <w:noProof/>
                <w:webHidden/>
              </w:rPr>
            </w:r>
            <w:r>
              <w:rPr>
                <w:noProof/>
                <w:webHidden/>
              </w:rPr>
              <w:fldChar w:fldCharType="separate"/>
            </w:r>
            <w:r>
              <w:rPr>
                <w:noProof/>
                <w:webHidden/>
              </w:rPr>
              <w:t>11</w:t>
            </w:r>
            <w:r>
              <w:rPr>
                <w:noProof/>
                <w:webHidden/>
              </w:rPr>
              <w:fldChar w:fldCharType="end"/>
            </w:r>
          </w:hyperlink>
        </w:p>
        <w:p w14:paraId="071D2B99" w14:textId="3B543B89"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04" w:history="1">
            <w:r w:rsidRPr="00007093">
              <w:rPr>
                <w:rStyle w:val="Hyperlink"/>
                <w:noProof/>
              </w:rPr>
              <w:t>Reading: strong or exceeding</w:t>
            </w:r>
            <w:r>
              <w:rPr>
                <w:noProof/>
                <w:webHidden/>
              </w:rPr>
              <w:tab/>
            </w:r>
            <w:r>
              <w:rPr>
                <w:noProof/>
                <w:webHidden/>
              </w:rPr>
              <w:fldChar w:fldCharType="begin"/>
            </w:r>
            <w:r>
              <w:rPr>
                <w:noProof/>
                <w:webHidden/>
              </w:rPr>
              <w:instrText xml:space="preserve"> PAGEREF _Toc239931004 \h </w:instrText>
            </w:r>
            <w:r>
              <w:rPr>
                <w:noProof/>
                <w:webHidden/>
              </w:rPr>
            </w:r>
            <w:r>
              <w:rPr>
                <w:noProof/>
                <w:webHidden/>
              </w:rPr>
              <w:fldChar w:fldCharType="separate"/>
            </w:r>
            <w:r>
              <w:rPr>
                <w:noProof/>
                <w:webHidden/>
              </w:rPr>
              <w:t>11</w:t>
            </w:r>
            <w:r>
              <w:rPr>
                <w:noProof/>
                <w:webHidden/>
              </w:rPr>
              <w:fldChar w:fldCharType="end"/>
            </w:r>
          </w:hyperlink>
        </w:p>
        <w:p w14:paraId="051E4648" w14:textId="30C6CB9A"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05" w:history="1">
            <w:r w:rsidRPr="00007093">
              <w:rPr>
                <w:rStyle w:val="Hyperlink"/>
                <w:noProof/>
              </w:rPr>
              <w:t>Numeracy: strong or exceeding</w:t>
            </w:r>
            <w:r>
              <w:rPr>
                <w:noProof/>
                <w:webHidden/>
              </w:rPr>
              <w:tab/>
            </w:r>
            <w:r>
              <w:rPr>
                <w:noProof/>
                <w:webHidden/>
              </w:rPr>
              <w:fldChar w:fldCharType="begin"/>
            </w:r>
            <w:r>
              <w:rPr>
                <w:noProof/>
                <w:webHidden/>
              </w:rPr>
              <w:instrText xml:space="preserve"> PAGEREF _Toc239931005 \h </w:instrText>
            </w:r>
            <w:r>
              <w:rPr>
                <w:noProof/>
                <w:webHidden/>
              </w:rPr>
            </w:r>
            <w:r>
              <w:rPr>
                <w:noProof/>
                <w:webHidden/>
              </w:rPr>
              <w:fldChar w:fldCharType="separate"/>
            </w:r>
            <w:r>
              <w:rPr>
                <w:noProof/>
                <w:webHidden/>
              </w:rPr>
              <w:t>12</w:t>
            </w:r>
            <w:r>
              <w:rPr>
                <w:noProof/>
                <w:webHidden/>
              </w:rPr>
              <w:fldChar w:fldCharType="end"/>
            </w:r>
          </w:hyperlink>
        </w:p>
        <w:p w14:paraId="757AE662" w14:textId="4D133DF7"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06" w:history="1">
            <w:r w:rsidRPr="00007093">
              <w:rPr>
                <w:rStyle w:val="Hyperlink"/>
                <w:noProof/>
              </w:rPr>
              <w:t>Completions | 2016–2025</w:t>
            </w:r>
            <w:r>
              <w:rPr>
                <w:noProof/>
                <w:webHidden/>
              </w:rPr>
              <w:tab/>
            </w:r>
            <w:r>
              <w:rPr>
                <w:noProof/>
                <w:webHidden/>
              </w:rPr>
              <w:fldChar w:fldCharType="begin"/>
            </w:r>
            <w:r>
              <w:rPr>
                <w:noProof/>
                <w:webHidden/>
              </w:rPr>
              <w:instrText xml:space="preserve"> PAGEREF _Toc239931006 \h </w:instrText>
            </w:r>
            <w:r>
              <w:rPr>
                <w:noProof/>
                <w:webHidden/>
              </w:rPr>
            </w:r>
            <w:r>
              <w:rPr>
                <w:noProof/>
                <w:webHidden/>
              </w:rPr>
              <w:fldChar w:fldCharType="separate"/>
            </w:r>
            <w:r>
              <w:rPr>
                <w:noProof/>
                <w:webHidden/>
              </w:rPr>
              <w:t>12</w:t>
            </w:r>
            <w:r>
              <w:rPr>
                <w:noProof/>
                <w:webHidden/>
              </w:rPr>
              <w:fldChar w:fldCharType="end"/>
            </w:r>
          </w:hyperlink>
        </w:p>
        <w:p w14:paraId="06E54094" w14:textId="1DB64646"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07" w:history="1">
            <w:r w:rsidRPr="00007093">
              <w:rPr>
                <w:rStyle w:val="Hyperlink"/>
                <w:noProof/>
              </w:rPr>
              <w:t>VCE, VCAL, VET in school completions, 2016–2023</w:t>
            </w:r>
            <w:r>
              <w:rPr>
                <w:noProof/>
                <w:webHidden/>
              </w:rPr>
              <w:tab/>
            </w:r>
            <w:r>
              <w:rPr>
                <w:noProof/>
                <w:webHidden/>
              </w:rPr>
              <w:fldChar w:fldCharType="begin"/>
            </w:r>
            <w:r>
              <w:rPr>
                <w:noProof/>
                <w:webHidden/>
              </w:rPr>
              <w:instrText xml:space="preserve"> PAGEREF _Toc239931007 \h </w:instrText>
            </w:r>
            <w:r>
              <w:rPr>
                <w:noProof/>
                <w:webHidden/>
              </w:rPr>
            </w:r>
            <w:r>
              <w:rPr>
                <w:noProof/>
                <w:webHidden/>
              </w:rPr>
              <w:fldChar w:fldCharType="separate"/>
            </w:r>
            <w:r>
              <w:rPr>
                <w:noProof/>
                <w:webHidden/>
              </w:rPr>
              <w:t>12</w:t>
            </w:r>
            <w:r>
              <w:rPr>
                <w:noProof/>
                <w:webHidden/>
              </w:rPr>
              <w:fldChar w:fldCharType="end"/>
            </w:r>
          </w:hyperlink>
        </w:p>
        <w:p w14:paraId="23EB34BA" w14:textId="0707D39B"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08" w:history="1">
            <w:r w:rsidRPr="00007093">
              <w:rPr>
                <w:rStyle w:val="Hyperlink"/>
                <w:noProof/>
              </w:rPr>
              <w:t>Destination of Year 12 Koorie completers, 2016–2024*</w:t>
            </w:r>
            <w:r>
              <w:rPr>
                <w:noProof/>
                <w:webHidden/>
              </w:rPr>
              <w:tab/>
            </w:r>
            <w:r>
              <w:rPr>
                <w:noProof/>
                <w:webHidden/>
              </w:rPr>
              <w:fldChar w:fldCharType="begin"/>
            </w:r>
            <w:r>
              <w:rPr>
                <w:noProof/>
                <w:webHidden/>
              </w:rPr>
              <w:instrText xml:space="preserve"> PAGEREF _Toc239931008 \h </w:instrText>
            </w:r>
            <w:r>
              <w:rPr>
                <w:noProof/>
                <w:webHidden/>
              </w:rPr>
            </w:r>
            <w:r>
              <w:rPr>
                <w:noProof/>
                <w:webHidden/>
              </w:rPr>
              <w:fldChar w:fldCharType="separate"/>
            </w:r>
            <w:r>
              <w:rPr>
                <w:noProof/>
                <w:webHidden/>
              </w:rPr>
              <w:t>12</w:t>
            </w:r>
            <w:r>
              <w:rPr>
                <w:noProof/>
                <w:webHidden/>
              </w:rPr>
              <w:fldChar w:fldCharType="end"/>
            </w:r>
          </w:hyperlink>
        </w:p>
        <w:p w14:paraId="11527793" w14:textId="080F1524"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09" w:history="1">
            <w:r w:rsidRPr="00007093">
              <w:rPr>
                <w:rStyle w:val="Hyperlink"/>
                <w:noProof/>
              </w:rPr>
              <w:t>Tertiary</w:t>
            </w:r>
            <w:r>
              <w:rPr>
                <w:noProof/>
                <w:webHidden/>
              </w:rPr>
              <w:tab/>
            </w:r>
            <w:r>
              <w:rPr>
                <w:noProof/>
                <w:webHidden/>
              </w:rPr>
              <w:fldChar w:fldCharType="begin"/>
            </w:r>
            <w:r>
              <w:rPr>
                <w:noProof/>
                <w:webHidden/>
              </w:rPr>
              <w:instrText xml:space="preserve"> PAGEREF _Toc239931009 \h </w:instrText>
            </w:r>
            <w:r>
              <w:rPr>
                <w:noProof/>
                <w:webHidden/>
              </w:rPr>
            </w:r>
            <w:r>
              <w:rPr>
                <w:noProof/>
                <w:webHidden/>
              </w:rPr>
              <w:fldChar w:fldCharType="separate"/>
            </w:r>
            <w:r>
              <w:rPr>
                <w:noProof/>
                <w:webHidden/>
              </w:rPr>
              <w:t>15</w:t>
            </w:r>
            <w:r>
              <w:rPr>
                <w:noProof/>
                <w:webHidden/>
              </w:rPr>
              <w:fldChar w:fldCharType="end"/>
            </w:r>
          </w:hyperlink>
        </w:p>
        <w:p w14:paraId="23C1F821" w14:textId="40559D00"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10" w:history="1">
            <w:r w:rsidRPr="00007093">
              <w:rPr>
                <w:rStyle w:val="Hyperlink"/>
                <w:noProof/>
              </w:rPr>
              <w:t>Participation in Pre-Accredited Training</w:t>
            </w:r>
            <w:r>
              <w:rPr>
                <w:noProof/>
                <w:webHidden/>
              </w:rPr>
              <w:tab/>
            </w:r>
            <w:r>
              <w:rPr>
                <w:noProof/>
                <w:webHidden/>
              </w:rPr>
              <w:fldChar w:fldCharType="begin"/>
            </w:r>
            <w:r>
              <w:rPr>
                <w:noProof/>
                <w:webHidden/>
              </w:rPr>
              <w:instrText xml:space="preserve"> PAGEREF _Toc239931010 \h </w:instrText>
            </w:r>
            <w:r>
              <w:rPr>
                <w:noProof/>
                <w:webHidden/>
              </w:rPr>
            </w:r>
            <w:r>
              <w:rPr>
                <w:noProof/>
                <w:webHidden/>
              </w:rPr>
              <w:fldChar w:fldCharType="separate"/>
            </w:r>
            <w:r>
              <w:rPr>
                <w:noProof/>
                <w:webHidden/>
              </w:rPr>
              <w:t>15</w:t>
            </w:r>
            <w:r>
              <w:rPr>
                <w:noProof/>
                <w:webHidden/>
              </w:rPr>
              <w:fldChar w:fldCharType="end"/>
            </w:r>
          </w:hyperlink>
        </w:p>
        <w:p w14:paraId="6358C687" w14:textId="33881442"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11" w:history="1">
            <w:r w:rsidRPr="00007093">
              <w:rPr>
                <w:rStyle w:val="Hyperlink"/>
                <w:noProof/>
              </w:rPr>
              <w:t>First Nations VET students report satisfaction levels above the Victoria average</w:t>
            </w:r>
            <w:r>
              <w:rPr>
                <w:noProof/>
                <w:webHidden/>
              </w:rPr>
              <w:tab/>
            </w:r>
            <w:r>
              <w:rPr>
                <w:noProof/>
                <w:webHidden/>
              </w:rPr>
              <w:fldChar w:fldCharType="begin"/>
            </w:r>
            <w:r>
              <w:rPr>
                <w:noProof/>
                <w:webHidden/>
              </w:rPr>
              <w:instrText xml:space="preserve"> PAGEREF _Toc239931011 \h </w:instrText>
            </w:r>
            <w:r>
              <w:rPr>
                <w:noProof/>
                <w:webHidden/>
              </w:rPr>
            </w:r>
            <w:r>
              <w:rPr>
                <w:noProof/>
                <w:webHidden/>
              </w:rPr>
              <w:fldChar w:fldCharType="separate"/>
            </w:r>
            <w:r>
              <w:rPr>
                <w:noProof/>
                <w:webHidden/>
              </w:rPr>
              <w:t>15</w:t>
            </w:r>
            <w:r>
              <w:rPr>
                <w:noProof/>
                <w:webHidden/>
              </w:rPr>
              <w:fldChar w:fldCharType="end"/>
            </w:r>
          </w:hyperlink>
        </w:p>
        <w:p w14:paraId="5FC52041" w14:textId="2BA83A22"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12" w:history="1">
            <w:r w:rsidRPr="00007093">
              <w:rPr>
                <w:rStyle w:val="Hyperlink"/>
                <w:noProof/>
              </w:rPr>
              <w:t>VET Completion Rate</w:t>
            </w:r>
            <w:r>
              <w:rPr>
                <w:noProof/>
                <w:webHidden/>
              </w:rPr>
              <w:tab/>
            </w:r>
            <w:r>
              <w:rPr>
                <w:noProof/>
                <w:webHidden/>
              </w:rPr>
              <w:fldChar w:fldCharType="begin"/>
            </w:r>
            <w:r>
              <w:rPr>
                <w:noProof/>
                <w:webHidden/>
              </w:rPr>
              <w:instrText xml:space="preserve"> PAGEREF _Toc239931012 \h </w:instrText>
            </w:r>
            <w:r>
              <w:rPr>
                <w:noProof/>
                <w:webHidden/>
              </w:rPr>
            </w:r>
            <w:r>
              <w:rPr>
                <w:noProof/>
                <w:webHidden/>
              </w:rPr>
              <w:fldChar w:fldCharType="separate"/>
            </w:r>
            <w:r>
              <w:rPr>
                <w:noProof/>
                <w:webHidden/>
              </w:rPr>
              <w:t>16</w:t>
            </w:r>
            <w:r>
              <w:rPr>
                <w:noProof/>
                <w:webHidden/>
              </w:rPr>
              <w:fldChar w:fldCharType="end"/>
            </w:r>
          </w:hyperlink>
        </w:p>
        <w:p w14:paraId="28733714" w14:textId="583936D2"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13" w:history="1">
            <w:r w:rsidRPr="00007093">
              <w:rPr>
                <w:rStyle w:val="Hyperlink"/>
                <w:noProof/>
              </w:rPr>
              <w:t>First Nations students are undertaking higher level qualifications</w:t>
            </w:r>
            <w:r>
              <w:rPr>
                <w:noProof/>
                <w:webHidden/>
              </w:rPr>
              <w:tab/>
            </w:r>
            <w:r>
              <w:rPr>
                <w:noProof/>
                <w:webHidden/>
              </w:rPr>
              <w:fldChar w:fldCharType="begin"/>
            </w:r>
            <w:r>
              <w:rPr>
                <w:noProof/>
                <w:webHidden/>
              </w:rPr>
              <w:instrText xml:space="preserve"> PAGEREF _Toc239931013 \h </w:instrText>
            </w:r>
            <w:r>
              <w:rPr>
                <w:noProof/>
                <w:webHidden/>
              </w:rPr>
            </w:r>
            <w:r>
              <w:rPr>
                <w:noProof/>
                <w:webHidden/>
              </w:rPr>
              <w:fldChar w:fldCharType="separate"/>
            </w:r>
            <w:r>
              <w:rPr>
                <w:noProof/>
                <w:webHidden/>
              </w:rPr>
              <w:t>16</w:t>
            </w:r>
            <w:r>
              <w:rPr>
                <w:noProof/>
                <w:webHidden/>
              </w:rPr>
              <w:fldChar w:fldCharType="end"/>
            </w:r>
          </w:hyperlink>
        </w:p>
        <w:p w14:paraId="6714CF75" w14:textId="5A65F08E"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14" w:history="1">
            <w:r w:rsidRPr="00007093">
              <w:rPr>
                <w:rStyle w:val="Hyperlink"/>
                <w:noProof/>
              </w:rPr>
              <w:t>First Nations learner rates of enrolment and completion at university has increased</w:t>
            </w:r>
            <w:r>
              <w:rPr>
                <w:noProof/>
                <w:webHidden/>
              </w:rPr>
              <w:tab/>
            </w:r>
            <w:r>
              <w:rPr>
                <w:noProof/>
                <w:webHidden/>
              </w:rPr>
              <w:fldChar w:fldCharType="begin"/>
            </w:r>
            <w:r>
              <w:rPr>
                <w:noProof/>
                <w:webHidden/>
              </w:rPr>
              <w:instrText xml:space="preserve"> PAGEREF _Toc239931014 \h </w:instrText>
            </w:r>
            <w:r>
              <w:rPr>
                <w:noProof/>
                <w:webHidden/>
              </w:rPr>
            </w:r>
            <w:r>
              <w:rPr>
                <w:noProof/>
                <w:webHidden/>
              </w:rPr>
              <w:fldChar w:fldCharType="separate"/>
            </w:r>
            <w:r>
              <w:rPr>
                <w:noProof/>
                <w:webHidden/>
              </w:rPr>
              <w:t>16</w:t>
            </w:r>
            <w:r>
              <w:rPr>
                <w:noProof/>
                <w:webHidden/>
              </w:rPr>
              <w:fldChar w:fldCharType="end"/>
            </w:r>
          </w:hyperlink>
        </w:p>
        <w:p w14:paraId="2467A980" w14:textId="55FE391C"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15" w:history="1">
            <w:r w:rsidRPr="00007093">
              <w:rPr>
                <w:rStyle w:val="Hyperlink"/>
                <w:noProof/>
              </w:rPr>
              <w:t>What we heard: Strengthening Aboriginal Self-Determination in Education report.</w:t>
            </w:r>
            <w:r>
              <w:rPr>
                <w:noProof/>
                <w:webHidden/>
              </w:rPr>
              <w:tab/>
            </w:r>
            <w:r>
              <w:rPr>
                <w:noProof/>
                <w:webHidden/>
              </w:rPr>
              <w:fldChar w:fldCharType="begin"/>
            </w:r>
            <w:r>
              <w:rPr>
                <w:noProof/>
                <w:webHidden/>
              </w:rPr>
              <w:instrText xml:space="preserve"> PAGEREF _Toc239931015 \h </w:instrText>
            </w:r>
            <w:r>
              <w:rPr>
                <w:noProof/>
                <w:webHidden/>
              </w:rPr>
            </w:r>
            <w:r>
              <w:rPr>
                <w:noProof/>
                <w:webHidden/>
              </w:rPr>
              <w:fldChar w:fldCharType="separate"/>
            </w:r>
            <w:r>
              <w:rPr>
                <w:noProof/>
                <w:webHidden/>
              </w:rPr>
              <w:t>16</w:t>
            </w:r>
            <w:r>
              <w:rPr>
                <w:noProof/>
                <w:webHidden/>
              </w:rPr>
              <w:fldChar w:fldCharType="end"/>
            </w:r>
          </w:hyperlink>
        </w:p>
        <w:p w14:paraId="37DE5FDA" w14:textId="362EC550"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16" w:history="1">
            <w:r w:rsidRPr="00007093">
              <w:rPr>
                <w:rStyle w:val="Hyperlink"/>
                <w:noProof/>
              </w:rPr>
              <w:t>Possum Skin artwork by Nakia Cadd.</w:t>
            </w:r>
            <w:r>
              <w:rPr>
                <w:noProof/>
                <w:webHidden/>
              </w:rPr>
              <w:tab/>
            </w:r>
            <w:r>
              <w:rPr>
                <w:noProof/>
                <w:webHidden/>
              </w:rPr>
              <w:fldChar w:fldCharType="begin"/>
            </w:r>
            <w:r>
              <w:rPr>
                <w:noProof/>
                <w:webHidden/>
              </w:rPr>
              <w:instrText xml:space="preserve"> PAGEREF _Toc239931016 \h </w:instrText>
            </w:r>
            <w:r>
              <w:rPr>
                <w:noProof/>
                <w:webHidden/>
              </w:rPr>
            </w:r>
            <w:r>
              <w:rPr>
                <w:noProof/>
                <w:webHidden/>
              </w:rPr>
              <w:fldChar w:fldCharType="separate"/>
            </w:r>
            <w:r>
              <w:rPr>
                <w:noProof/>
                <w:webHidden/>
              </w:rPr>
              <w:t>17</w:t>
            </w:r>
            <w:r>
              <w:rPr>
                <w:noProof/>
                <w:webHidden/>
              </w:rPr>
              <w:fldChar w:fldCharType="end"/>
            </w:r>
          </w:hyperlink>
        </w:p>
        <w:p w14:paraId="69100B8E" w14:textId="2C6E4545"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17" w:history="1">
            <w:r w:rsidRPr="00007093">
              <w:rPr>
                <w:rStyle w:val="Hyperlink"/>
                <w:noProof/>
              </w:rPr>
              <w:t>Conceptual Framework artwork by Nakia Cadd</w:t>
            </w:r>
            <w:r>
              <w:rPr>
                <w:noProof/>
                <w:webHidden/>
              </w:rPr>
              <w:tab/>
            </w:r>
            <w:r>
              <w:rPr>
                <w:noProof/>
                <w:webHidden/>
              </w:rPr>
              <w:fldChar w:fldCharType="begin"/>
            </w:r>
            <w:r>
              <w:rPr>
                <w:noProof/>
                <w:webHidden/>
              </w:rPr>
              <w:instrText xml:space="preserve"> PAGEREF _Toc239931017 \h </w:instrText>
            </w:r>
            <w:r>
              <w:rPr>
                <w:noProof/>
                <w:webHidden/>
              </w:rPr>
            </w:r>
            <w:r>
              <w:rPr>
                <w:noProof/>
                <w:webHidden/>
              </w:rPr>
              <w:fldChar w:fldCharType="separate"/>
            </w:r>
            <w:r>
              <w:rPr>
                <w:noProof/>
                <w:webHidden/>
              </w:rPr>
              <w:t>19</w:t>
            </w:r>
            <w:r>
              <w:rPr>
                <w:noProof/>
                <w:webHidden/>
              </w:rPr>
              <w:fldChar w:fldCharType="end"/>
            </w:r>
          </w:hyperlink>
        </w:p>
        <w:p w14:paraId="27982CDD" w14:textId="27055833"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18" w:history="1">
            <w:r w:rsidRPr="00007093">
              <w:rPr>
                <w:rStyle w:val="Hyperlink"/>
                <w:noProof/>
              </w:rPr>
              <w:t>What guides our work: Guiding Principles</w:t>
            </w:r>
            <w:r>
              <w:rPr>
                <w:noProof/>
                <w:webHidden/>
              </w:rPr>
              <w:tab/>
            </w:r>
            <w:r>
              <w:rPr>
                <w:noProof/>
                <w:webHidden/>
              </w:rPr>
              <w:fldChar w:fldCharType="begin"/>
            </w:r>
            <w:r>
              <w:rPr>
                <w:noProof/>
                <w:webHidden/>
              </w:rPr>
              <w:instrText xml:space="preserve"> PAGEREF _Toc239931018 \h </w:instrText>
            </w:r>
            <w:r>
              <w:rPr>
                <w:noProof/>
                <w:webHidden/>
              </w:rPr>
            </w:r>
            <w:r>
              <w:rPr>
                <w:noProof/>
                <w:webHidden/>
              </w:rPr>
              <w:fldChar w:fldCharType="separate"/>
            </w:r>
            <w:r>
              <w:rPr>
                <w:noProof/>
                <w:webHidden/>
              </w:rPr>
              <w:t>19</w:t>
            </w:r>
            <w:r>
              <w:rPr>
                <w:noProof/>
                <w:webHidden/>
              </w:rPr>
              <w:fldChar w:fldCharType="end"/>
            </w:r>
          </w:hyperlink>
        </w:p>
        <w:p w14:paraId="13FDF1CE" w14:textId="38FD8ABC"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19" w:history="1">
            <w:r w:rsidRPr="00007093">
              <w:rPr>
                <w:rStyle w:val="Hyperlink"/>
                <w:noProof/>
              </w:rPr>
              <w:t>Self-Determination</w:t>
            </w:r>
            <w:r>
              <w:rPr>
                <w:noProof/>
                <w:webHidden/>
              </w:rPr>
              <w:tab/>
            </w:r>
            <w:r>
              <w:rPr>
                <w:noProof/>
                <w:webHidden/>
              </w:rPr>
              <w:fldChar w:fldCharType="begin"/>
            </w:r>
            <w:r>
              <w:rPr>
                <w:noProof/>
                <w:webHidden/>
              </w:rPr>
              <w:instrText xml:space="preserve"> PAGEREF _Toc239931019 \h </w:instrText>
            </w:r>
            <w:r>
              <w:rPr>
                <w:noProof/>
                <w:webHidden/>
              </w:rPr>
            </w:r>
            <w:r>
              <w:rPr>
                <w:noProof/>
                <w:webHidden/>
              </w:rPr>
              <w:fldChar w:fldCharType="separate"/>
            </w:r>
            <w:r>
              <w:rPr>
                <w:noProof/>
                <w:webHidden/>
              </w:rPr>
              <w:t>19</w:t>
            </w:r>
            <w:r>
              <w:rPr>
                <w:noProof/>
                <w:webHidden/>
              </w:rPr>
              <w:fldChar w:fldCharType="end"/>
            </w:r>
          </w:hyperlink>
        </w:p>
        <w:p w14:paraId="1032254F" w14:textId="743813BA"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20" w:history="1">
            <w:r w:rsidRPr="00007093">
              <w:rPr>
                <w:rStyle w:val="Hyperlink"/>
                <w:noProof/>
              </w:rPr>
              <w:t>Advancing Systemic Transformation</w:t>
            </w:r>
            <w:r>
              <w:rPr>
                <w:noProof/>
                <w:webHidden/>
              </w:rPr>
              <w:tab/>
            </w:r>
            <w:r>
              <w:rPr>
                <w:noProof/>
                <w:webHidden/>
              </w:rPr>
              <w:fldChar w:fldCharType="begin"/>
            </w:r>
            <w:r>
              <w:rPr>
                <w:noProof/>
                <w:webHidden/>
              </w:rPr>
              <w:instrText xml:space="preserve"> PAGEREF _Toc239931020 \h </w:instrText>
            </w:r>
            <w:r>
              <w:rPr>
                <w:noProof/>
                <w:webHidden/>
              </w:rPr>
            </w:r>
            <w:r>
              <w:rPr>
                <w:noProof/>
                <w:webHidden/>
              </w:rPr>
              <w:fldChar w:fldCharType="separate"/>
            </w:r>
            <w:r>
              <w:rPr>
                <w:noProof/>
                <w:webHidden/>
              </w:rPr>
              <w:t>20</w:t>
            </w:r>
            <w:r>
              <w:rPr>
                <w:noProof/>
                <w:webHidden/>
              </w:rPr>
              <w:fldChar w:fldCharType="end"/>
            </w:r>
          </w:hyperlink>
        </w:p>
        <w:p w14:paraId="6ECE0763" w14:textId="5DE36366"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21" w:history="1">
            <w:r w:rsidRPr="00007093">
              <w:rPr>
                <w:rStyle w:val="Hyperlink"/>
                <w:noProof/>
              </w:rPr>
              <w:t>Cultural Safety and Responsiveness</w:t>
            </w:r>
            <w:r>
              <w:rPr>
                <w:noProof/>
                <w:webHidden/>
              </w:rPr>
              <w:tab/>
            </w:r>
            <w:r>
              <w:rPr>
                <w:noProof/>
                <w:webHidden/>
              </w:rPr>
              <w:fldChar w:fldCharType="begin"/>
            </w:r>
            <w:r>
              <w:rPr>
                <w:noProof/>
                <w:webHidden/>
              </w:rPr>
              <w:instrText xml:space="preserve"> PAGEREF _Toc239931021 \h </w:instrText>
            </w:r>
            <w:r>
              <w:rPr>
                <w:noProof/>
                <w:webHidden/>
              </w:rPr>
            </w:r>
            <w:r>
              <w:rPr>
                <w:noProof/>
                <w:webHidden/>
              </w:rPr>
              <w:fldChar w:fldCharType="separate"/>
            </w:r>
            <w:r>
              <w:rPr>
                <w:noProof/>
                <w:webHidden/>
              </w:rPr>
              <w:t>20</w:t>
            </w:r>
            <w:r>
              <w:rPr>
                <w:noProof/>
                <w:webHidden/>
              </w:rPr>
              <w:fldChar w:fldCharType="end"/>
            </w:r>
          </w:hyperlink>
        </w:p>
        <w:p w14:paraId="70FE49F0" w14:textId="17C54456"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22" w:history="1">
            <w:r w:rsidRPr="00007093">
              <w:rPr>
                <w:rStyle w:val="Hyperlink"/>
                <w:noProof/>
              </w:rPr>
              <w:t>Key Priorities and Supporting Actions</w:t>
            </w:r>
            <w:r>
              <w:rPr>
                <w:noProof/>
                <w:webHidden/>
              </w:rPr>
              <w:tab/>
            </w:r>
            <w:r>
              <w:rPr>
                <w:noProof/>
                <w:webHidden/>
              </w:rPr>
              <w:fldChar w:fldCharType="begin"/>
            </w:r>
            <w:r>
              <w:rPr>
                <w:noProof/>
                <w:webHidden/>
              </w:rPr>
              <w:instrText xml:space="preserve"> PAGEREF _Toc239931022 \h </w:instrText>
            </w:r>
            <w:r>
              <w:rPr>
                <w:noProof/>
                <w:webHidden/>
              </w:rPr>
            </w:r>
            <w:r>
              <w:rPr>
                <w:noProof/>
                <w:webHidden/>
              </w:rPr>
              <w:fldChar w:fldCharType="separate"/>
            </w:r>
            <w:r>
              <w:rPr>
                <w:noProof/>
                <w:webHidden/>
              </w:rPr>
              <w:t>20</w:t>
            </w:r>
            <w:r>
              <w:rPr>
                <w:noProof/>
                <w:webHidden/>
              </w:rPr>
              <w:fldChar w:fldCharType="end"/>
            </w:r>
          </w:hyperlink>
        </w:p>
        <w:p w14:paraId="66676875" w14:textId="4D3AD390"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23" w:history="1">
            <w:r w:rsidRPr="00007093">
              <w:rPr>
                <w:rStyle w:val="Hyperlink"/>
                <w:noProof/>
              </w:rPr>
              <w:t>1. Workforce Capacity and Capability</w:t>
            </w:r>
            <w:r>
              <w:rPr>
                <w:noProof/>
                <w:webHidden/>
              </w:rPr>
              <w:tab/>
            </w:r>
            <w:r>
              <w:rPr>
                <w:noProof/>
                <w:webHidden/>
              </w:rPr>
              <w:fldChar w:fldCharType="begin"/>
            </w:r>
            <w:r>
              <w:rPr>
                <w:noProof/>
                <w:webHidden/>
              </w:rPr>
              <w:instrText xml:space="preserve"> PAGEREF _Toc239931023 \h </w:instrText>
            </w:r>
            <w:r>
              <w:rPr>
                <w:noProof/>
                <w:webHidden/>
              </w:rPr>
            </w:r>
            <w:r>
              <w:rPr>
                <w:noProof/>
                <w:webHidden/>
              </w:rPr>
              <w:fldChar w:fldCharType="separate"/>
            </w:r>
            <w:r>
              <w:rPr>
                <w:noProof/>
                <w:webHidden/>
              </w:rPr>
              <w:t>21</w:t>
            </w:r>
            <w:r>
              <w:rPr>
                <w:noProof/>
                <w:webHidden/>
              </w:rPr>
              <w:fldChar w:fldCharType="end"/>
            </w:r>
          </w:hyperlink>
        </w:p>
        <w:p w14:paraId="281F3C7A" w14:textId="0EF0E116"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24" w:history="1">
            <w:r w:rsidRPr="00007093">
              <w:rPr>
                <w:rStyle w:val="Hyperlink"/>
                <w:noProof/>
              </w:rPr>
              <w:t>2. First Nations Leadership and Partnership</w:t>
            </w:r>
            <w:r>
              <w:rPr>
                <w:noProof/>
                <w:webHidden/>
              </w:rPr>
              <w:tab/>
            </w:r>
            <w:r>
              <w:rPr>
                <w:noProof/>
                <w:webHidden/>
              </w:rPr>
              <w:fldChar w:fldCharType="begin"/>
            </w:r>
            <w:r>
              <w:rPr>
                <w:noProof/>
                <w:webHidden/>
              </w:rPr>
              <w:instrText xml:space="preserve"> PAGEREF _Toc239931024 \h </w:instrText>
            </w:r>
            <w:r>
              <w:rPr>
                <w:noProof/>
                <w:webHidden/>
              </w:rPr>
            </w:r>
            <w:r>
              <w:rPr>
                <w:noProof/>
                <w:webHidden/>
              </w:rPr>
              <w:fldChar w:fldCharType="separate"/>
            </w:r>
            <w:r>
              <w:rPr>
                <w:noProof/>
                <w:webHidden/>
              </w:rPr>
              <w:t>22</w:t>
            </w:r>
            <w:r>
              <w:rPr>
                <w:noProof/>
                <w:webHidden/>
              </w:rPr>
              <w:fldChar w:fldCharType="end"/>
            </w:r>
          </w:hyperlink>
        </w:p>
        <w:p w14:paraId="515FE458" w14:textId="42B23A7C"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25" w:history="1">
            <w:r w:rsidRPr="00007093">
              <w:rPr>
                <w:rStyle w:val="Hyperlink"/>
                <w:noProof/>
              </w:rPr>
              <w:t>3. First Nations Languages</w:t>
            </w:r>
            <w:r>
              <w:rPr>
                <w:noProof/>
                <w:webHidden/>
              </w:rPr>
              <w:tab/>
            </w:r>
            <w:r>
              <w:rPr>
                <w:noProof/>
                <w:webHidden/>
              </w:rPr>
              <w:fldChar w:fldCharType="begin"/>
            </w:r>
            <w:r>
              <w:rPr>
                <w:noProof/>
                <w:webHidden/>
              </w:rPr>
              <w:instrText xml:space="preserve"> PAGEREF _Toc239931025 \h </w:instrText>
            </w:r>
            <w:r>
              <w:rPr>
                <w:noProof/>
                <w:webHidden/>
              </w:rPr>
            </w:r>
            <w:r>
              <w:rPr>
                <w:noProof/>
                <w:webHidden/>
              </w:rPr>
              <w:fldChar w:fldCharType="separate"/>
            </w:r>
            <w:r>
              <w:rPr>
                <w:noProof/>
                <w:webHidden/>
              </w:rPr>
              <w:t>22</w:t>
            </w:r>
            <w:r>
              <w:rPr>
                <w:noProof/>
                <w:webHidden/>
              </w:rPr>
              <w:fldChar w:fldCharType="end"/>
            </w:r>
          </w:hyperlink>
        </w:p>
        <w:p w14:paraId="66C7DD82" w14:textId="5B1C3A33"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26" w:history="1">
            <w:r w:rsidRPr="00007093">
              <w:rPr>
                <w:rStyle w:val="Hyperlink"/>
                <w:noProof/>
              </w:rPr>
              <w:t>4. Curriculum and Teacher Practice</w:t>
            </w:r>
            <w:r>
              <w:rPr>
                <w:noProof/>
                <w:webHidden/>
              </w:rPr>
              <w:tab/>
            </w:r>
            <w:r>
              <w:rPr>
                <w:noProof/>
                <w:webHidden/>
              </w:rPr>
              <w:fldChar w:fldCharType="begin"/>
            </w:r>
            <w:r>
              <w:rPr>
                <w:noProof/>
                <w:webHidden/>
              </w:rPr>
              <w:instrText xml:space="preserve"> PAGEREF _Toc239931026 \h </w:instrText>
            </w:r>
            <w:r>
              <w:rPr>
                <w:noProof/>
                <w:webHidden/>
              </w:rPr>
            </w:r>
            <w:r>
              <w:rPr>
                <w:noProof/>
                <w:webHidden/>
              </w:rPr>
              <w:fldChar w:fldCharType="separate"/>
            </w:r>
            <w:r>
              <w:rPr>
                <w:noProof/>
                <w:webHidden/>
              </w:rPr>
              <w:t>23</w:t>
            </w:r>
            <w:r>
              <w:rPr>
                <w:noProof/>
                <w:webHidden/>
              </w:rPr>
              <w:fldChar w:fldCharType="end"/>
            </w:r>
          </w:hyperlink>
        </w:p>
        <w:p w14:paraId="1C89A064" w14:textId="26BFC3D5"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27" w:history="1">
            <w:r w:rsidRPr="00007093">
              <w:rPr>
                <w:rStyle w:val="Hyperlink"/>
                <w:noProof/>
              </w:rPr>
              <w:t>5. Learner Engagement, Participation and Voice</w:t>
            </w:r>
            <w:r>
              <w:rPr>
                <w:noProof/>
                <w:webHidden/>
              </w:rPr>
              <w:tab/>
            </w:r>
            <w:r>
              <w:rPr>
                <w:noProof/>
                <w:webHidden/>
              </w:rPr>
              <w:fldChar w:fldCharType="begin"/>
            </w:r>
            <w:r>
              <w:rPr>
                <w:noProof/>
                <w:webHidden/>
              </w:rPr>
              <w:instrText xml:space="preserve"> PAGEREF _Toc239931027 \h </w:instrText>
            </w:r>
            <w:r>
              <w:rPr>
                <w:noProof/>
                <w:webHidden/>
              </w:rPr>
            </w:r>
            <w:r>
              <w:rPr>
                <w:noProof/>
                <w:webHidden/>
              </w:rPr>
              <w:fldChar w:fldCharType="separate"/>
            </w:r>
            <w:r>
              <w:rPr>
                <w:noProof/>
                <w:webHidden/>
              </w:rPr>
              <w:t>24</w:t>
            </w:r>
            <w:r>
              <w:rPr>
                <w:noProof/>
                <w:webHidden/>
              </w:rPr>
              <w:fldChar w:fldCharType="end"/>
            </w:r>
          </w:hyperlink>
        </w:p>
        <w:p w14:paraId="66DADFD6" w14:textId="1AFE6EF3"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28" w:history="1">
            <w:r w:rsidRPr="00007093">
              <w:rPr>
                <w:rStyle w:val="Hyperlink"/>
                <w:noProof/>
              </w:rPr>
              <w:t>6. Transitions and Pathways</w:t>
            </w:r>
            <w:r>
              <w:rPr>
                <w:noProof/>
                <w:webHidden/>
              </w:rPr>
              <w:tab/>
            </w:r>
            <w:r>
              <w:rPr>
                <w:noProof/>
                <w:webHidden/>
              </w:rPr>
              <w:fldChar w:fldCharType="begin"/>
            </w:r>
            <w:r>
              <w:rPr>
                <w:noProof/>
                <w:webHidden/>
              </w:rPr>
              <w:instrText xml:space="preserve"> PAGEREF _Toc239931028 \h </w:instrText>
            </w:r>
            <w:r>
              <w:rPr>
                <w:noProof/>
                <w:webHidden/>
              </w:rPr>
            </w:r>
            <w:r>
              <w:rPr>
                <w:noProof/>
                <w:webHidden/>
              </w:rPr>
              <w:fldChar w:fldCharType="separate"/>
            </w:r>
            <w:r>
              <w:rPr>
                <w:noProof/>
                <w:webHidden/>
              </w:rPr>
              <w:t>25</w:t>
            </w:r>
            <w:r>
              <w:rPr>
                <w:noProof/>
                <w:webHidden/>
              </w:rPr>
              <w:fldChar w:fldCharType="end"/>
            </w:r>
          </w:hyperlink>
        </w:p>
        <w:p w14:paraId="75CA07D4" w14:textId="657CB46A"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29" w:history="1">
            <w:r w:rsidRPr="00007093">
              <w:rPr>
                <w:rStyle w:val="Hyperlink"/>
                <w:noProof/>
              </w:rPr>
              <w:t>Implementation Approach</w:t>
            </w:r>
            <w:r>
              <w:rPr>
                <w:noProof/>
                <w:webHidden/>
              </w:rPr>
              <w:tab/>
            </w:r>
            <w:r>
              <w:rPr>
                <w:noProof/>
                <w:webHidden/>
              </w:rPr>
              <w:fldChar w:fldCharType="begin"/>
            </w:r>
            <w:r>
              <w:rPr>
                <w:noProof/>
                <w:webHidden/>
              </w:rPr>
              <w:instrText xml:space="preserve"> PAGEREF _Toc239931029 \h </w:instrText>
            </w:r>
            <w:r>
              <w:rPr>
                <w:noProof/>
                <w:webHidden/>
              </w:rPr>
            </w:r>
            <w:r>
              <w:rPr>
                <w:noProof/>
                <w:webHidden/>
              </w:rPr>
              <w:fldChar w:fldCharType="separate"/>
            </w:r>
            <w:r>
              <w:rPr>
                <w:noProof/>
                <w:webHidden/>
              </w:rPr>
              <w:t>25</w:t>
            </w:r>
            <w:r>
              <w:rPr>
                <w:noProof/>
                <w:webHidden/>
              </w:rPr>
              <w:fldChar w:fldCharType="end"/>
            </w:r>
          </w:hyperlink>
        </w:p>
        <w:p w14:paraId="629B5037" w14:textId="48EB9234"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30" w:history="1">
            <w:r w:rsidRPr="00007093">
              <w:rPr>
                <w:rStyle w:val="Hyperlink"/>
                <w:noProof/>
              </w:rPr>
              <w:t>Governance and Monitoring</w:t>
            </w:r>
            <w:r>
              <w:rPr>
                <w:noProof/>
                <w:webHidden/>
              </w:rPr>
              <w:tab/>
            </w:r>
            <w:r>
              <w:rPr>
                <w:noProof/>
                <w:webHidden/>
              </w:rPr>
              <w:fldChar w:fldCharType="begin"/>
            </w:r>
            <w:r>
              <w:rPr>
                <w:noProof/>
                <w:webHidden/>
              </w:rPr>
              <w:instrText xml:space="preserve"> PAGEREF _Toc239931030 \h </w:instrText>
            </w:r>
            <w:r>
              <w:rPr>
                <w:noProof/>
                <w:webHidden/>
              </w:rPr>
            </w:r>
            <w:r>
              <w:rPr>
                <w:noProof/>
                <w:webHidden/>
              </w:rPr>
              <w:fldChar w:fldCharType="separate"/>
            </w:r>
            <w:r>
              <w:rPr>
                <w:noProof/>
                <w:webHidden/>
              </w:rPr>
              <w:t>26</w:t>
            </w:r>
            <w:r>
              <w:rPr>
                <w:noProof/>
                <w:webHidden/>
              </w:rPr>
              <w:fldChar w:fldCharType="end"/>
            </w:r>
          </w:hyperlink>
        </w:p>
        <w:p w14:paraId="7B614616" w14:textId="1D80796F"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31" w:history="1">
            <w:r w:rsidRPr="00007093">
              <w:rPr>
                <w:rStyle w:val="Hyperlink"/>
                <w:noProof/>
              </w:rPr>
              <w:t>Key elements of governance include:</w:t>
            </w:r>
            <w:r>
              <w:rPr>
                <w:noProof/>
                <w:webHidden/>
              </w:rPr>
              <w:tab/>
            </w:r>
            <w:r>
              <w:rPr>
                <w:noProof/>
                <w:webHidden/>
              </w:rPr>
              <w:fldChar w:fldCharType="begin"/>
            </w:r>
            <w:r>
              <w:rPr>
                <w:noProof/>
                <w:webHidden/>
              </w:rPr>
              <w:instrText xml:space="preserve"> PAGEREF _Toc239931031 \h </w:instrText>
            </w:r>
            <w:r>
              <w:rPr>
                <w:noProof/>
                <w:webHidden/>
              </w:rPr>
            </w:r>
            <w:r>
              <w:rPr>
                <w:noProof/>
                <w:webHidden/>
              </w:rPr>
              <w:fldChar w:fldCharType="separate"/>
            </w:r>
            <w:r>
              <w:rPr>
                <w:noProof/>
                <w:webHidden/>
              </w:rPr>
              <w:t>26</w:t>
            </w:r>
            <w:r>
              <w:rPr>
                <w:noProof/>
                <w:webHidden/>
              </w:rPr>
              <w:fldChar w:fldCharType="end"/>
            </w:r>
          </w:hyperlink>
        </w:p>
        <w:p w14:paraId="5DCAC0B6" w14:textId="1AF89CE3"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32" w:history="1">
            <w:r w:rsidRPr="00007093">
              <w:rPr>
                <w:rStyle w:val="Hyperlink"/>
                <w:noProof/>
              </w:rPr>
              <w:t>Marrung Central Governance Committee:</w:t>
            </w:r>
            <w:r>
              <w:rPr>
                <w:noProof/>
                <w:webHidden/>
              </w:rPr>
              <w:tab/>
            </w:r>
            <w:r>
              <w:rPr>
                <w:noProof/>
                <w:webHidden/>
              </w:rPr>
              <w:fldChar w:fldCharType="begin"/>
            </w:r>
            <w:r>
              <w:rPr>
                <w:noProof/>
                <w:webHidden/>
              </w:rPr>
              <w:instrText xml:space="preserve"> PAGEREF _Toc239931032 \h </w:instrText>
            </w:r>
            <w:r>
              <w:rPr>
                <w:noProof/>
                <w:webHidden/>
              </w:rPr>
            </w:r>
            <w:r>
              <w:rPr>
                <w:noProof/>
                <w:webHidden/>
              </w:rPr>
              <w:fldChar w:fldCharType="separate"/>
            </w:r>
            <w:r>
              <w:rPr>
                <w:noProof/>
                <w:webHidden/>
              </w:rPr>
              <w:t>26</w:t>
            </w:r>
            <w:r>
              <w:rPr>
                <w:noProof/>
                <w:webHidden/>
              </w:rPr>
              <w:fldChar w:fldCharType="end"/>
            </w:r>
          </w:hyperlink>
        </w:p>
        <w:p w14:paraId="464FF6BC" w14:textId="087DD189"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33" w:history="1">
            <w:r w:rsidRPr="00007093">
              <w:rPr>
                <w:rStyle w:val="Hyperlink"/>
                <w:noProof/>
              </w:rPr>
              <w:t>Marrung Regional Partnership Forums:</w:t>
            </w:r>
            <w:r>
              <w:rPr>
                <w:noProof/>
                <w:webHidden/>
              </w:rPr>
              <w:tab/>
            </w:r>
            <w:r>
              <w:rPr>
                <w:noProof/>
                <w:webHidden/>
              </w:rPr>
              <w:fldChar w:fldCharType="begin"/>
            </w:r>
            <w:r>
              <w:rPr>
                <w:noProof/>
                <w:webHidden/>
              </w:rPr>
              <w:instrText xml:space="preserve"> PAGEREF _Toc239931033 \h </w:instrText>
            </w:r>
            <w:r>
              <w:rPr>
                <w:noProof/>
                <w:webHidden/>
              </w:rPr>
            </w:r>
            <w:r>
              <w:rPr>
                <w:noProof/>
                <w:webHidden/>
              </w:rPr>
              <w:fldChar w:fldCharType="separate"/>
            </w:r>
            <w:r>
              <w:rPr>
                <w:noProof/>
                <w:webHidden/>
              </w:rPr>
              <w:t>26</w:t>
            </w:r>
            <w:r>
              <w:rPr>
                <w:noProof/>
                <w:webHidden/>
              </w:rPr>
              <w:fldChar w:fldCharType="end"/>
            </w:r>
          </w:hyperlink>
        </w:p>
        <w:p w14:paraId="04B9645D" w14:textId="60DB97C0"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34" w:history="1">
            <w:r w:rsidRPr="00007093">
              <w:rPr>
                <w:rStyle w:val="Hyperlink"/>
                <w:noProof/>
              </w:rPr>
              <w:t>Koorie Education Roundtables:</w:t>
            </w:r>
            <w:r>
              <w:rPr>
                <w:noProof/>
                <w:webHidden/>
              </w:rPr>
              <w:tab/>
            </w:r>
            <w:r>
              <w:rPr>
                <w:noProof/>
                <w:webHidden/>
              </w:rPr>
              <w:fldChar w:fldCharType="begin"/>
            </w:r>
            <w:r>
              <w:rPr>
                <w:noProof/>
                <w:webHidden/>
              </w:rPr>
              <w:instrText xml:space="preserve"> PAGEREF _Toc239931034 \h </w:instrText>
            </w:r>
            <w:r>
              <w:rPr>
                <w:noProof/>
                <w:webHidden/>
              </w:rPr>
            </w:r>
            <w:r>
              <w:rPr>
                <w:noProof/>
                <w:webHidden/>
              </w:rPr>
              <w:fldChar w:fldCharType="separate"/>
            </w:r>
            <w:r>
              <w:rPr>
                <w:noProof/>
                <w:webHidden/>
              </w:rPr>
              <w:t>26</w:t>
            </w:r>
            <w:r>
              <w:rPr>
                <w:noProof/>
                <w:webHidden/>
              </w:rPr>
              <w:fldChar w:fldCharType="end"/>
            </w:r>
          </w:hyperlink>
        </w:p>
        <w:p w14:paraId="574C03FF" w14:textId="7A704825"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35" w:history="1">
            <w:r w:rsidRPr="00007093">
              <w:rPr>
                <w:rStyle w:val="Hyperlink"/>
                <w:noProof/>
              </w:rPr>
              <w:t>Marrung Ministerial Roundtable:</w:t>
            </w:r>
            <w:r>
              <w:rPr>
                <w:noProof/>
                <w:webHidden/>
              </w:rPr>
              <w:tab/>
            </w:r>
            <w:r>
              <w:rPr>
                <w:noProof/>
                <w:webHidden/>
              </w:rPr>
              <w:fldChar w:fldCharType="begin"/>
            </w:r>
            <w:r>
              <w:rPr>
                <w:noProof/>
                <w:webHidden/>
              </w:rPr>
              <w:instrText xml:space="preserve"> PAGEREF _Toc239931035 \h </w:instrText>
            </w:r>
            <w:r>
              <w:rPr>
                <w:noProof/>
                <w:webHidden/>
              </w:rPr>
            </w:r>
            <w:r>
              <w:rPr>
                <w:noProof/>
                <w:webHidden/>
              </w:rPr>
              <w:fldChar w:fldCharType="separate"/>
            </w:r>
            <w:r>
              <w:rPr>
                <w:noProof/>
                <w:webHidden/>
              </w:rPr>
              <w:t>26</w:t>
            </w:r>
            <w:r>
              <w:rPr>
                <w:noProof/>
                <w:webHidden/>
              </w:rPr>
              <w:fldChar w:fldCharType="end"/>
            </w:r>
          </w:hyperlink>
        </w:p>
        <w:p w14:paraId="1A424107" w14:textId="70CED2F2"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36" w:history="1">
            <w:r w:rsidRPr="00007093">
              <w:rPr>
                <w:rStyle w:val="Hyperlink"/>
                <w:noProof/>
              </w:rPr>
              <w:t>Koorie Skills Coordination Forum:</w:t>
            </w:r>
            <w:r>
              <w:rPr>
                <w:noProof/>
                <w:webHidden/>
              </w:rPr>
              <w:tab/>
            </w:r>
            <w:r>
              <w:rPr>
                <w:noProof/>
                <w:webHidden/>
              </w:rPr>
              <w:fldChar w:fldCharType="begin"/>
            </w:r>
            <w:r>
              <w:rPr>
                <w:noProof/>
                <w:webHidden/>
              </w:rPr>
              <w:instrText xml:space="preserve"> PAGEREF _Toc239931036 \h </w:instrText>
            </w:r>
            <w:r>
              <w:rPr>
                <w:noProof/>
                <w:webHidden/>
              </w:rPr>
            </w:r>
            <w:r>
              <w:rPr>
                <w:noProof/>
                <w:webHidden/>
              </w:rPr>
              <w:fldChar w:fldCharType="separate"/>
            </w:r>
            <w:r>
              <w:rPr>
                <w:noProof/>
                <w:webHidden/>
              </w:rPr>
              <w:t>26</w:t>
            </w:r>
            <w:r>
              <w:rPr>
                <w:noProof/>
                <w:webHidden/>
              </w:rPr>
              <w:fldChar w:fldCharType="end"/>
            </w:r>
          </w:hyperlink>
        </w:p>
        <w:p w14:paraId="7AC578E4" w14:textId="39F26F4F"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37" w:history="1">
            <w:r w:rsidRPr="00007093">
              <w:rPr>
                <w:rStyle w:val="Hyperlink"/>
                <w:noProof/>
              </w:rPr>
              <w:t>Marrung Project Board:</w:t>
            </w:r>
            <w:r>
              <w:rPr>
                <w:noProof/>
                <w:webHidden/>
              </w:rPr>
              <w:tab/>
            </w:r>
            <w:r>
              <w:rPr>
                <w:noProof/>
                <w:webHidden/>
              </w:rPr>
              <w:fldChar w:fldCharType="begin"/>
            </w:r>
            <w:r>
              <w:rPr>
                <w:noProof/>
                <w:webHidden/>
              </w:rPr>
              <w:instrText xml:space="preserve"> PAGEREF _Toc239931037 \h </w:instrText>
            </w:r>
            <w:r>
              <w:rPr>
                <w:noProof/>
                <w:webHidden/>
              </w:rPr>
            </w:r>
            <w:r>
              <w:rPr>
                <w:noProof/>
                <w:webHidden/>
              </w:rPr>
              <w:fldChar w:fldCharType="separate"/>
            </w:r>
            <w:r>
              <w:rPr>
                <w:noProof/>
                <w:webHidden/>
              </w:rPr>
              <w:t>27</w:t>
            </w:r>
            <w:r>
              <w:rPr>
                <w:noProof/>
                <w:webHidden/>
              </w:rPr>
              <w:fldChar w:fldCharType="end"/>
            </w:r>
          </w:hyperlink>
        </w:p>
        <w:p w14:paraId="04BBAA62" w14:textId="6885C250"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38" w:history="1">
            <w:r w:rsidRPr="00007093">
              <w:rPr>
                <w:rStyle w:val="Hyperlink"/>
                <w:noProof/>
              </w:rPr>
              <w:t>Marrung Central Governance Committee</w:t>
            </w:r>
            <w:r>
              <w:rPr>
                <w:noProof/>
                <w:webHidden/>
              </w:rPr>
              <w:tab/>
            </w:r>
            <w:r>
              <w:rPr>
                <w:noProof/>
                <w:webHidden/>
              </w:rPr>
              <w:fldChar w:fldCharType="begin"/>
            </w:r>
            <w:r>
              <w:rPr>
                <w:noProof/>
                <w:webHidden/>
              </w:rPr>
              <w:instrText xml:space="preserve"> PAGEREF _Toc239931038 \h </w:instrText>
            </w:r>
            <w:r>
              <w:rPr>
                <w:noProof/>
                <w:webHidden/>
              </w:rPr>
            </w:r>
            <w:r>
              <w:rPr>
                <w:noProof/>
                <w:webHidden/>
              </w:rPr>
              <w:fldChar w:fldCharType="separate"/>
            </w:r>
            <w:r>
              <w:rPr>
                <w:noProof/>
                <w:webHidden/>
              </w:rPr>
              <w:t>27</w:t>
            </w:r>
            <w:r>
              <w:rPr>
                <w:noProof/>
                <w:webHidden/>
              </w:rPr>
              <w:fldChar w:fldCharType="end"/>
            </w:r>
          </w:hyperlink>
        </w:p>
        <w:p w14:paraId="2E842647" w14:textId="35603B40"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39" w:history="1">
            <w:r w:rsidRPr="00007093">
              <w:rPr>
                <w:rStyle w:val="Hyperlink"/>
                <w:noProof/>
              </w:rPr>
              <w:t>Koorie Education Roundtables</w:t>
            </w:r>
            <w:r>
              <w:rPr>
                <w:noProof/>
                <w:webHidden/>
              </w:rPr>
              <w:tab/>
            </w:r>
            <w:r>
              <w:rPr>
                <w:noProof/>
                <w:webHidden/>
              </w:rPr>
              <w:fldChar w:fldCharType="begin"/>
            </w:r>
            <w:r>
              <w:rPr>
                <w:noProof/>
                <w:webHidden/>
              </w:rPr>
              <w:instrText xml:space="preserve"> PAGEREF _Toc239931039 \h </w:instrText>
            </w:r>
            <w:r>
              <w:rPr>
                <w:noProof/>
                <w:webHidden/>
              </w:rPr>
            </w:r>
            <w:r>
              <w:rPr>
                <w:noProof/>
                <w:webHidden/>
              </w:rPr>
              <w:fldChar w:fldCharType="separate"/>
            </w:r>
            <w:r>
              <w:rPr>
                <w:noProof/>
                <w:webHidden/>
              </w:rPr>
              <w:t>27</w:t>
            </w:r>
            <w:r>
              <w:rPr>
                <w:noProof/>
                <w:webHidden/>
              </w:rPr>
              <w:fldChar w:fldCharType="end"/>
            </w:r>
          </w:hyperlink>
        </w:p>
        <w:p w14:paraId="1EBD3FDF" w14:textId="3EFB30F6"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40" w:history="1">
            <w:r w:rsidRPr="00007093">
              <w:rPr>
                <w:rStyle w:val="Hyperlink"/>
                <w:noProof/>
              </w:rPr>
              <w:t>Marrung Regional Partnership Forums</w:t>
            </w:r>
            <w:r>
              <w:rPr>
                <w:noProof/>
                <w:webHidden/>
              </w:rPr>
              <w:tab/>
            </w:r>
            <w:r>
              <w:rPr>
                <w:noProof/>
                <w:webHidden/>
              </w:rPr>
              <w:fldChar w:fldCharType="begin"/>
            </w:r>
            <w:r>
              <w:rPr>
                <w:noProof/>
                <w:webHidden/>
              </w:rPr>
              <w:instrText xml:space="preserve"> PAGEREF _Toc239931040 \h </w:instrText>
            </w:r>
            <w:r>
              <w:rPr>
                <w:noProof/>
                <w:webHidden/>
              </w:rPr>
            </w:r>
            <w:r>
              <w:rPr>
                <w:noProof/>
                <w:webHidden/>
              </w:rPr>
              <w:fldChar w:fldCharType="separate"/>
            </w:r>
            <w:r>
              <w:rPr>
                <w:noProof/>
                <w:webHidden/>
              </w:rPr>
              <w:t>27</w:t>
            </w:r>
            <w:r>
              <w:rPr>
                <w:noProof/>
                <w:webHidden/>
              </w:rPr>
              <w:fldChar w:fldCharType="end"/>
            </w:r>
          </w:hyperlink>
        </w:p>
        <w:p w14:paraId="5D480BD3" w14:textId="116A3FC7"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41" w:history="1">
            <w:r w:rsidRPr="00007093">
              <w:rPr>
                <w:rStyle w:val="Hyperlink"/>
                <w:noProof/>
              </w:rPr>
              <w:t>Marrung Project Board</w:t>
            </w:r>
            <w:r>
              <w:rPr>
                <w:noProof/>
                <w:webHidden/>
              </w:rPr>
              <w:tab/>
            </w:r>
            <w:r>
              <w:rPr>
                <w:noProof/>
                <w:webHidden/>
              </w:rPr>
              <w:fldChar w:fldCharType="begin"/>
            </w:r>
            <w:r>
              <w:rPr>
                <w:noProof/>
                <w:webHidden/>
              </w:rPr>
              <w:instrText xml:space="preserve"> PAGEREF _Toc239931041 \h </w:instrText>
            </w:r>
            <w:r>
              <w:rPr>
                <w:noProof/>
                <w:webHidden/>
              </w:rPr>
            </w:r>
            <w:r>
              <w:rPr>
                <w:noProof/>
                <w:webHidden/>
              </w:rPr>
              <w:fldChar w:fldCharType="separate"/>
            </w:r>
            <w:r>
              <w:rPr>
                <w:noProof/>
                <w:webHidden/>
              </w:rPr>
              <w:t>27</w:t>
            </w:r>
            <w:r>
              <w:rPr>
                <w:noProof/>
                <w:webHidden/>
              </w:rPr>
              <w:fldChar w:fldCharType="end"/>
            </w:r>
          </w:hyperlink>
        </w:p>
        <w:p w14:paraId="2FFA983D" w14:textId="66352BA7"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42" w:history="1">
            <w:r w:rsidRPr="00007093">
              <w:rPr>
                <w:rStyle w:val="Hyperlink"/>
                <w:noProof/>
              </w:rPr>
              <w:t>‘Marrung 2026–2036’ commits to working holistically</w:t>
            </w:r>
            <w:r>
              <w:rPr>
                <w:noProof/>
                <w:webHidden/>
              </w:rPr>
              <w:tab/>
            </w:r>
            <w:r>
              <w:rPr>
                <w:noProof/>
                <w:webHidden/>
              </w:rPr>
              <w:fldChar w:fldCharType="begin"/>
            </w:r>
            <w:r>
              <w:rPr>
                <w:noProof/>
                <w:webHidden/>
              </w:rPr>
              <w:instrText xml:space="preserve"> PAGEREF _Toc239931042 \h </w:instrText>
            </w:r>
            <w:r>
              <w:rPr>
                <w:noProof/>
                <w:webHidden/>
              </w:rPr>
            </w:r>
            <w:r>
              <w:rPr>
                <w:noProof/>
                <w:webHidden/>
              </w:rPr>
              <w:fldChar w:fldCharType="separate"/>
            </w:r>
            <w:r>
              <w:rPr>
                <w:noProof/>
                <w:webHidden/>
              </w:rPr>
              <w:t>28</w:t>
            </w:r>
            <w:r>
              <w:rPr>
                <w:noProof/>
                <w:webHidden/>
              </w:rPr>
              <w:fldChar w:fldCharType="end"/>
            </w:r>
          </w:hyperlink>
        </w:p>
        <w:p w14:paraId="3BAF15EE" w14:textId="2E5B1BFC"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43" w:history="1">
            <w:r w:rsidRPr="00007093">
              <w:rPr>
                <w:rStyle w:val="Hyperlink"/>
                <w:noProof/>
              </w:rPr>
              <w:t>Outcomes Monitoring Framework</w:t>
            </w:r>
            <w:r>
              <w:rPr>
                <w:noProof/>
                <w:webHidden/>
              </w:rPr>
              <w:tab/>
            </w:r>
            <w:r>
              <w:rPr>
                <w:noProof/>
                <w:webHidden/>
              </w:rPr>
              <w:fldChar w:fldCharType="begin"/>
            </w:r>
            <w:r>
              <w:rPr>
                <w:noProof/>
                <w:webHidden/>
              </w:rPr>
              <w:instrText xml:space="preserve"> PAGEREF _Toc239931043 \h </w:instrText>
            </w:r>
            <w:r>
              <w:rPr>
                <w:noProof/>
                <w:webHidden/>
              </w:rPr>
            </w:r>
            <w:r>
              <w:rPr>
                <w:noProof/>
                <w:webHidden/>
              </w:rPr>
              <w:fldChar w:fldCharType="separate"/>
            </w:r>
            <w:r>
              <w:rPr>
                <w:noProof/>
                <w:webHidden/>
              </w:rPr>
              <w:t>28</w:t>
            </w:r>
            <w:r>
              <w:rPr>
                <w:noProof/>
                <w:webHidden/>
              </w:rPr>
              <w:fldChar w:fldCharType="end"/>
            </w:r>
          </w:hyperlink>
        </w:p>
        <w:p w14:paraId="46E92706" w14:textId="4A13885D"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44" w:history="1">
            <w:r w:rsidRPr="00007093">
              <w:rPr>
                <w:rStyle w:val="Hyperlink"/>
                <w:noProof/>
              </w:rPr>
              <w:t>Outcomes Monitoring Framework</w:t>
            </w:r>
            <w:r>
              <w:rPr>
                <w:noProof/>
                <w:webHidden/>
              </w:rPr>
              <w:tab/>
            </w:r>
            <w:r>
              <w:rPr>
                <w:noProof/>
                <w:webHidden/>
              </w:rPr>
              <w:fldChar w:fldCharType="begin"/>
            </w:r>
            <w:r>
              <w:rPr>
                <w:noProof/>
                <w:webHidden/>
              </w:rPr>
              <w:instrText xml:space="preserve"> PAGEREF _Toc239931044 \h </w:instrText>
            </w:r>
            <w:r>
              <w:rPr>
                <w:noProof/>
                <w:webHidden/>
              </w:rPr>
            </w:r>
            <w:r>
              <w:rPr>
                <w:noProof/>
                <w:webHidden/>
              </w:rPr>
              <w:fldChar w:fldCharType="separate"/>
            </w:r>
            <w:r>
              <w:rPr>
                <w:noProof/>
                <w:webHidden/>
              </w:rPr>
              <w:t>28</w:t>
            </w:r>
            <w:r>
              <w:rPr>
                <w:noProof/>
                <w:webHidden/>
              </w:rPr>
              <w:fldChar w:fldCharType="end"/>
            </w:r>
          </w:hyperlink>
        </w:p>
        <w:p w14:paraId="798AE9AB" w14:textId="7D5377B0"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45" w:history="1">
            <w:r w:rsidRPr="00007093">
              <w:rPr>
                <w:rStyle w:val="Hyperlink"/>
                <w:noProof/>
              </w:rPr>
              <w:t>Quantitative indicators</w:t>
            </w:r>
            <w:r>
              <w:rPr>
                <w:noProof/>
                <w:webHidden/>
              </w:rPr>
              <w:tab/>
            </w:r>
            <w:r>
              <w:rPr>
                <w:noProof/>
                <w:webHidden/>
              </w:rPr>
              <w:fldChar w:fldCharType="begin"/>
            </w:r>
            <w:r>
              <w:rPr>
                <w:noProof/>
                <w:webHidden/>
              </w:rPr>
              <w:instrText xml:space="preserve"> PAGEREF _Toc239931045 \h </w:instrText>
            </w:r>
            <w:r>
              <w:rPr>
                <w:noProof/>
                <w:webHidden/>
              </w:rPr>
            </w:r>
            <w:r>
              <w:rPr>
                <w:noProof/>
                <w:webHidden/>
              </w:rPr>
              <w:fldChar w:fldCharType="separate"/>
            </w:r>
            <w:r>
              <w:rPr>
                <w:noProof/>
                <w:webHidden/>
              </w:rPr>
              <w:t>28</w:t>
            </w:r>
            <w:r>
              <w:rPr>
                <w:noProof/>
                <w:webHidden/>
              </w:rPr>
              <w:fldChar w:fldCharType="end"/>
            </w:r>
          </w:hyperlink>
        </w:p>
        <w:p w14:paraId="613332D0" w14:textId="1C1267B6"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46" w:history="1">
            <w:r w:rsidRPr="00007093">
              <w:rPr>
                <w:rStyle w:val="Hyperlink"/>
                <w:noProof/>
              </w:rPr>
              <w:t>Community-defined measures of success</w:t>
            </w:r>
            <w:r>
              <w:rPr>
                <w:noProof/>
                <w:webHidden/>
              </w:rPr>
              <w:tab/>
            </w:r>
            <w:r>
              <w:rPr>
                <w:noProof/>
                <w:webHidden/>
              </w:rPr>
              <w:fldChar w:fldCharType="begin"/>
            </w:r>
            <w:r>
              <w:rPr>
                <w:noProof/>
                <w:webHidden/>
              </w:rPr>
              <w:instrText xml:space="preserve"> PAGEREF _Toc239931046 \h </w:instrText>
            </w:r>
            <w:r>
              <w:rPr>
                <w:noProof/>
                <w:webHidden/>
              </w:rPr>
            </w:r>
            <w:r>
              <w:rPr>
                <w:noProof/>
                <w:webHidden/>
              </w:rPr>
              <w:fldChar w:fldCharType="separate"/>
            </w:r>
            <w:r>
              <w:rPr>
                <w:noProof/>
                <w:webHidden/>
              </w:rPr>
              <w:t>28</w:t>
            </w:r>
            <w:r>
              <w:rPr>
                <w:noProof/>
                <w:webHidden/>
              </w:rPr>
              <w:fldChar w:fldCharType="end"/>
            </w:r>
          </w:hyperlink>
        </w:p>
        <w:p w14:paraId="043152C6" w14:textId="62EBB811"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47" w:history="1">
            <w:r w:rsidRPr="00007093">
              <w:rPr>
                <w:rStyle w:val="Hyperlink"/>
                <w:noProof/>
              </w:rPr>
              <w:t>Relational Health Measures</w:t>
            </w:r>
            <w:r>
              <w:rPr>
                <w:noProof/>
                <w:webHidden/>
              </w:rPr>
              <w:tab/>
            </w:r>
            <w:r>
              <w:rPr>
                <w:noProof/>
                <w:webHidden/>
              </w:rPr>
              <w:fldChar w:fldCharType="begin"/>
            </w:r>
            <w:r>
              <w:rPr>
                <w:noProof/>
                <w:webHidden/>
              </w:rPr>
              <w:instrText xml:space="preserve"> PAGEREF _Toc239931047 \h </w:instrText>
            </w:r>
            <w:r>
              <w:rPr>
                <w:noProof/>
                <w:webHidden/>
              </w:rPr>
            </w:r>
            <w:r>
              <w:rPr>
                <w:noProof/>
                <w:webHidden/>
              </w:rPr>
              <w:fldChar w:fldCharType="separate"/>
            </w:r>
            <w:r>
              <w:rPr>
                <w:noProof/>
                <w:webHidden/>
              </w:rPr>
              <w:t>29</w:t>
            </w:r>
            <w:r>
              <w:rPr>
                <w:noProof/>
                <w:webHidden/>
              </w:rPr>
              <w:fldChar w:fldCharType="end"/>
            </w:r>
          </w:hyperlink>
        </w:p>
        <w:p w14:paraId="7341170C" w14:textId="36B16337"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48" w:history="1">
            <w:r w:rsidRPr="00007093">
              <w:rPr>
                <w:rStyle w:val="Hyperlink"/>
                <w:noProof/>
              </w:rPr>
              <w:t>Self-Determination Continuum</w:t>
            </w:r>
            <w:r>
              <w:rPr>
                <w:noProof/>
                <w:webHidden/>
              </w:rPr>
              <w:tab/>
            </w:r>
            <w:r>
              <w:rPr>
                <w:noProof/>
                <w:webHidden/>
              </w:rPr>
              <w:fldChar w:fldCharType="begin"/>
            </w:r>
            <w:r>
              <w:rPr>
                <w:noProof/>
                <w:webHidden/>
              </w:rPr>
              <w:instrText xml:space="preserve"> PAGEREF _Toc239931048 \h </w:instrText>
            </w:r>
            <w:r>
              <w:rPr>
                <w:noProof/>
                <w:webHidden/>
              </w:rPr>
            </w:r>
            <w:r>
              <w:rPr>
                <w:noProof/>
                <w:webHidden/>
              </w:rPr>
              <w:fldChar w:fldCharType="separate"/>
            </w:r>
            <w:r>
              <w:rPr>
                <w:noProof/>
                <w:webHidden/>
              </w:rPr>
              <w:t>29</w:t>
            </w:r>
            <w:r>
              <w:rPr>
                <w:noProof/>
                <w:webHidden/>
              </w:rPr>
              <w:fldChar w:fldCharType="end"/>
            </w:r>
          </w:hyperlink>
        </w:p>
        <w:p w14:paraId="231E0C24" w14:textId="56C5C9A9"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49" w:history="1">
            <w:r w:rsidRPr="00007093">
              <w:rPr>
                <w:rStyle w:val="Hyperlink"/>
                <w:noProof/>
              </w:rPr>
              <w:t>Ongoing Development and Refinement</w:t>
            </w:r>
            <w:r>
              <w:rPr>
                <w:noProof/>
                <w:webHidden/>
              </w:rPr>
              <w:tab/>
            </w:r>
            <w:r>
              <w:rPr>
                <w:noProof/>
                <w:webHidden/>
              </w:rPr>
              <w:fldChar w:fldCharType="begin"/>
            </w:r>
            <w:r>
              <w:rPr>
                <w:noProof/>
                <w:webHidden/>
              </w:rPr>
              <w:instrText xml:space="preserve"> PAGEREF _Toc239931049 \h </w:instrText>
            </w:r>
            <w:r>
              <w:rPr>
                <w:noProof/>
                <w:webHidden/>
              </w:rPr>
            </w:r>
            <w:r>
              <w:rPr>
                <w:noProof/>
                <w:webHidden/>
              </w:rPr>
              <w:fldChar w:fldCharType="separate"/>
            </w:r>
            <w:r>
              <w:rPr>
                <w:noProof/>
                <w:webHidden/>
              </w:rPr>
              <w:t>29</w:t>
            </w:r>
            <w:r>
              <w:rPr>
                <w:noProof/>
                <w:webHidden/>
              </w:rPr>
              <w:fldChar w:fldCharType="end"/>
            </w:r>
          </w:hyperlink>
        </w:p>
        <w:p w14:paraId="52C48064" w14:textId="4094167F"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50" w:history="1">
            <w:r w:rsidRPr="00007093">
              <w:rPr>
                <w:rStyle w:val="Hyperlink"/>
                <w:noProof/>
              </w:rPr>
              <w:t>Nginma Ngainga Wara</w:t>
            </w:r>
            <w:r>
              <w:rPr>
                <w:noProof/>
                <w:webHidden/>
              </w:rPr>
              <w:tab/>
            </w:r>
            <w:r>
              <w:rPr>
                <w:noProof/>
                <w:webHidden/>
              </w:rPr>
              <w:fldChar w:fldCharType="begin"/>
            </w:r>
            <w:r>
              <w:rPr>
                <w:noProof/>
                <w:webHidden/>
              </w:rPr>
              <w:instrText xml:space="preserve"> PAGEREF _Toc239931050 \h </w:instrText>
            </w:r>
            <w:r>
              <w:rPr>
                <w:noProof/>
                <w:webHidden/>
              </w:rPr>
            </w:r>
            <w:r>
              <w:rPr>
                <w:noProof/>
                <w:webHidden/>
              </w:rPr>
              <w:fldChar w:fldCharType="separate"/>
            </w:r>
            <w:r>
              <w:rPr>
                <w:noProof/>
                <w:webHidden/>
              </w:rPr>
              <w:t>29</w:t>
            </w:r>
            <w:r>
              <w:rPr>
                <w:noProof/>
                <w:webHidden/>
              </w:rPr>
              <w:fldChar w:fldCharType="end"/>
            </w:r>
          </w:hyperlink>
        </w:p>
        <w:p w14:paraId="577E68D3" w14:textId="20ED2B4F"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51" w:history="1">
            <w:r w:rsidRPr="00007093">
              <w:rPr>
                <w:rStyle w:val="Hyperlink"/>
                <w:noProof/>
              </w:rPr>
              <w:t>New Relational Health Measures</w:t>
            </w:r>
            <w:r>
              <w:rPr>
                <w:noProof/>
                <w:webHidden/>
              </w:rPr>
              <w:tab/>
            </w:r>
            <w:r>
              <w:rPr>
                <w:noProof/>
                <w:webHidden/>
              </w:rPr>
              <w:fldChar w:fldCharType="begin"/>
            </w:r>
            <w:r>
              <w:rPr>
                <w:noProof/>
                <w:webHidden/>
              </w:rPr>
              <w:instrText xml:space="preserve"> PAGEREF _Toc239931051 \h </w:instrText>
            </w:r>
            <w:r>
              <w:rPr>
                <w:noProof/>
                <w:webHidden/>
              </w:rPr>
            </w:r>
            <w:r>
              <w:rPr>
                <w:noProof/>
                <w:webHidden/>
              </w:rPr>
              <w:fldChar w:fldCharType="separate"/>
            </w:r>
            <w:r>
              <w:rPr>
                <w:noProof/>
                <w:webHidden/>
              </w:rPr>
              <w:t>29</w:t>
            </w:r>
            <w:r>
              <w:rPr>
                <w:noProof/>
                <w:webHidden/>
              </w:rPr>
              <w:fldChar w:fldCharType="end"/>
            </w:r>
          </w:hyperlink>
        </w:p>
        <w:p w14:paraId="27884118" w14:textId="21D0D99B"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52" w:history="1">
            <w:r w:rsidRPr="00007093">
              <w:rPr>
                <w:rStyle w:val="Hyperlink"/>
                <w:noProof/>
              </w:rPr>
              <w:t>Community-defined Measures of Success</w:t>
            </w:r>
            <w:r>
              <w:rPr>
                <w:noProof/>
                <w:webHidden/>
              </w:rPr>
              <w:tab/>
            </w:r>
            <w:r>
              <w:rPr>
                <w:noProof/>
                <w:webHidden/>
              </w:rPr>
              <w:fldChar w:fldCharType="begin"/>
            </w:r>
            <w:r>
              <w:rPr>
                <w:noProof/>
                <w:webHidden/>
              </w:rPr>
              <w:instrText xml:space="preserve"> PAGEREF _Toc239931052 \h </w:instrText>
            </w:r>
            <w:r>
              <w:rPr>
                <w:noProof/>
                <w:webHidden/>
              </w:rPr>
            </w:r>
            <w:r>
              <w:rPr>
                <w:noProof/>
                <w:webHidden/>
              </w:rPr>
              <w:fldChar w:fldCharType="separate"/>
            </w:r>
            <w:r>
              <w:rPr>
                <w:noProof/>
                <w:webHidden/>
              </w:rPr>
              <w:t>29</w:t>
            </w:r>
            <w:r>
              <w:rPr>
                <w:noProof/>
                <w:webHidden/>
              </w:rPr>
              <w:fldChar w:fldCharType="end"/>
            </w:r>
          </w:hyperlink>
        </w:p>
        <w:p w14:paraId="3135F269" w14:textId="71D19C76"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53" w:history="1">
            <w:r w:rsidRPr="00007093">
              <w:rPr>
                <w:rStyle w:val="Hyperlink"/>
                <w:noProof/>
              </w:rPr>
              <w:t>1 Cultural safety, belonging and holistic definitions of success</w:t>
            </w:r>
            <w:r>
              <w:rPr>
                <w:noProof/>
                <w:webHidden/>
              </w:rPr>
              <w:tab/>
            </w:r>
            <w:r>
              <w:rPr>
                <w:noProof/>
                <w:webHidden/>
              </w:rPr>
              <w:fldChar w:fldCharType="begin"/>
            </w:r>
            <w:r>
              <w:rPr>
                <w:noProof/>
                <w:webHidden/>
              </w:rPr>
              <w:instrText xml:space="preserve"> PAGEREF _Toc239931053 \h </w:instrText>
            </w:r>
            <w:r>
              <w:rPr>
                <w:noProof/>
                <w:webHidden/>
              </w:rPr>
            </w:r>
            <w:r>
              <w:rPr>
                <w:noProof/>
                <w:webHidden/>
              </w:rPr>
              <w:fldChar w:fldCharType="separate"/>
            </w:r>
            <w:r>
              <w:rPr>
                <w:noProof/>
                <w:webHidden/>
              </w:rPr>
              <w:t>30</w:t>
            </w:r>
            <w:r>
              <w:rPr>
                <w:noProof/>
                <w:webHidden/>
              </w:rPr>
              <w:fldChar w:fldCharType="end"/>
            </w:r>
          </w:hyperlink>
        </w:p>
        <w:p w14:paraId="7DA184ED" w14:textId="05EB87E9"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54" w:history="1">
            <w:r w:rsidRPr="00007093">
              <w:rPr>
                <w:rStyle w:val="Hyperlink"/>
                <w:noProof/>
              </w:rPr>
              <w:t>Measures</w:t>
            </w:r>
            <w:r>
              <w:rPr>
                <w:noProof/>
                <w:webHidden/>
              </w:rPr>
              <w:tab/>
            </w:r>
            <w:r>
              <w:rPr>
                <w:noProof/>
                <w:webHidden/>
              </w:rPr>
              <w:fldChar w:fldCharType="begin"/>
            </w:r>
            <w:r>
              <w:rPr>
                <w:noProof/>
                <w:webHidden/>
              </w:rPr>
              <w:instrText xml:space="preserve"> PAGEREF _Toc239931054 \h </w:instrText>
            </w:r>
            <w:r>
              <w:rPr>
                <w:noProof/>
                <w:webHidden/>
              </w:rPr>
            </w:r>
            <w:r>
              <w:rPr>
                <w:noProof/>
                <w:webHidden/>
              </w:rPr>
              <w:fldChar w:fldCharType="separate"/>
            </w:r>
            <w:r>
              <w:rPr>
                <w:noProof/>
                <w:webHidden/>
              </w:rPr>
              <w:t>30</w:t>
            </w:r>
            <w:r>
              <w:rPr>
                <w:noProof/>
                <w:webHidden/>
              </w:rPr>
              <w:fldChar w:fldCharType="end"/>
            </w:r>
          </w:hyperlink>
        </w:p>
        <w:p w14:paraId="38756FAF" w14:textId="4CC90EAF"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55" w:history="1">
            <w:r w:rsidRPr="00007093">
              <w:rPr>
                <w:rStyle w:val="Hyperlink"/>
                <w:noProof/>
              </w:rPr>
              <w:t>2 Community ownership and governance</w:t>
            </w:r>
            <w:r>
              <w:rPr>
                <w:noProof/>
                <w:webHidden/>
              </w:rPr>
              <w:tab/>
            </w:r>
            <w:r>
              <w:rPr>
                <w:noProof/>
                <w:webHidden/>
              </w:rPr>
              <w:fldChar w:fldCharType="begin"/>
            </w:r>
            <w:r>
              <w:rPr>
                <w:noProof/>
                <w:webHidden/>
              </w:rPr>
              <w:instrText xml:space="preserve"> PAGEREF _Toc239931055 \h </w:instrText>
            </w:r>
            <w:r>
              <w:rPr>
                <w:noProof/>
                <w:webHidden/>
              </w:rPr>
            </w:r>
            <w:r>
              <w:rPr>
                <w:noProof/>
                <w:webHidden/>
              </w:rPr>
              <w:fldChar w:fldCharType="separate"/>
            </w:r>
            <w:r>
              <w:rPr>
                <w:noProof/>
                <w:webHidden/>
              </w:rPr>
              <w:t>30</w:t>
            </w:r>
            <w:r>
              <w:rPr>
                <w:noProof/>
                <w:webHidden/>
              </w:rPr>
              <w:fldChar w:fldCharType="end"/>
            </w:r>
          </w:hyperlink>
        </w:p>
        <w:p w14:paraId="0C4A6285" w14:textId="739153CD"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56" w:history="1">
            <w:r w:rsidRPr="00007093">
              <w:rPr>
                <w:rStyle w:val="Hyperlink"/>
                <w:noProof/>
              </w:rPr>
              <w:t>Measures</w:t>
            </w:r>
            <w:r>
              <w:rPr>
                <w:noProof/>
                <w:webHidden/>
              </w:rPr>
              <w:tab/>
            </w:r>
            <w:r>
              <w:rPr>
                <w:noProof/>
                <w:webHidden/>
              </w:rPr>
              <w:fldChar w:fldCharType="begin"/>
            </w:r>
            <w:r>
              <w:rPr>
                <w:noProof/>
                <w:webHidden/>
              </w:rPr>
              <w:instrText xml:space="preserve"> PAGEREF _Toc239931056 \h </w:instrText>
            </w:r>
            <w:r>
              <w:rPr>
                <w:noProof/>
                <w:webHidden/>
              </w:rPr>
            </w:r>
            <w:r>
              <w:rPr>
                <w:noProof/>
                <w:webHidden/>
              </w:rPr>
              <w:fldChar w:fldCharType="separate"/>
            </w:r>
            <w:r>
              <w:rPr>
                <w:noProof/>
                <w:webHidden/>
              </w:rPr>
              <w:t>30</w:t>
            </w:r>
            <w:r>
              <w:rPr>
                <w:noProof/>
                <w:webHidden/>
              </w:rPr>
              <w:fldChar w:fldCharType="end"/>
            </w:r>
          </w:hyperlink>
        </w:p>
        <w:p w14:paraId="1CB248E8" w14:textId="6B66656B"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57" w:history="1">
            <w:r w:rsidRPr="00007093">
              <w:rPr>
                <w:rStyle w:val="Hyperlink"/>
                <w:noProof/>
              </w:rPr>
              <w:t>3 Anti-racism system accountability and culturally responsive teaching</w:t>
            </w:r>
            <w:r>
              <w:rPr>
                <w:noProof/>
                <w:webHidden/>
              </w:rPr>
              <w:tab/>
            </w:r>
            <w:r>
              <w:rPr>
                <w:noProof/>
                <w:webHidden/>
              </w:rPr>
              <w:fldChar w:fldCharType="begin"/>
            </w:r>
            <w:r>
              <w:rPr>
                <w:noProof/>
                <w:webHidden/>
              </w:rPr>
              <w:instrText xml:space="preserve"> PAGEREF _Toc239931057 \h </w:instrText>
            </w:r>
            <w:r>
              <w:rPr>
                <w:noProof/>
                <w:webHidden/>
              </w:rPr>
            </w:r>
            <w:r>
              <w:rPr>
                <w:noProof/>
                <w:webHidden/>
              </w:rPr>
              <w:fldChar w:fldCharType="separate"/>
            </w:r>
            <w:r>
              <w:rPr>
                <w:noProof/>
                <w:webHidden/>
              </w:rPr>
              <w:t>30</w:t>
            </w:r>
            <w:r>
              <w:rPr>
                <w:noProof/>
                <w:webHidden/>
              </w:rPr>
              <w:fldChar w:fldCharType="end"/>
            </w:r>
          </w:hyperlink>
        </w:p>
        <w:p w14:paraId="7EA3B5C8" w14:textId="07D78009"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58" w:history="1">
            <w:r w:rsidRPr="00007093">
              <w:rPr>
                <w:rStyle w:val="Hyperlink"/>
                <w:noProof/>
              </w:rPr>
              <w:t>Me</w:t>
            </w:r>
            <w:r w:rsidRPr="00007093">
              <w:rPr>
                <w:rStyle w:val="Hyperlink"/>
                <w:noProof/>
              </w:rPr>
              <w:t>a</w:t>
            </w:r>
            <w:r w:rsidRPr="00007093">
              <w:rPr>
                <w:rStyle w:val="Hyperlink"/>
                <w:noProof/>
              </w:rPr>
              <w:t>sures</w:t>
            </w:r>
            <w:r>
              <w:rPr>
                <w:noProof/>
                <w:webHidden/>
              </w:rPr>
              <w:tab/>
            </w:r>
            <w:r>
              <w:rPr>
                <w:noProof/>
                <w:webHidden/>
              </w:rPr>
              <w:fldChar w:fldCharType="begin"/>
            </w:r>
            <w:r>
              <w:rPr>
                <w:noProof/>
                <w:webHidden/>
              </w:rPr>
              <w:instrText xml:space="preserve"> PAGEREF _Toc239931058 \h </w:instrText>
            </w:r>
            <w:r>
              <w:rPr>
                <w:noProof/>
                <w:webHidden/>
              </w:rPr>
            </w:r>
            <w:r>
              <w:rPr>
                <w:noProof/>
                <w:webHidden/>
              </w:rPr>
              <w:fldChar w:fldCharType="separate"/>
            </w:r>
            <w:r>
              <w:rPr>
                <w:noProof/>
                <w:webHidden/>
              </w:rPr>
              <w:t>31</w:t>
            </w:r>
            <w:r>
              <w:rPr>
                <w:noProof/>
                <w:webHidden/>
              </w:rPr>
              <w:fldChar w:fldCharType="end"/>
            </w:r>
          </w:hyperlink>
        </w:p>
        <w:p w14:paraId="6981C120" w14:textId="44E50266"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59" w:history="1">
            <w:r w:rsidRPr="00007093">
              <w:rPr>
                <w:rStyle w:val="Hyperlink"/>
                <w:noProof/>
              </w:rPr>
              <w:t>Measures and Targets</w:t>
            </w:r>
            <w:r>
              <w:rPr>
                <w:noProof/>
                <w:webHidden/>
              </w:rPr>
              <w:tab/>
            </w:r>
            <w:r>
              <w:rPr>
                <w:noProof/>
                <w:webHidden/>
              </w:rPr>
              <w:fldChar w:fldCharType="begin"/>
            </w:r>
            <w:r>
              <w:rPr>
                <w:noProof/>
                <w:webHidden/>
              </w:rPr>
              <w:instrText xml:space="preserve"> PAGEREF _Toc239931059 \h </w:instrText>
            </w:r>
            <w:r>
              <w:rPr>
                <w:noProof/>
                <w:webHidden/>
              </w:rPr>
            </w:r>
            <w:r>
              <w:rPr>
                <w:noProof/>
                <w:webHidden/>
              </w:rPr>
              <w:fldChar w:fldCharType="separate"/>
            </w:r>
            <w:r>
              <w:rPr>
                <w:noProof/>
                <w:webHidden/>
              </w:rPr>
              <w:t>31</w:t>
            </w:r>
            <w:r>
              <w:rPr>
                <w:noProof/>
                <w:webHidden/>
              </w:rPr>
              <w:fldChar w:fldCharType="end"/>
            </w:r>
          </w:hyperlink>
        </w:p>
        <w:p w14:paraId="31DAD20D" w14:textId="481861BF"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60" w:history="1">
            <w:r w:rsidRPr="00007093">
              <w:rPr>
                <w:rStyle w:val="Hyperlink"/>
                <w:noProof/>
              </w:rPr>
              <w:t>Budget Paper 3 Output Performance Measures</w:t>
            </w:r>
            <w:r>
              <w:rPr>
                <w:noProof/>
                <w:webHidden/>
              </w:rPr>
              <w:tab/>
            </w:r>
            <w:r>
              <w:rPr>
                <w:noProof/>
                <w:webHidden/>
              </w:rPr>
              <w:fldChar w:fldCharType="begin"/>
            </w:r>
            <w:r>
              <w:rPr>
                <w:noProof/>
                <w:webHidden/>
              </w:rPr>
              <w:instrText xml:space="preserve"> PAGEREF _Toc239931060 \h </w:instrText>
            </w:r>
            <w:r>
              <w:rPr>
                <w:noProof/>
                <w:webHidden/>
              </w:rPr>
            </w:r>
            <w:r>
              <w:rPr>
                <w:noProof/>
                <w:webHidden/>
              </w:rPr>
              <w:fldChar w:fldCharType="separate"/>
            </w:r>
            <w:r>
              <w:rPr>
                <w:noProof/>
                <w:webHidden/>
              </w:rPr>
              <w:t>31</w:t>
            </w:r>
            <w:r>
              <w:rPr>
                <w:noProof/>
                <w:webHidden/>
              </w:rPr>
              <w:fldChar w:fldCharType="end"/>
            </w:r>
          </w:hyperlink>
        </w:p>
        <w:p w14:paraId="32B90601" w14:textId="18FAB679"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61" w:history="1">
            <w:r w:rsidRPr="00007093">
              <w:rPr>
                <w:rStyle w:val="Hyperlink"/>
                <w:noProof/>
              </w:rPr>
              <w:t>Kindergarten measures</w:t>
            </w:r>
            <w:r>
              <w:rPr>
                <w:noProof/>
                <w:webHidden/>
              </w:rPr>
              <w:tab/>
            </w:r>
            <w:r>
              <w:rPr>
                <w:noProof/>
                <w:webHidden/>
              </w:rPr>
              <w:fldChar w:fldCharType="begin"/>
            </w:r>
            <w:r>
              <w:rPr>
                <w:noProof/>
                <w:webHidden/>
              </w:rPr>
              <w:instrText xml:space="preserve"> PAGEREF _Toc239931061 \h </w:instrText>
            </w:r>
            <w:r>
              <w:rPr>
                <w:noProof/>
                <w:webHidden/>
              </w:rPr>
            </w:r>
            <w:r>
              <w:rPr>
                <w:noProof/>
                <w:webHidden/>
              </w:rPr>
              <w:fldChar w:fldCharType="separate"/>
            </w:r>
            <w:r>
              <w:rPr>
                <w:noProof/>
                <w:webHidden/>
              </w:rPr>
              <w:t>31</w:t>
            </w:r>
            <w:r>
              <w:rPr>
                <w:noProof/>
                <w:webHidden/>
              </w:rPr>
              <w:fldChar w:fldCharType="end"/>
            </w:r>
          </w:hyperlink>
        </w:p>
        <w:p w14:paraId="7F282090" w14:textId="085978AC"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62" w:history="1">
            <w:r w:rsidRPr="00007093">
              <w:rPr>
                <w:rStyle w:val="Hyperlink"/>
                <w:noProof/>
              </w:rPr>
              <w:t>Attendance measures*</w:t>
            </w:r>
            <w:r>
              <w:rPr>
                <w:noProof/>
                <w:webHidden/>
              </w:rPr>
              <w:tab/>
            </w:r>
            <w:r>
              <w:rPr>
                <w:noProof/>
                <w:webHidden/>
              </w:rPr>
              <w:fldChar w:fldCharType="begin"/>
            </w:r>
            <w:r>
              <w:rPr>
                <w:noProof/>
                <w:webHidden/>
              </w:rPr>
              <w:instrText xml:space="preserve"> PAGEREF _Toc239931062 \h </w:instrText>
            </w:r>
            <w:r>
              <w:rPr>
                <w:noProof/>
                <w:webHidden/>
              </w:rPr>
            </w:r>
            <w:r>
              <w:rPr>
                <w:noProof/>
                <w:webHidden/>
              </w:rPr>
              <w:fldChar w:fldCharType="separate"/>
            </w:r>
            <w:r>
              <w:rPr>
                <w:noProof/>
                <w:webHidden/>
              </w:rPr>
              <w:t>31</w:t>
            </w:r>
            <w:r>
              <w:rPr>
                <w:noProof/>
                <w:webHidden/>
              </w:rPr>
              <w:fldChar w:fldCharType="end"/>
            </w:r>
          </w:hyperlink>
        </w:p>
        <w:p w14:paraId="41762A1A" w14:textId="5249586B"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63" w:history="1">
            <w:r w:rsidRPr="00007093">
              <w:rPr>
                <w:rStyle w:val="Hyperlink"/>
                <w:noProof/>
              </w:rPr>
              <w:t>NAPLAN measures*</w:t>
            </w:r>
            <w:r>
              <w:rPr>
                <w:noProof/>
                <w:webHidden/>
              </w:rPr>
              <w:tab/>
            </w:r>
            <w:r>
              <w:rPr>
                <w:noProof/>
                <w:webHidden/>
              </w:rPr>
              <w:fldChar w:fldCharType="begin"/>
            </w:r>
            <w:r>
              <w:rPr>
                <w:noProof/>
                <w:webHidden/>
              </w:rPr>
              <w:instrText xml:space="preserve"> PAGEREF _Toc239931063 \h </w:instrText>
            </w:r>
            <w:r>
              <w:rPr>
                <w:noProof/>
                <w:webHidden/>
              </w:rPr>
            </w:r>
            <w:r>
              <w:rPr>
                <w:noProof/>
                <w:webHidden/>
              </w:rPr>
              <w:fldChar w:fldCharType="separate"/>
            </w:r>
            <w:r>
              <w:rPr>
                <w:noProof/>
                <w:webHidden/>
              </w:rPr>
              <w:t>31</w:t>
            </w:r>
            <w:r>
              <w:rPr>
                <w:noProof/>
                <w:webHidden/>
              </w:rPr>
              <w:fldChar w:fldCharType="end"/>
            </w:r>
          </w:hyperlink>
        </w:p>
        <w:p w14:paraId="6D39EF99" w14:textId="27A94AD3"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64" w:history="1">
            <w:r w:rsidRPr="00007093">
              <w:rPr>
                <w:rStyle w:val="Hyperlink"/>
                <w:noProof/>
              </w:rPr>
              <w:t>Closing the Gap Targets</w:t>
            </w:r>
            <w:r>
              <w:rPr>
                <w:noProof/>
                <w:webHidden/>
              </w:rPr>
              <w:tab/>
            </w:r>
            <w:r>
              <w:rPr>
                <w:noProof/>
                <w:webHidden/>
              </w:rPr>
              <w:fldChar w:fldCharType="begin"/>
            </w:r>
            <w:r>
              <w:rPr>
                <w:noProof/>
                <w:webHidden/>
              </w:rPr>
              <w:instrText xml:space="preserve"> PAGEREF _Toc239931064 \h </w:instrText>
            </w:r>
            <w:r>
              <w:rPr>
                <w:noProof/>
                <w:webHidden/>
              </w:rPr>
            </w:r>
            <w:r>
              <w:rPr>
                <w:noProof/>
                <w:webHidden/>
              </w:rPr>
              <w:fldChar w:fldCharType="separate"/>
            </w:r>
            <w:r>
              <w:rPr>
                <w:noProof/>
                <w:webHidden/>
              </w:rPr>
              <w:t>31</w:t>
            </w:r>
            <w:r>
              <w:rPr>
                <w:noProof/>
                <w:webHidden/>
              </w:rPr>
              <w:fldChar w:fldCharType="end"/>
            </w:r>
          </w:hyperlink>
        </w:p>
        <w:p w14:paraId="62A9BDB6" w14:textId="68C42F88"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65" w:history="1">
            <w:r w:rsidRPr="00007093">
              <w:rPr>
                <w:rStyle w:val="Hyperlink"/>
                <w:noProof/>
              </w:rPr>
              <w:t>Outcome 3</w:t>
            </w:r>
            <w:r>
              <w:rPr>
                <w:noProof/>
                <w:webHidden/>
              </w:rPr>
              <w:tab/>
            </w:r>
            <w:r>
              <w:rPr>
                <w:noProof/>
                <w:webHidden/>
              </w:rPr>
              <w:fldChar w:fldCharType="begin"/>
            </w:r>
            <w:r>
              <w:rPr>
                <w:noProof/>
                <w:webHidden/>
              </w:rPr>
              <w:instrText xml:space="preserve"> PAGEREF _Toc239931065 \h </w:instrText>
            </w:r>
            <w:r>
              <w:rPr>
                <w:noProof/>
                <w:webHidden/>
              </w:rPr>
            </w:r>
            <w:r>
              <w:rPr>
                <w:noProof/>
                <w:webHidden/>
              </w:rPr>
              <w:fldChar w:fldCharType="separate"/>
            </w:r>
            <w:r>
              <w:rPr>
                <w:noProof/>
                <w:webHidden/>
              </w:rPr>
              <w:t>31</w:t>
            </w:r>
            <w:r>
              <w:rPr>
                <w:noProof/>
                <w:webHidden/>
              </w:rPr>
              <w:fldChar w:fldCharType="end"/>
            </w:r>
          </w:hyperlink>
        </w:p>
        <w:p w14:paraId="24DFD625" w14:textId="10C30040"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66" w:history="1">
            <w:r w:rsidRPr="00007093">
              <w:rPr>
                <w:rStyle w:val="Hyperlink"/>
                <w:noProof/>
              </w:rPr>
              <w:t>Outcome 4</w:t>
            </w:r>
            <w:r>
              <w:rPr>
                <w:noProof/>
                <w:webHidden/>
              </w:rPr>
              <w:tab/>
            </w:r>
            <w:r>
              <w:rPr>
                <w:noProof/>
                <w:webHidden/>
              </w:rPr>
              <w:fldChar w:fldCharType="begin"/>
            </w:r>
            <w:r>
              <w:rPr>
                <w:noProof/>
                <w:webHidden/>
              </w:rPr>
              <w:instrText xml:space="preserve"> PAGEREF _Toc239931066 \h </w:instrText>
            </w:r>
            <w:r>
              <w:rPr>
                <w:noProof/>
                <w:webHidden/>
              </w:rPr>
            </w:r>
            <w:r>
              <w:rPr>
                <w:noProof/>
                <w:webHidden/>
              </w:rPr>
              <w:fldChar w:fldCharType="separate"/>
            </w:r>
            <w:r>
              <w:rPr>
                <w:noProof/>
                <w:webHidden/>
              </w:rPr>
              <w:t>31</w:t>
            </w:r>
            <w:r>
              <w:rPr>
                <w:noProof/>
                <w:webHidden/>
              </w:rPr>
              <w:fldChar w:fldCharType="end"/>
            </w:r>
          </w:hyperlink>
        </w:p>
        <w:p w14:paraId="3A2719EA" w14:textId="6027E0F3"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67" w:history="1">
            <w:r w:rsidRPr="00007093">
              <w:rPr>
                <w:rStyle w:val="Hyperlink"/>
                <w:noProof/>
              </w:rPr>
              <w:t>Outcome 5</w:t>
            </w:r>
            <w:r>
              <w:rPr>
                <w:noProof/>
                <w:webHidden/>
              </w:rPr>
              <w:tab/>
            </w:r>
            <w:r>
              <w:rPr>
                <w:noProof/>
                <w:webHidden/>
              </w:rPr>
              <w:fldChar w:fldCharType="begin"/>
            </w:r>
            <w:r>
              <w:rPr>
                <w:noProof/>
                <w:webHidden/>
              </w:rPr>
              <w:instrText xml:space="preserve"> PAGEREF _Toc239931067 \h </w:instrText>
            </w:r>
            <w:r>
              <w:rPr>
                <w:noProof/>
                <w:webHidden/>
              </w:rPr>
            </w:r>
            <w:r>
              <w:rPr>
                <w:noProof/>
                <w:webHidden/>
              </w:rPr>
              <w:fldChar w:fldCharType="separate"/>
            </w:r>
            <w:r>
              <w:rPr>
                <w:noProof/>
                <w:webHidden/>
              </w:rPr>
              <w:t>32</w:t>
            </w:r>
            <w:r>
              <w:rPr>
                <w:noProof/>
                <w:webHidden/>
              </w:rPr>
              <w:fldChar w:fldCharType="end"/>
            </w:r>
          </w:hyperlink>
        </w:p>
        <w:p w14:paraId="091A02FF" w14:textId="5DE5CBBD"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68" w:history="1">
            <w:r w:rsidRPr="00007093">
              <w:rPr>
                <w:rStyle w:val="Hyperlink"/>
                <w:noProof/>
              </w:rPr>
              <w:t>Outcome 6</w:t>
            </w:r>
            <w:r>
              <w:rPr>
                <w:noProof/>
                <w:webHidden/>
              </w:rPr>
              <w:tab/>
            </w:r>
            <w:r>
              <w:rPr>
                <w:noProof/>
                <w:webHidden/>
              </w:rPr>
              <w:fldChar w:fldCharType="begin"/>
            </w:r>
            <w:r>
              <w:rPr>
                <w:noProof/>
                <w:webHidden/>
              </w:rPr>
              <w:instrText xml:space="preserve"> PAGEREF _Toc239931068 \h </w:instrText>
            </w:r>
            <w:r>
              <w:rPr>
                <w:noProof/>
                <w:webHidden/>
              </w:rPr>
            </w:r>
            <w:r>
              <w:rPr>
                <w:noProof/>
                <w:webHidden/>
              </w:rPr>
              <w:fldChar w:fldCharType="separate"/>
            </w:r>
            <w:r>
              <w:rPr>
                <w:noProof/>
                <w:webHidden/>
              </w:rPr>
              <w:t>32</w:t>
            </w:r>
            <w:r>
              <w:rPr>
                <w:noProof/>
                <w:webHidden/>
              </w:rPr>
              <w:fldChar w:fldCharType="end"/>
            </w:r>
          </w:hyperlink>
        </w:p>
        <w:p w14:paraId="45F1B412" w14:textId="6D04C6DB"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69" w:history="1">
            <w:r w:rsidRPr="00007093">
              <w:rPr>
                <w:rStyle w:val="Hyperlink"/>
                <w:noProof/>
              </w:rPr>
              <w:t>Outcome 7</w:t>
            </w:r>
            <w:r>
              <w:rPr>
                <w:noProof/>
                <w:webHidden/>
              </w:rPr>
              <w:tab/>
            </w:r>
            <w:r>
              <w:rPr>
                <w:noProof/>
                <w:webHidden/>
              </w:rPr>
              <w:fldChar w:fldCharType="begin"/>
            </w:r>
            <w:r>
              <w:rPr>
                <w:noProof/>
                <w:webHidden/>
              </w:rPr>
              <w:instrText xml:space="preserve"> PAGEREF _Toc239931069 \h </w:instrText>
            </w:r>
            <w:r>
              <w:rPr>
                <w:noProof/>
                <w:webHidden/>
              </w:rPr>
            </w:r>
            <w:r>
              <w:rPr>
                <w:noProof/>
                <w:webHidden/>
              </w:rPr>
              <w:fldChar w:fldCharType="separate"/>
            </w:r>
            <w:r>
              <w:rPr>
                <w:noProof/>
                <w:webHidden/>
              </w:rPr>
              <w:t>32</w:t>
            </w:r>
            <w:r>
              <w:rPr>
                <w:noProof/>
                <w:webHidden/>
              </w:rPr>
              <w:fldChar w:fldCharType="end"/>
            </w:r>
          </w:hyperlink>
        </w:p>
        <w:p w14:paraId="649602A9" w14:textId="1F91BB4C"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70" w:history="1">
            <w:r w:rsidRPr="00007093">
              <w:rPr>
                <w:rStyle w:val="Hyperlink"/>
                <w:noProof/>
              </w:rPr>
              <w:t>Victorian Aboriginal Affairs Framework Measures</w:t>
            </w:r>
            <w:r>
              <w:rPr>
                <w:noProof/>
                <w:webHidden/>
              </w:rPr>
              <w:tab/>
            </w:r>
            <w:r>
              <w:rPr>
                <w:noProof/>
                <w:webHidden/>
              </w:rPr>
              <w:fldChar w:fldCharType="begin"/>
            </w:r>
            <w:r>
              <w:rPr>
                <w:noProof/>
                <w:webHidden/>
              </w:rPr>
              <w:instrText xml:space="preserve"> PAGEREF _Toc239931070 \h </w:instrText>
            </w:r>
            <w:r>
              <w:rPr>
                <w:noProof/>
                <w:webHidden/>
              </w:rPr>
            </w:r>
            <w:r>
              <w:rPr>
                <w:noProof/>
                <w:webHidden/>
              </w:rPr>
              <w:fldChar w:fldCharType="separate"/>
            </w:r>
            <w:r>
              <w:rPr>
                <w:noProof/>
                <w:webHidden/>
              </w:rPr>
              <w:t>32</w:t>
            </w:r>
            <w:r>
              <w:rPr>
                <w:noProof/>
                <w:webHidden/>
              </w:rPr>
              <w:fldChar w:fldCharType="end"/>
            </w:r>
          </w:hyperlink>
        </w:p>
        <w:p w14:paraId="69F0EB5A" w14:textId="6EEB66AD"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71" w:history="1">
            <w:r w:rsidRPr="00007093">
              <w:rPr>
                <w:rStyle w:val="Hyperlink"/>
                <w:noProof/>
              </w:rPr>
              <w:t>Goal 4 Aboriginal children thrive in the early years</w:t>
            </w:r>
            <w:r>
              <w:rPr>
                <w:noProof/>
                <w:webHidden/>
              </w:rPr>
              <w:tab/>
            </w:r>
            <w:r>
              <w:rPr>
                <w:noProof/>
                <w:webHidden/>
              </w:rPr>
              <w:fldChar w:fldCharType="begin"/>
            </w:r>
            <w:r>
              <w:rPr>
                <w:noProof/>
                <w:webHidden/>
              </w:rPr>
              <w:instrText xml:space="preserve"> PAGEREF _Toc239931071 \h </w:instrText>
            </w:r>
            <w:r>
              <w:rPr>
                <w:noProof/>
                <w:webHidden/>
              </w:rPr>
            </w:r>
            <w:r>
              <w:rPr>
                <w:noProof/>
                <w:webHidden/>
              </w:rPr>
              <w:fldChar w:fldCharType="separate"/>
            </w:r>
            <w:r>
              <w:rPr>
                <w:noProof/>
                <w:webHidden/>
              </w:rPr>
              <w:t>32</w:t>
            </w:r>
            <w:r>
              <w:rPr>
                <w:noProof/>
                <w:webHidden/>
              </w:rPr>
              <w:fldChar w:fldCharType="end"/>
            </w:r>
          </w:hyperlink>
        </w:p>
        <w:p w14:paraId="5A81D35B" w14:textId="36492419"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72" w:history="1">
            <w:r w:rsidRPr="00007093">
              <w:rPr>
                <w:rStyle w:val="Hyperlink"/>
                <w:noProof/>
              </w:rPr>
              <w:t>Goal 5 Aboriginal learners excel at school</w:t>
            </w:r>
            <w:r>
              <w:rPr>
                <w:noProof/>
                <w:webHidden/>
              </w:rPr>
              <w:tab/>
            </w:r>
            <w:r>
              <w:rPr>
                <w:noProof/>
                <w:webHidden/>
              </w:rPr>
              <w:fldChar w:fldCharType="begin"/>
            </w:r>
            <w:r>
              <w:rPr>
                <w:noProof/>
                <w:webHidden/>
              </w:rPr>
              <w:instrText xml:space="preserve"> PAGEREF _Toc239931072 \h </w:instrText>
            </w:r>
            <w:r>
              <w:rPr>
                <w:noProof/>
                <w:webHidden/>
              </w:rPr>
            </w:r>
            <w:r>
              <w:rPr>
                <w:noProof/>
                <w:webHidden/>
              </w:rPr>
              <w:fldChar w:fldCharType="separate"/>
            </w:r>
            <w:r>
              <w:rPr>
                <w:noProof/>
                <w:webHidden/>
              </w:rPr>
              <w:t>32</w:t>
            </w:r>
            <w:r>
              <w:rPr>
                <w:noProof/>
                <w:webHidden/>
              </w:rPr>
              <w:fldChar w:fldCharType="end"/>
            </w:r>
          </w:hyperlink>
        </w:p>
        <w:p w14:paraId="419626F8" w14:textId="5F41E881"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73" w:history="1">
            <w:r w:rsidRPr="00007093">
              <w:rPr>
                <w:rStyle w:val="Hyperlink"/>
                <w:noProof/>
              </w:rPr>
              <w:t>Goal 6 Aboriginal learners are engaged at school</w:t>
            </w:r>
            <w:r>
              <w:rPr>
                <w:noProof/>
                <w:webHidden/>
              </w:rPr>
              <w:tab/>
            </w:r>
            <w:r>
              <w:rPr>
                <w:noProof/>
                <w:webHidden/>
              </w:rPr>
              <w:fldChar w:fldCharType="begin"/>
            </w:r>
            <w:r>
              <w:rPr>
                <w:noProof/>
                <w:webHidden/>
              </w:rPr>
              <w:instrText xml:space="preserve"> PAGEREF _Toc239931073 \h </w:instrText>
            </w:r>
            <w:r>
              <w:rPr>
                <w:noProof/>
                <w:webHidden/>
              </w:rPr>
            </w:r>
            <w:r>
              <w:rPr>
                <w:noProof/>
                <w:webHidden/>
              </w:rPr>
              <w:fldChar w:fldCharType="separate"/>
            </w:r>
            <w:r>
              <w:rPr>
                <w:noProof/>
                <w:webHidden/>
              </w:rPr>
              <w:t>33</w:t>
            </w:r>
            <w:r>
              <w:rPr>
                <w:noProof/>
                <w:webHidden/>
              </w:rPr>
              <w:fldChar w:fldCharType="end"/>
            </w:r>
          </w:hyperlink>
        </w:p>
        <w:p w14:paraId="3861DAED" w14:textId="489C7E96" w:rsidR="00C11A7A" w:rsidRDefault="00C11A7A">
          <w:pPr>
            <w:pStyle w:val="TOC3"/>
            <w:tabs>
              <w:tab w:val="right" w:leader="dot" w:pos="9632"/>
            </w:tabs>
            <w:rPr>
              <w:rFonts w:eastAsiaTheme="minorEastAsia" w:cstheme="minorBidi"/>
              <w:noProof/>
              <w:kern w:val="2"/>
              <w:sz w:val="24"/>
              <w:szCs w:val="24"/>
              <w:lang w:eastAsia="en-GB"/>
              <w14:ligatures w14:val="standardContextual"/>
            </w:rPr>
          </w:pPr>
          <w:hyperlink w:anchor="_Toc239931074" w:history="1">
            <w:r w:rsidRPr="00007093">
              <w:rPr>
                <w:rStyle w:val="Hyperlink"/>
                <w:noProof/>
              </w:rPr>
              <w:t>Goal 7 Aboriginal learners achieve their full potential after school</w:t>
            </w:r>
            <w:r>
              <w:rPr>
                <w:noProof/>
                <w:webHidden/>
              </w:rPr>
              <w:tab/>
            </w:r>
            <w:r>
              <w:rPr>
                <w:noProof/>
                <w:webHidden/>
              </w:rPr>
              <w:fldChar w:fldCharType="begin"/>
            </w:r>
            <w:r>
              <w:rPr>
                <w:noProof/>
                <w:webHidden/>
              </w:rPr>
              <w:instrText xml:space="preserve"> PAGEREF _Toc239931074 \h </w:instrText>
            </w:r>
            <w:r>
              <w:rPr>
                <w:noProof/>
                <w:webHidden/>
              </w:rPr>
            </w:r>
            <w:r>
              <w:rPr>
                <w:noProof/>
                <w:webHidden/>
              </w:rPr>
              <w:fldChar w:fldCharType="separate"/>
            </w:r>
            <w:r>
              <w:rPr>
                <w:noProof/>
                <w:webHidden/>
              </w:rPr>
              <w:t>33</w:t>
            </w:r>
            <w:r>
              <w:rPr>
                <w:noProof/>
                <w:webHidden/>
              </w:rPr>
              <w:fldChar w:fldCharType="end"/>
            </w:r>
          </w:hyperlink>
        </w:p>
        <w:p w14:paraId="1D187FFB" w14:textId="44F56D69"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75" w:history="1">
            <w:r w:rsidRPr="00007093">
              <w:rPr>
                <w:rStyle w:val="Hyperlink"/>
                <w:noProof/>
              </w:rPr>
              <w:t>First Nations Languages</w:t>
            </w:r>
            <w:r>
              <w:rPr>
                <w:noProof/>
                <w:webHidden/>
              </w:rPr>
              <w:tab/>
            </w:r>
            <w:r>
              <w:rPr>
                <w:noProof/>
                <w:webHidden/>
              </w:rPr>
              <w:fldChar w:fldCharType="begin"/>
            </w:r>
            <w:r>
              <w:rPr>
                <w:noProof/>
                <w:webHidden/>
              </w:rPr>
              <w:instrText xml:space="preserve"> PAGEREF _Toc239931075 \h </w:instrText>
            </w:r>
            <w:r>
              <w:rPr>
                <w:noProof/>
                <w:webHidden/>
              </w:rPr>
            </w:r>
            <w:r>
              <w:rPr>
                <w:noProof/>
                <w:webHidden/>
              </w:rPr>
              <w:fldChar w:fldCharType="separate"/>
            </w:r>
            <w:r>
              <w:rPr>
                <w:noProof/>
                <w:webHidden/>
              </w:rPr>
              <w:t>33</w:t>
            </w:r>
            <w:r>
              <w:rPr>
                <w:noProof/>
                <w:webHidden/>
              </w:rPr>
              <w:fldChar w:fldCharType="end"/>
            </w:r>
          </w:hyperlink>
        </w:p>
        <w:p w14:paraId="4FF27768" w14:textId="5C628545"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76" w:history="1">
            <w:r w:rsidRPr="00007093">
              <w:rPr>
                <w:rStyle w:val="Hyperlink"/>
                <w:noProof/>
              </w:rPr>
              <w:t>Tertiary Measures</w:t>
            </w:r>
            <w:r>
              <w:rPr>
                <w:noProof/>
                <w:webHidden/>
              </w:rPr>
              <w:tab/>
            </w:r>
            <w:r>
              <w:rPr>
                <w:noProof/>
                <w:webHidden/>
              </w:rPr>
              <w:fldChar w:fldCharType="begin"/>
            </w:r>
            <w:r>
              <w:rPr>
                <w:noProof/>
                <w:webHidden/>
              </w:rPr>
              <w:instrText xml:space="preserve"> PAGEREF _Toc239931076 \h </w:instrText>
            </w:r>
            <w:r>
              <w:rPr>
                <w:noProof/>
                <w:webHidden/>
              </w:rPr>
            </w:r>
            <w:r>
              <w:rPr>
                <w:noProof/>
                <w:webHidden/>
              </w:rPr>
              <w:fldChar w:fldCharType="separate"/>
            </w:r>
            <w:r>
              <w:rPr>
                <w:noProof/>
                <w:webHidden/>
              </w:rPr>
              <w:t>33</w:t>
            </w:r>
            <w:r>
              <w:rPr>
                <w:noProof/>
                <w:webHidden/>
              </w:rPr>
              <w:fldChar w:fldCharType="end"/>
            </w:r>
          </w:hyperlink>
        </w:p>
        <w:p w14:paraId="23DBA59A" w14:textId="648C6FD9"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77" w:history="1">
            <w:r w:rsidRPr="00007093">
              <w:rPr>
                <w:rStyle w:val="Hyperlink"/>
                <w:noProof/>
              </w:rPr>
              <w:t>Racism</w:t>
            </w:r>
            <w:r>
              <w:rPr>
                <w:noProof/>
                <w:webHidden/>
              </w:rPr>
              <w:tab/>
            </w:r>
            <w:r>
              <w:rPr>
                <w:noProof/>
                <w:webHidden/>
              </w:rPr>
              <w:fldChar w:fldCharType="begin"/>
            </w:r>
            <w:r>
              <w:rPr>
                <w:noProof/>
                <w:webHidden/>
              </w:rPr>
              <w:instrText xml:space="preserve"> PAGEREF _Toc239931077 \h </w:instrText>
            </w:r>
            <w:r>
              <w:rPr>
                <w:noProof/>
                <w:webHidden/>
              </w:rPr>
            </w:r>
            <w:r>
              <w:rPr>
                <w:noProof/>
                <w:webHidden/>
              </w:rPr>
              <w:fldChar w:fldCharType="separate"/>
            </w:r>
            <w:r>
              <w:rPr>
                <w:noProof/>
                <w:webHidden/>
              </w:rPr>
              <w:t>34</w:t>
            </w:r>
            <w:r>
              <w:rPr>
                <w:noProof/>
                <w:webHidden/>
              </w:rPr>
              <w:fldChar w:fldCharType="end"/>
            </w:r>
          </w:hyperlink>
        </w:p>
        <w:p w14:paraId="3C6CD019" w14:textId="2A278A00"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78" w:history="1">
            <w:r w:rsidRPr="00007093">
              <w:rPr>
                <w:rStyle w:val="Hyperlink"/>
                <w:noProof/>
              </w:rPr>
              <w:t>Ongoing development and refinement</w:t>
            </w:r>
            <w:r>
              <w:rPr>
                <w:noProof/>
                <w:webHidden/>
              </w:rPr>
              <w:tab/>
            </w:r>
            <w:r>
              <w:rPr>
                <w:noProof/>
                <w:webHidden/>
              </w:rPr>
              <w:fldChar w:fldCharType="begin"/>
            </w:r>
            <w:r>
              <w:rPr>
                <w:noProof/>
                <w:webHidden/>
              </w:rPr>
              <w:instrText xml:space="preserve"> PAGEREF _Toc239931078 \h </w:instrText>
            </w:r>
            <w:r>
              <w:rPr>
                <w:noProof/>
                <w:webHidden/>
              </w:rPr>
            </w:r>
            <w:r>
              <w:rPr>
                <w:noProof/>
                <w:webHidden/>
              </w:rPr>
              <w:fldChar w:fldCharType="separate"/>
            </w:r>
            <w:r>
              <w:rPr>
                <w:noProof/>
                <w:webHidden/>
              </w:rPr>
              <w:t>34</w:t>
            </w:r>
            <w:r>
              <w:rPr>
                <w:noProof/>
                <w:webHidden/>
              </w:rPr>
              <w:fldChar w:fldCharType="end"/>
            </w:r>
          </w:hyperlink>
        </w:p>
        <w:p w14:paraId="3578300A" w14:textId="13B3DE8B"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79" w:history="1">
            <w:r w:rsidRPr="00007093">
              <w:rPr>
                <w:rStyle w:val="Hyperlink"/>
                <w:noProof/>
              </w:rPr>
              <w:t>Appendices</w:t>
            </w:r>
            <w:r>
              <w:rPr>
                <w:noProof/>
                <w:webHidden/>
              </w:rPr>
              <w:tab/>
            </w:r>
            <w:r>
              <w:rPr>
                <w:noProof/>
                <w:webHidden/>
              </w:rPr>
              <w:fldChar w:fldCharType="begin"/>
            </w:r>
            <w:r>
              <w:rPr>
                <w:noProof/>
                <w:webHidden/>
              </w:rPr>
              <w:instrText xml:space="preserve"> PAGEREF _Toc239931079 \h </w:instrText>
            </w:r>
            <w:r>
              <w:rPr>
                <w:noProof/>
                <w:webHidden/>
              </w:rPr>
            </w:r>
            <w:r>
              <w:rPr>
                <w:noProof/>
                <w:webHidden/>
              </w:rPr>
              <w:fldChar w:fldCharType="separate"/>
            </w:r>
            <w:r>
              <w:rPr>
                <w:noProof/>
                <w:webHidden/>
              </w:rPr>
              <w:t>34</w:t>
            </w:r>
            <w:r>
              <w:rPr>
                <w:noProof/>
                <w:webHidden/>
              </w:rPr>
              <w:fldChar w:fldCharType="end"/>
            </w:r>
          </w:hyperlink>
        </w:p>
        <w:p w14:paraId="5ED7CB1E" w14:textId="5794A397"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80" w:history="1">
            <w:r w:rsidRPr="00007093">
              <w:rPr>
                <w:rStyle w:val="Hyperlink"/>
                <w:noProof/>
              </w:rPr>
              <w:t>Appendix A — Glossary</w:t>
            </w:r>
            <w:r>
              <w:rPr>
                <w:noProof/>
                <w:webHidden/>
              </w:rPr>
              <w:tab/>
            </w:r>
            <w:r>
              <w:rPr>
                <w:noProof/>
                <w:webHidden/>
              </w:rPr>
              <w:fldChar w:fldCharType="begin"/>
            </w:r>
            <w:r>
              <w:rPr>
                <w:noProof/>
                <w:webHidden/>
              </w:rPr>
              <w:instrText xml:space="preserve"> PAGEREF _Toc239931080 \h </w:instrText>
            </w:r>
            <w:r>
              <w:rPr>
                <w:noProof/>
                <w:webHidden/>
              </w:rPr>
            </w:r>
            <w:r>
              <w:rPr>
                <w:noProof/>
                <w:webHidden/>
              </w:rPr>
              <w:fldChar w:fldCharType="separate"/>
            </w:r>
            <w:r>
              <w:rPr>
                <w:noProof/>
                <w:webHidden/>
              </w:rPr>
              <w:t>34</w:t>
            </w:r>
            <w:r>
              <w:rPr>
                <w:noProof/>
                <w:webHidden/>
              </w:rPr>
              <w:fldChar w:fldCharType="end"/>
            </w:r>
          </w:hyperlink>
        </w:p>
        <w:p w14:paraId="179835C9" w14:textId="5AB5AE5E" w:rsidR="00C11A7A" w:rsidRDefault="00C11A7A">
          <w:pPr>
            <w:pStyle w:val="TOC2"/>
            <w:tabs>
              <w:tab w:val="right" w:leader="dot" w:pos="9632"/>
            </w:tabs>
            <w:rPr>
              <w:rFonts w:eastAsiaTheme="minorEastAsia" w:cstheme="minorBidi"/>
              <w:b w:val="0"/>
              <w:bCs w:val="0"/>
              <w:noProof/>
              <w:kern w:val="2"/>
              <w:sz w:val="24"/>
              <w:szCs w:val="24"/>
              <w:lang w:eastAsia="en-GB"/>
              <w14:ligatures w14:val="standardContextual"/>
            </w:rPr>
          </w:pPr>
          <w:hyperlink w:anchor="_Toc239931081" w:history="1">
            <w:r w:rsidRPr="00007093">
              <w:rPr>
                <w:rStyle w:val="Hyperlink"/>
                <w:noProof/>
              </w:rPr>
              <w:t>Appendix B — First Nations Policy Overview</w:t>
            </w:r>
            <w:r>
              <w:rPr>
                <w:noProof/>
                <w:webHidden/>
              </w:rPr>
              <w:tab/>
            </w:r>
            <w:r>
              <w:rPr>
                <w:noProof/>
                <w:webHidden/>
              </w:rPr>
              <w:fldChar w:fldCharType="begin"/>
            </w:r>
            <w:r>
              <w:rPr>
                <w:noProof/>
                <w:webHidden/>
              </w:rPr>
              <w:instrText xml:space="preserve"> PAGEREF _Toc239931081 \h </w:instrText>
            </w:r>
            <w:r>
              <w:rPr>
                <w:noProof/>
                <w:webHidden/>
              </w:rPr>
            </w:r>
            <w:r>
              <w:rPr>
                <w:noProof/>
                <w:webHidden/>
              </w:rPr>
              <w:fldChar w:fldCharType="separate"/>
            </w:r>
            <w:r>
              <w:rPr>
                <w:noProof/>
                <w:webHidden/>
              </w:rPr>
              <w:t>37</w:t>
            </w:r>
            <w:r>
              <w:rPr>
                <w:noProof/>
                <w:webHidden/>
              </w:rPr>
              <w:fldChar w:fldCharType="end"/>
            </w:r>
          </w:hyperlink>
        </w:p>
        <w:p w14:paraId="45542B79" w14:textId="1F29B13D" w:rsidR="00C11A7A" w:rsidRDefault="00C11A7A">
          <w:pPr>
            <w:pStyle w:val="TOC1"/>
            <w:tabs>
              <w:tab w:val="right" w:leader="dot" w:pos="9632"/>
            </w:tabs>
            <w:rPr>
              <w:rFonts w:eastAsiaTheme="minorEastAsia" w:cstheme="minorBidi"/>
              <w:b w:val="0"/>
              <w:bCs w:val="0"/>
              <w:i w:val="0"/>
              <w:iCs w:val="0"/>
              <w:noProof/>
              <w:kern w:val="2"/>
              <w:lang w:eastAsia="en-GB"/>
              <w14:ligatures w14:val="standardContextual"/>
            </w:rPr>
          </w:pPr>
          <w:hyperlink w:anchor="_Toc239931082" w:history="1">
            <w:r w:rsidRPr="00007093">
              <w:rPr>
                <w:rStyle w:val="Hyperlink"/>
                <w:noProof/>
              </w:rPr>
              <w:t>Copyright disclaimer</w:t>
            </w:r>
            <w:r>
              <w:rPr>
                <w:noProof/>
                <w:webHidden/>
              </w:rPr>
              <w:tab/>
            </w:r>
            <w:r>
              <w:rPr>
                <w:noProof/>
                <w:webHidden/>
              </w:rPr>
              <w:fldChar w:fldCharType="begin"/>
            </w:r>
            <w:r>
              <w:rPr>
                <w:noProof/>
                <w:webHidden/>
              </w:rPr>
              <w:instrText xml:space="preserve"> PAGEREF _Toc239931082 \h </w:instrText>
            </w:r>
            <w:r>
              <w:rPr>
                <w:noProof/>
                <w:webHidden/>
              </w:rPr>
            </w:r>
            <w:r>
              <w:rPr>
                <w:noProof/>
                <w:webHidden/>
              </w:rPr>
              <w:fldChar w:fldCharType="separate"/>
            </w:r>
            <w:r>
              <w:rPr>
                <w:noProof/>
                <w:webHidden/>
              </w:rPr>
              <w:t>39</w:t>
            </w:r>
            <w:r>
              <w:rPr>
                <w:noProof/>
                <w:webHidden/>
              </w:rPr>
              <w:fldChar w:fldCharType="end"/>
            </w:r>
          </w:hyperlink>
        </w:p>
        <w:p w14:paraId="5A39580F" w14:textId="77777777" w:rsidR="00BC3E97" w:rsidRDefault="00BC3E97">
          <w:r>
            <w:rPr>
              <w:b/>
              <w:bCs/>
              <w:noProof/>
            </w:rPr>
            <w:fldChar w:fldCharType="end"/>
          </w:r>
        </w:p>
      </w:sdtContent>
    </w:sdt>
    <w:p w14:paraId="64F40D8A" w14:textId="77777777" w:rsidR="00A02B5A" w:rsidRDefault="00A02B5A">
      <w:pPr>
        <w:widowControl w:val="0"/>
        <w:autoSpaceDE w:val="0"/>
        <w:autoSpaceDN w:val="0"/>
        <w:spacing w:after="0" w:line="240" w:lineRule="auto"/>
        <w:rPr>
          <w:b/>
          <w:bCs/>
        </w:rPr>
      </w:pPr>
      <w:r>
        <w:rPr>
          <w:b/>
          <w:bCs/>
        </w:rPr>
        <w:br w:type="page"/>
      </w:r>
    </w:p>
    <w:p w14:paraId="01B85C06" w14:textId="77777777" w:rsidR="00C957CB" w:rsidRDefault="00C957CB" w:rsidP="00C957CB">
      <w:bookmarkStart w:id="11" w:name="_Toc236310090"/>
      <w:r>
        <w:rPr>
          <w:noProof/>
        </w:rPr>
        <w:lastRenderedPageBreak/>
        <w:drawing>
          <wp:inline distT="0" distB="0" distL="0" distR="0" wp14:anchorId="21E4D8E0" wp14:editId="6360CDB5">
            <wp:extent cx="6122670" cy="6122670"/>
            <wp:effectExtent l="0" t="0" r="0" b="0"/>
            <wp:docPr id="65614503" name="Picture 1" descr="nyuka-yangga (to approach, to come this way)&#13;&#10;Artist: Emma Bambl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4503" name="Picture 1" descr="nyuka-yangga (to approach, to come this way)&#13;&#10;Artist: Emma Bamblett"/>
                    <pic:cNvPicPr/>
                  </pic:nvPicPr>
                  <pic:blipFill>
                    <a:blip r:embed="rId13">
                      <a:extLst>
                        <a:ext uri="{28A0092B-C50C-407E-A947-70E740481C1C}">
                          <a14:useLocalDpi xmlns:a14="http://schemas.microsoft.com/office/drawing/2010/main" val="0"/>
                        </a:ext>
                      </a:extLst>
                    </a:blip>
                    <a:stretch>
                      <a:fillRect/>
                    </a:stretch>
                  </pic:blipFill>
                  <pic:spPr>
                    <a:xfrm>
                      <a:off x="0" y="0"/>
                      <a:ext cx="6122670" cy="6122670"/>
                    </a:xfrm>
                    <a:prstGeom prst="rect">
                      <a:avLst/>
                    </a:prstGeom>
                  </pic:spPr>
                </pic:pic>
              </a:graphicData>
            </a:graphic>
          </wp:inline>
        </w:drawing>
      </w:r>
    </w:p>
    <w:p w14:paraId="18AF1372" w14:textId="77777777" w:rsidR="00BC3E97" w:rsidRDefault="00BC3E97" w:rsidP="00BC3E97">
      <w:pPr>
        <w:pStyle w:val="Heading1"/>
      </w:pPr>
      <w:bookmarkStart w:id="12" w:name="_Toc239930989"/>
      <w:r>
        <w:t>Artwork information</w:t>
      </w:r>
      <w:bookmarkEnd w:id="11"/>
      <w:bookmarkEnd w:id="12"/>
    </w:p>
    <w:p w14:paraId="0F89B7EA" w14:textId="77777777" w:rsidR="00BC3E97" w:rsidRDefault="00BC3E97" w:rsidP="00BC3E97">
      <w:r>
        <w:t>Artwork Name: nyuka-yangga (to approach, to come this way)</w:t>
      </w:r>
    </w:p>
    <w:p w14:paraId="316138AB" w14:textId="77777777" w:rsidR="00BC3E97" w:rsidRDefault="00BC3E97" w:rsidP="00BC3E97">
      <w:r>
        <w:rPr>
          <w:b/>
        </w:rPr>
        <w:t xml:space="preserve">Artist: </w:t>
      </w:r>
      <w:r>
        <w:t>Emma Bamblett</w:t>
      </w:r>
    </w:p>
    <w:p w14:paraId="79C7B57C" w14:textId="77777777" w:rsidR="00BC3E97" w:rsidRDefault="00BC3E97" w:rsidP="00BC3E97">
      <w:r>
        <w:rPr>
          <w:b/>
        </w:rPr>
        <w:t xml:space="preserve">Mob: </w:t>
      </w:r>
      <w:r>
        <w:t xml:space="preserve">Wemba </w:t>
      </w:r>
      <w:proofErr w:type="spellStart"/>
      <w:r>
        <w:t>Wemba</w:t>
      </w:r>
      <w:proofErr w:type="spellEnd"/>
      <w:r>
        <w:t xml:space="preserve">, Gunditjmara, </w:t>
      </w:r>
      <w:proofErr w:type="spellStart"/>
      <w:r>
        <w:t>Ngadjonji</w:t>
      </w:r>
      <w:proofErr w:type="spellEnd"/>
      <w:r>
        <w:t xml:space="preserve"> and </w:t>
      </w:r>
      <w:proofErr w:type="spellStart"/>
      <w:r>
        <w:t>Taungurung</w:t>
      </w:r>
      <w:proofErr w:type="spellEnd"/>
      <w:r>
        <w:t xml:space="preserve"> Connections</w:t>
      </w:r>
    </w:p>
    <w:p w14:paraId="7D8A4D2E" w14:textId="77777777" w:rsidR="00BC3E97" w:rsidRDefault="00BC3E97" w:rsidP="00BC3E97">
      <w:r>
        <w:t>nyuka-yangga is a visual representation of the ‘Marrung 2026–2036 First Nations Education Strategy’, and the education journey from early childhood to tertiary pathways. Red and ochre streams represent the guiding principles of self-determination, advancing systemic transformation, and cultural safety and responsiveness.</w:t>
      </w:r>
    </w:p>
    <w:p w14:paraId="3DBFD6B8" w14:textId="77777777" w:rsidR="00BC3E97" w:rsidRDefault="00BC3E97" w:rsidP="00BC3E97">
      <w:r>
        <w:t>Connected symbols reflect the strategy’s six priorities: workforce capacity and capability; First Nations leadership and partnership; First Nations languages; curriculum and teacher practice; learner engagement, participation and voice; and transitions and pathways.</w:t>
      </w:r>
    </w:p>
    <w:p w14:paraId="039D382D" w14:textId="77777777" w:rsidR="00BC3E97" w:rsidRDefault="00BC3E97" w:rsidP="00BC3E97">
      <w:r>
        <w:lastRenderedPageBreak/>
        <w:t>Blue waterways connect these elements, while Murray cod symbolise partnership between the department and community. Gathering places and repeated linework acknowledge Elders sharing knowledge, culture and support through consultation, listening and connection.</w:t>
      </w:r>
    </w:p>
    <w:p w14:paraId="4180B5F8" w14:textId="77777777" w:rsidR="00BC3E97" w:rsidRDefault="00BC3E97" w:rsidP="00BC3E97">
      <w:pPr>
        <w:pStyle w:val="Heading1"/>
      </w:pPr>
      <w:bookmarkStart w:id="13" w:name="_Toc238720406"/>
      <w:bookmarkStart w:id="14" w:name="_Toc239930990"/>
      <w:bookmarkEnd w:id="13"/>
      <w:r>
        <w:t>Introduction from the Victorian Aboriginal Education Association Incorporation</w:t>
      </w:r>
      <w:bookmarkEnd w:id="14"/>
    </w:p>
    <w:p w14:paraId="01D1B79A" w14:textId="77777777" w:rsidR="00BC3E97" w:rsidRDefault="00BC3E97" w:rsidP="00BC3E97">
      <w:pPr>
        <w:pStyle w:val="Heading2"/>
      </w:pPr>
      <w:bookmarkStart w:id="15" w:name="_Toc238720407"/>
      <w:bookmarkStart w:id="16" w:name="_Toc239930991"/>
      <w:r>
        <w:t>Geraldine Atkinson</w:t>
      </w:r>
      <w:bookmarkEnd w:id="15"/>
      <w:bookmarkEnd w:id="16"/>
    </w:p>
    <w:p w14:paraId="657D2D84" w14:textId="77777777" w:rsidR="00BC3E97" w:rsidRDefault="00BC3E97" w:rsidP="00BC3E97">
      <w:proofErr w:type="spellStart"/>
      <w:r>
        <w:t>Marrung</w:t>
      </w:r>
      <w:proofErr w:type="spellEnd"/>
      <w:r>
        <w:t xml:space="preserve"> is built on self-determination, giving our communities a recognised voice and a central place at the table across education and training systems. When community partnerships are nurtured with respect and honesty, we grow a stronger education system, one that values Koorie history, culture and identity. Like a tree, </w:t>
      </w:r>
      <w:proofErr w:type="spellStart"/>
      <w:r>
        <w:t>Marrung</w:t>
      </w:r>
      <w:proofErr w:type="spellEnd"/>
      <w:r>
        <w:t xml:space="preserve"> reminds us that our knowledge has deep roots and our branches are connected.</w:t>
      </w:r>
    </w:p>
    <w:p w14:paraId="0E47FEFE" w14:textId="77777777" w:rsidR="00BC3E97" w:rsidRDefault="00BC3E97" w:rsidP="00BC3E97">
      <w:r>
        <w:t>The Victorian Aboriginal Education Association Incorporated (VAEAI) is proud to introduce ‘Marrung 2026–2036’, Victoria’s First Nations education strategy. ‘Marrung 2026–2036’ provides the framework to ensure all Koorie Victorians are supported to achieve their learning aspirations across all stages of education. ‘Marrung’ (pronounced MA-roong) is the Wamba Wemba word for the Murray Cypress pine tree. Marrung represents growth, strength and the interconnected branches of education and knowledge that support lifelong learning.</w:t>
      </w:r>
    </w:p>
    <w:p w14:paraId="7B0E1F2D" w14:textId="77777777" w:rsidR="00BC3E97" w:rsidRDefault="00BC3E97" w:rsidP="00BC3E97">
      <w:r>
        <w:t>The first ‘Marrung Aboriginal Education Plan’ (2016–2026) was the most proactive Aboriginal education plan developed in Victoria. Its 10-year structure ensured continuity and stability, enabling the strategy to continue beyond changes in government. Marrung’s focus was on creating an education system that is inclusive, culturally responsive and grounded in respect for Koorie learners, culture and community.</w:t>
      </w:r>
    </w:p>
    <w:p w14:paraId="67CEF76F" w14:textId="77777777" w:rsidR="00BC3E97" w:rsidRDefault="00BC3E97" w:rsidP="00BC3E97">
      <w:r>
        <w:t>VAEAI was formed 50 years ago as the Victorian Aboriginal Education Consultative Group — with the aim to increase the voice of Koorie people in education and training decision-making to create better educational outcomes for the Victorian Koorie community. In 1990, the ‘Partnership in Education: Koorie Education Policy’ was formalised between VAEAI and the Victorian Government, the first partnership of its kind in Australia. Within the context of this partnership, Marrung was able to develop and thrive.</w:t>
      </w:r>
    </w:p>
    <w:p w14:paraId="09F7415B" w14:textId="77777777" w:rsidR="00BC3E97" w:rsidRDefault="00BC3E97" w:rsidP="00BC3E97">
      <w:r>
        <w:t>Marrung has provided a solid governance structure for Koorie self-determination in Victorian education and training, amplifying Koorie voices through Local Aboriginal Education Consultative Groups (LAECGs), Koorie Education Roundtables, Regional Partnership Forums, Marrung Central Governance Committee and the Marrung Ministerial Roundtable.</w:t>
      </w:r>
    </w:p>
    <w:p w14:paraId="6D930657" w14:textId="77777777" w:rsidR="00BC3E97" w:rsidRDefault="00BC3E97" w:rsidP="00BC3E97">
      <w:r>
        <w:t>Under Marrung, improvements in learning experiences and outcomes for the Koorie community include increased kindergarten participation, higher Year 12 completion rates, improved TAFE outcomes and growth in university enrolments. Initiatives under Marrung include the naming of all new Victorian government schools in a local Aboriginal language — through the work of the Victorian School Building Authority. The introduction of Marrung Leads in schools and the establishment of Marrung Area Implementation Teams further reflect key achievements in embedding Marrung across the school system.</w:t>
      </w:r>
    </w:p>
    <w:p w14:paraId="3C671FFB" w14:textId="77777777" w:rsidR="00BC3E97" w:rsidRDefault="00BC3E97" w:rsidP="00BC3E97">
      <w:r>
        <w:lastRenderedPageBreak/>
        <w:t>‘Marrung 2026–2036’ builds on the solid foundations of the original 10-year plan, strengthening and extending partnerships and frameworks to embed greater accountability across the education and training system and better meet the aspirations of the Koorie community.</w:t>
      </w:r>
    </w:p>
    <w:p w14:paraId="5B42BB12" w14:textId="77777777" w:rsidR="00BC3E97" w:rsidRDefault="00BC3E97" w:rsidP="00BC3E97">
      <w:r>
        <w:t>As VAEAI looks to the future, we acknowledge that there is still important work to be done across education and training systems. Addressing racism, strengthening cultural safety, and improving attendance remain critical priorities to ensure Koorie learners feel safe and supported across all Victorian education and training sectors.</w:t>
      </w:r>
    </w:p>
    <w:p w14:paraId="2A0F880B" w14:textId="77777777" w:rsidR="00BC3E97" w:rsidRDefault="00BC3E97" w:rsidP="00BC3E97">
      <w:r>
        <w:t>We would also like to acknowledge the support of the Victorian Aboriginal Child and Community Agency, the Victorian Aboriginal Community Controlled Health Organisation, the Victorian Aboriginal Community Services Association Limited and the Koorie Youth Council in informing the development of ‘Marrung 2026–2036’.</w:t>
      </w:r>
    </w:p>
    <w:p w14:paraId="30E2D40E" w14:textId="77777777" w:rsidR="00BC3E97" w:rsidRDefault="00BC3E97" w:rsidP="00BC3E97">
      <w:r>
        <w:t>The important contributions from these Aboriginal Community-Controlled Organisations have been invaluable in providing insights from a cross-sector perspective.</w:t>
      </w:r>
    </w:p>
    <w:p w14:paraId="08EDF08F" w14:textId="77777777" w:rsidR="00BC3E97" w:rsidRDefault="00BC3E97" w:rsidP="00BC3E97">
      <w:r>
        <w:t>This is an exciting time for the Victorian Koorie community, with statewide Treaty negotiations progressing and the establishment of Gellung Warl, the First Peoples’ representative body. Within this evolving landscape, VAEAI’s strong community-based structure and longstanding partnership with the Victorian Government place us in a strong position to drive broader statewide conversations, actions and outcomes for Koorie self-determination across education and training.</w:t>
      </w:r>
    </w:p>
    <w:p w14:paraId="2B325EC4" w14:textId="77777777" w:rsidR="00BC3E97" w:rsidRDefault="00BC3E97" w:rsidP="00BC3E97">
      <w:r>
        <w:t>When we talk about Koorie learners, we are talking about babies, children, young people, adults, aunties, uncles, families, carers and the communities that surround them. VAEAI will continue to advocate for education as a lifelong journey — from birth through to adulthood — journeys which must be culturally strong, community-led and aspirational.</w:t>
      </w:r>
    </w:p>
    <w:p w14:paraId="466A3D40" w14:textId="77777777" w:rsidR="00BC3E97" w:rsidRDefault="00BC3E97" w:rsidP="00BC3E97">
      <w:r>
        <w:rPr>
          <w:b/>
        </w:rPr>
        <w:t xml:space="preserve">Geraldine Atkinson, </w:t>
      </w:r>
      <w:proofErr w:type="spellStart"/>
      <w:r>
        <w:rPr>
          <w:b/>
        </w:rPr>
        <w:t>Bangerang</w:t>
      </w:r>
      <w:proofErr w:type="spellEnd"/>
      <w:r>
        <w:rPr>
          <w:b/>
        </w:rPr>
        <w:br/>
        <w:t>President, Victorian Aboriginal Education Association Incorporated</w:t>
      </w:r>
    </w:p>
    <w:p w14:paraId="01ACBED3" w14:textId="77777777" w:rsidR="00BC3E97" w:rsidRDefault="00BC3E97" w:rsidP="00BC3E97">
      <w:pPr>
        <w:pStyle w:val="Heading1"/>
      </w:pPr>
      <w:bookmarkStart w:id="17" w:name="_Toc238720408"/>
      <w:bookmarkStart w:id="18" w:name="_Toc239930992"/>
      <w:r>
        <w:t>Vision</w:t>
      </w:r>
      <w:bookmarkEnd w:id="17"/>
      <w:bookmarkEnd w:id="18"/>
    </w:p>
    <w:p w14:paraId="5B216384" w14:textId="77777777" w:rsidR="00BC3E97" w:rsidRDefault="00BC3E97" w:rsidP="00BC3E97">
      <w:r>
        <w:t>Victoria will be a state where:</w:t>
      </w:r>
    </w:p>
    <w:p w14:paraId="2AF3A802" w14:textId="77777777" w:rsidR="00BC3E97" w:rsidRDefault="00BC3E97" w:rsidP="00BC3E97">
      <w:pPr>
        <w:pStyle w:val="ListBullet"/>
        <w:tabs>
          <w:tab w:val="num" w:pos="360"/>
        </w:tabs>
        <w:ind w:left="360" w:hanging="360"/>
      </w:pPr>
      <w:r>
        <w:t>The rich and thriving cultures, knowledge and experiences of First Nations people are celebrated by all Victorians</w:t>
      </w:r>
    </w:p>
    <w:p w14:paraId="6081122B" w14:textId="77777777" w:rsidR="00BC3E97" w:rsidRDefault="00BC3E97" w:rsidP="00BC3E97">
      <w:pPr>
        <w:pStyle w:val="ListBullet"/>
        <w:tabs>
          <w:tab w:val="num" w:pos="360"/>
        </w:tabs>
        <w:ind w:left="360" w:hanging="360"/>
      </w:pPr>
      <w:r>
        <w:t>education service systems are inclusive, responsive and respectful of First Nations people at every stage of the learning and development journey</w:t>
      </w:r>
    </w:p>
    <w:p w14:paraId="52A2D35C" w14:textId="77777777" w:rsidR="00BC3E97" w:rsidRDefault="00BC3E97" w:rsidP="00BC3E97">
      <w:pPr>
        <w:pStyle w:val="ListBullet"/>
        <w:tabs>
          <w:tab w:val="num" w:pos="360"/>
        </w:tabs>
        <w:ind w:left="360" w:hanging="360"/>
      </w:pPr>
      <w:r>
        <w:t>every First Nations person achieves their aspirations and is strong in their cultural identity.</w:t>
      </w:r>
    </w:p>
    <w:p w14:paraId="4B936529" w14:textId="77777777" w:rsidR="00BC3E97" w:rsidRDefault="00BC3E97" w:rsidP="00BC3E97">
      <w:pPr>
        <w:pStyle w:val="Heading1"/>
      </w:pPr>
      <w:bookmarkStart w:id="19" w:name="_Toc238720409"/>
      <w:bookmarkStart w:id="20" w:name="_Toc239930993"/>
      <w:r>
        <w:t>Ministers’ Foreword</w:t>
      </w:r>
      <w:bookmarkEnd w:id="19"/>
      <w:bookmarkEnd w:id="20"/>
    </w:p>
    <w:p w14:paraId="709CAF95" w14:textId="77777777" w:rsidR="00D72639" w:rsidRDefault="00D72639" w:rsidP="00D72639">
      <w:r w:rsidRPr="00EF538B">
        <w:t>Education is the cornerstone of opportunity, and for Victoria’s First Nations communities, it is a vital pathway to realising the aspirations of self-determination.</w:t>
      </w:r>
    </w:p>
    <w:p w14:paraId="4608D13A" w14:textId="77777777" w:rsidR="00D72639" w:rsidRPr="00EF538B" w:rsidRDefault="00D72639" w:rsidP="00D72639">
      <w:r>
        <w:t xml:space="preserve">We are proud to present ‘Marrung 2026–2036: First Nations Education Strategy’, a comprehensive blueprint to support every First Nations learner to achieve their aspirations. This strategy is underpinned by 3 guiding principles: self-determination, cultural safety and responsiveness, and advancing systemic transformation. It represents our unwavering </w:t>
      </w:r>
      <w:r>
        <w:lastRenderedPageBreak/>
        <w:t>commitment to creating an education system that is inclusive, responsive and respectful, and which celebrates First Nations cultures, histories, and knowledge.</w:t>
      </w:r>
    </w:p>
    <w:p w14:paraId="5B4F7FB3" w14:textId="77777777" w:rsidR="00D72639" w:rsidRPr="00EF538B" w:rsidRDefault="00D72639" w:rsidP="00D72639">
      <w:r>
        <w:t>‘Marrung 2026–2036’ has been guided by the voices, wisdom, and resilience of First Nations communities across the state. As the ministers responsible for Children, Education, and Skills and Training, we are united in our dedication to ensuring that the policies and programs shaping First Nations educational experiences are informed by the knowledge and experience of First Nations people.</w:t>
      </w:r>
    </w:p>
    <w:p w14:paraId="13E2E9DF" w14:textId="77777777" w:rsidR="00D72639" w:rsidRPr="00EF538B" w:rsidRDefault="00D72639" w:rsidP="00D72639">
      <w:r w:rsidRPr="00EF538B">
        <w:t>To achieve true equity, our approach must be holistic, supporting learners across every stage of their education journey. From the early years where foundational development begins, through</w:t>
      </w:r>
      <w:r>
        <w:t>out</w:t>
      </w:r>
      <w:r w:rsidRPr="00EF538B">
        <w:t xml:space="preserve"> the vital school years across all sectors, </w:t>
      </w:r>
      <w:r>
        <w:t>and on to tertiary education including vocational training opportunities and university</w:t>
      </w:r>
      <w:r w:rsidRPr="00EF538B">
        <w:t>, this strategy spans the entire life course.</w:t>
      </w:r>
    </w:p>
    <w:p w14:paraId="0332BC73" w14:textId="77777777" w:rsidR="00D72639" w:rsidRPr="00EF538B" w:rsidRDefault="00D72639" w:rsidP="00D72639">
      <w:r>
        <w:t>Importantly, ‘Marrung 2026–2036’ marks a truly sector-wide commitment to First Nations education. For the first time, this strategy formally includes the Catholic and independent school sectors alongside the government school sector, forging a unified, statewide approach. This landmark collaboration ensures that, regardless of where First Nations students learn, they will be supported by a culturally responsive and respectful education system that prioritises their success and wellbeing.</w:t>
      </w:r>
    </w:p>
    <w:p w14:paraId="4C74303D" w14:textId="77777777" w:rsidR="00D72639" w:rsidRPr="00EF538B" w:rsidRDefault="00D72639" w:rsidP="00D72639">
      <w:r>
        <w:t>‘Marrung 2026–2036’ would not be possible without the profound expertise of our community partners, who have walked alongside us every step of the way. We extend our deepest gratitude to the Victorian Aboriginal Education Association Incorporated (VAEAI), our principal partner in education. VAEAI’s tireless advocacy of First Nations educational needs has been a guiding force behind our shared efforts to transform our system.</w:t>
      </w:r>
    </w:p>
    <w:p w14:paraId="206B714D" w14:textId="77777777" w:rsidR="00D72639" w:rsidRDefault="00D72639" w:rsidP="00D72639">
      <w:r>
        <w:t>We also recognise that educational success is intrinsically linked to the community’s broader health, wellbeing, and empowerment. To this end, we acknowledge the essential contributions of the Koorie Youth Council, Victorian Aboriginal Child and Community Agency, the Victorian Aboriginal Community Controlled Health Organisation, and the Victorian Aboriginal Community Services Association Limited.</w:t>
      </w:r>
    </w:p>
    <w:p w14:paraId="54E658FC" w14:textId="77777777" w:rsidR="00D72639" w:rsidRPr="00EF538B" w:rsidRDefault="00D72639" w:rsidP="00D72639">
      <w:r>
        <w:t>Together, these organisations have ensured that ‘Marrung 2026-2036’ is holistic in its approach, resonates at the grassroots level, and elevates the voices of First Nations people.</w:t>
      </w:r>
    </w:p>
    <w:p w14:paraId="23F0965D" w14:textId="77777777" w:rsidR="00D72639" w:rsidRPr="00EF538B" w:rsidRDefault="00D72639" w:rsidP="00D72639">
      <w:r>
        <w:t>In implementing ‘Marrung 2026–2036’, our collective focus is on rigorous, transparent, and accountable implementation that translates the promises of this strategy into tangible, on-the-ground outcomes. This means delivering initiatives that promote cultural safety, combat racism, and elevate First Nations perspectives across all educational settings. We commit to holding ourselves accountable to the community for the progress we make together, marking a new era of shared responsibility.</w:t>
      </w:r>
    </w:p>
    <w:p w14:paraId="5FC526F4" w14:textId="77777777" w:rsidR="00D72639" w:rsidRDefault="00D72639" w:rsidP="00D72639">
      <w:r w:rsidRPr="00EF538B">
        <w:t>We invite all Victorians</w:t>
      </w:r>
      <w:r>
        <w:t xml:space="preserve"> </w:t>
      </w:r>
      <w:r w:rsidRPr="00EF538B">
        <w:t xml:space="preserve">to embrace the vision outlined in this strategy. Together, in true partnership with </w:t>
      </w:r>
      <w:r>
        <w:t>First Nations</w:t>
      </w:r>
      <w:r w:rsidRPr="00EF538B">
        <w:t xml:space="preserve"> communities, we can</w:t>
      </w:r>
      <w:r>
        <w:t xml:space="preserve"> continue to</w:t>
      </w:r>
      <w:r w:rsidRPr="00EF538B">
        <w:t xml:space="preserve"> build an education system that not only closes the gap but sets a new standard of excellence, equity, and self-determination. We look forward to walking this path with you</w:t>
      </w:r>
      <w:r>
        <w:t>.</w:t>
      </w:r>
    </w:p>
    <w:p w14:paraId="29744F2F" w14:textId="77777777" w:rsidR="00BC3E97" w:rsidRDefault="00BC3E97" w:rsidP="00BC3E97">
      <w:r>
        <w:t>Gabrielle Williams MP</w:t>
      </w:r>
      <w:r>
        <w:br/>
        <w:t>Deputy Premier</w:t>
      </w:r>
      <w:r>
        <w:br/>
        <w:t>Minister for Education</w:t>
      </w:r>
      <w:r>
        <w:br/>
        <w:t>Minister for Skills and Training</w:t>
      </w:r>
      <w:r>
        <w:br/>
      </w:r>
      <w:r>
        <w:lastRenderedPageBreak/>
        <w:t>Minister for First Peoples</w:t>
      </w:r>
      <w:r>
        <w:br/>
        <w:t>Minister for Women and Gender Equality</w:t>
      </w:r>
    </w:p>
    <w:p w14:paraId="6E0E912B" w14:textId="77777777" w:rsidR="00D72639" w:rsidRDefault="00D72639" w:rsidP="00D72639">
      <w:r>
        <w:t>Hon. Lizzie Blandthorn MP</w:t>
      </w:r>
      <w:r>
        <w:br/>
        <w:t>Deputy Leader of the Government in the Legislative Council</w:t>
      </w:r>
      <w:r>
        <w:br/>
        <w:t>Minister for Children</w:t>
      </w:r>
      <w:r>
        <w:br/>
        <w:t>Minister for Disability</w:t>
      </w:r>
    </w:p>
    <w:p w14:paraId="3FE40952" w14:textId="77777777" w:rsidR="00BC3E97" w:rsidRDefault="00BC3E97" w:rsidP="00BC3E97">
      <w:pPr>
        <w:pStyle w:val="Heading1"/>
      </w:pPr>
      <w:bookmarkStart w:id="21" w:name="_Toc238720410"/>
      <w:bookmarkStart w:id="22" w:name="_Toc239930994"/>
      <w:r>
        <w:t>Policy Context</w:t>
      </w:r>
      <w:bookmarkEnd w:id="21"/>
      <w:bookmarkEnd w:id="22"/>
    </w:p>
    <w:p w14:paraId="2A465B71" w14:textId="77777777" w:rsidR="00BC3E97" w:rsidRDefault="00BC3E97" w:rsidP="00BC3E97">
      <w:r>
        <w:t>Victoria’s journey in First Nations education has been shaped by decades of strong advocacy, partnership and reform. From early commitments such as ‘Partnership in Education: Koorie Education Policy’ (1990), ‘Yalca’ (2001) and ‘Wannik’ (2008), successive strategies have been grounded in formal partnership with VAEAI, ensuring First Nations community voice and leadership remain central to education policy and decision-making.</w:t>
      </w:r>
    </w:p>
    <w:p w14:paraId="682ED0EB" w14:textId="77777777" w:rsidR="00BC3E97" w:rsidRDefault="00BC3E97" w:rsidP="00BC3E97">
      <w:r>
        <w:t>‘Marrung: Aboriginal Education Plan 2016–2026’ marked a significant step forward. Co-designed with VAEAI, Marrung focused on creating an inclusive, culturally safe, and responsive education system by strengthening self-determination and fostering deeper connections between learners, their families, communities and education providers.</w:t>
      </w:r>
    </w:p>
    <w:p w14:paraId="6711C386" w14:textId="77777777" w:rsidR="00BC3E97" w:rsidRDefault="00BC3E97" w:rsidP="00BC3E97">
      <w:r>
        <w:t>As the first phase concluded, ‘Marrung 2026–2036’ has been developed to drive a more ambitious, whole-of-system transformation spanning early childhood through to tertiary education. ‘Marrung 2026–2036’ operates within a broader landscape of state and national reform that is redefining government relationships with First Nations peoples. In Victoria, through the country’s first Treaty, a new relationship between the state and First Nations people is being forged based on respect, trust, accountability and integrity.</w:t>
      </w:r>
    </w:p>
    <w:p w14:paraId="2F86EB0F" w14:textId="77777777" w:rsidR="00BC3E97" w:rsidRDefault="00BC3E97" w:rsidP="00BC3E97">
      <w:r>
        <w:t xml:space="preserve">Victoria’s Statewide Treaty, the work of the </w:t>
      </w:r>
      <w:proofErr w:type="spellStart"/>
      <w:r>
        <w:t>Yoorrook</w:t>
      </w:r>
      <w:proofErr w:type="spellEnd"/>
      <w:r>
        <w:t xml:space="preserve"> Justice Commission, the Self-Determination Reform Framework, and the National Agreement on Closing the Gap all reinforce the importance of transferring decision-making and resources to First Nations communities. This next phase heavily prioritises self-determination and aligns with critical state and national commitments, including efforts across government to improve social, health, wellbeing, disability inclusion, housing and justice outcomes for First Nations peoples. We know that education is a key protective factor across all areas and stages of life. Strong engagement and attainment in education contribute to improved wellbeing and stronger cultural connection, with well-established links to future positive outcomes such as increased economic participation and housing security, and reduced risks of homelessness, family violence, child protection, contact with the justice system and adverse health outcomes.</w:t>
      </w:r>
    </w:p>
    <w:p w14:paraId="65F47032" w14:textId="77777777" w:rsidR="00F85EAC" w:rsidRPr="00FB2DA7" w:rsidRDefault="00F85EAC" w:rsidP="00F85EAC">
      <w:pPr>
        <w:rPr>
          <w:color w:val="FF0000"/>
        </w:rPr>
      </w:pPr>
      <w:r>
        <w:t>‘Marrung 2026-2036’ is intended to complement broader reform efforts across government as well as enhance collaboration across systems.</w:t>
      </w:r>
    </w:p>
    <w:p w14:paraId="6D810E85" w14:textId="77777777" w:rsidR="00BC3E97" w:rsidRDefault="00BC3E97" w:rsidP="00BC3E97">
      <w:r>
        <w:t>This strategy has been co-designed with VAEAI, the Victorian Government’s principal partner in Koorie education and training, with support from the Victorian Aboriginal Community Controlled Health Organisation, Victorian Aboriginal Community Services Association Limited, Victorian Aboriginal Child and Community Agency, and the Koorie Youth Council, and will be implemented with their support. These partnerships have ensured that community priorities shape the development and implementation of ‘Marrung 2026–2036’, and that accountability is grounded in community-defined measures of success.</w:t>
      </w:r>
    </w:p>
    <w:p w14:paraId="0B16F4CA" w14:textId="77777777" w:rsidR="00BC3E97" w:rsidRDefault="00BC3E97" w:rsidP="00BC3E97">
      <w:r>
        <w:lastRenderedPageBreak/>
        <w:t>A key shift in this next phase is the strengthening of cross-sector collaboration. For the first time, Independent Schools Victoria (ISV) and the Victorian Catholic Education Authority (VCEA) join government and community partners in a shared responsibility for all First Nations learners across the state. This builds on the longstanding approach of VAEAI, whose advocacy and partnership has long been sector-blind, championing improved outcomes across all education systems.</w:t>
      </w:r>
    </w:p>
    <w:p w14:paraId="0AB98F3A" w14:textId="77777777" w:rsidR="00BC3E97" w:rsidRDefault="00BC3E97" w:rsidP="00BC3E97">
      <w:r>
        <w:t>This strategy also includes Victoria’s diverse tertiary education system, including local adult community and further education providers, Aboriginal Community Controlled Registered Training Organisations, public TAFEs and dual sector universities, other Vocational Education and Training (VET) providers, and Victoria’s universities. Victorian universities are included in this strategy, with action to support improved outcomes for First Nations people at university, and universities’ engagement with First Nations communities will be guided through the Toorong Marnong Higher Education Accord, the partnership between VAEAI and the Victorian Vice-Chancellors’ Committee.</w:t>
      </w:r>
    </w:p>
    <w:p w14:paraId="0BB84D22" w14:textId="77777777" w:rsidR="00BC3E97" w:rsidRDefault="00BC3E97" w:rsidP="00BC3E97">
      <w:r>
        <w:t>Recognising education as a connected lifelong journey, ‘Marrung 2026–2036’ commits to accelerating action to improve outcomes for First Nations learners and integrating reforms across all educational stages. This includes a steadfast focus on advancing systemic transformation, cultural safety and responsiveness, and self-determination, embedded through the strategy as guiding principles to underpin this continuing work.</w:t>
      </w:r>
    </w:p>
    <w:p w14:paraId="4F6C26FE" w14:textId="4B3995BE" w:rsidR="00BC3E97" w:rsidRDefault="00000000" w:rsidP="00C11A7A">
      <w:pPr>
        <w:pStyle w:val="Heading1"/>
      </w:pPr>
      <w:bookmarkStart w:id="23" w:name="_Toc239930995"/>
      <w:r>
        <w:t>Data</w:t>
      </w:r>
      <w:r w:rsidR="00C11A7A">
        <w:t>:</w:t>
      </w:r>
      <w:bookmarkStart w:id="24" w:name="_Toc238720411"/>
      <w:bookmarkEnd w:id="24"/>
      <w:r w:rsidR="00C11A7A">
        <w:t xml:space="preserve"> </w:t>
      </w:r>
      <w:r w:rsidR="002F56A2">
        <w:t>Where were we, where are we now, and what does that tell us?</w:t>
      </w:r>
      <w:bookmarkEnd w:id="23"/>
    </w:p>
    <w:p w14:paraId="0320C527" w14:textId="77777777" w:rsidR="00BC3E97" w:rsidRDefault="00BC3E97" w:rsidP="00BC3E97">
      <w:r>
        <w:t>‘Marrung 2016–2026’ established baseline data, highlighting where outcomes for First Nations learners improved and where challenges remained. However, it also revealed the limits of traditional measures. While data tracked enrolments, attendance, education outcomes and completions, it did not capture progress against community-defined measures of success.</w:t>
      </w:r>
    </w:p>
    <w:p w14:paraId="1B382BB5" w14:textId="77777777" w:rsidR="00BC3E97" w:rsidRDefault="00BC3E97" w:rsidP="00BC3E97">
      <w:r>
        <w:t>‘Marrung 2026–2036’ will report progress against community-defined measures of success and relational health measures, as well as existing measures and targets.</w:t>
      </w:r>
    </w:p>
    <w:p w14:paraId="54F17D9F" w14:textId="77777777" w:rsidR="00BC3E97" w:rsidRDefault="00BC3E97" w:rsidP="00BC3E97">
      <w:r>
        <w:t>Kindergarten enrolments for 3 and 4-year-old First Nations children have increased significantly in recent years, with participation in 4-year-old kindergarten reported at 100% since 2022. In addition, in 2025 participation in 3-year-old kindergarten was reported at 100%. The growth in enrolment numbers tells a clear story. Combined 3 and 4-year-old kindergarten enrolments grew from 1,831 in 2016 to 4,235 in 2025, an increase of 131%.</w:t>
      </w:r>
    </w:p>
    <w:p w14:paraId="4F6D1673" w14:textId="77777777" w:rsidR="00BC3E97" w:rsidRDefault="00BC3E97" w:rsidP="00BC3E97">
      <w:r>
        <w:t>First Nations enrolments in Aboriginal Community Controlled Organisation (ACCO) operated kindergarten services remained relatively stable during this period and new ACCO operated services have opened in recent years. There remains an opportunity to further increase choice in service provision, particularly in relation to culturally strong and community-led early learning environments. Another key area of focus is increasing kindergarten attendance rates. As systematic attendance data collection and reporting is embedded across all kindergarten services, deeper insight into children’s experiences of participation, engagement and belonging in these settings will be possible.</w:t>
      </w:r>
    </w:p>
    <w:p w14:paraId="270323E1" w14:textId="77777777" w:rsidR="00BC3E97" w:rsidRDefault="00BC3E97" w:rsidP="00BC3E97">
      <w:pPr>
        <w:pStyle w:val="Heading2"/>
      </w:pPr>
      <w:bookmarkStart w:id="25" w:name="_Toc238720412"/>
      <w:bookmarkStart w:id="26" w:name="_Toc239930996"/>
      <w:r>
        <w:lastRenderedPageBreak/>
        <w:t>Kindergarten</w:t>
      </w:r>
      <w:bookmarkEnd w:id="25"/>
      <w:bookmarkEnd w:id="26"/>
    </w:p>
    <w:p w14:paraId="3E842A02" w14:textId="77777777" w:rsidR="00BC3E97" w:rsidRDefault="00BC3E97" w:rsidP="00BC3E97">
      <w:pPr>
        <w:pStyle w:val="Heading3"/>
      </w:pPr>
      <w:bookmarkStart w:id="27" w:name="_Toc238720413"/>
      <w:bookmarkStart w:id="28" w:name="_Toc239930997"/>
      <w:r>
        <w:t>Enrolment</w:t>
      </w:r>
      <w:bookmarkEnd w:id="27"/>
      <w:bookmarkEnd w:id="28"/>
    </w:p>
    <w:p w14:paraId="6F4C5C33" w14:textId="77777777" w:rsidR="00BC3E97" w:rsidRDefault="00BC3E97" w:rsidP="00BC3E97">
      <w:r>
        <w:t>Enrolment rates remained very high in 2025.</w:t>
      </w:r>
    </w:p>
    <w:tbl>
      <w:tblPr>
        <w:tblStyle w:val="TableGrid"/>
        <w:tblW w:w="0" w:type="auto"/>
        <w:tblLook w:val="04A0" w:firstRow="1" w:lastRow="0" w:firstColumn="1" w:lastColumn="0" w:noHBand="0" w:noVBand="1"/>
      </w:tblPr>
      <w:tblGrid>
        <w:gridCol w:w="6236"/>
        <w:gridCol w:w="2551"/>
      </w:tblGrid>
      <w:tr w:rsidR="00BC3E97" w14:paraId="0FB2BCDA" w14:textId="77777777" w:rsidTr="003D5E4E">
        <w:trPr>
          <w:cantSplit/>
          <w:tblHeader/>
        </w:trPr>
        <w:tc>
          <w:tcPr>
            <w:tcW w:w="6236" w:type="dxa"/>
            <w:shd w:val="clear" w:color="auto" w:fill="E7F2F4"/>
          </w:tcPr>
          <w:p w14:paraId="5F7A09AF" w14:textId="77777777" w:rsidR="00BC3E97" w:rsidRDefault="00BC3E97" w:rsidP="003D5E4E">
            <w:pPr>
              <w:spacing w:after="0"/>
            </w:pPr>
            <w:r>
              <w:rPr>
                <w:rFonts w:eastAsia="Arial"/>
                <w:b/>
                <w:sz w:val="19"/>
              </w:rPr>
              <w:t>Measure</w:t>
            </w:r>
          </w:p>
        </w:tc>
        <w:tc>
          <w:tcPr>
            <w:tcW w:w="2551" w:type="dxa"/>
            <w:shd w:val="clear" w:color="auto" w:fill="E7F2F4"/>
          </w:tcPr>
          <w:p w14:paraId="67D273D6" w14:textId="77777777" w:rsidR="00BC3E97" w:rsidRDefault="00BC3E97" w:rsidP="003D5E4E">
            <w:pPr>
              <w:spacing w:after="0"/>
            </w:pPr>
            <w:r>
              <w:rPr>
                <w:rFonts w:eastAsia="Arial"/>
                <w:b/>
                <w:sz w:val="19"/>
              </w:rPr>
              <w:t>Reported rate</w:t>
            </w:r>
          </w:p>
        </w:tc>
      </w:tr>
      <w:tr w:rsidR="00BC3E97" w14:paraId="30D50C4A" w14:textId="77777777" w:rsidTr="003D5E4E">
        <w:trPr>
          <w:cantSplit/>
        </w:trPr>
        <w:tc>
          <w:tcPr>
            <w:tcW w:w="6236" w:type="dxa"/>
          </w:tcPr>
          <w:p w14:paraId="57039E15" w14:textId="77777777" w:rsidR="00BC3E97" w:rsidRDefault="00BC3E97" w:rsidP="003D5E4E">
            <w:pPr>
              <w:spacing w:after="0"/>
            </w:pPr>
            <w:r>
              <w:rPr>
                <w:rFonts w:eastAsia="Arial"/>
                <w:sz w:val="19"/>
              </w:rPr>
              <w:t>3-year-old enrolment, based on population estimates</w:t>
            </w:r>
          </w:p>
        </w:tc>
        <w:tc>
          <w:tcPr>
            <w:tcW w:w="2551" w:type="dxa"/>
          </w:tcPr>
          <w:p w14:paraId="40D46FE2" w14:textId="77777777" w:rsidR="00BC3E97" w:rsidRDefault="00BC3E97" w:rsidP="003D5E4E">
            <w:pPr>
              <w:spacing w:after="0"/>
            </w:pPr>
            <w:r>
              <w:rPr>
                <w:rFonts w:eastAsia="Arial"/>
                <w:sz w:val="19"/>
              </w:rPr>
              <w:t>100%</w:t>
            </w:r>
          </w:p>
        </w:tc>
      </w:tr>
      <w:tr w:rsidR="00BC3E97" w14:paraId="46E35E08" w14:textId="77777777" w:rsidTr="003D5E4E">
        <w:trPr>
          <w:cantSplit/>
        </w:trPr>
        <w:tc>
          <w:tcPr>
            <w:tcW w:w="6236" w:type="dxa"/>
          </w:tcPr>
          <w:p w14:paraId="78454EE4" w14:textId="77777777" w:rsidR="00BC3E97" w:rsidRDefault="00BC3E97" w:rsidP="003D5E4E">
            <w:pPr>
              <w:spacing w:after="0"/>
            </w:pPr>
            <w:r>
              <w:rPr>
                <w:rFonts w:eastAsia="Arial"/>
                <w:sz w:val="19"/>
              </w:rPr>
              <w:t>4-year-old enrolment, based on population estimates</w:t>
            </w:r>
          </w:p>
        </w:tc>
        <w:tc>
          <w:tcPr>
            <w:tcW w:w="2551" w:type="dxa"/>
          </w:tcPr>
          <w:p w14:paraId="15F08322" w14:textId="77777777" w:rsidR="00BC3E97" w:rsidRDefault="00BC3E97" w:rsidP="003D5E4E">
            <w:pPr>
              <w:spacing w:after="0"/>
            </w:pPr>
            <w:r>
              <w:rPr>
                <w:rFonts w:eastAsia="Arial"/>
                <w:sz w:val="19"/>
              </w:rPr>
              <w:t>100%</w:t>
            </w:r>
          </w:p>
        </w:tc>
      </w:tr>
    </w:tbl>
    <w:p w14:paraId="1B9B38F8" w14:textId="77777777" w:rsidR="00BC3E97" w:rsidRDefault="00BC3E97" w:rsidP="00BC3E97"/>
    <w:p w14:paraId="2CE53053" w14:textId="77777777" w:rsidR="00315667" w:rsidRDefault="00000000">
      <w:r>
        <w:t>Source: 2026-27 Department Performance Statement</w:t>
      </w:r>
    </w:p>
    <w:p w14:paraId="6F7BBCC3" w14:textId="77777777" w:rsidR="00BC3E97" w:rsidRDefault="00BC3E97" w:rsidP="00BC3E97">
      <w:pPr>
        <w:pStyle w:val="Heading3"/>
      </w:pPr>
      <w:bookmarkStart w:id="29" w:name="_Toc238720414"/>
      <w:bookmarkStart w:id="30" w:name="_Toc239930998"/>
      <w:r>
        <w:t>Participation</w:t>
      </w:r>
      <w:bookmarkEnd w:id="29"/>
      <w:bookmarkEnd w:id="30"/>
    </w:p>
    <w:p w14:paraId="79057228" w14:textId="77777777" w:rsidR="00BC3E97" w:rsidRDefault="00BC3E97" w:rsidP="00BC3E97">
      <w:r>
        <w:t>Participation starts with enrolment. We can then focus on:</w:t>
      </w:r>
    </w:p>
    <w:p w14:paraId="60F96955" w14:textId="77777777" w:rsidR="00BC3E97" w:rsidRDefault="00BC3E97" w:rsidP="00BC3E97">
      <w:pPr>
        <w:pStyle w:val="ListBullet"/>
        <w:tabs>
          <w:tab w:val="num" w:pos="360"/>
        </w:tabs>
        <w:ind w:left="360" w:hanging="360"/>
      </w:pPr>
      <w:r>
        <w:t>Regular attendance</w:t>
      </w:r>
    </w:p>
    <w:p w14:paraId="5B4AC502" w14:textId="77777777" w:rsidR="00BC3E97" w:rsidRDefault="00BC3E97" w:rsidP="00BC3E97">
      <w:pPr>
        <w:pStyle w:val="ListBullet"/>
        <w:tabs>
          <w:tab w:val="num" w:pos="360"/>
        </w:tabs>
        <w:ind w:left="360" w:hanging="360"/>
      </w:pPr>
      <w:r>
        <w:t>Experience of culturally safe and supportive learning environments</w:t>
      </w:r>
    </w:p>
    <w:p w14:paraId="5E74C37A" w14:textId="77777777" w:rsidR="00BC3E97" w:rsidRDefault="00BC3E97" w:rsidP="00BC3E97">
      <w:pPr>
        <w:pStyle w:val="ListBullet"/>
        <w:tabs>
          <w:tab w:val="num" w:pos="360"/>
        </w:tabs>
        <w:ind w:left="360" w:hanging="360"/>
      </w:pPr>
      <w:r>
        <w:t>Full engagement</w:t>
      </w:r>
    </w:p>
    <w:p w14:paraId="407C12C9" w14:textId="77777777" w:rsidR="00BC3E97" w:rsidRDefault="00BC3E97" w:rsidP="00BC3E97">
      <w:pPr>
        <w:pStyle w:val="Heading2"/>
      </w:pPr>
      <w:bookmarkStart w:id="31" w:name="_Toc238720415"/>
      <w:bookmarkStart w:id="32" w:name="_Toc239930999"/>
      <w:r>
        <w:t>School</w:t>
      </w:r>
      <w:bookmarkEnd w:id="31"/>
      <w:bookmarkEnd w:id="32"/>
    </w:p>
    <w:p w14:paraId="72E97F56" w14:textId="77777777" w:rsidR="00BC3E97" w:rsidRDefault="00BC3E97" w:rsidP="00BC3E97">
      <w:r>
        <w:t>Through the school years, outcomes for First Nations learners have continued to improve in several key areas; however, disparities remain. In 2025, Victorian First Nations students achieved the strongest NAPLAN results nationally, recording the highest or second-highest mean score in 18 of 20 domains. More First Nations students are completing the Victorian Certificate of Education (VCE), including the VCE Vocational Major, and students have reported lower experiences of bullying over time. At the same time, attendance rates for First Nations students continue to remain lower than those of non-First Nations students, and gaps in engagement, wellbeing and educational outcomes persist for many learners. First Nations students are also reporting experiencing higher rates of racism compared to all students. These challenges highlight the continued importance of culturally safe, inclusive and responsive learning environments, alongside stronger supports for student wellbeing and connection to school. By 2025, 98% of Victorian government schools had undertaken Community Understanding and Safety Training (CUST) designed to foster culturally safe environments, while leadership initiatives signalled stronger system actions and accountability.</w:t>
      </w:r>
    </w:p>
    <w:p w14:paraId="02C6E9AD" w14:textId="77777777" w:rsidR="00BC3E97" w:rsidRDefault="00BC3E97" w:rsidP="00BC3E97">
      <w:pPr>
        <w:pStyle w:val="Heading3"/>
      </w:pPr>
      <w:bookmarkStart w:id="33" w:name="_Toc238720416"/>
      <w:bookmarkStart w:id="34" w:name="_Toc239931000"/>
      <w:r>
        <w:t>Experience of racism</w:t>
      </w:r>
      <w:bookmarkEnd w:id="33"/>
      <w:bookmarkEnd w:id="34"/>
    </w:p>
    <w:p w14:paraId="23FF46D3" w14:textId="77777777" w:rsidR="00BC3E97" w:rsidRDefault="00BC3E97" w:rsidP="00BC3E97">
      <w:r>
        <w:t>I have experienced racism at this school in the past 12 months</w:t>
      </w:r>
    </w:p>
    <w:tbl>
      <w:tblPr>
        <w:tblStyle w:val="TableGrid"/>
        <w:tblW w:w="0" w:type="auto"/>
        <w:tblLook w:val="04A0" w:firstRow="1" w:lastRow="0" w:firstColumn="1" w:lastColumn="0" w:noHBand="0" w:noVBand="1"/>
      </w:tblPr>
      <w:tblGrid>
        <w:gridCol w:w="1134"/>
        <w:gridCol w:w="2098"/>
        <w:gridCol w:w="1814"/>
        <w:gridCol w:w="1701"/>
        <w:gridCol w:w="2154"/>
      </w:tblGrid>
      <w:tr w:rsidR="00BC3E97" w14:paraId="50B486B9" w14:textId="77777777" w:rsidTr="003D5E4E">
        <w:trPr>
          <w:cantSplit/>
          <w:tblHeader/>
        </w:trPr>
        <w:tc>
          <w:tcPr>
            <w:tcW w:w="1134" w:type="dxa"/>
            <w:shd w:val="clear" w:color="auto" w:fill="E7F2F4"/>
          </w:tcPr>
          <w:p w14:paraId="134CD03E" w14:textId="77777777" w:rsidR="00BC3E97" w:rsidRDefault="00BC3E97" w:rsidP="003D5E4E">
            <w:pPr>
              <w:spacing w:after="0"/>
            </w:pPr>
            <w:r>
              <w:rPr>
                <w:rFonts w:eastAsia="Arial"/>
                <w:b/>
                <w:sz w:val="19"/>
              </w:rPr>
              <w:t>Year</w:t>
            </w:r>
          </w:p>
        </w:tc>
        <w:tc>
          <w:tcPr>
            <w:tcW w:w="2098" w:type="dxa"/>
            <w:shd w:val="clear" w:color="auto" w:fill="E7F2F4"/>
          </w:tcPr>
          <w:p w14:paraId="04DD9EDD" w14:textId="77777777" w:rsidR="00BC3E97" w:rsidRDefault="00BC3E97" w:rsidP="003D5E4E">
            <w:pPr>
              <w:spacing w:after="0"/>
            </w:pPr>
            <w:r>
              <w:rPr>
                <w:rFonts w:eastAsia="Arial"/>
                <w:b/>
                <w:sz w:val="19"/>
              </w:rPr>
              <w:t>First Nations students</w:t>
            </w:r>
          </w:p>
        </w:tc>
        <w:tc>
          <w:tcPr>
            <w:tcW w:w="1814" w:type="dxa"/>
            <w:shd w:val="clear" w:color="auto" w:fill="E7F2F4"/>
          </w:tcPr>
          <w:p w14:paraId="45242A93" w14:textId="77777777" w:rsidR="00BC3E97" w:rsidRDefault="00BC3E97" w:rsidP="003D5E4E">
            <w:pPr>
              <w:spacing w:after="0"/>
            </w:pPr>
            <w:r>
              <w:rPr>
                <w:rFonts w:eastAsia="Arial"/>
                <w:b/>
                <w:sz w:val="19"/>
              </w:rPr>
              <w:t>First Nations responses</w:t>
            </w:r>
          </w:p>
        </w:tc>
        <w:tc>
          <w:tcPr>
            <w:tcW w:w="1701" w:type="dxa"/>
            <w:shd w:val="clear" w:color="auto" w:fill="E7F2F4"/>
          </w:tcPr>
          <w:p w14:paraId="17821C47" w14:textId="77777777" w:rsidR="00BC3E97" w:rsidRDefault="00BC3E97" w:rsidP="003D5E4E">
            <w:pPr>
              <w:spacing w:after="0"/>
            </w:pPr>
            <w:r>
              <w:rPr>
                <w:rFonts w:eastAsia="Arial"/>
                <w:b/>
                <w:sz w:val="19"/>
              </w:rPr>
              <w:t>All students</w:t>
            </w:r>
          </w:p>
        </w:tc>
        <w:tc>
          <w:tcPr>
            <w:tcW w:w="2154" w:type="dxa"/>
            <w:shd w:val="clear" w:color="auto" w:fill="E7F2F4"/>
          </w:tcPr>
          <w:p w14:paraId="75837F38" w14:textId="77777777" w:rsidR="00BC3E97" w:rsidRDefault="00BC3E97" w:rsidP="003D5E4E">
            <w:pPr>
              <w:spacing w:after="0"/>
            </w:pPr>
            <w:r>
              <w:rPr>
                <w:rFonts w:eastAsia="Arial"/>
                <w:b/>
                <w:sz w:val="19"/>
              </w:rPr>
              <w:t>All student responses</w:t>
            </w:r>
          </w:p>
        </w:tc>
      </w:tr>
      <w:tr w:rsidR="00BC3E97" w14:paraId="6D6DC337" w14:textId="77777777" w:rsidTr="003D5E4E">
        <w:trPr>
          <w:cantSplit/>
        </w:trPr>
        <w:tc>
          <w:tcPr>
            <w:tcW w:w="1134" w:type="dxa"/>
          </w:tcPr>
          <w:p w14:paraId="38A138F4" w14:textId="77777777" w:rsidR="00BC3E97" w:rsidRDefault="00BC3E97" w:rsidP="003D5E4E">
            <w:pPr>
              <w:spacing w:after="0"/>
            </w:pPr>
            <w:r>
              <w:rPr>
                <w:rFonts w:eastAsia="Arial"/>
                <w:sz w:val="19"/>
              </w:rPr>
              <w:t>2023</w:t>
            </w:r>
          </w:p>
        </w:tc>
        <w:tc>
          <w:tcPr>
            <w:tcW w:w="2098" w:type="dxa"/>
          </w:tcPr>
          <w:p w14:paraId="1C12C900" w14:textId="77777777" w:rsidR="00BC3E97" w:rsidRDefault="00BC3E97" w:rsidP="003D5E4E">
            <w:pPr>
              <w:spacing w:after="0"/>
            </w:pPr>
            <w:r>
              <w:rPr>
                <w:rFonts w:eastAsia="Arial"/>
                <w:sz w:val="19"/>
              </w:rPr>
              <w:t>25.9%</w:t>
            </w:r>
          </w:p>
        </w:tc>
        <w:tc>
          <w:tcPr>
            <w:tcW w:w="1814" w:type="dxa"/>
          </w:tcPr>
          <w:p w14:paraId="17B5CF1B" w14:textId="77777777" w:rsidR="00BC3E97" w:rsidRDefault="00BC3E97" w:rsidP="003D5E4E">
            <w:pPr>
              <w:spacing w:after="0"/>
            </w:pPr>
            <w:r>
              <w:rPr>
                <w:rFonts w:eastAsia="Arial"/>
                <w:sz w:val="19"/>
              </w:rPr>
              <w:t>1,786</w:t>
            </w:r>
          </w:p>
        </w:tc>
        <w:tc>
          <w:tcPr>
            <w:tcW w:w="1701" w:type="dxa"/>
          </w:tcPr>
          <w:p w14:paraId="34D70AF0" w14:textId="77777777" w:rsidR="00BC3E97" w:rsidRDefault="00BC3E97" w:rsidP="003D5E4E">
            <w:pPr>
              <w:spacing w:after="0"/>
            </w:pPr>
            <w:r>
              <w:rPr>
                <w:rFonts w:eastAsia="Arial"/>
                <w:sz w:val="19"/>
              </w:rPr>
              <w:t>17.5%</w:t>
            </w:r>
          </w:p>
        </w:tc>
        <w:tc>
          <w:tcPr>
            <w:tcW w:w="2154" w:type="dxa"/>
          </w:tcPr>
          <w:p w14:paraId="38CB61A5" w14:textId="77777777" w:rsidR="00BC3E97" w:rsidRDefault="00BC3E97" w:rsidP="003D5E4E">
            <w:pPr>
              <w:spacing w:after="0"/>
            </w:pPr>
            <w:r>
              <w:rPr>
                <w:rFonts w:eastAsia="Arial"/>
                <w:sz w:val="19"/>
              </w:rPr>
              <w:t>58,1</w:t>
            </w:r>
            <w:r w:rsidR="0092635B">
              <w:rPr>
                <w:rFonts w:eastAsia="Arial"/>
                <w:sz w:val="19"/>
              </w:rPr>
              <w:t>86</w:t>
            </w:r>
          </w:p>
        </w:tc>
      </w:tr>
      <w:tr w:rsidR="00BC3E97" w14:paraId="6E0BE730" w14:textId="77777777" w:rsidTr="003D5E4E">
        <w:trPr>
          <w:cantSplit/>
        </w:trPr>
        <w:tc>
          <w:tcPr>
            <w:tcW w:w="1134" w:type="dxa"/>
          </w:tcPr>
          <w:p w14:paraId="26E711BD" w14:textId="77777777" w:rsidR="00BC3E97" w:rsidRDefault="00BC3E97" w:rsidP="003D5E4E">
            <w:pPr>
              <w:spacing w:after="0"/>
            </w:pPr>
            <w:r>
              <w:rPr>
                <w:rFonts w:eastAsia="Arial"/>
                <w:sz w:val="19"/>
              </w:rPr>
              <w:t>2024</w:t>
            </w:r>
          </w:p>
        </w:tc>
        <w:tc>
          <w:tcPr>
            <w:tcW w:w="2098" w:type="dxa"/>
          </w:tcPr>
          <w:p w14:paraId="09A043C6" w14:textId="77777777" w:rsidR="00BC3E97" w:rsidRDefault="00BC3E97" w:rsidP="003D5E4E">
            <w:pPr>
              <w:spacing w:after="0"/>
            </w:pPr>
            <w:r>
              <w:rPr>
                <w:rFonts w:eastAsia="Arial"/>
                <w:sz w:val="19"/>
              </w:rPr>
              <w:t>28.8%</w:t>
            </w:r>
          </w:p>
        </w:tc>
        <w:tc>
          <w:tcPr>
            <w:tcW w:w="1814" w:type="dxa"/>
          </w:tcPr>
          <w:p w14:paraId="6454BAAD" w14:textId="77777777" w:rsidR="00BC3E97" w:rsidRDefault="00BC3E97" w:rsidP="003D5E4E">
            <w:pPr>
              <w:spacing w:after="0"/>
            </w:pPr>
            <w:r>
              <w:rPr>
                <w:rFonts w:eastAsia="Arial"/>
                <w:sz w:val="19"/>
              </w:rPr>
              <w:t>2,060</w:t>
            </w:r>
          </w:p>
        </w:tc>
        <w:tc>
          <w:tcPr>
            <w:tcW w:w="1701" w:type="dxa"/>
          </w:tcPr>
          <w:p w14:paraId="218A5E15" w14:textId="77777777" w:rsidR="00BC3E97" w:rsidRDefault="00BC3E97" w:rsidP="003D5E4E">
            <w:pPr>
              <w:spacing w:after="0"/>
            </w:pPr>
            <w:r>
              <w:rPr>
                <w:rFonts w:eastAsia="Arial"/>
                <w:sz w:val="19"/>
              </w:rPr>
              <w:t>19.8%</w:t>
            </w:r>
          </w:p>
        </w:tc>
        <w:tc>
          <w:tcPr>
            <w:tcW w:w="2154" w:type="dxa"/>
          </w:tcPr>
          <w:p w14:paraId="5448204C" w14:textId="77777777" w:rsidR="00BC3E97" w:rsidRDefault="00BC3E97" w:rsidP="003D5E4E">
            <w:pPr>
              <w:spacing w:after="0"/>
            </w:pPr>
            <w:r>
              <w:rPr>
                <w:rFonts w:eastAsia="Arial"/>
                <w:sz w:val="19"/>
              </w:rPr>
              <w:t>80,452</w:t>
            </w:r>
          </w:p>
        </w:tc>
      </w:tr>
      <w:tr w:rsidR="00BC3E97" w14:paraId="1CBE8057" w14:textId="77777777" w:rsidTr="003D5E4E">
        <w:trPr>
          <w:cantSplit/>
        </w:trPr>
        <w:tc>
          <w:tcPr>
            <w:tcW w:w="1134" w:type="dxa"/>
          </w:tcPr>
          <w:p w14:paraId="59B105A3" w14:textId="77777777" w:rsidR="00BC3E97" w:rsidRDefault="00BC3E97" w:rsidP="003D5E4E">
            <w:pPr>
              <w:spacing w:after="0"/>
            </w:pPr>
            <w:r>
              <w:rPr>
                <w:rFonts w:eastAsia="Arial"/>
                <w:sz w:val="19"/>
              </w:rPr>
              <w:t>2025</w:t>
            </w:r>
          </w:p>
        </w:tc>
        <w:tc>
          <w:tcPr>
            <w:tcW w:w="2098" w:type="dxa"/>
          </w:tcPr>
          <w:p w14:paraId="773218F3" w14:textId="77777777" w:rsidR="00BC3E97" w:rsidRDefault="00BC3E97" w:rsidP="003D5E4E">
            <w:pPr>
              <w:spacing w:after="0"/>
            </w:pPr>
            <w:r>
              <w:rPr>
                <w:rFonts w:eastAsia="Arial"/>
                <w:sz w:val="19"/>
              </w:rPr>
              <w:t>28.0%</w:t>
            </w:r>
          </w:p>
        </w:tc>
        <w:tc>
          <w:tcPr>
            <w:tcW w:w="1814" w:type="dxa"/>
          </w:tcPr>
          <w:p w14:paraId="57F42134" w14:textId="77777777" w:rsidR="00BC3E97" w:rsidRDefault="00BC3E97" w:rsidP="003D5E4E">
            <w:pPr>
              <w:spacing w:after="0"/>
            </w:pPr>
            <w:r>
              <w:rPr>
                <w:rFonts w:eastAsia="Arial"/>
                <w:sz w:val="19"/>
              </w:rPr>
              <w:t>2,189</w:t>
            </w:r>
          </w:p>
        </w:tc>
        <w:tc>
          <w:tcPr>
            <w:tcW w:w="1701" w:type="dxa"/>
          </w:tcPr>
          <w:p w14:paraId="4BAABCB4" w14:textId="77777777" w:rsidR="00BC3E97" w:rsidRDefault="00BC3E97" w:rsidP="003D5E4E">
            <w:pPr>
              <w:spacing w:after="0"/>
            </w:pPr>
            <w:r>
              <w:rPr>
                <w:rFonts w:eastAsia="Arial"/>
                <w:sz w:val="19"/>
              </w:rPr>
              <w:t>19.8%</w:t>
            </w:r>
          </w:p>
        </w:tc>
        <w:tc>
          <w:tcPr>
            <w:tcW w:w="2154" w:type="dxa"/>
          </w:tcPr>
          <w:p w14:paraId="7016260C" w14:textId="77777777" w:rsidR="00BC3E97" w:rsidRDefault="00BC3E97" w:rsidP="003D5E4E">
            <w:pPr>
              <w:spacing w:after="0"/>
            </w:pPr>
            <w:r>
              <w:rPr>
                <w:rFonts w:eastAsia="Arial"/>
                <w:sz w:val="19"/>
              </w:rPr>
              <w:t>89,150</w:t>
            </w:r>
          </w:p>
        </w:tc>
      </w:tr>
    </w:tbl>
    <w:p w14:paraId="534E4553" w14:textId="77777777" w:rsidR="0092635B" w:rsidRDefault="0092635B" w:rsidP="00BC3E97"/>
    <w:p w14:paraId="7CC65212" w14:textId="77777777" w:rsidR="00F85EAC" w:rsidRPr="00F85EAC" w:rsidRDefault="00F85EAC" w:rsidP="00BC3E97">
      <w:pPr>
        <w:rPr>
          <w:color w:val="201547" w:themeColor="text1"/>
        </w:rPr>
      </w:pPr>
      <w:r>
        <w:t xml:space="preserve">Source: Departmental data, Victorian Government Schools data </w:t>
      </w:r>
    </w:p>
    <w:p w14:paraId="5F478355" w14:textId="77777777" w:rsidR="00BC3E97" w:rsidRDefault="00BC3E97" w:rsidP="00BC3E97">
      <w:pPr>
        <w:pStyle w:val="Heading3"/>
      </w:pPr>
      <w:bookmarkStart w:id="35" w:name="_Toc238720417"/>
      <w:bookmarkStart w:id="36" w:name="_Toc239931001"/>
      <w:r>
        <w:lastRenderedPageBreak/>
        <w:t>Attendance rates</w:t>
      </w:r>
      <w:bookmarkEnd w:id="35"/>
      <w:bookmarkEnd w:id="36"/>
    </w:p>
    <w:p w14:paraId="55864B63" w14:textId="77777777" w:rsidR="00BC3E97" w:rsidRDefault="00BC3E97" w:rsidP="00BC3E97">
      <w:r>
        <w:t>All sector Years 1-10 attendance rate, 2016 to 2025</w:t>
      </w:r>
    </w:p>
    <w:tbl>
      <w:tblPr>
        <w:tblStyle w:val="TableGrid"/>
        <w:tblW w:w="0" w:type="auto"/>
        <w:tblLook w:val="04A0" w:firstRow="1" w:lastRow="0" w:firstColumn="1" w:lastColumn="0" w:noHBand="0" w:noVBand="1"/>
      </w:tblPr>
      <w:tblGrid>
        <w:gridCol w:w="1701"/>
        <w:gridCol w:w="3402"/>
        <w:gridCol w:w="3402"/>
      </w:tblGrid>
      <w:tr w:rsidR="00BC3E97" w14:paraId="0311D00B" w14:textId="77777777" w:rsidTr="003D5E4E">
        <w:trPr>
          <w:cantSplit/>
          <w:tblHeader/>
        </w:trPr>
        <w:tc>
          <w:tcPr>
            <w:tcW w:w="1701" w:type="dxa"/>
            <w:shd w:val="clear" w:color="auto" w:fill="E7F2F4"/>
          </w:tcPr>
          <w:p w14:paraId="1C070A4E" w14:textId="77777777" w:rsidR="00BC3E97" w:rsidRDefault="00BC3E97" w:rsidP="003D5E4E">
            <w:pPr>
              <w:spacing w:after="0"/>
            </w:pPr>
            <w:r>
              <w:rPr>
                <w:rFonts w:eastAsia="Arial"/>
                <w:b/>
                <w:sz w:val="19"/>
              </w:rPr>
              <w:t>Year</w:t>
            </w:r>
          </w:p>
        </w:tc>
        <w:tc>
          <w:tcPr>
            <w:tcW w:w="3402" w:type="dxa"/>
            <w:shd w:val="clear" w:color="auto" w:fill="E7F2F4"/>
          </w:tcPr>
          <w:p w14:paraId="5523170B" w14:textId="77777777" w:rsidR="00BC3E97" w:rsidRDefault="00BC3E97" w:rsidP="003D5E4E">
            <w:pPr>
              <w:spacing w:after="0"/>
            </w:pPr>
            <w:r>
              <w:rPr>
                <w:rFonts w:eastAsia="Arial"/>
                <w:b/>
                <w:sz w:val="19"/>
              </w:rPr>
              <w:t>First Nations students</w:t>
            </w:r>
          </w:p>
        </w:tc>
        <w:tc>
          <w:tcPr>
            <w:tcW w:w="3402" w:type="dxa"/>
            <w:shd w:val="clear" w:color="auto" w:fill="E7F2F4"/>
          </w:tcPr>
          <w:p w14:paraId="3E37F07D" w14:textId="77777777" w:rsidR="00BC3E97" w:rsidRDefault="00BC3E97" w:rsidP="003D5E4E">
            <w:pPr>
              <w:spacing w:after="0"/>
            </w:pPr>
            <w:r>
              <w:rPr>
                <w:rFonts w:eastAsia="Arial"/>
                <w:b/>
                <w:sz w:val="19"/>
              </w:rPr>
              <w:t>All students</w:t>
            </w:r>
          </w:p>
        </w:tc>
      </w:tr>
      <w:tr w:rsidR="00BC3E97" w14:paraId="4E1EB561" w14:textId="77777777" w:rsidTr="003D5E4E">
        <w:trPr>
          <w:cantSplit/>
        </w:trPr>
        <w:tc>
          <w:tcPr>
            <w:tcW w:w="1701" w:type="dxa"/>
          </w:tcPr>
          <w:p w14:paraId="5D66E74C" w14:textId="77777777" w:rsidR="00BC3E97" w:rsidRDefault="00BC3E97" w:rsidP="003D5E4E">
            <w:pPr>
              <w:spacing w:after="0"/>
            </w:pPr>
            <w:r>
              <w:rPr>
                <w:rFonts w:eastAsia="Arial"/>
                <w:sz w:val="19"/>
              </w:rPr>
              <w:t>2016</w:t>
            </w:r>
          </w:p>
        </w:tc>
        <w:tc>
          <w:tcPr>
            <w:tcW w:w="3402" w:type="dxa"/>
          </w:tcPr>
          <w:p w14:paraId="4FC43C62" w14:textId="77777777" w:rsidR="00BC3E97" w:rsidRDefault="00BC3E97" w:rsidP="003D5E4E">
            <w:pPr>
              <w:spacing w:after="0"/>
            </w:pPr>
            <w:r>
              <w:rPr>
                <w:rFonts w:eastAsia="Arial"/>
                <w:sz w:val="19"/>
              </w:rPr>
              <w:t>87.1%</w:t>
            </w:r>
          </w:p>
        </w:tc>
        <w:tc>
          <w:tcPr>
            <w:tcW w:w="3402" w:type="dxa"/>
          </w:tcPr>
          <w:p w14:paraId="364D4A0D" w14:textId="77777777" w:rsidR="00BC3E97" w:rsidRDefault="00BC3E97" w:rsidP="003D5E4E">
            <w:pPr>
              <w:spacing w:after="0"/>
            </w:pPr>
            <w:r>
              <w:rPr>
                <w:rFonts w:eastAsia="Arial"/>
                <w:sz w:val="19"/>
              </w:rPr>
              <w:t>93.</w:t>
            </w:r>
            <w:r w:rsidR="0092635B">
              <w:rPr>
                <w:rFonts w:eastAsia="Arial"/>
                <w:sz w:val="19"/>
              </w:rPr>
              <w:t>2</w:t>
            </w:r>
            <w:r>
              <w:rPr>
                <w:rFonts w:eastAsia="Arial"/>
                <w:sz w:val="19"/>
              </w:rPr>
              <w:t>%</w:t>
            </w:r>
          </w:p>
        </w:tc>
      </w:tr>
      <w:tr w:rsidR="00BC3E97" w14:paraId="34C950D7" w14:textId="77777777" w:rsidTr="003D5E4E">
        <w:trPr>
          <w:cantSplit/>
        </w:trPr>
        <w:tc>
          <w:tcPr>
            <w:tcW w:w="1701" w:type="dxa"/>
          </w:tcPr>
          <w:p w14:paraId="0B213038" w14:textId="77777777" w:rsidR="00BC3E97" w:rsidRDefault="00BC3E97" w:rsidP="003D5E4E">
            <w:pPr>
              <w:spacing w:after="0"/>
            </w:pPr>
            <w:r>
              <w:rPr>
                <w:rFonts w:eastAsia="Arial"/>
                <w:sz w:val="19"/>
              </w:rPr>
              <w:t>2017</w:t>
            </w:r>
          </w:p>
        </w:tc>
        <w:tc>
          <w:tcPr>
            <w:tcW w:w="3402" w:type="dxa"/>
          </w:tcPr>
          <w:p w14:paraId="13438FFD" w14:textId="77777777" w:rsidR="00BC3E97" w:rsidRDefault="00BC3E97" w:rsidP="003D5E4E">
            <w:pPr>
              <w:spacing w:after="0"/>
            </w:pPr>
            <w:r>
              <w:rPr>
                <w:rFonts w:eastAsia="Arial"/>
                <w:sz w:val="19"/>
              </w:rPr>
              <w:t>86.7%</w:t>
            </w:r>
          </w:p>
        </w:tc>
        <w:tc>
          <w:tcPr>
            <w:tcW w:w="3402" w:type="dxa"/>
          </w:tcPr>
          <w:p w14:paraId="21F7A6DE" w14:textId="77777777" w:rsidR="00BC3E97" w:rsidRDefault="00BC3E97" w:rsidP="003D5E4E">
            <w:pPr>
              <w:spacing w:after="0"/>
            </w:pPr>
            <w:r>
              <w:rPr>
                <w:rFonts w:eastAsia="Arial"/>
                <w:sz w:val="19"/>
              </w:rPr>
              <w:t>9</w:t>
            </w:r>
            <w:r w:rsidR="0092635B">
              <w:rPr>
                <w:rFonts w:eastAsia="Arial"/>
                <w:sz w:val="19"/>
              </w:rPr>
              <w:t>2</w:t>
            </w:r>
            <w:r>
              <w:rPr>
                <w:rFonts w:eastAsia="Arial"/>
                <w:sz w:val="19"/>
              </w:rPr>
              <w:t>.</w:t>
            </w:r>
            <w:r w:rsidR="0092635B">
              <w:rPr>
                <w:rFonts w:eastAsia="Arial"/>
                <w:sz w:val="19"/>
              </w:rPr>
              <w:t>9</w:t>
            </w:r>
            <w:r>
              <w:rPr>
                <w:rFonts w:eastAsia="Arial"/>
                <w:sz w:val="19"/>
              </w:rPr>
              <w:t>%</w:t>
            </w:r>
          </w:p>
        </w:tc>
      </w:tr>
      <w:tr w:rsidR="00BC3E97" w14:paraId="3BB5BCAA" w14:textId="77777777" w:rsidTr="003D5E4E">
        <w:trPr>
          <w:cantSplit/>
        </w:trPr>
        <w:tc>
          <w:tcPr>
            <w:tcW w:w="1701" w:type="dxa"/>
          </w:tcPr>
          <w:p w14:paraId="2A2F18CE" w14:textId="77777777" w:rsidR="00BC3E97" w:rsidRDefault="00BC3E97" w:rsidP="003D5E4E">
            <w:pPr>
              <w:spacing w:after="0"/>
            </w:pPr>
            <w:r>
              <w:rPr>
                <w:rFonts w:eastAsia="Arial"/>
                <w:sz w:val="19"/>
              </w:rPr>
              <w:t>2018</w:t>
            </w:r>
          </w:p>
        </w:tc>
        <w:tc>
          <w:tcPr>
            <w:tcW w:w="3402" w:type="dxa"/>
          </w:tcPr>
          <w:p w14:paraId="6BD7625C" w14:textId="77777777" w:rsidR="00BC3E97" w:rsidRDefault="00BC3E97" w:rsidP="003D5E4E">
            <w:pPr>
              <w:spacing w:after="0"/>
            </w:pPr>
            <w:r>
              <w:rPr>
                <w:rFonts w:eastAsia="Arial"/>
                <w:sz w:val="19"/>
              </w:rPr>
              <w:t>86.3%</w:t>
            </w:r>
          </w:p>
        </w:tc>
        <w:tc>
          <w:tcPr>
            <w:tcW w:w="3402" w:type="dxa"/>
          </w:tcPr>
          <w:p w14:paraId="40E56739" w14:textId="77777777" w:rsidR="00BC3E97" w:rsidRDefault="00BC3E97" w:rsidP="003D5E4E">
            <w:pPr>
              <w:spacing w:after="0"/>
            </w:pPr>
            <w:r>
              <w:rPr>
                <w:rFonts w:eastAsia="Arial"/>
                <w:sz w:val="19"/>
              </w:rPr>
              <w:t>92.</w:t>
            </w:r>
            <w:r w:rsidR="0092635B">
              <w:rPr>
                <w:rFonts w:eastAsia="Arial"/>
                <w:sz w:val="19"/>
              </w:rPr>
              <w:t>7</w:t>
            </w:r>
            <w:r>
              <w:rPr>
                <w:rFonts w:eastAsia="Arial"/>
                <w:sz w:val="19"/>
              </w:rPr>
              <w:t>%</w:t>
            </w:r>
          </w:p>
        </w:tc>
      </w:tr>
      <w:tr w:rsidR="00BC3E97" w14:paraId="57701302" w14:textId="77777777" w:rsidTr="003D5E4E">
        <w:trPr>
          <w:cantSplit/>
        </w:trPr>
        <w:tc>
          <w:tcPr>
            <w:tcW w:w="1701" w:type="dxa"/>
          </w:tcPr>
          <w:p w14:paraId="4613A01F" w14:textId="77777777" w:rsidR="00BC3E97" w:rsidRDefault="00BC3E97" w:rsidP="003D5E4E">
            <w:pPr>
              <w:spacing w:after="0"/>
            </w:pPr>
            <w:r>
              <w:rPr>
                <w:rFonts w:eastAsia="Arial"/>
                <w:sz w:val="19"/>
              </w:rPr>
              <w:t>2019</w:t>
            </w:r>
          </w:p>
        </w:tc>
        <w:tc>
          <w:tcPr>
            <w:tcW w:w="3402" w:type="dxa"/>
          </w:tcPr>
          <w:p w14:paraId="79F2A158" w14:textId="77777777" w:rsidR="00BC3E97" w:rsidRDefault="00BC3E97" w:rsidP="003D5E4E">
            <w:pPr>
              <w:spacing w:after="0"/>
            </w:pPr>
            <w:r>
              <w:rPr>
                <w:rFonts w:eastAsia="Arial"/>
                <w:sz w:val="19"/>
              </w:rPr>
              <w:t>85.4%</w:t>
            </w:r>
          </w:p>
        </w:tc>
        <w:tc>
          <w:tcPr>
            <w:tcW w:w="3402" w:type="dxa"/>
          </w:tcPr>
          <w:p w14:paraId="6C24B63C" w14:textId="77777777" w:rsidR="00BC3E97" w:rsidRDefault="00BC3E97" w:rsidP="003D5E4E">
            <w:pPr>
              <w:spacing w:after="0"/>
            </w:pPr>
            <w:r>
              <w:rPr>
                <w:rFonts w:eastAsia="Arial"/>
                <w:sz w:val="19"/>
              </w:rPr>
              <w:t>92.</w:t>
            </w:r>
            <w:r w:rsidR="0092635B">
              <w:rPr>
                <w:rFonts w:eastAsia="Arial"/>
                <w:sz w:val="19"/>
              </w:rPr>
              <w:t>0</w:t>
            </w:r>
            <w:r>
              <w:rPr>
                <w:rFonts w:eastAsia="Arial"/>
                <w:sz w:val="19"/>
              </w:rPr>
              <w:t>%</w:t>
            </w:r>
          </w:p>
        </w:tc>
      </w:tr>
      <w:tr w:rsidR="00BC3E97" w14:paraId="0606923D" w14:textId="77777777" w:rsidTr="003D5E4E">
        <w:trPr>
          <w:cantSplit/>
        </w:trPr>
        <w:tc>
          <w:tcPr>
            <w:tcW w:w="1701" w:type="dxa"/>
          </w:tcPr>
          <w:p w14:paraId="01960D45" w14:textId="77777777" w:rsidR="00BC3E97" w:rsidRDefault="00BC3E97" w:rsidP="003D5E4E">
            <w:pPr>
              <w:spacing w:after="0"/>
            </w:pPr>
            <w:r>
              <w:rPr>
                <w:rFonts w:eastAsia="Arial"/>
                <w:sz w:val="19"/>
              </w:rPr>
              <w:t>2021</w:t>
            </w:r>
          </w:p>
        </w:tc>
        <w:tc>
          <w:tcPr>
            <w:tcW w:w="3402" w:type="dxa"/>
          </w:tcPr>
          <w:p w14:paraId="7487C5DD" w14:textId="77777777" w:rsidR="00BC3E97" w:rsidRDefault="00BC3E97" w:rsidP="003D5E4E">
            <w:pPr>
              <w:spacing w:after="0"/>
            </w:pPr>
            <w:r>
              <w:rPr>
                <w:rFonts w:eastAsia="Arial"/>
                <w:sz w:val="19"/>
              </w:rPr>
              <w:t>84.5%</w:t>
            </w:r>
          </w:p>
        </w:tc>
        <w:tc>
          <w:tcPr>
            <w:tcW w:w="3402" w:type="dxa"/>
          </w:tcPr>
          <w:p w14:paraId="17BE992A" w14:textId="77777777" w:rsidR="00BC3E97" w:rsidRDefault="00BC3E97" w:rsidP="003D5E4E">
            <w:pPr>
              <w:spacing w:after="0"/>
            </w:pPr>
            <w:r>
              <w:rPr>
                <w:rFonts w:eastAsia="Arial"/>
                <w:sz w:val="19"/>
              </w:rPr>
              <w:t>92.</w:t>
            </w:r>
            <w:r w:rsidR="0092635B">
              <w:rPr>
                <w:rFonts w:eastAsia="Arial"/>
                <w:sz w:val="19"/>
              </w:rPr>
              <w:t>4</w:t>
            </w:r>
            <w:r>
              <w:rPr>
                <w:rFonts w:eastAsia="Arial"/>
                <w:sz w:val="19"/>
              </w:rPr>
              <w:t>%</w:t>
            </w:r>
          </w:p>
        </w:tc>
      </w:tr>
      <w:tr w:rsidR="00BC3E97" w14:paraId="2212BBCE" w14:textId="77777777" w:rsidTr="003D5E4E">
        <w:trPr>
          <w:cantSplit/>
        </w:trPr>
        <w:tc>
          <w:tcPr>
            <w:tcW w:w="1701" w:type="dxa"/>
          </w:tcPr>
          <w:p w14:paraId="4524E78E" w14:textId="77777777" w:rsidR="00BC3E97" w:rsidRDefault="00BC3E97" w:rsidP="003D5E4E">
            <w:pPr>
              <w:spacing w:after="0"/>
            </w:pPr>
            <w:r>
              <w:rPr>
                <w:rFonts w:eastAsia="Arial"/>
                <w:sz w:val="19"/>
              </w:rPr>
              <w:t>2022</w:t>
            </w:r>
          </w:p>
        </w:tc>
        <w:tc>
          <w:tcPr>
            <w:tcW w:w="3402" w:type="dxa"/>
          </w:tcPr>
          <w:p w14:paraId="33D411AC" w14:textId="77777777" w:rsidR="00BC3E97" w:rsidRDefault="00BC3E97" w:rsidP="003D5E4E">
            <w:pPr>
              <w:spacing w:after="0"/>
            </w:pPr>
            <w:r>
              <w:rPr>
                <w:rFonts w:eastAsia="Arial"/>
                <w:sz w:val="19"/>
              </w:rPr>
              <w:t>79.6%</w:t>
            </w:r>
          </w:p>
        </w:tc>
        <w:tc>
          <w:tcPr>
            <w:tcW w:w="3402" w:type="dxa"/>
          </w:tcPr>
          <w:p w14:paraId="69B6BA37" w14:textId="77777777" w:rsidR="00BC3E97" w:rsidRDefault="00BC3E97" w:rsidP="003D5E4E">
            <w:pPr>
              <w:spacing w:after="0"/>
            </w:pPr>
            <w:r>
              <w:rPr>
                <w:rFonts w:eastAsia="Arial"/>
                <w:sz w:val="19"/>
              </w:rPr>
              <w:t>87.</w:t>
            </w:r>
            <w:r w:rsidR="0092635B">
              <w:rPr>
                <w:rFonts w:eastAsia="Arial"/>
                <w:sz w:val="19"/>
              </w:rPr>
              <w:t>7</w:t>
            </w:r>
            <w:r>
              <w:rPr>
                <w:rFonts w:eastAsia="Arial"/>
                <w:sz w:val="19"/>
              </w:rPr>
              <w:t>%</w:t>
            </w:r>
          </w:p>
        </w:tc>
      </w:tr>
      <w:tr w:rsidR="00BC3E97" w14:paraId="7DEE59B3" w14:textId="77777777" w:rsidTr="003D5E4E">
        <w:trPr>
          <w:cantSplit/>
        </w:trPr>
        <w:tc>
          <w:tcPr>
            <w:tcW w:w="1701" w:type="dxa"/>
          </w:tcPr>
          <w:p w14:paraId="43BB8FEC" w14:textId="77777777" w:rsidR="00BC3E97" w:rsidRDefault="00BC3E97" w:rsidP="003D5E4E">
            <w:pPr>
              <w:spacing w:after="0"/>
            </w:pPr>
            <w:r>
              <w:rPr>
                <w:rFonts w:eastAsia="Arial"/>
                <w:sz w:val="19"/>
              </w:rPr>
              <w:t>2023</w:t>
            </w:r>
          </w:p>
        </w:tc>
        <w:tc>
          <w:tcPr>
            <w:tcW w:w="3402" w:type="dxa"/>
          </w:tcPr>
          <w:p w14:paraId="0D8D3285" w14:textId="77777777" w:rsidR="00BC3E97" w:rsidRDefault="00BC3E97" w:rsidP="003D5E4E">
            <w:pPr>
              <w:spacing w:after="0"/>
            </w:pPr>
            <w:r>
              <w:rPr>
                <w:rFonts w:eastAsia="Arial"/>
                <w:sz w:val="19"/>
              </w:rPr>
              <w:t>81.0%</w:t>
            </w:r>
          </w:p>
        </w:tc>
        <w:tc>
          <w:tcPr>
            <w:tcW w:w="3402" w:type="dxa"/>
          </w:tcPr>
          <w:p w14:paraId="7CD7CD5D" w14:textId="77777777" w:rsidR="00BC3E97" w:rsidRDefault="00BC3E97" w:rsidP="003D5E4E">
            <w:pPr>
              <w:spacing w:after="0"/>
            </w:pPr>
            <w:r>
              <w:rPr>
                <w:rFonts w:eastAsia="Arial"/>
                <w:sz w:val="19"/>
              </w:rPr>
              <w:t>89.</w:t>
            </w:r>
            <w:r w:rsidR="0092635B">
              <w:rPr>
                <w:rFonts w:eastAsia="Arial"/>
                <w:sz w:val="19"/>
              </w:rPr>
              <w:t>3</w:t>
            </w:r>
            <w:r>
              <w:rPr>
                <w:rFonts w:eastAsia="Arial"/>
                <w:sz w:val="19"/>
              </w:rPr>
              <w:t>%</w:t>
            </w:r>
          </w:p>
        </w:tc>
      </w:tr>
      <w:tr w:rsidR="00BC3E97" w14:paraId="5BBCEB11" w14:textId="77777777" w:rsidTr="003D5E4E">
        <w:trPr>
          <w:cantSplit/>
        </w:trPr>
        <w:tc>
          <w:tcPr>
            <w:tcW w:w="1701" w:type="dxa"/>
          </w:tcPr>
          <w:p w14:paraId="3BF41E0A" w14:textId="77777777" w:rsidR="00BC3E97" w:rsidRDefault="00BC3E97" w:rsidP="003D5E4E">
            <w:pPr>
              <w:spacing w:after="0"/>
            </w:pPr>
            <w:r>
              <w:rPr>
                <w:rFonts w:eastAsia="Arial"/>
                <w:sz w:val="19"/>
              </w:rPr>
              <w:t>2024</w:t>
            </w:r>
          </w:p>
        </w:tc>
        <w:tc>
          <w:tcPr>
            <w:tcW w:w="3402" w:type="dxa"/>
          </w:tcPr>
          <w:p w14:paraId="1F3142C5" w14:textId="77777777" w:rsidR="00BC3E97" w:rsidRDefault="00BC3E97" w:rsidP="003D5E4E">
            <w:pPr>
              <w:spacing w:after="0"/>
            </w:pPr>
            <w:r>
              <w:rPr>
                <w:rFonts w:eastAsia="Arial"/>
                <w:sz w:val="19"/>
              </w:rPr>
              <w:t>79.4%</w:t>
            </w:r>
          </w:p>
        </w:tc>
        <w:tc>
          <w:tcPr>
            <w:tcW w:w="3402" w:type="dxa"/>
          </w:tcPr>
          <w:p w14:paraId="3FDB50F0" w14:textId="77777777" w:rsidR="00BC3E97" w:rsidRDefault="00BC3E97" w:rsidP="003D5E4E">
            <w:pPr>
              <w:spacing w:after="0"/>
            </w:pPr>
            <w:r>
              <w:rPr>
                <w:rFonts w:eastAsia="Arial"/>
                <w:sz w:val="19"/>
              </w:rPr>
              <w:t>8</w:t>
            </w:r>
            <w:r w:rsidR="0092635B">
              <w:rPr>
                <w:rFonts w:eastAsia="Arial"/>
                <w:sz w:val="19"/>
              </w:rPr>
              <w:t>8</w:t>
            </w:r>
            <w:r>
              <w:rPr>
                <w:rFonts w:eastAsia="Arial"/>
                <w:sz w:val="19"/>
              </w:rPr>
              <w:t>.</w:t>
            </w:r>
            <w:r w:rsidR="0092635B">
              <w:rPr>
                <w:rFonts w:eastAsia="Arial"/>
                <w:sz w:val="19"/>
              </w:rPr>
              <w:t>6</w:t>
            </w:r>
            <w:r>
              <w:rPr>
                <w:rFonts w:eastAsia="Arial"/>
                <w:sz w:val="19"/>
              </w:rPr>
              <w:t>%</w:t>
            </w:r>
          </w:p>
        </w:tc>
      </w:tr>
      <w:tr w:rsidR="00BC3E97" w14:paraId="48A571BB" w14:textId="77777777" w:rsidTr="003D5E4E">
        <w:trPr>
          <w:cantSplit/>
        </w:trPr>
        <w:tc>
          <w:tcPr>
            <w:tcW w:w="1701" w:type="dxa"/>
          </w:tcPr>
          <w:p w14:paraId="7992C9E2" w14:textId="77777777" w:rsidR="00BC3E97" w:rsidRDefault="00BC3E97" w:rsidP="003D5E4E">
            <w:pPr>
              <w:spacing w:after="0"/>
            </w:pPr>
            <w:r>
              <w:rPr>
                <w:rFonts w:eastAsia="Arial"/>
                <w:sz w:val="19"/>
              </w:rPr>
              <w:t>2025</w:t>
            </w:r>
          </w:p>
        </w:tc>
        <w:tc>
          <w:tcPr>
            <w:tcW w:w="3402" w:type="dxa"/>
          </w:tcPr>
          <w:p w14:paraId="0F57D3B9" w14:textId="77777777" w:rsidR="00BC3E97" w:rsidRDefault="00BC3E97" w:rsidP="003D5E4E">
            <w:pPr>
              <w:spacing w:after="0"/>
            </w:pPr>
            <w:r>
              <w:rPr>
                <w:rFonts w:eastAsia="Arial"/>
                <w:sz w:val="19"/>
              </w:rPr>
              <w:t>79.7%</w:t>
            </w:r>
          </w:p>
        </w:tc>
        <w:tc>
          <w:tcPr>
            <w:tcW w:w="3402" w:type="dxa"/>
          </w:tcPr>
          <w:p w14:paraId="376213FC" w14:textId="77777777" w:rsidR="00BC3E97" w:rsidRDefault="00BC3E97" w:rsidP="003D5E4E">
            <w:pPr>
              <w:spacing w:after="0"/>
            </w:pPr>
            <w:r>
              <w:rPr>
                <w:rFonts w:eastAsia="Arial"/>
                <w:sz w:val="19"/>
              </w:rPr>
              <w:t>8</w:t>
            </w:r>
            <w:r w:rsidR="0092635B">
              <w:rPr>
                <w:rFonts w:eastAsia="Arial"/>
                <w:sz w:val="19"/>
              </w:rPr>
              <w:t>8</w:t>
            </w:r>
            <w:r>
              <w:rPr>
                <w:rFonts w:eastAsia="Arial"/>
                <w:sz w:val="19"/>
              </w:rPr>
              <w:t>.</w:t>
            </w:r>
            <w:r w:rsidR="0092635B">
              <w:rPr>
                <w:rFonts w:eastAsia="Arial"/>
                <w:sz w:val="19"/>
              </w:rPr>
              <w:t>8</w:t>
            </w:r>
            <w:r>
              <w:rPr>
                <w:rFonts w:eastAsia="Arial"/>
                <w:sz w:val="19"/>
              </w:rPr>
              <w:t>%</w:t>
            </w:r>
          </w:p>
        </w:tc>
      </w:tr>
    </w:tbl>
    <w:p w14:paraId="0E08DBD8" w14:textId="77777777" w:rsidR="00BC3E97" w:rsidRDefault="00BC3E97" w:rsidP="00BC3E97"/>
    <w:p w14:paraId="04E696D5" w14:textId="77777777" w:rsidR="00BC3E97" w:rsidRDefault="00BC3E97" w:rsidP="00BC3E97">
      <w:r>
        <w:rPr>
          <w:b/>
        </w:rPr>
        <w:t xml:space="preserve">Attendance rate definition: </w:t>
      </w:r>
      <w:r>
        <w:t>The number of actual full-time equivalent student-days attended by full-time students in Years 1 to 10 in Semester 1 as a percentage of the total possible number of student-days in Semester 1.</w:t>
      </w:r>
    </w:p>
    <w:p w14:paraId="1D35270C" w14:textId="77777777" w:rsidR="00BC3E97" w:rsidRDefault="00BC3E97" w:rsidP="00BC3E97">
      <w:r>
        <w:rPr>
          <w:b/>
        </w:rPr>
        <w:t xml:space="preserve">Time series note: </w:t>
      </w:r>
      <w:r>
        <w:t>School attendance data for 2020 was not published by ACARA due to inconsistencies in the data.</w:t>
      </w:r>
    </w:p>
    <w:p w14:paraId="1B27BDA5" w14:textId="77777777" w:rsidR="00315667" w:rsidRDefault="00000000">
      <w:r>
        <w:t>Source: ACARA National Report on Schooling Student attendance</w:t>
      </w:r>
    </w:p>
    <w:p w14:paraId="5EA324F4" w14:textId="77777777" w:rsidR="00BC3E97" w:rsidRDefault="00BC3E97" w:rsidP="00BC3E97">
      <w:pPr>
        <w:pStyle w:val="Heading3"/>
      </w:pPr>
      <w:bookmarkStart w:id="37" w:name="_Toc238720418"/>
      <w:bookmarkStart w:id="38" w:name="_Toc239931002"/>
      <w:bookmarkEnd w:id="37"/>
      <w:r>
        <w:t>Environment</w:t>
      </w:r>
      <w:bookmarkEnd w:id="38"/>
    </w:p>
    <w:p w14:paraId="33CD7F74" w14:textId="77777777" w:rsidR="00BC3E97" w:rsidRDefault="00BC3E97" w:rsidP="00BC3E97">
      <w:r>
        <w:t>There is meaningful progress in the school environment.</w:t>
      </w:r>
    </w:p>
    <w:p w14:paraId="6D9F64AC" w14:textId="77777777" w:rsidR="00BC3E97" w:rsidRDefault="00BC3E97" w:rsidP="00BC3E97">
      <w:r>
        <w:t>Increase in: completing a secondary school certificate; improved retention and attainment. Reduction in self-reported experiences of bullying. Safer and more inclusive school environments.</w:t>
      </w:r>
    </w:p>
    <w:p w14:paraId="16E60B08" w14:textId="77777777" w:rsidR="00BC3E97" w:rsidRDefault="00BC3E97" w:rsidP="00BC3E97">
      <w:r>
        <w:t>By 2025, 98% of schools supported staff to undertake CUST. Community Understanding and Safety Training = program designed to help schools provide culturally inclusive environments.</w:t>
      </w:r>
    </w:p>
    <w:p w14:paraId="1241DECB" w14:textId="77777777" w:rsidR="00F85EAC" w:rsidRPr="00F85EAC" w:rsidRDefault="00F85EAC" w:rsidP="00BC3E97">
      <w:pPr>
        <w:rPr>
          <w:color w:val="201547" w:themeColor="text1"/>
        </w:rPr>
      </w:pPr>
      <w:r>
        <w:t>Source: Departmental Data, Victorian Government Schools data</w:t>
      </w:r>
    </w:p>
    <w:p w14:paraId="040CBDA8" w14:textId="77777777" w:rsidR="00BC3E97" w:rsidRDefault="00BC3E97" w:rsidP="00BC3E97">
      <w:pPr>
        <w:pStyle w:val="Heading2"/>
      </w:pPr>
      <w:bookmarkStart w:id="39" w:name="_Toc238720419"/>
      <w:bookmarkStart w:id="40" w:name="_Toc239931003"/>
      <w:r>
        <w:t>NAPLAN results 2023–2025</w:t>
      </w:r>
      <w:bookmarkEnd w:id="39"/>
      <w:bookmarkEnd w:id="40"/>
    </w:p>
    <w:p w14:paraId="77D49A70" w14:textId="77777777" w:rsidR="00BC3E97" w:rsidRDefault="00BC3E97" w:rsidP="00BC3E97">
      <w:r>
        <w:t>First Nations students in Victoria across all school sectors achieved the strongest results nationwide in 2025, with the highest or second highest mean scores in 18 of 20 domains.</w:t>
      </w:r>
    </w:p>
    <w:p w14:paraId="3235B4AC" w14:textId="77777777" w:rsidR="00BC3E97" w:rsidRDefault="00BC3E97" w:rsidP="00BC3E97">
      <w:pPr>
        <w:pStyle w:val="Heading3"/>
      </w:pPr>
      <w:bookmarkStart w:id="41" w:name="_Toc238720420"/>
      <w:bookmarkStart w:id="42" w:name="_Toc239931004"/>
      <w:r>
        <w:t>Reading: strong or exceeding</w:t>
      </w:r>
      <w:bookmarkEnd w:id="41"/>
      <w:bookmarkEnd w:id="42"/>
    </w:p>
    <w:tbl>
      <w:tblPr>
        <w:tblStyle w:val="TableGrid"/>
        <w:tblW w:w="0" w:type="auto"/>
        <w:tblLook w:val="04A0" w:firstRow="1" w:lastRow="0" w:firstColumn="1" w:lastColumn="0" w:noHBand="0" w:noVBand="1"/>
      </w:tblPr>
      <w:tblGrid>
        <w:gridCol w:w="1814"/>
        <w:gridCol w:w="1587"/>
        <w:gridCol w:w="1587"/>
        <w:gridCol w:w="1587"/>
        <w:gridCol w:w="1984"/>
      </w:tblGrid>
      <w:tr w:rsidR="00BC3E97" w14:paraId="1BA53BB2" w14:textId="77777777" w:rsidTr="003D5E4E">
        <w:trPr>
          <w:cantSplit/>
          <w:tblHeader/>
        </w:trPr>
        <w:tc>
          <w:tcPr>
            <w:tcW w:w="1814" w:type="dxa"/>
            <w:shd w:val="clear" w:color="auto" w:fill="E7F2F4"/>
          </w:tcPr>
          <w:p w14:paraId="5160F93C" w14:textId="77777777" w:rsidR="00BC3E97" w:rsidRDefault="00BC3E97" w:rsidP="003D5E4E">
            <w:pPr>
              <w:spacing w:after="0"/>
            </w:pPr>
            <w:r>
              <w:rPr>
                <w:rFonts w:eastAsia="Arial"/>
                <w:b/>
                <w:sz w:val="19"/>
              </w:rPr>
              <w:t>Year level</w:t>
            </w:r>
          </w:p>
        </w:tc>
        <w:tc>
          <w:tcPr>
            <w:tcW w:w="1587" w:type="dxa"/>
            <w:shd w:val="clear" w:color="auto" w:fill="E7F2F4"/>
          </w:tcPr>
          <w:p w14:paraId="104648F8" w14:textId="77777777" w:rsidR="00BC3E97" w:rsidRDefault="00BC3E97" w:rsidP="003D5E4E">
            <w:pPr>
              <w:spacing w:after="0"/>
            </w:pPr>
            <w:r>
              <w:rPr>
                <w:rFonts w:eastAsia="Arial"/>
                <w:b/>
                <w:sz w:val="19"/>
              </w:rPr>
              <w:t>2023</w:t>
            </w:r>
          </w:p>
        </w:tc>
        <w:tc>
          <w:tcPr>
            <w:tcW w:w="1587" w:type="dxa"/>
            <w:shd w:val="clear" w:color="auto" w:fill="E7F2F4"/>
          </w:tcPr>
          <w:p w14:paraId="736A0139" w14:textId="77777777" w:rsidR="00BC3E97" w:rsidRDefault="00BC3E97" w:rsidP="003D5E4E">
            <w:pPr>
              <w:spacing w:after="0"/>
            </w:pPr>
            <w:r>
              <w:rPr>
                <w:rFonts w:eastAsia="Arial"/>
                <w:b/>
                <w:sz w:val="19"/>
              </w:rPr>
              <w:t>2024</w:t>
            </w:r>
          </w:p>
        </w:tc>
        <w:tc>
          <w:tcPr>
            <w:tcW w:w="1587" w:type="dxa"/>
            <w:shd w:val="clear" w:color="auto" w:fill="E7F2F4"/>
          </w:tcPr>
          <w:p w14:paraId="44BDCB36" w14:textId="77777777" w:rsidR="00BC3E97" w:rsidRDefault="00BC3E97" w:rsidP="003D5E4E">
            <w:pPr>
              <w:spacing w:after="0"/>
            </w:pPr>
            <w:r>
              <w:rPr>
                <w:rFonts w:eastAsia="Arial"/>
                <w:b/>
                <w:sz w:val="19"/>
              </w:rPr>
              <w:t>2025</w:t>
            </w:r>
          </w:p>
        </w:tc>
        <w:tc>
          <w:tcPr>
            <w:tcW w:w="1984" w:type="dxa"/>
            <w:shd w:val="clear" w:color="auto" w:fill="E7F2F4"/>
          </w:tcPr>
          <w:p w14:paraId="4029B8D9" w14:textId="77777777" w:rsidR="00BC3E97" w:rsidRDefault="00BC3E97" w:rsidP="003D5E4E">
            <w:pPr>
              <w:spacing w:after="0"/>
            </w:pPr>
            <w:r>
              <w:rPr>
                <w:rFonts w:eastAsia="Arial"/>
                <w:b/>
                <w:sz w:val="19"/>
              </w:rPr>
              <w:t>All students</w:t>
            </w:r>
          </w:p>
        </w:tc>
      </w:tr>
      <w:tr w:rsidR="00BC3E97" w14:paraId="49312922" w14:textId="77777777" w:rsidTr="003D5E4E">
        <w:trPr>
          <w:cantSplit/>
        </w:trPr>
        <w:tc>
          <w:tcPr>
            <w:tcW w:w="1814" w:type="dxa"/>
          </w:tcPr>
          <w:p w14:paraId="2CEFCD7E" w14:textId="77777777" w:rsidR="00BC3E97" w:rsidRDefault="00BC3E97" w:rsidP="003D5E4E">
            <w:pPr>
              <w:spacing w:after="0"/>
            </w:pPr>
            <w:r>
              <w:rPr>
                <w:rFonts w:eastAsia="Arial"/>
                <w:sz w:val="19"/>
              </w:rPr>
              <w:t>Year 3</w:t>
            </w:r>
          </w:p>
        </w:tc>
        <w:tc>
          <w:tcPr>
            <w:tcW w:w="1587" w:type="dxa"/>
          </w:tcPr>
          <w:p w14:paraId="06AB2C99" w14:textId="77777777" w:rsidR="00BC3E97" w:rsidRDefault="00BC3E97" w:rsidP="003D5E4E">
            <w:pPr>
              <w:spacing w:after="0"/>
            </w:pPr>
            <w:r>
              <w:rPr>
                <w:rFonts w:eastAsia="Arial"/>
                <w:sz w:val="19"/>
              </w:rPr>
              <w:t>47.0%</w:t>
            </w:r>
          </w:p>
        </w:tc>
        <w:tc>
          <w:tcPr>
            <w:tcW w:w="1587" w:type="dxa"/>
          </w:tcPr>
          <w:p w14:paraId="6FDAAA8B" w14:textId="77777777" w:rsidR="00BC3E97" w:rsidRDefault="00BC3E97" w:rsidP="003D5E4E">
            <w:pPr>
              <w:spacing w:after="0"/>
            </w:pPr>
            <w:r>
              <w:rPr>
                <w:rFonts w:eastAsia="Arial"/>
                <w:sz w:val="19"/>
              </w:rPr>
              <w:t>48.7%</w:t>
            </w:r>
          </w:p>
        </w:tc>
        <w:tc>
          <w:tcPr>
            <w:tcW w:w="1587" w:type="dxa"/>
          </w:tcPr>
          <w:p w14:paraId="32CD82D8" w14:textId="77777777" w:rsidR="00BC3E97" w:rsidRDefault="00BC3E97" w:rsidP="003D5E4E">
            <w:pPr>
              <w:spacing w:after="0"/>
            </w:pPr>
            <w:r>
              <w:rPr>
                <w:rFonts w:eastAsia="Arial"/>
                <w:sz w:val="19"/>
              </w:rPr>
              <w:t>47.2%</w:t>
            </w:r>
          </w:p>
        </w:tc>
        <w:tc>
          <w:tcPr>
            <w:tcW w:w="1984" w:type="dxa"/>
          </w:tcPr>
          <w:p w14:paraId="11216520" w14:textId="77777777" w:rsidR="00BC3E97" w:rsidRDefault="00BC3E97" w:rsidP="003D5E4E">
            <w:pPr>
              <w:spacing w:after="0"/>
            </w:pPr>
            <w:r>
              <w:rPr>
                <w:rFonts w:eastAsia="Arial"/>
                <w:sz w:val="19"/>
              </w:rPr>
              <w:t>71.4%</w:t>
            </w:r>
          </w:p>
        </w:tc>
      </w:tr>
      <w:tr w:rsidR="00BC3E97" w14:paraId="35F47650" w14:textId="77777777" w:rsidTr="003D5E4E">
        <w:trPr>
          <w:cantSplit/>
        </w:trPr>
        <w:tc>
          <w:tcPr>
            <w:tcW w:w="1814" w:type="dxa"/>
          </w:tcPr>
          <w:p w14:paraId="7E03D324" w14:textId="77777777" w:rsidR="00BC3E97" w:rsidRDefault="00BC3E97" w:rsidP="003D5E4E">
            <w:pPr>
              <w:spacing w:after="0"/>
            </w:pPr>
            <w:r>
              <w:rPr>
                <w:rFonts w:eastAsia="Arial"/>
                <w:sz w:val="19"/>
              </w:rPr>
              <w:t>Year 5</w:t>
            </w:r>
          </w:p>
        </w:tc>
        <w:tc>
          <w:tcPr>
            <w:tcW w:w="1587" w:type="dxa"/>
          </w:tcPr>
          <w:p w14:paraId="73C80B74" w14:textId="77777777" w:rsidR="00BC3E97" w:rsidRDefault="00BC3E97" w:rsidP="003D5E4E">
            <w:pPr>
              <w:spacing w:after="0"/>
            </w:pPr>
            <w:r>
              <w:rPr>
                <w:rFonts w:eastAsia="Arial"/>
                <w:sz w:val="19"/>
              </w:rPr>
              <w:t>50.6%</w:t>
            </w:r>
          </w:p>
        </w:tc>
        <w:tc>
          <w:tcPr>
            <w:tcW w:w="1587" w:type="dxa"/>
          </w:tcPr>
          <w:p w14:paraId="5C6C5940" w14:textId="77777777" w:rsidR="00BC3E97" w:rsidRDefault="00BC3E97" w:rsidP="003D5E4E">
            <w:pPr>
              <w:spacing w:after="0"/>
            </w:pPr>
            <w:r>
              <w:rPr>
                <w:rFonts w:eastAsia="Arial"/>
                <w:sz w:val="19"/>
              </w:rPr>
              <w:t>50.6%</w:t>
            </w:r>
          </w:p>
        </w:tc>
        <w:tc>
          <w:tcPr>
            <w:tcW w:w="1587" w:type="dxa"/>
          </w:tcPr>
          <w:p w14:paraId="43A8CCAF" w14:textId="77777777" w:rsidR="00BC3E97" w:rsidRDefault="00BC3E97" w:rsidP="003D5E4E">
            <w:pPr>
              <w:spacing w:after="0"/>
            </w:pPr>
            <w:r>
              <w:rPr>
                <w:rFonts w:eastAsia="Arial"/>
                <w:sz w:val="19"/>
              </w:rPr>
              <w:t>55.6%</w:t>
            </w:r>
          </w:p>
        </w:tc>
        <w:tc>
          <w:tcPr>
            <w:tcW w:w="1984" w:type="dxa"/>
          </w:tcPr>
          <w:p w14:paraId="3DC126A6" w14:textId="77777777" w:rsidR="00BC3E97" w:rsidRDefault="00BC3E97" w:rsidP="003D5E4E">
            <w:pPr>
              <w:spacing w:after="0"/>
            </w:pPr>
            <w:r>
              <w:rPr>
                <w:rFonts w:eastAsia="Arial"/>
                <w:sz w:val="19"/>
              </w:rPr>
              <w:t>77.6%</w:t>
            </w:r>
          </w:p>
        </w:tc>
      </w:tr>
      <w:tr w:rsidR="00BC3E97" w14:paraId="6FFF8798" w14:textId="77777777" w:rsidTr="003D5E4E">
        <w:trPr>
          <w:cantSplit/>
        </w:trPr>
        <w:tc>
          <w:tcPr>
            <w:tcW w:w="1814" w:type="dxa"/>
          </w:tcPr>
          <w:p w14:paraId="7E6BA3E4" w14:textId="77777777" w:rsidR="00BC3E97" w:rsidRDefault="00BC3E97" w:rsidP="003D5E4E">
            <w:pPr>
              <w:spacing w:after="0"/>
            </w:pPr>
            <w:r>
              <w:rPr>
                <w:rFonts w:eastAsia="Arial"/>
                <w:sz w:val="19"/>
              </w:rPr>
              <w:t>Year 7</w:t>
            </w:r>
          </w:p>
        </w:tc>
        <w:tc>
          <w:tcPr>
            <w:tcW w:w="1587" w:type="dxa"/>
          </w:tcPr>
          <w:p w14:paraId="027B50F3" w14:textId="77777777" w:rsidR="00BC3E97" w:rsidRDefault="00BC3E97" w:rsidP="003D5E4E">
            <w:pPr>
              <w:spacing w:after="0"/>
            </w:pPr>
            <w:r>
              <w:rPr>
                <w:rFonts w:eastAsia="Arial"/>
                <w:sz w:val="19"/>
              </w:rPr>
              <w:t>41.8%</w:t>
            </w:r>
          </w:p>
        </w:tc>
        <w:tc>
          <w:tcPr>
            <w:tcW w:w="1587" w:type="dxa"/>
          </w:tcPr>
          <w:p w14:paraId="4FDD3C24" w14:textId="77777777" w:rsidR="00BC3E97" w:rsidRDefault="00BC3E97" w:rsidP="003D5E4E">
            <w:pPr>
              <w:spacing w:after="0"/>
            </w:pPr>
            <w:r>
              <w:rPr>
                <w:rFonts w:eastAsia="Arial"/>
                <w:sz w:val="19"/>
              </w:rPr>
              <w:t>42.6%</w:t>
            </w:r>
          </w:p>
        </w:tc>
        <w:tc>
          <w:tcPr>
            <w:tcW w:w="1587" w:type="dxa"/>
          </w:tcPr>
          <w:p w14:paraId="7558FDF4" w14:textId="77777777" w:rsidR="00BC3E97" w:rsidRDefault="00BC3E97" w:rsidP="003D5E4E">
            <w:pPr>
              <w:spacing w:after="0"/>
            </w:pPr>
            <w:r>
              <w:rPr>
                <w:rFonts w:eastAsia="Arial"/>
                <w:sz w:val="19"/>
              </w:rPr>
              <w:t>44.7%</w:t>
            </w:r>
          </w:p>
        </w:tc>
        <w:tc>
          <w:tcPr>
            <w:tcW w:w="1984" w:type="dxa"/>
          </w:tcPr>
          <w:p w14:paraId="7213786B" w14:textId="77777777" w:rsidR="00BC3E97" w:rsidRDefault="00BC3E97" w:rsidP="003D5E4E">
            <w:pPr>
              <w:spacing w:after="0"/>
            </w:pPr>
            <w:r>
              <w:rPr>
                <w:rFonts w:eastAsia="Arial"/>
                <w:sz w:val="19"/>
              </w:rPr>
              <w:t>74.0%</w:t>
            </w:r>
          </w:p>
        </w:tc>
      </w:tr>
      <w:tr w:rsidR="00BC3E97" w14:paraId="7902F8BB" w14:textId="77777777" w:rsidTr="003D5E4E">
        <w:trPr>
          <w:cantSplit/>
        </w:trPr>
        <w:tc>
          <w:tcPr>
            <w:tcW w:w="1814" w:type="dxa"/>
          </w:tcPr>
          <w:p w14:paraId="3901D39F" w14:textId="77777777" w:rsidR="00BC3E97" w:rsidRDefault="00BC3E97" w:rsidP="003D5E4E">
            <w:pPr>
              <w:spacing w:after="0"/>
            </w:pPr>
            <w:r>
              <w:rPr>
                <w:rFonts w:eastAsia="Arial"/>
                <w:sz w:val="19"/>
              </w:rPr>
              <w:lastRenderedPageBreak/>
              <w:t>Year 9</w:t>
            </w:r>
          </w:p>
        </w:tc>
        <w:tc>
          <w:tcPr>
            <w:tcW w:w="1587" w:type="dxa"/>
          </w:tcPr>
          <w:p w14:paraId="162048EA" w14:textId="77777777" w:rsidR="00BC3E97" w:rsidRDefault="00BC3E97" w:rsidP="003D5E4E">
            <w:pPr>
              <w:spacing w:after="0"/>
            </w:pPr>
            <w:r>
              <w:rPr>
                <w:rFonts w:eastAsia="Arial"/>
                <w:sz w:val="19"/>
              </w:rPr>
              <w:t>38.9%</w:t>
            </w:r>
          </w:p>
        </w:tc>
        <w:tc>
          <w:tcPr>
            <w:tcW w:w="1587" w:type="dxa"/>
          </w:tcPr>
          <w:p w14:paraId="6F99FDCA" w14:textId="77777777" w:rsidR="00BC3E97" w:rsidRDefault="00BC3E97" w:rsidP="003D5E4E">
            <w:pPr>
              <w:spacing w:after="0"/>
            </w:pPr>
            <w:r>
              <w:rPr>
                <w:rFonts w:eastAsia="Arial"/>
                <w:sz w:val="19"/>
              </w:rPr>
              <w:t>36.7%</w:t>
            </w:r>
          </w:p>
        </w:tc>
        <w:tc>
          <w:tcPr>
            <w:tcW w:w="1587" w:type="dxa"/>
          </w:tcPr>
          <w:p w14:paraId="01AA24D9" w14:textId="77777777" w:rsidR="00BC3E97" w:rsidRDefault="00BC3E97" w:rsidP="003D5E4E">
            <w:pPr>
              <w:spacing w:after="0"/>
            </w:pPr>
            <w:r>
              <w:rPr>
                <w:rFonts w:eastAsia="Arial"/>
                <w:sz w:val="19"/>
              </w:rPr>
              <w:t>41.6%</w:t>
            </w:r>
          </w:p>
        </w:tc>
        <w:tc>
          <w:tcPr>
            <w:tcW w:w="1984" w:type="dxa"/>
          </w:tcPr>
          <w:p w14:paraId="7754530C" w14:textId="77777777" w:rsidR="00BC3E97" w:rsidRDefault="00BC3E97" w:rsidP="003D5E4E">
            <w:pPr>
              <w:spacing w:after="0"/>
            </w:pPr>
            <w:r>
              <w:rPr>
                <w:rFonts w:eastAsia="Arial"/>
                <w:sz w:val="19"/>
              </w:rPr>
              <w:t>69.1%</w:t>
            </w:r>
          </w:p>
        </w:tc>
      </w:tr>
    </w:tbl>
    <w:p w14:paraId="020D0F9B" w14:textId="77777777" w:rsidR="00BC3E97" w:rsidRDefault="00BC3E97" w:rsidP="00BC3E97"/>
    <w:p w14:paraId="4A1C4F8D" w14:textId="77777777" w:rsidR="00BC3E97" w:rsidRDefault="00BC3E97" w:rsidP="00BC3E97">
      <w:pPr>
        <w:pStyle w:val="Heading3"/>
      </w:pPr>
      <w:bookmarkStart w:id="43" w:name="_Toc238720421"/>
      <w:bookmarkStart w:id="44" w:name="_Toc239931005"/>
      <w:r>
        <w:t>Numeracy: strong or exceeding</w:t>
      </w:r>
      <w:bookmarkEnd w:id="43"/>
      <w:bookmarkEnd w:id="44"/>
    </w:p>
    <w:tbl>
      <w:tblPr>
        <w:tblStyle w:val="TableGrid"/>
        <w:tblW w:w="0" w:type="auto"/>
        <w:tblLook w:val="04A0" w:firstRow="1" w:lastRow="0" w:firstColumn="1" w:lastColumn="0" w:noHBand="0" w:noVBand="1"/>
      </w:tblPr>
      <w:tblGrid>
        <w:gridCol w:w="1814"/>
        <w:gridCol w:w="1587"/>
        <w:gridCol w:w="1587"/>
        <w:gridCol w:w="1587"/>
        <w:gridCol w:w="1984"/>
      </w:tblGrid>
      <w:tr w:rsidR="00BC3E97" w14:paraId="49E66EA1" w14:textId="77777777" w:rsidTr="003D5E4E">
        <w:trPr>
          <w:cantSplit/>
          <w:tblHeader/>
        </w:trPr>
        <w:tc>
          <w:tcPr>
            <w:tcW w:w="1814" w:type="dxa"/>
            <w:shd w:val="clear" w:color="auto" w:fill="E7F2F4"/>
          </w:tcPr>
          <w:p w14:paraId="3B24AE70" w14:textId="77777777" w:rsidR="00BC3E97" w:rsidRDefault="00BC3E97" w:rsidP="003D5E4E">
            <w:pPr>
              <w:spacing w:after="0"/>
            </w:pPr>
            <w:r>
              <w:rPr>
                <w:rFonts w:eastAsia="Arial"/>
                <w:b/>
                <w:sz w:val="19"/>
              </w:rPr>
              <w:t>Year level</w:t>
            </w:r>
          </w:p>
        </w:tc>
        <w:tc>
          <w:tcPr>
            <w:tcW w:w="1587" w:type="dxa"/>
            <w:shd w:val="clear" w:color="auto" w:fill="E7F2F4"/>
          </w:tcPr>
          <w:p w14:paraId="0944E3D8" w14:textId="77777777" w:rsidR="00BC3E97" w:rsidRDefault="00BC3E97" w:rsidP="003D5E4E">
            <w:pPr>
              <w:spacing w:after="0"/>
            </w:pPr>
            <w:r>
              <w:rPr>
                <w:rFonts w:eastAsia="Arial"/>
                <w:b/>
                <w:sz w:val="19"/>
              </w:rPr>
              <w:t>2023</w:t>
            </w:r>
          </w:p>
        </w:tc>
        <w:tc>
          <w:tcPr>
            <w:tcW w:w="1587" w:type="dxa"/>
            <w:shd w:val="clear" w:color="auto" w:fill="E7F2F4"/>
          </w:tcPr>
          <w:p w14:paraId="32E59130" w14:textId="77777777" w:rsidR="00BC3E97" w:rsidRDefault="00BC3E97" w:rsidP="003D5E4E">
            <w:pPr>
              <w:spacing w:after="0"/>
            </w:pPr>
            <w:r>
              <w:rPr>
                <w:rFonts w:eastAsia="Arial"/>
                <w:b/>
                <w:sz w:val="19"/>
              </w:rPr>
              <w:t>2024</w:t>
            </w:r>
          </w:p>
        </w:tc>
        <w:tc>
          <w:tcPr>
            <w:tcW w:w="1587" w:type="dxa"/>
            <w:shd w:val="clear" w:color="auto" w:fill="E7F2F4"/>
          </w:tcPr>
          <w:p w14:paraId="2BFFAF5D" w14:textId="77777777" w:rsidR="00BC3E97" w:rsidRDefault="00BC3E97" w:rsidP="003D5E4E">
            <w:pPr>
              <w:spacing w:after="0"/>
            </w:pPr>
            <w:r>
              <w:rPr>
                <w:rFonts w:eastAsia="Arial"/>
                <w:b/>
                <w:sz w:val="19"/>
              </w:rPr>
              <w:t>2025</w:t>
            </w:r>
          </w:p>
        </w:tc>
        <w:tc>
          <w:tcPr>
            <w:tcW w:w="1984" w:type="dxa"/>
            <w:shd w:val="clear" w:color="auto" w:fill="E7F2F4"/>
          </w:tcPr>
          <w:p w14:paraId="0AF73CDC" w14:textId="77777777" w:rsidR="00BC3E97" w:rsidRDefault="00BC3E97" w:rsidP="003D5E4E">
            <w:pPr>
              <w:spacing w:after="0"/>
            </w:pPr>
            <w:r>
              <w:rPr>
                <w:rFonts w:eastAsia="Arial"/>
                <w:b/>
                <w:sz w:val="19"/>
              </w:rPr>
              <w:t>All students</w:t>
            </w:r>
          </w:p>
        </w:tc>
      </w:tr>
      <w:tr w:rsidR="00BC3E97" w14:paraId="33D9BF23" w14:textId="77777777" w:rsidTr="003D5E4E">
        <w:trPr>
          <w:cantSplit/>
        </w:trPr>
        <w:tc>
          <w:tcPr>
            <w:tcW w:w="1814" w:type="dxa"/>
          </w:tcPr>
          <w:p w14:paraId="282F04DC" w14:textId="77777777" w:rsidR="00BC3E97" w:rsidRDefault="00BC3E97" w:rsidP="003D5E4E">
            <w:pPr>
              <w:spacing w:after="0"/>
            </w:pPr>
            <w:r>
              <w:rPr>
                <w:rFonts w:eastAsia="Arial"/>
                <w:sz w:val="19"/>
              </w:rPr>
              <w:t>Year 3</w:t>
            </w:r>
          </w:p>
        </w:tc>
        <w:tc>
          <w:tcPr>
            <w:tcW w:w="1587" w:type="dxa"/>
          </w:tcPr>
          <w:p w14:paraId="2EDA34C1" w14:textId="77777777" w:rsidR="00BC3E97" w:rsidRDefault="00BC3E97" w:rsidP="003D5E4E">
            <w:pPr>
              <w:spacing w:after="0"/>
            </w:pPr>
            <w:r>
              <w:rPr>
                <w:rFonts w:eastAsia="Arial"/>
                <w:sz w:val="19"/>
              </w:rPr>
              <w:t>42.9%</w:t>
            </w:r>
          </w:p>
        </w:tc>
        <w:tc>
          <w:tcPr>
            <w:tcW w:w="1587" w:type="dxa"/>
          </w:tcPr>
          <w:p w14:paraId="042698DF" w14:textId="77777777" w:rsidR="00BC3E97" w:rsidRDefault="00BC3E97" w:rsidP="003D5E4E">
            <w:pPr>
              <w:spacing w:after="0"/>
            </w:pPr>
            <w:r>
              <w:rPr>
                <w:rFonts w:eastAsia="Arial"/>
                <w:sz w:val="19"/>
              </w:rPr>
              <w:t>42.7%</w:t>
            </w:r>
          </w:p>
        </w:tc>
        <w:tc>
          <w:tcPr>
            <w:tcW w:w="1587" w:type="dxa"/>
          </w:tcPr>
          <w:p w14:paraId="57C364CC" w14:textId="77777777" w:rsidR="00BC3E97" w:rsidRDefault="00BC3E97" w:rsidP="003D5E4E">
            <w:pPr>
              <w:spacing w:after="0"/>
            </w:pPr>
            <w:r>
              <w:rPr>
                <w:rFonts w:eastAsia="Arial"/>
                <w:sz w:val="19"/>
              </w:rPr>
              <w:t>44.3%</w:t>
            </w:r>
          </w:p>
        </w:tc>
        <w:tc>
          <w:tcPr>
            <w:tcW w:w="1984" w:type="dxa"/>
          </w:tcPr>
          <w:p w14:paraId="7DFED261" w14:textId="77777777" w:rsidR="00BC3E97" w:rsidRDefault="00BC3E97" w:rsidP="003D5E4E">
            <w:pPr>
              <w:spacing w:after="0"/>
            </w:pPr>
            <w:r>
              <w:rPr>
                <w:rFonts w:eastAsia="Arial"/>
                <w:sz w:val="19"/>
              </w:rPr>
              <w:t>69.8%</w:t>
            </w:r>
          </w:p>
        </w:tc>
      </w:tr>
      <w:tr w:rsidR="00BC3E97" w14:paraId="52A2146C" w14:textId="77777777" w:rsidTr="003D5E4E">
        <w:trPr>
          <w:cantSplit/>
        </w:trPr>
        <w:tc>
          <w:tcPr>
            <w:tcW w:w="1814" w:type="dxa"/>
          </w:tcPr>
          <w:p w14:paraId="43866AC5" w14:textId="77777777" w:rsidR="00BC3E97" w:rsidRDefault="00BC3E97" w:rsidP="003D5E4E">
            <w:pPr>
              <w:spacing w:after="0"/>
            </w:pPr>
            <w:r>
              <w:rPr>
                <w:rFonts w:eastAsia="Arial"/>
                <w:sz w:val="19"/>
              </w:rPr>
              <w:t>Year 5</w:t>
            </w:r>
          </w:p>
        </w:tc>
        <w:tc>
          <w:tcPr>
            <w:tcW w:w="1587" w:type="dxa"/>
          </w:tcPr>
          <w:p w14:paraId="16BAE53B" w14:textId="77777777" w:rsidR="00BC3E97" w:rsidRDefault="00BC3E97" w:rsidP="003D5E4E">
            <w:pPr>
              <w:spacing w:after="0"/>
            </w:pPr>
            <w:r>
              <w:rPr>
                <w:rFonts w:eastAsia="Arial"/>
                <w:sz w:val="19"/>
              </w:rPr>
              <w:t>38.5%</w:t>
            </w:r>
          </w:p>
        </w:tc>
        <w:tc>
          <w:tcPr>
            <w:tcW w:w="1587" w:type="dxa"/>
          </w:tcPr>
          <w:p w14:paraId="1AF8BDDC" w14:textId="77777777" w:rsidR="00BC3E97" w:rsidRDefault="00BC3E97" w:rsidP="003D5E4E">
            <w:pPr>
              <w:spacing w:after="0"/>
            </w:pPr>
            <w:r>
              <w:rPr>
                <w:rFonts w:eastAsia="Arial"/>
                <w:sz w:val="19"/>
              </w:rPr>
              <w:t>41.0%</w:t>
            </w:r>
          </w:p>
        </w:tc>
        <w:tc>
          <w:tcPr>
            <w:tcW w:w="1587" w:type="dxa"/>
          </w:tcPr>
          <w:p w14:paraId="539867F4" w14:textId="77777777" w:rsidR="00BC3E97" w:rsidRDefault="00BC3E97" w:rsidP="003D5E4E">
            <w:pPr>
              <w:spacing w:after="0"/>
            </w:pPr>
            <w:r>
              <w:rPr>
                <w:rFonts w:eastAsia="Arial"/>
                <w:sz w:val="19"/>
              </w:rPr>
              <w:t>45.0%</w:t>
            </w:r>
          </w:p>
        </w:tc>
        <w:tc>
          <w:tcPr>
            <w:tcW w:w="1984" w:type="dxa"/>
          </w:tcPr>
          <w:p w14:paraId="18D8DCFA" w14:textId="77777777" w:rsidR="00BC3E97" w:rsidRDefault="00BC3E97" w:rsidP="003D5E4E">
            <w:pPr>
              <w:spacing w:after="0"/>
            </w:pPr>
            <w:r>
              <w:rPr>
                <w:rFonts w:eastAsia="Arial"/>
                <w:sz w:val="19"/>
              </w:rPr>
              <w:t>73.4%</w:t>
            </w:r>
          </w:p>
        </w:tc>
      </w:tr>
      <w:tr w:rsidR="00BC3E97" w14:paraId="103A31CF" w14:textId="77777777" w:rsidTr="003D5E4E">
        <w:trPr>
          <w:cantSplit/>
        </w:trPr>
        <w:tc>
          <w:tcPr>
            <w:tcW w:w="1814" w:type="dxa"/>
          </w:tcPr>
          <w:p w14:paraId="2EF65684" w14:textId="77777777" w:rsidR="00BC3E97" w:rsidRDefault="00BC3E97" w:rsidP="003D5E4E">
            <w:pPr>
              <w:spacing w:after="0"/>
            </w:pPr>
            <w:r>
              <w:rPr>
                <w:rFonts w:eastAsia="Arial"/>
                <w:sz w:val="19"/>
              </w:rPr>
              <w:t>Year 7</w:t>
            </w:r>
          </w:p>
        </w:tc>
        <w:tc>
          <w:tcPr>
            <w:tcW w:w="1587" w:type="dxa"/>
          </w:tcPr>
          <w:p w14:paraId="3B61D348" w14:textId="77777777" w:rsidR="00BC3E97" w:rsidRDefault="00BC3E97" w:rsidP="003D5E4E">
            <w:pPr>
              <w:spacing w:after="0"/>
            </w:pPr>
            <w:r>
              <w:rPr>
                <w:rFonts w:eastAsia="Arial"/>
                <w:sz w:val="19"/>
              </w:rPr>
              <w:t>34.6%</w:t>
            </w:r>
          </w:p>
        </w:tc>
        <w:tc>
          <w:tcPr>
            <w:tcW w:w="1587" w:type="dxa"/>
          </w:tcPr>
          <w:p w14:paraId="32F33604" w14:textId="77777777" w:rsidR="00BC3E97" w:rsidRDefault="00BC3E97" w:rsidP="003D5E4E">
            <w:pPr>
              <w:spacing w:after="0"/>
            </w:pPr>
            <w:r>
              <w:rPr>
                <w:rFonts w:eastAsia="Arial"/>
                <w:sz w:val="19"/>
              </w:rPr>
              <w:t>37.4%</w:t>
            </w:r>
          </w:p>
        </w:tc>
        <w:tc>
          <w:tcPr>
            <w:tcW w:w="1587" w:type="dxa"/>
          </w:tcPr>
          <w:p w14:paraId="376C0E85" w14:textId="77777777" w:rsidR="00BC3E97" w:rsidRDefault="00BC3E97" w:rsidP="003D5E4E">
            <w:pPr>
              <w:spacing w:after="0"/>
            </w:pPr>
            <w:r>
              <w:rPr>
                <w:rFonts w:eastAsia="Arial"/>
                <w:sz w:val="19"/>
              </w:rPr>
              <w:t>40.3%</w:t>
            </w:r>
          </w:p>
        </w:tc>
        <w:tc>
          <w:tcPr>
            <w:tcW w:w="1984" w:type="dxa"/>
          </w:tcPr>
          <w:p w14:paraId="4775E0B4" w14:textId="77777777" w:rsidR="00BC3E97" w:rsidRDefault="00BC3E97" w:rsidP="003D5E4E">
            <w:pPr>
              <w:spacing w:after="0"/>
            </w:pPr>
            <w:r>
              <w:rPr>
                <w:rFonts w:eastAsia="Arial"/>
                <w:sz w:val="19"/>
              </w:rPr>
              <w:t>72.7%</w:t>
            </w:r>
          </w:p>
        </w:tc>
      </w:tr>
      <w:tr w:rsidR="00BC3E97" w14:paraId="0A3EB614" w14:textId="77777777" w:rsidTr="003D5E4E">
        <w:trPr>
          <w:cantSplit/>
        </w:trPr>
        <w:tc>
          <w:tcPr>
            <w:tcW w:w="1814" w:type="dxa"/>
          </w:tcPr>
          <w:p w14:paraId="23959291" w14:textId="77777777" w:rsidR="00BC3E97" w:rsidRDefault="00BC3E97" w:rsidP="003D5E4E">
            <w:pPr>
              <w:spacing w:after="0"/>
            </w:pPr>
            <w:r>
              <w:rPr>
                <w:rFonts w:eastAsia="Arial"/>
                <w:sz w:val="19"/>
              </w:rPr>
              <w:t>Year 9</w:t>
            </w:r>
          </w:p>
        </w:tc>
        <w:tc>
          <w:tcPr>
            <w:tcW w:w="1587" w:type="dxa"/>
          </w:tcPr>
          <w:p w14:paraId="3C247947" w14:textId="77777777" w:rsidR="00BC3E97" w:rsidRDefault="00BC3E97" w:rsidP="003D5E4E">
            <w:pPr>
              <w:spacing w:after="0"/>
            </w:pPr>
            <w:r>
              <w:rPr>
                <w:rFonts w:eastAsia="Arial"/>
                <w:sz w:val="19"/>
              </w:rPr>
              <w:t>32.5%</w:t>
            </w:r>
          </w:p>
        </w:tc>
        <w:tc>
          <w:tcPr>
            <w:tcW w:w="1587" w:type="dxa"/>
          </w:tcPr>
          <w:p w14:paraId="5E4D5FE6" w14:textId="77777777" w:rsidR="00BC3E97" w:rsidRDefault="00BC3E97" w:rsidP="003D5E4E">
            <w:pPr>
              <w:spacing w:after="0"/>
            </w:pPr>
            <w:r>
              <w:rPr>
                <w:rFonts w:eastAsia="Arial"/>
                <w:sz w:val="19"/>
              </w:rPr>
              <w:t>33.2%</w:t>
            </w:r>
          </w:p>
        </w:tc>
        <w:tc>
          <w:tcPr>
            <w:tcW w:w="1587" w:type="dxa"/>
          </w:tcPr>
          <w:p w14:paraId="5964E2DB" w14:textId="77777777" w:rsidR="00BC3E97" w:rsidRDefault="00BC3E97" w:rsidP="003D5E4E">
            <w:pPr>
              <w:spacing w:after="0"/>
            </w:pPr>
            <w:r>
              <w:rPr>
                <w:rFonts w:eastAsia="Arial"/>
                <w:sz w:val="19"/>
              </w:rPr>
              <w:t>36.2%</w:t>
            </w:r>
          </w:p>
        </w:tc>
        <w:tc>
          <w:tcPr>
            <w:tcW w:w="1984" w:type="dxa"/>
          </w:tcPr>
          <w:p w14:paraId="0E5FBF68" w14:textId="77777777" w:rsidR="00BC3E97" w:rsidRDefault="00BC3E97" w:rsidP="003D5E4E">
            <w:pPr>
              <w:spacing w:after="0"/>
            </w:pPr>
            <w:r>
              <w:rPr>
                <w:rFonts w:eastAsia="Arial"/>
                <w:sz w:val="19"/>
              </w:rPr>
              <w:t>68.9%</w:t>
            </w:r>
          </w:p>
        </w:tc>
      </w:tr>
    </w:tbl>
    <w:p w14:paraId="22DBC0B5" w14:textId="77777777" w:rsidR="00BC3E97" w:rsidRDefault="00BC3E97" w:rsidP="00BC3E97"/>
    <w:p w14:paraId="637CB65F" w14:textId="77777777" w:rsidR="00BC3E97" w:rsidRDefault="00BC3E97" w:rsidP="00BC3E97">
      <w:r>
        <w:t>First Nations students improved substantially in Year 5 Numeracy in 2025 compared to 2023, achieving a higher mean score with more high achievers and fewer low achievers.</w:t>
      </w:r>
    </w:p>
    <w:p w14:paraId="426D3374" w14:textId="77777777" w:rsidR="00315667" w:rsidRDefault="00000000">
      <w:r>
        <w:t>Source: ACARA NAPLAN national results</w:t>
      </w:r>
    </w:p>
    <w:p w14:paraId="725BB3EB" w14:textId="77777777" w:rsidR="00BC3E97" w:rsidRDefault="00BC3E97" w:rsidP="00BC3E97">
      <w:pPr>
        <w:pStyle w:val="Heading2"/>
      </w:pPr>
      <w:bookmarkStart w:id="45" w:name="_Toc238720422"/>
      <w:bookmarkStart w:id="46" w:name="_Toc239931006"/>
      <w:bookmarkEnd w:id="45"/>
      <w:r>
        <w:t>Completions | 2016–2025</w:t>
      </w:r>
      <w:bookmarkEnd w:id="46"/>
    </w:p>
    <w:p w14:paraId="431222DA" w14:textId="77777777" w:rsidR="00BC3E97" w:rsidRDefault="00BC3E97" w:rsidP="00BC3E97">
      <w:pPr>
        <w:pStyle w:val="Heading3"/>
      </w:pPr>
      <w:bookmarkStart w:id="47" w:name="_Toc238720423"/>
      <w:bookmarkStart w:id="48" w:name="_Toc239931007"/>
      <w:bookmarkEnd w:id="47"/>
      <w:r>
        <w:t>VCE, VCAL, VET in school completions, 2016–2023</w:t>
      </w:r>
      <w:bookmarkEnd w:id="48"/>
    </w:p>
    <w:tbl>
      <w:tblPr>
        <w:tblStyle w:val="TableGrid"/>
        <w:tblW w:w="0" w:type="auto"/>
        <w:tblLook w:val="04A0" w:firstRow="1" w:lastRow="0" w:firstColumn="1" w:lastColumn="0" w:noHBand="0" w:noVBand="1"/>
      </w:tblPr>
      <w:tblGrid>
        <w:gridCol w:w="2551"/>
        <w:gridCol w:w="4252"/>
      </w:tblGrid>
      <w:tr w:rsidR="00BC3E97" w14:paraId="078ECB58" w14:textId="77777777" w:rsidTr="003D5E4E">
        <w:trPr>
          <w:cantSplit/>
          <w:tblHeader/>
        </w:trPr>
        <w:tc>
          <w:tcPr>
            <w:tcW w:w="2551" w:type="dxa"/>
            <w:shd w:val="clear" w:color="auto" w:fill="E7F2F4"/>
          </w:tcPr>
          <w:p w14:paraId="29CFCF00" w14:textId="77777777" w:rsidR="00BC3E97" w:rsidRDefault="00BC3E97" w:rsidP="003D5E4E">
            <w:pPr>
              <w:spacing w:after="0"/>
            </w:pPr>
            <w:r>
              <w:rPr>
                <w:rFonts w:eastAsia="Arial"/>
                <w:b/>
                <w:sz w:val="19"/>
              </w:rPr>
              <w:t>Year</w:t>
            </w:r>
          </w:p>
        </w:tc>
        <w:tc>
          <w:tcPr>
            <w:tcW w:w="4252" w:type="dxa"/>
            <w:shd w:val="clear" w:color="auto" w:fill="E7F2F4"/>
          </w:tcPr>
          <w:p w14:paraId="2445099E" w14:textId="77777777" w:rsidR="00BC3E97" w:rsidRDefault="00BC3E97" w:rsidP="003D5E4E">
            <w:pPr>
              <w:spacing w:after="0"/>
            </w:pPr>
            <w:r>
              <w:rPr>
                <w:rFonts w:eastAsia="Arial"/>
                <w:b/>
                <w:sz w:val="19"/>
              </w:rPr>
              <w:t>Completions</w:t>
            </w:r>
          </w:p>
        </w:tc>
      </w:tr>
      <w:tr w:rsidR="00BC3E97" w14:paraId="163A1E5C" w14:textId="77777777" w:rsidTr="003D5E4E">
        <w:trPr>
          <w:cantSplit/>
        </w:trPr>
        <w:tc>
          <w:tcPr>
            <w:tcW w:w="2551" w:type="dxa"/>
          </w:tcPr>
          <w:p w14:paraId="0C1B9363" w14:textId="77777777" w:rsidR="00BC3E97" w:rsidRDefault="00BC3E97" w:rsidP="003D5E4E">
            <w:pPr>
              <w:spacing w:after="0"/>
            </w:pPr>
            <w:r>
              <w:rPr>
                <w:rFonts w:eastAsia="Arial"/>
                <w:sz w:val="19"/>
              </w:rPr>
              <w:t>2016</w:t>
            </w:r>
          </w:p>
        </w:tc>
        <w:tc>
          <w:tcPr>
            <w:tcW w:w="4252" w:type="dxa"/>
          </w:tcPr>
          <w:p w14:paraId="18F1FB15" w14:textId="77777777" w:rsidR="00BC3E97" w:rsidRDefault="00BC3E97" w:rsidP="003D5E4E">
            <w:pPr>
              <w:spacing w:after="0"/>
            </w:pPr>
            <w:r>
              <w:rPr>
                <w:rFonts w:eastAsia="Arial"/>
                <w:sz w:val="19"/>
              </w:rPr>
              <w:t>570</w:t>
            </w:r>
          </w:p>
        </w:tc>
      </w:tr>
      <w:tr w:rsidR="00BC3E97" w14:paraId="616E8859" w14:textId="77777777" w:rsidTr="003D5E4E">
        <w:trPr>
          <w:cantSplit/>
        </w:trPr>
        <w:tc>
          <w:tcPr>
            <w:tcW w:w="2551" w:type="dxa"/>
          </w:tcPr>
          <w:p w14:paraId="4EAB7F12" w14:textId="77777777" w:rsidR="00BC3E97" w:rsidRDefault="00BC3E97" w:rsidP="003D5E4E">
            <w:pPr>
              <w:spacing w:after="0"/>
            </w:pPr>
            <w:r>
              <w:rPr>
                <w:rFonts w:eastAsia="Arial"/>
                <w:sz w:val="19"/>
              </w:rPr>
              <w:t>2017</w:t>
            </w:r>
          </w:p>
        </w:tc>
        <w:tc>
          <w:tcPr>
            <w:tcW w:w="4252" w:type="dxa"/>
          </w:tcPr>
          <w:p w14:paraId="2436B29A" w14:textId="77777777" w:rsidR="00BC3E97" w:rsidRDefault="00BC3E97" w:rsidP="003D5E4E">
            <w:pPr>
              <w:spacing w:after="0"/>
            </w:pPr>
            <w:r>
              <w:rPr>
                <w:rFonts w:eastAsia="Arial"/>
                <w:sz w:val="19"/>
              </w:rPr>
              <w:t>523</w:t>
            </w:r>
          </w:p>
        </w:tc>
      </w:tr>
      <w:tr w:rsidR="00BC3E97" w14:paraId="032DB0C3" w14:textId="77777777" w:rsidTr="003D5E4E">
        <w:trPr>
          <w:cantSplit/>
        </w:trPr>
        <w:tc>
          <w:tcPr>
            <w:tcW w:w="2551" w:type="dxa"/>
          </w:tcPr>
          <w:p w14:paraId="6871A655" w14:textId="77777777" w:rsidR="00BC3E97" w:rsidRDefault="00BC3E97" w:rsidP="003D5E4E">
            <w:pPr>
              <w:spacing w:after="0"/>
            </w:pPr>
            <w:r>
              <w:rPr>
                <w:rFonts w:eastAsia="Arial"/>
                <w:sz w:val="19"/>
              </w:rPr>
              <w:t>2018</w:t>
            </w:r>
          </w:p>
        </w:tc>
        <w:tc>
          <w:tcPr>
            <w:tcW w:w="4252" w:type="dxa"/>
          </w:tcPr>
          <w:p w14:paraId="6B06E936" w14:textId="77777777" w:rsidR="00BC3E97" w:rsidRDefault="00BC3E97" w:rsidP="003D5E4E">
            <w:pPr>
              <w:spacing w:after="0"/>
            </w:pPr>
            <w:r>
              <w:rPr>
                <w:rFonts w:eastAsia="Arial"/>
                <w:sz w:val="19"/>
              </w:rPr>
              <w:t>594</w:t>
            </w:r>
          </w:p>
        </w:tc>
      </w:tr>
      <w:tr w:rsidR="00BC3E97" w14:paraId="643A75D4" w14:textId="77777777" w:rsidTr="003D5E4E">
        <w:trPr>
          <w:cantSplit/>
        </w:trPr>
        <w:tc>
          <w:tcPr>
            <w:tcW w:w="2551" w:type="dxa"/>
          </w:tcPr>
          <w:p w14:paraId="0AE2CAF0" w14:textId="77777777" w:rsidR="00BC3E97" w:rsidRDefault="00BC3E97" w:rsidP="003D5E4E">
            <w:pPr>
              <w:spacing w:after="0"/>
            </w:pPr>
            <w:r>
              <w:rPr>
                <w:rFonts w:eastAsia="Arial"/>
                <w:sz w:val="19"/>
              </w:rPr>
              <w:t>2019</w:t>
            </w:r>
          </w:p>
        </w:tc>
        <w:tc>
          <w:tcPr>
            <w:tcW w:w="4252" w:type="dxa"/>
          </w:tcPr>
          <w:p w14:paraId="398FFF1B" w14:textId="77777777" w:rsidR="00BC3E97" w:rsidRDefault="00BC3E97" w:rsidP="003D5E4E">
            <w:pPr>
              <w:spacing w:after="0"/>
            </w:pPr>
            <w:r>
              <w:rPr>
                <w:rFonts w:eastAsia="Arial"/>
                <w:sz w:val="19"/>
              </w:rPr>
              <w:t>688</w:t>
            </w:r>
          </w:p>
        </w:tc>
      </w:tr>
      <w:tr w:rsidR="00BC3E97" w14:paraId="394F0237" w14:textId="77777777" w:rsidTr="003D5E4E">
        <w:trPr>
          <w:cantSplit/>
        </w:trPr>
        <w:tc>
          <w:tcPr>
            <w:tcW w:w="2551" w:type="dxa"/>
          </w:tcPr>
          <w:p w14:paraId="31C73E6D" w14:textId="77777777" w:rsidR="00BC3E97" w:rsidRDefault="00BC3E97" w:rsidP="003D5E4E">
            <w:pPr>
              <w:spacing w:after="0"/>
            </w:pPr>
            <w:r>
              <w:rPr>
                <w:rFonts w:eastAsia="Arial"/>
                <w:sz w:val="19"/>
              </w:rPr>
              <w:t>2020</w:t>
            </w:r>
          </w:p>
        </w:tc>
        <w:tc>
          <w:tcPr>
            <w:tcW w:w="4252" w:type="dxa"/>
          </w:tcPr>
          <w:p w14:paraId="43B2B177" w14:textId="77777777" w:rsidR="00BC3E97" w:rsidRDefault="00BC3E97" w:rsidP="003D5E4E">
            <w:pPr>
              <w:spacing w:after="0"/>
            </w:pPr>
            <w:r>
              <w:rPr>
                <w:rFonts w:eastAsia="Arial"/>
                <w:sz w:val="19"/>
              </w:rPr>
              <w:t>677</w:t>
            </w:r>
          </w:p>
        </w:tc>
      </w:tr>
      <w:tr w:rsidR="00BC3E97" w14:paraId="52EDE894" w14:textId="77777777" w:rsidTr="003D5E4E">
        <w:trPr>
          <w:cantSplit/>
        </w:trPr>
        <w:tc>
          <w:tcPr>
            <w:tcW w:w="2551" w:type="dxa"/>
          </w:tcPr>
          <w:p w14:paraId="2714C59C" w14:textId="77777777" w:rsidR="00BC3E97" w:rsidRDefault="00BC3E97" w:rsidP="003D5E4E">
            <w:pPr>
              <w:spacing w:after="0"/>
            </w:pPr>
            <w:r>
              <w:rPr>
                <w:rFonts w:eastAsia="Arial"/>
                <w:sz w:val="19"/>
              </w:rPr>
              <w:t>2021</w:t>
            </w:r>
          </w:p>
        </w:tc>
        <w:tc>
          <w:tcPr>
            <w:tcW w:w="4252" w:type="dxa"/>
          </w:tcPr>
          <w:p w14:paraId="62EDAC0A" w14:textId="77777777" w:rsidR="00BC3E97" w:rsidRDefault="00BC3E97" w:rsidP="003D5E4E">
            <w:pPr>
              <w:spacing w:after="0"/>
            </w:pPr>
            <w:r>
              <w:rPr>
                <w:rFonts w:eastAsia="Arial"/>
                <w:sz w:val="19"/>
              </w:rPr>
              <w:t>628</w:t>
            </w:r>
          </w:p>
        </w:tc>
      </w:tr>
      <w:tr w:rsidR="00BC3E97" w14:paraId="2B57D2AC" w14:textId="77777777" w:rsidTr="003D5E4E">
        <w:trPr>
          <w:cantSplit/>
        </w:trPr>
        <w:tc>
          <w:tcPr>
            <w:tcW w:w="2551" w:type="dxa"/>
          </w:tcPr>
          <w:p w14:paraId="0C0053A7" w14:textId="77777777" w:rsidR="00BC3E97" w:rsidRDefault="00BC3E97" w:rsidP="003D5E4E">
            <w:pPr>
              <w:spacing w:after="0"/>
            </w:pPr>
            <w:r>
              <w:rPr>
                <w:rFonts w:eastAsia="Arial"/>
                <w:sz w:val="19"/>
              </w:rPr>
              <w:t>2022</w:t>
            </w:r>
          </w:p>
        </w:tc>
        <w:tc>
          <w:tcPr>
            <w:tcW w:w="4252" w:type="dxa"/>
          </w:tcPr>
          <w:p w14:paraId="0395F800" w14:textId="77777777" w:rsidR="00BC3E97" w:rsidRDefault="00BC3E97" w:rsidP="003D5E4E">
            <w:pPr>
              <w:spacing w:after="0"/>
            </w:pPr>
            <w:r>
              <w:rPr>
                <w:rFonts w:eastAsia="Arial"/>
                <w:sz w:val="19"/>
              </w:rPr>
              <w:t>596</w:t>
            </w:r>
          </w:p>
        </w:tc>
      </w:tr>
      <w:tr w:rsidR="00BC3E97" w14:paraId="70079872" w14:textId="77777777" w:rsidTr="003D5E4E">
        <w:trPr>
          <w:cantSplit/>
        </w:trPr>
        <w:tc>
          <w:tcPr>
            <w:tcW w:w="2551" w:type="dxa"/>
          </w:tcPr>
          <w:p w14:paraId="6339CC93" w14:textId="77777777" w:rsidR="00BC3E97" w:rsidRDefault="00BC3E97" w:rsidP="003D5E4E">
            <w:pPr>
              <w:spacing w:after="0"/>
            </w:pPr>
            <w:r>
              <w:rPr>
                <w:rFonts w:eastAsia="Arial"/>
                <w:sz w:val="19"/>
              </w:rPr>
              <w:t>2023</w:t>
            </w:r>
          </w:p>
        </w:tc>
        <w:tc>
          <w:tcPr>
            <w:tcW w:w="4252" w:type="dxa"/>
          </w:tcPr>
          <w:p w14:paraId="3B6A172B" w14:textId="77777777" w:rsidR="00BC3E97" w:rsidRDefault="00BC3E97" w:rsidP="003D5E4E">
            <w:pPr>
              <w:spacing w:after="0"/>
            </w:pPr>
            <w:r>
              <w:rPr>
                <w:rFonts w:eastAsia="Arial"/>
                <w:sz w:val="19"/>
              </w:rPr>
              <w:t>619</w:t>
            </w:r>
          </w:p>
        </w:tc>
      </w:tr>
    </w:tbl>
    <w:p w14:paraId="6E7046B8" w14:textId="77777777" w:rsidR="00BC3E97" w:rsidRDefault="00BC3E97" w:rsidP="00BC3E97"/>
    <w:p w14:paraId="6456040B" w14:textId="77777777" w:rsidR="00BC3E97" w:rsidRDefault="00BC3E97" w:rsidP="00BC3E97">
      <w:r>
        <w:t xml:space="preserve">Source: </w:t>
      </w:r>
      <w:r w:rsidR="00F85EAC">
        <w:t>Departmental data, Victorian Government Schools data</w:t>
      </w:r>
    </w:p>
    <w:p w14:paraId="52E5F5EF" w14:textId="77777777" w:rsidR="00BC3E97" w:rsidRDefault="00BC3E97" w:rsidP="00BC3E97">
      <w:r>
        <w:t>VCE completions, 2025: 703 students. Number of Koorie students awarded the Victorian Certificate of Education (VCE), including VCE Vocational Major, an increase of 118 students since 2024.</w:t>
      </w:r>
    </w:p>
    <w:p w14:paraId="5B18A6CB" w14:textId="77777777" w:rsidR="00BC3E97" w:rsidRDefault="00BC3E97" w:rsidP="00BC3E97">
      <w:r>
        <w:t>VPC completions, 2025: 55 students. Number of Koorie students awarded the Victorian Pathways Certificate (VPC), an increase of 4 students since 2024.</w:t>
      </w:r>
    </w:p>
    <w:p w14:paraId="5BC392D6" w14:textId="77777777" w:rsidR="00F85EAC" w:rsidRDefault="00F85EAC" w:rsidP="00BC3E97">
      <w:r>
        <w:t>Source: Departmental data, Victorian Government Schools data</w:t>
      </w:r>
    </w:p>
    <w:p w14:paraId="78E4F474" w14:textId="77777777" w:rsidR="00BC3E97" w:rsidRDefault="00BC3E97" w:rsidP="00BC3E97">
      <w:pPr>
        <w:pStyle w:val="Heading3"/>
      </w:pPr>
      <w:bookmarkStart w:id="49" w:name="_Toc238720424"/>
      <w:bookmarkStart w:id="50" w:name="_Toc239931008"/>
      <w:bookmarkEnd w:id="49"/>
      <w:r>
        <w:t>Destination of Year 12 Koorie completers, 2016–2024*</w:t>
      </w:r>
      <w:bookmarkEnd w:id="50"/>
    </w:p>
    <w:tbl>
      <w:tblPr>
        <w:tblStyle w:val="TableGrid"/>
        <w:tblW w:w="0" w:type="auto"/>
        <w:tblLook w:val="04A0" w:firstRow="1" w:lastRow="0" w:firstColumn="1" w:lastColumn="0" w:noHBand="0" w:noVBand="1"/>
      </w:tblPr>
      <w:tblGrid>
        <w:gridCol w:w="1247"/>
        <w:gridCol w:w="5386"/>
        <w:gridCol w:w="2381"/>
      </w:tblGrid>
      <w:tr w:rsidR="00BC3E97" w14:paraId="7209A2C6" w14:textId="77777777" w:rsidTr="003D5E4E">
        <w:trPr>
          <w:cantSplit/>
          <w:tblHeader/>
        </w:trPr>
        <w:tc>
          <w:tcPr>
            <w:tcW w:w="1247" w:type="dxa"/>
            <w:shd w:val="clear" w:color="auto" w:fill="E7F2F4"/>
          </w:tcPr>
          <w:p w14:paraId="028308BF" w14:textId="77777777" w:rsidR="00BC3E97" w:rsidRDefault="00BC3E97" w:rsidP="003D5E4E">
            <w:pPr>
              <w:spacing w:after="0"/>
            </w:pPr>
            <w:r>
              <w:rPr>
                <w:rFonts w:eastAsia="Arial"/>
                <w:b/>
                <w:sz w:val="19"/>
              </w:rPr>
              <w:t>Year</w:t>
            </w:r>
          </w:p>
        </w:tc>
        <w:tc>
          <w:tcPr>
            <w:tcW w:w="5386" w:type="dxa"/>
            <w:shd w:val="clear" w:color="auto" w:fill="E7F2F4"/>
          </w:tcPr>
          <w:p w14:paraId="77F32B93" w14:textId="77777777" w:rsidR="00BC3E97" w:rsidRDefault="00BC3E97" w:rsidP="003D5E4E">
            <w:pPr>
              <w:spacing w:after="0"/>
            </w:pPr>
            <w:r>
              <w:rPr>
                <w:rFonts w:eastAsia="Arial"/>
                <w:b/>
                <w:sz w:val="19"/>
              </w:rPr>
              <w:t>Destination</w:t>
            </w:r>
          </w:p>
        </w:tc>
        <w:tc>
          <w:tcPr>
            <w:tcW w:w="2381" w:type="dxa"/>
            <w:shd w:val="clear" w:color="auto" w:fill="E7F2F4"/>
          </w:tcPr>
          <w:p w14:paraId="46DB9C57" w14:textId="77777777" w:rsidR="00BC3E97" w:rsidRDefault="00BC3E97" w:rsidP="003D5E4E">
            <w:pPr>
              <w:spacing w:after="0"/>
            </w:pPr>
            <w:r>
              <w:rPr>
                <w:rFonts w:eastAsia="Arial"/>
                <w:b/>
                <w:sz w:val="19"/>
              </w:rPr>
              <w:t>Percentage or count</w:t>
            </w:r>
          </w:p>
        </w:tc>
      </w:tr>
      <w:tr w:rsidR="00BC3E97" w14:paraId="183535D8" w14:textId="77777777" w:rsidTr="003D5E4E">
        <w:trPr>
          <w:cantSplit/>
        </w:trPr>
        <w:tc>
          <w:tcPr>
            <w:tcW w:w="1247" w:type="dxa"/>
          </w:tcPr>
          <w:p w14:paraId="76B678B8" w14:textId="77777777" w:rsidR="00BC3E97" w:rsidRDefault="00BC3E97" w:rsidP="003D5E4E">
            <w:pPr>
              <w:spacing w:after="0"/>
            </w:pPr>
            <w:r>
              <w:rPr>
                <w:rFonts w:eastAsia="Arial"/>
                <w:sz w:val="19"/>
              </w:rPr>
              <w:t>2016</w:t>
            </w:r>
          </w:p>
        </w:tc>
        <w:tc>
          <w:tcPr>
            <w:tcW w:w="5386" w:type="dxa"/>
          </w:tcPr>
          <w:p w14:paraId="51420F2C" w14:textId="77777777" w:rsidR="00BC3E97" w:rsidRDefault="00BC3E97" w:rsidP="003D5E4E">
            <w:pPr>
              <w:spacing w:after="0"/>
            </w:pPr>
            <w:proofErr w:type="gramStart"/>
            <w:r>
              <w:rPr>
                <w:rFonts w:eastAsia="Arial"/>
                <w:sz w:val="19"/>
              </w:rPr>
              <w:t>Bachelor</w:t>
            </w:r>
            <w:proofErr w:type="gramEnd"/>
            <w:r>
              <w:rPr>
                <w:rFonts w:eastAsia="Arial"/>
                <w:sz w:val="19"/>
              </w:rPr>
              <w:t xml:space="preserve"> degree</w:t>
            </w:r>
          </w:p>
        </w:tc>
        <w:tc>
          <w:tcPr>
            <w:tcW w:w="2381" w:type="dxa"/>
          </w:tcPr>
          <w:p w14:paraId="6E4CED36" w14:textId="77777777" w:rsidR="00BC3E97" w:rsidRDefault="00BC3E97" w:rsidP="003D5E4E">
            <w:pPr>
              <w:spacing w:after="0"/>
            </w:pPr>
            <w:r>
              <w:rPr>
                <w:rFonts w:eastAsia="Arial"/>
                <w:sz w:val="19"/>
              </w:rPr>
              <w:t>33.3%</w:t>
            </w:r>
          </w:p>
        </w:tc>
      </w:tr>
      <w:tr w:rsidR="00BC3E97" w14:paraId="4056A659" w14:textId="77777777" w:rsidTr="003D5E4E">
        <w:trPr>
          <w:cantSplit/>
        </w:trPr>
        <w:tc>
          <w:tcPr>
            <w:tcW w:w="1247" w:type="dxa"/>
          </w:tcPr>
          <w:p w14:paraId="4C5F5172" w14:textId="77777777" w:rsidR="00BC3E97" w:rsidRDefault="00BC3E97" w:rsidP="003D5E4E">
            <w:pPr>
              <w:spacing w:after="0"/>
            </w:pPr>
            <w:r>
              <w:rPr>
                <w:rFonts w:eastAsia="Arial"/>
                <w:sz w:val="19"/>
              </w:rPr>
              <w:lastRenderedPageBreak/>
              <w:t>2016</w:t>
            </w:r>
          </w:p>
        </w:tc>
        <w:tc>
          <w:tcPr>
            <w:tcW w:w="5386" w:type="dxa"/>
          </w:tcPr>
          <w:p w14:paraId="7FC4622B" w14:textId="77777777" w:rsidR="00315667" w:rsidRDefault="00000000">
            <w:r>
              <w:t>Certificate/diploma</w:t>
            </w:r>
          </w:p>
        </w:tc>
        <w:tc>
          <w:tcPr>
            <w:tcW w:w="2381" w:type="dxa"/>
          </w:tcPr>
          <w:p w14:paraId="2BF71112" w14:textId="77777777" w:rsidR="00BC3E97" w:rsidRDefault="00BC3E97" w:rsidP="003D5E4E">
            <w:pPr>
              <w:spacing w:after="0"/>
            </w:pPr>
            <w:r>
              <w:rPr>
                <w:rFonts w:eastAsia="Arial"/>
                <w:sz w:val="19"/>
              </w:rPr>
              <w:t>19.9%</w:t>
            </w:r>
          </w:p>
        </w:tc>
      </w:tr>
      <w:tr w:rsidR="00BC3E97" w14:paraId="6CC1FE29" w14:textId="77777777" w:rsidTr="003D5E4E">
        <w:trPr>
          <w:cantSplit/>
        </w:trPr>
        <w:tc>
          <w:tcPr>
            <w:tcW w:w="1247" w:type="dxa"/>
          </w:tcPr>
          <w:p w14:paraId="573870C2" w14:textId="77777777" w:rsidR="00BC3E97" w:rsidRDefault="00BC3E97" w:rsidP="003D5E4E">
            <w:pPr>
              <w:spacing w:after="0"/>
            </w:pPr>
            <w:r>
              <w:rPr>
                <w:rFonts w:eastAsia="Arial"/>
                <w:sz w:val="19"/>
              </w:rPr>
              <w:t>2016</w:t>
            </w:r>
          </w:p>
        </w:tc>
        <w:tc>
          <w:tcPr>
            <w:tcW w:w="5386" w:type="dxa"/>
          </w:tcPr>
          <w:p w14:paraId="2B4AA6CF" w14:textId="77777777" w:rsidR="00315667" w:rsidRDefault="00000000">
            <w:r>
              <w:t>Apprenticeship/traineeship</w:t>
            </w:r>
          </w:p>
        </w:tc>
        <w:tc>
          <w:tcPr>
            <w:tcW w:w="2381" w:type="dxa"/>
          </w:tcPr>
          <w:p w14:paraId="69EE0EFD" w14:textId="77777777" w:rsidR="00BC3E97" w:rsidRDefault="00BC3E97" w:rsidP="003D5E4E">
            <w:pPr>
              <w:spacing w:after="0"/>
            </w:pPr>
            <w:r>
              <w:rPr>
                <w:rFonts w:eastAsia="Arial"/>
                <w:sz w:val="19"/>
              </w:rPr>
              <w:t>12.4%</w:t>
            </w:r>
          </w:p>
        </w:tc>
      </w:tr>
      <w:tr w:rsidR="00BC3E97" w14:paraId="168C31C8" w14:textId="77777777" w:rsidTr="003D5E4E">
        <w:trPr>
          <w:cantSplit/>
        </w:trPr>
        <w:tc>
          <w:tcPr>
            <w:tcW w:w="1247" w:type="dxa"/>
          </w:tcPr>
          <w:p w14:paraId="69406D91" w14:textId="77777777" w:rsidR="00BC3E97" w:rsidRDefault="00BC3E97" w:rsidP="003D5E4E">
            <w:pPr>
              <w:spacing w:after="0"/>
            </w:pPr>
            <w:r>
              <w:rPr>
                <w:rFonts w:eastAsia="Arial"/>
                <w:sz w:val="19"/>
              </w:rPr>
              <w:t>2016</w:t>
            </w:r>
          </w:p>
        </w:tc>
        <w:tc>
          <w:tcPr>
            <w:tcW w:w="5386" w:type="dxa"/>
          </w:tcPr>
          <w:p w14:paraId="67B84B7C" w14:textId="77777777" w:rsidR="00BC3E97" w:rsidRDefault="00BC3E97" w:rsidP="003D5E4E">
            <w:pPr>
              <w:spacing w:after="0"/>
            </w:pPr>
            <w:r>
              <w:rPr>
                <w:rFonts w:eastAsia="Arial"/>
                <w:sz w:val="19"/>
              </w:rPr>
              <w:t>Employed</w:t>
            </w:r>
          </w:p>
        </w:tc>
        <w:tc>
          <w:tcPr>
            <w:tcW w:w="2381" w:type="dxa"/>
          </w:tcPr>
          <w:p w14:paraId="2434BEE6" w14:textId="77777777" w:rsidR="00BC3E97" w:rsidRDefault="00BC3E97" w:rsidP="003D5E4E">
            <w:pPr>
              <w:spacing w:after="0"/>
            </w:pPr>
            <w:r>
              <w:rPr>
                <w:rFonts w:eastAsia="Arial"/>
                <w:sz w:val="19"/>
              </w:rPr>
              <w:t>21.6%</w:t>
            </w:r>
          </w:p>
        </w:tc>
      </w:tr>
      <w:tr w:rsidR="00BC3E97" w14:paraId="17CAF7EC" w14:textId="77777777" w:rsidTr="003D5E4E">
        <w:trPr>
          <w:cantSplit/>
        </w:trPr>
        <w:tc>
          <w:tcPr>
            <w:tcW w:w="1247" w:type="dxa"/>
          </w:tcPr>
          <w:p w14:paraId="1B5E904A" w14:textId="77777777" w:rsidR="00BC3E97" w:rsidRDefault="00BC3E97" w:rsidP="003D5E4E">
            <w:pPr>
              <w:spacing w:after="0"/>
            </w:pPr>
            <w:r>
              <w:rPr>
                <w:rFonts w:eastAsia="Arial"/>
                <w:sz w:val="19"/>
              </w:rPr>
              <w:t>2016</w:t>
            </w:r>
          </w:p>
        </w:tc>
        <w:tc>
          <w:tcPr>
            <w:tcW w:w="5386" w:type="dxa"/>
          </w:tcPr>
          <w:p w14:paraId="15D21711" w14:textId="77777777" w:rsidR="00BC3E97" w:rsidRDefault="00BC3E97" w:rsidP="003D5E4E">
            <w:pPr>
              <w:spacing w:after="0"/>
            </w:pPr>
            <w:r>
              <w:rPr>
                <w:rFonts w:eastAsia="Arial"/>
                <w:sz w:val="19"/>
              </w:rPr>
              <w:t>Looking for work</w:t>
            </w:r>
          </w:p>
        </w:tc>
        <w:tc>
          <w:tcPr>
            <w:tcW w:w="2381" w:type="dxa"/>
          </w:tcPr>
          <w:p w14:paraId="37CB92C9" w14:textId="77777777" w:rsidR="00BC3E97" w:rsidRDefault="00BC3E97" w:rsidP="003D5E4E">
            <w:pPr>
              <w:spacing w:after="0"/>
            </w:pPr>
            <w:r>
              <w:rPr>
                <w:rFonts w:eastAsia="Arial"/>
                <w:sz w:val="19"/>
              </w:rPr>
              <w:t>10.6%</w:t>
            </w:r>
          </w:p>
        </w:tc>
      </w:tr>
      <w:tr w:rsidR="00BC3E97" w14:paraId="5CFD5495" w14:textId="77777777" w:rsidTr="003D5E4E">
        <w:trPr>
          <w:cantSplit/>
        </w:trPr>
        <w:tc>
          <w:tcPr>
            <w:tcW w:w="1247" w:type="dxa"/>
          </w:tcPr>
          <w:p w14:paraId="6095D679" w14:textId="77777777" w:rsidR="00BC3E97" w:rsidRDefault="00BC3E97" w:rsidP="003D5E4E">
            <w:pPr>
              <w:spacing w:after="0"/>
            </w:pPr>
            <w:r>
              <w:rPr>
                <w:rFonts w:eastAsia="Arial"/>
                <w:sz w:val="19"/>
              </w:rPr>
              <w:t>2016</w:t>
            </w:r>
          </w:p>
        </w:tc>
        <w:tc>
          <w:tcPr>
            <w:tcW w:w="5386" w:type="dxa"/>
          </w:tcPr>
          <w:p w14:paraId="6F51D392" w14:textId="77777777" w:rsidR="00315667" w:rsidRDefault="00000000">
            <w:r>
              <w:t>NILFET**</w:t>
            </w:r>
          </w:p>
        </w:tc>
        <w:tc>
          <w:tcPr>
            <w:tcW w:w="2381" w:type="dxa"/>
          </w:tcPr>
          <w:p w14:paraId="312E6C4B" w14:textId="77777777" w:rsidR="00BC3E97" w:rsidRDefault="00BC3E97" w:rsidP="003D5E4E">
            <w:pPr>
              <w:spacing w:after="0"/>
            </w:pPr>
            <w:r>
              <w:rPr>
                <w:rFonts w:eastAsia="Arial"/>
                <w:sz w:val="19"/>
              </w:rPr>
              <w:t>2.1%</w:t>
            </w:r>
          </w:p>
        </w:tc>
      </w:tr>
      <w:tr w:rsidR="00BC3E97" w14:paraId="79E6B0E8" w14:textId="77777777" w:rsidTr="003D5E4E">
        <w:trPr>
          <w:cantSplit/>
        </w:trPr>
        <w:tc>
          <w:tcPr>
            <w:tcW w:w="1247" w:type="dxa"/>
          </w:tcPr>
          <w:p w14:paraId="7DA2C213" w14:textId="77777777" w:rsidR="00BC3E97" w:rsidRDefault="00BC3E97" w:rsidP="003D5E4E">
            <w:pPr>
              <w:spacing w:after="0"/>
            </w:pPr>
            <w:r>
              <w:rPr>
                <w:rFonts w:eastAsia="Arial"/>
                <w:sz w:val="19"/>
              </w:rPr>
              <w:t>2016</w:t>
            </w:r>
          </w:p>
        </w:tc>
        <w:tc>
          <w:tcPr>
            <w:tcW w:w="5386" w:type="dxa"/>
          </w:tcPr>
          <w:p w14:paraId="67FC4CF5" w14:textId="77777777" w:rsidR="00BC3E97" w:rsidRDefault="00BC3E97" w:rsidP="003D5E4E">
            <w:pPr>
              <w:spacing w:after="0"/>
            </w:pPr>
            <w:r>
              <w:rPr>
                <w:rFonts w:eastAsia="Arial"/>
                <w:sz w:val="19"/>
              </w:rPr>
              <w:t>Total respondents</w:t>
            </w:r>
          </w:p>
        </w:tc>
        <w:tc>
          <w:tcPr>
            <w:tcW w:w="2381" w:type="dxa"/>
          </w:tcPr>
          <w:p w14:paraId="55214F29" w14:textId="77777777" w:rsidR="00BC3E97" w:rsidRDefault="00BC3E97" w:rsidP="003D5E4E">
            <w:pPr>
              <w:spacing w:after="0"/>
            </w:pPr>
            <w:r>
              <w:rPr>
                <w:rFonts w:eastAsia="Arial"/>
                <w:sz w:val="19"/>
              </w:rPr>
              <w:t>282</w:t>
            </w:r>
          </w:p>
        </w:tc>
      </w:tr>
      <w:tr w:rsidR="00BC3E97" w14:paraId="520B3603" w14:textId="77777777" w:rsidTr="003D5E4E">
        <w:trPr>
          <w:cantSplit/>
        </w:trPr>
        <w:tc>
          <w:tcPr>
            <w:tcW w:w="1247" w:type="dxa"/>
          </w:tcPr>
          <w:p w14:paraId="221DAC65" w14:textId="77777777" w:rsidR="00BC3E97" w:rsidRDefault="00BC3E97" w:rsidP="003D5E4E">
            <w:pPr>
              <w:spacing w:after="0"/>
            </w:pPr>
            <w:r>
              <w:rPr>
                <w:rFonts w:eastAsia="Arial"/>
                <w:sz w:val="19"/>
              </w:rPr>
              <w:t>2017</w:t>
            </w:r>
          </w:p>
        </w:tc>
        <w:tc>
          <w:tcPr>
            <w:tcW w:w="5386" w:type="dxa"/>
          </w:tcPr>
          <w:p w14:paraId="676B58C2" w14:textId="77777777" w:rsidR="00BC3E97" w:rsidRDefault="00BC3E97" w:rsidP="003D5E4E">
            <w:pPr>
              <w:spacing w:after="0"/>
            </w:pPr>
            <w:proofErr w:type="gramStart"/>
            <w:r>
              <w:rPr>
                <w:rFonts w:eastAsia="Arial"/>
                <w:sz w:val="19"/>
              </w:rPr>
              <w:t>Bachelor</w:t>
            </w:r>
            <w:proofErr w:type="gramEnd"/>
            <w:r>
              <w:rPr>
                <w:rFonts w:eastAsia="Arial"/>
                <w:sz w:val="19"/>
              </w:rPr>
              <w:t xml:space="preserve"> degree</w:t>
            </w:r>
          </w:p>
        </w:tc>
        <w:tc>
          <w:tcPr>
            <w:tcW w:w="2381" w:type="dxa"/>
          </w:tcPr>
          <w:p w14:paraId="1C3901EA" w14:textId="77777777" w:rsidR="00BC3E97" w:rsidRDefault="00BC3E97" w:rsidP="003D5E4E">
            <w:pPr>
              <w:spacing w:after="0"/>
            </w:pPr>
            <w:r>
              <w:rPr>
                <w:rFonts w:eastAsia="Arial"/>
                <w:sz w:val="19"/>
              </w:rPr>
              <w:t>27.7%</w:t>
            </w:r>
          </w:p>
        </w:tc>
      </w:tr>
      <w:tr w:rsidR="00BC3E97" w14:paraId="3B8A0C0A" w14:textId="77777777" w:rsidTr="003D5E4E">
        <w:trPr>
          <w:cantSplit/>
        </w:trPr>
        <w:tc>
          <w:tcPr>
            <w:tcW w:w="1247" w:type="dxa"/>
          </w:tcPr>
          <w:p w14:paraId="13240049" w14:textId="77777777" w:rsidR="00BC3E97" w:rsidRDefault="00BC3E97" w:rsidP="003D5E4E">
            <w:pPr>
              <w:spacing w:after="0"/>
            </w:pPr>
            <w:r>
              <w:rPr>
                <w:rFonts w:eastAsia="Arial"/>
                <w:sz w:val="19"/>
              </w:rPr>
              <w:t>2017</w:t>
            </w:r>
          </w:p>
        </w:tc>
        <w:tc>
          <w:tcPr>
            <w:tcW w:w="5386" w:type="dxa"/>
          </w:tcPr>
          <w:p w14:paraId="672BB946" w14:textId="77777777" w:rsidR="00315667" w:rsidRDefault="00000000">
            <w:r>
              <w:t>Certificate/diploma</w:t>
            </w:r>
          </w:p>
        </w:tc>
        <w:tc>
          <w:tcPr>
            <w:tcW w:w="2381" w:type="dxa"/>
          </w:tcPr>
          <w:p w14:paraId="136F9A95" w14:textId="77777777" w:rsidR="00BC3E97" w:rsidRDefault="00BC3E97" w:rsidP="003D5E4E">
            <w:pPr>
              <w:spacing w:after="0"/>
            </w:pPr>
            <w:r>
              <w:rPr>
                <w:rFonts w:eastAsia="Arial"/>
                <w:sz w:val="19"/>
              </w:rPr>
              <w:t>12.9%</w:t>
            </w:r>
          </w:p>
        </w:tc>
      </w:tr>
      <w:tr w:rsidR="00BC3E97" w14:paraId="26D56804" w14:textId="77777777" w:rsidTr="003D5E4E">
        <w:trPr>
          <w:cantSplit/>
        </w:trPr>
        <w:tc>
          <w:tcPr>
            <w:tcW w:w="1247" w:type="dxa"/>
          </w:tcPr>
          <w:p w14:paraId="39FCA12B" w14:textId="77777777" w:rsidR="00BC3E97" w:rsidRDefault="00BC3E97" w:rsidP="003D5E4E">
            <w:pPr>
              <w:spacing w:after="0"/>
            </w:pPr>
            <w:r>
              <w:rPr>
                <w:rFonts w:eastAsia="Arial"/>
                <w:sz w:val="19"/>
              </w:rPr>
              <w:t>2017</w:t>
            </w:r>
          </w:p>
        </w:tc>
        <w:tc>
          <w:tcPr>
            <w:tcW w:w="5386" w:type="dxa"/>
          </w:tcPr>
          <w:p w14:paraId="2BBFB7AE" w14:textId="77777777" w:rsidR="00315667" w:rsidRDefault="00000000">
            <w:r>
              <w:t>Apprenticeship/traineeship</w:t>
            </w:r>
          </w:p>
        </w:tc>
        <w:tc>
          <w:tcPr>
            <w:tcW w:w="2381" w:type="dxa"/>
          </w:tcPr>
          <w:p w14:paraId="74F64581" w14:textId="77777777" w:rsidR="00BC3E97" w:rsidRDefault="00BC3E97" w:rsidP="003D5E4E">
            <w:pPr>
              <w:spacing w:after="0"/>
            </w:pPr>
            <w:r>
              <w:rPr>
                <w:rFonts w:eastAsia="Arial"/>
                <w:sz w:val="19"/>
              </w:rPr>
              <w:t>17.4%</w:t>
            </w:r>
          </w:p>
        </w:tc>
      </w:tr>
      <w:tr w:rsidR="00BC3E97" w14:paraId="42DFA960" w14:textId="77777777" w:rsidTr="003D5E4E">
        <w:trPr>
          <w:cantSplit/>
        </w:trPr>
        <w:tc>
          <w:tcPr>
            <w:tcW w:w="1247" w:type="dxa"/>
          </w:tcPr>
          <w:p w14:paraId="6404288F" w14:textId="77777777" w:rsidR="00BC3E97" w:rsidRDefault="00BC3E97" w:rsidP="003D5E4E">
            <w:pPr>
              <w:spacing w:after="0"/>
            </w:pPr>
            <w:r>
              <w:rPr>
                <w:rFonts w:eastAsia="Arial"/>
                <w:sz w:val="19"/>
              </w:rPr>
              <w:t>2017</w:t>
            </w:r>
          </w:p>
        </w:tc>
        <w:tc>
          <w:tcPr>
            <w:tcW w:w="5386" w:type="dxa"/>
          </w:tcPr>
          <w:p w14:paraId="0E94DE41" w14:textId="77777777" w:rsidR="00BC3E97" w:rsidRDefault="00BC3E97" w:rsidP="003D5E4E">
            <w:pPr>
              <w:spacing w:after="0"/>
            </w:pPr>
            <w:r>
              <w:rPr>
                <w:rFonts w:eastAsia="Arial"/>
                <w:sz w:val="19"/>
              </w:rPr>
              <w:t>Employed</w:t>
            </w:r>
          </w:p>
        </w:tc>
        <w:tc>
          <w:tcPr>
            <w:tcW w:w="2381" w:type="dxa"/>
          </w:tcPr>
          <w:p w14:paraId="001F1119" w14:textId="77777777" w:rsidR="00BC3E97" w:rsidRDefault="00BC3E97" w:rsidP="003D5E4E">
            <w:pPr>
              <w:spacing w:after="0"/>
            </w:pPr>
            <w:r>
              <w:rPr>
                <w:rFonts w:eastAsia="Arial"/>
                <w:sz w:val="19"/>
              </w:rPr>
              <w:t>27.7%</w:t>
            </w:r>
          </w:p>
        </w:tc>
      </w:tr>
      <w:tr w:rsidR="00BC3E97" w14:paraId="6C95BBCA" w14:textId="77777777" w:rsidTr="003D5E4E">
        <w:trPr>
          <w:cantSplit/>
        </w:trPr>
        <w:tc>
          <w:tcPr>
            <w:tcW w:w="1247" w:type="dxa"/>
          </w:tcPr>
          <w:p w14:paraId="197191AF" w14:textId="77777777" w:rsidR="00BC3E97" w:rsidRDefault="00BC3E97" w:rsidP="003D5E4E">
            <w:pPr>
              <w:spacing w:after="0"/>
            </w:pPr>
            <w:r>
              <w:rPr>
                <w:rFonts w:eastAsia="Arial"/>
                <w:sz w:val="19"/>
              </w:rPr>
              <w:t>2017</w:t>
            </w:r>
          </w:p>
        </w:tc>
        <w:tc>
          <w:tcPr>
            <w:tcW w:w="5386" w:type="dxa"/>
          </w:tcPr>
          <w:p w14:paraId="34EEA537" w14:textId="77777777" w:rsidR="00BC3E97" w:rsidRDefault="00BC3E97" w:rsidP="003D5E4E">
            <w:pPr>
              <w:spacing w:after="0"/>
            </w:pPr>
            <w:r>
              <w:rPr>
                <w:rFonts w:eastAsia="Arial"/>
                <w:sz w:val="19"/>
              </w:rPr>
              <w:t>Looking for work</w:t>
            </w:r>
          </w:p>
        </w:tc>
        <w:tc>
          <w:tcPr>
            <w:tcW w:w="2381" w:type="dxa"/>
          </w:tcPr>
          <w:p w14:paraId="42450320" w14:textId="77777777" w:rsidR="00BC3E97" w:rsidRDefault="00BC3E97" w:rsidP="003D5E4E">
            <w:pPr>
              <w:spacing w:after="0"/>
            </w:pPr>
            <w:r>
              <w:rPr>
                <w:rFonts w:eastAsia="Arial"/>
                <w:sz w:val="19"/>
              </w:rPr>
              <w:t>11.6%</w:t>
            </w:r>
          </w:p>
        </w:tc>
      </w:tr>
      <w:tr w:rsidR="00BC3E97" w14:paraId="2A65E46C" w14:textId="77777777" w:rsidTr="003D5E4E">
        <w:trPr>
          <w:cantSplit/>
        </w:trPr>
        <w:tc>
          <w:tcPr>
            <w:tcW w:w="1247" w:type="dxa"/>
          </w:tcPr>
          <w:p w14:paraId="47521411" w14:textId="77777777" w:rsidR="00BC3E97" w:rsidRDefault="00BC3E97" w:rsidP="003D5E4E">
            <w:pPr>
              <w:spacing w:after="0"/>
            </w:pPr>
            <w:r>
              <w:rPr>
                <w:rFonts w:eastAsia="Arial"/>
                <w:sz w:val="19"/>
              </w:rPr>
              <w:t>2017</w:t>
            </w:r>
          </w:p>
        </w:tc>
        <w:tc>
          <w:tcPr>
            <w:tcW w:w="5386" w:type="dxa"/>
          </w:tcPr>
          <w:p w14:paraId="32D8A85E" w14:textId="77777777" w:rsidR="00315667" w:rsidRDefault="00000000">
            <w:r>
              <w:t>NILFET**</w:t>
            </w:r>
          </w:p>
        </w:tc>
        <w:tc>
          <w:tcPr>
            <w:tcW w:w="2381" w:type="dxa"/>
          </w:tcPr>
          <w:p w14:paraId="3CBFEFF8" w14:textId="77777777" w:rsidR="00BC3E97" w:rsidRDefault="00BC3E97" w:rsidP="003D5E4E">
            <w:pPr>
              <w:spacing w:after="0"/>
            </w:pPr>
            <w:r>
              <w:rPr>
                <w:rFonts w:eastAsia="Arial"/>
                <w:sz w:val="19"/>
              </w:rPr>
              <w:t>2.6%</w:t>
            </w:r>
          </w:p>
        </w:tc>
      </w:tr>
      <w:tr w:rsidR="00BC3E97" w14:paraId="1D6A5F3E" w14:textId="77777777" w:rsidTr="003D5E4E">
        <w:trPr>
          <w:cantSplit/>
        </w:trPr>
        <w:tc>
          <w:tcPr>
            <w:tcW w:w="1247" w:type="dxa"/>
          </w:tcPr>
          <w:p w14:paraId="21F8C938" w14:textId="77777777" w:rsidR="00BC3E97" w:rsidRDefault="00BC3E97" w:rsidP="003D5E4E">
            <w:pPr>
              <w:spacing w:after="0"/>
            </w:pPr>
            <w:r>
              <w:rPr>
                <w:rFonts w:eastAsia="Arial"/>
                <w:sz w:val="19"/>
              </w:rPr>
              <w:t>2017</w:t>
            </w:r>
          </w:p>
        </w:tc>
        <w:tc>
          <w:tcPr>
            <w:tcW w:w="5386" w:type="dxa"/>
          </w:tcPr>
          <w:p w14:paraId="604C35D8" w14:textId="77777777" w:rsidR="00BC3E97" w:rsidRDefault="00BC3E97" w:rsidP="003D5E4E">
            <w:pPr>
              <w:spacing w:after="0"/>
            </w:pPr>
            <w:r>
              <w:rPr>
                <w:rFonts w:eastAsia="Arial"/>
                <w:sz w:val="19"/>
              </w:rPr>
              <w:t>Total respondents</w:t>
            </w:r>
          </w:p>
        </w:tc>
        <w:tc>
          <w:tcPr>
            <w:tcW w:w="2381" w:type="dxa"/>
          </w:tcPr>
          <w:p w14:paraId="66BA8AC4" w14:textId="77777777" w:rsidR="00BC3E97" w:rsidRDefault="00BC3E97" w:rsidP="003D5E4E">
            <w:pPr>
              <w:spacing w:after="0"/>
            </w:pPr>
            <w:r>
              <w:rPr>
                <w:rFonts w:eastAsia="Arial"/>
                <w:sz w:val="19"/>
              </w:rPr>
              <w:t>310</w:t>
            </w:r>
          </w:p>
        </w:tc>
      </w:tr>
      <w:tr w:rsidR="00BC3E97" w14:paraId="50D92C57" w14:textId="77777777" w:rsidTr="003D5E4E">
        <w:trPr>
          <w:cantSplit/>
        </w:trPr>
        <w:tc>
          <w:tcPr>
            <w:tcW w:w="1247" w:type="dxa"/>
          </w:tcPr>
          <w:p w14:paraId="14D47F6E" w14:textId="77777777" w:rsidR="00BC3E97" w:rsidRDefault="00BC3E97" w:rsidP="003D5E4E">
            <w:pPr>
              <w:spacing w:after="0"/>
            </w:pPr>
            <w:r>
              <w:rPr>
                <w:rFonts w:eastAsia="Arial"/>
                <w:sz w:val="19"/>
              </w:rPr>
              <w:t>2018</w:t>
            </w:r>
          </w:p>
        </w:tc>
        <w:tc>
          <w:tcPr>
            <w:tcW w:w="5386" w:type="dxa"/>
          </w:tcPr>
          <w:p w14:paraId="37295163" w14:textId="77777777" w:rsidR="00BC3E97" w:rsidRDefault="00BC3E97" w:rsidP="003D5E4E">
            <w:pPr>
              <w:spacing w:after="0"/>
            </w:pPr>
            <w:proofErr w:type="gramStart"/>
            <w:r>
              <w:rPr>
                <w:rFonts w:eastAsia="Arial"/>
                <w:sz w:val="19"/>
              </w:rPr>
              <w:t>Bachelor</w:t>
            </w:r>
            <w:proofErr w:type="gramEnd"/>
            <w:r>
              <w:rPr>
                <w:rFonts w:eastAsia="Arial"/>
                <w:sz w:val="19"/>
              </w:rPr>
              <w:t xml:space="preserve"> degree</w:t>
            </w:r>
          </w:p>
        </w:tc>
        <w:tc>
          <w:tcPr>
            <w:tcW w:w="2381" w:type="dxa"/>
          </w:tcPr>
          <w:p w14:paraId="4724262B" w14:textId="77777777" w:rsidR="00BC3E97" w:rsidRDefault="00BC3E97" w:rsidP="003D5E4E">
            <w:pPr>
              <w:spacing w:after="0"/>
            </w:pPr>
            <w:r>
              <w:rPr>
                <w:rFonts w:eastAsia="Arial"/>
                <w:sz w:val="19"/>
              </w:rPr>
              <w:t>32.9%</w:t>
            </w:r>
          </w:p>
        </w:tc>
      </w:tr>
      <w:tr w:rsidR="00BC3E97" w14:paraId="7AE49304" w14:textId="77777777" w:rsidTr="003D5E4E">
        <w:trPr>
          <w:cantSplit/>
        </w:trPr>
        <w:tc>
          <w:tcPr>
            <w:tcW w:w="1247" w:type="dxa"/>
          </w:tcPr>
          <w:p w14:paraId="3686F4F3" w14:textId="77777777" w:rsidR="00BC3E97" w:rsidRDefault="00BC3E97" w:rsidP="003D5E4E">
            <w:pPr>
              <w:spacing w:after="0"/>
            </w:pPr>
            <w:r>
              <w:rPr>
                <w:rFonts w:eastAsia="Arial"/>
                <w:sz w:val="19"/>
              </w:rPr>
              <w:t>2018</w:t>
            </w:r>
          </w:p>
        </w:tc>
        <w:tc>
          <w:tcPr>
            <w:tcW w:w="5386" w:type="dxa"/>
          </w:tcPr>
          <w:p w14:paraId="726FE4F7" w14:textId="77777777" w:rsidR="00315667" w:rsidRDefault="00000000">
            <w:r>
              <w:t>Certificate/diploma</w:t>
            </w:r>
          </w:p>
        </w:tc>
        <w:tc>
          <w:tcPr>
            <w:tcW w:w="2381" w:type="dxa"/>
          </w:tcPr>
          <w:p w14:paraId="49AFDE00" w14:textId="77777777" w:rsidR="00BC3E97" w:rsidRDefault="00BC3E97" w:rsidP="003D5E4E">
            <w:pPr>
              <w:spacing w:after="0"/>
            </w:pPr>
            <w:r>
              <w:rPr>
                <w:rFonts w:eastAsia="Arial"/>
                <w:sz w:val="19"/>
              </w:rPr>
              <w:t>16.8%</w:t>
            </w:r>
          </w:p>
        </w:tc>
      </w:tr>
      <w:tr w:rsidR="00BC3E97" w14:paraId="70146077" w14:textId="77777777" w:rsidTr="003D5E4E">
        <w:trPr>
          <w:cantSplit/>
        </w:trPr>
        <w:tc>
          <w:tcPr>
            <w:tcW w:w="1247" w:type="dxa"/>
          </w:tcPr>
          <w:p w14:paraId="2DE90BAC" w14:textId="77777777" w:rsidR="00BC3E97" w:rsidRDefault="00BC3E97" w:rsidP="003D5E4E">
            <w:pPr>
              <w:spacing w:after="0"/>
            </w:pPr>
            <w:r>
              <w:rPr>
                <w:rFonts w:eastAsia="Arial"/>
                <w:sz w:val="19"/>
              </w:rPr>
              <w:t>2018</w:t>
            </w:r>
          </w:p>
        </w:tc>
        <w:tc>
          <w:tcPr>
            <w:tcW w:w="5386" w:type="dxa"/>
          </w:tcPr>
          <w:p w14:paraId="60718BD7" w14:textId="77777777" w:rsidR="00315667" w:rsidRDefault="00000000">
            <w:r>
              <w:t>Apprenticeship/traineeship</w:t>
            </w:r>
          </w:p>
        </w:tc>
        <w:tc>
          <w:tcPr>
            <w:tcW w:w="2381" w:type="dxa"/>
          </w:tcPr>
          <w:p w14:paraId="7F0EA672" w14:textId="77777777" w:rsidR="00BC3E97" w:rsidRDefault="00BC3E97" w:rsidP="003D5E4E">
            <w:pPr>
              <w:spacing w:after="0"/>
            </w:pPr>
            <w:r>
              <w:rPr>
                <w:rFonts w:eastAsia="Arial"/>
                <w:sz w:val="19"/>
              </w:rPr>
              <w:t>15.5%</w:t>
            </w:r>
          </w:p>
        </w:tc>
      </w:tr>
      <w:tr w:rsidR="00BC3E97" w14:paraId="42FD9949" w14:textId="77777777" w:rsidTr="003D5E4E">
        <w:trPr>
          <w:cantSplit/>
        </w:trPr>
        <w:tc>
          <w:tcPr>
            <w:tcW w:w="1247" w:type="dxa"/>
          </w:tcPr>
          <w:p w14:paraId="58C5BB93" w14:textId="77777777" w:rsidR="00BC3E97" w:rsidRDefault="00BC3E97" w:rsidP="003D5E4E">
            <w:pPr>
              <w:spacing w:after="0"/>
            </w:pPr>
            <w:r>
              <w:rPr>
                <w:rFonts w:eastAsia="Arial"/>
                <w:sz w:val="19"/>
              </w:rPr>
              <w:t>2018</w:t>
            </w:r>
          </w:p>
        </w:tc>
        <w:tc>
          <w:tcPr>
            <w:tcW w:w="5386" w:type="dxa"/>
          </w:tcPr>
          <w:p w14:paraId="34B9EA78" w14:textId="77777777" w:rsidR="00BC3E97" w:rsidRDefault="00BC3E97" w:rsidP="003D5E4E">
            <w:pPr>
              <w:spacing w:after="0"/>
            </w:pPr>
            <w:r>
              <w:rPr>
                <w:rFonts w:eastAsia="Arial"/>
                <w:sz w:val="19"/>
              </w:rPr>
              <w:t>Employed</w:t>
            </w:r>
          </w:p>
        </w:tc>
        <w:tc>
          <w:tcPr>
            <w:tcW w:w="2381" w:type="dxa"/>
          </w:tcPr>
          <w:p w14:paraId="5B64BEEE" w14:textId="77777777" w:rsidR="00BC3E97" w:rsidRDefault="00BC3E97" w:rsidP="003D5E4E">
            <w:pPr>
              <w:spacing w:after="0"/>
            </w:pPr>
            <w:r>
              <w:rPr>
                <w:rFonts w:eastAsia="Arial"/>
                <w:sz w:val="19"/>
              </w:rPr>
              <w:t>24.7%</w:t>
            </w:r>
          </w:p>
        </w:tc>
      </w:tr>
      <w:tr w:rsidR="00BC3E97" w14:paraId="29BF745D" w14:textId="77777777" w:rsidTr="003D5E4E">
        <w:trPr>
          <w:cantSplit/>
        </w:trPr>
        <w:tc>
          <w:tcPr>
            <w:tcW w:w="1247" w:type="dxa"/>
          </w:tcPr>
          <w:p w14:paraId="15EE63C8" w14:textId="77777777" w:rsidR="00BC3E97" w:rsidRDefault="00BC3E97" w:rsidP="003D5E4E">
            <w:pPr>
              <w:spacing w:after="0"/>
            </w:pPr>
            <w:r>
              <w:rPr>
                <w:rFonts w:eastAsia="Arial"/>
                <w:sz w:val="19"/>
              </w:rPr>
              <w:t>2018</w:t>
            </w:r>
          </w:p>
        </w:tc>
        <w:tc>
          <w:tcPr>
            <w:tcW w:w="5386" w:type="dxa"/>
          </w:tcPr>
          <w:p w14:paraId="7576B676" w14:textId="77777777" w:rsidR="00BC3E97" w:rsidRDefault="00BC3E97" w:rsidP="003D5E4E">
            <w:pPr>
              <w:spacing w:after="0"/>
            </w:pPr>
            <w:r>
              <w:rPr>
                <w:rFonts w:eastAsia="Arial"/>
                <w:sz w:val="19"/>
              </w:rPr>
              <w:t>Looking for work</w:t>
            </w:r>
          </w:p>
        </w:tc>
        <w:tc>
          <w:tcPr>
            <w:tcW w:w="2381" w:type="dxa"/>
          </w:tcPr>
          <w:p w14:paraId="6642BFA8" w14:textId="77777777" w:rsidR="00BC3E97" w:rsidRDefault="00BC3E97" w:rsidP="003D5E4E">
            <w:pPr>
              <w:spacing w:after="0"/>
            </w:pPr>
            <w:r>
              <w:rPr>
                <w:rFonts w:eastAsia="Arial"/>
                <w:sz w:val="19"/>
              </w:rPr>
              <w:t>9.2%</w:t>
            </w:r>
          </w:p>
        </w:tc>
      </w:tr>
      <w:tr w:rsidR="00BC3E97" w14:paraId="6C883E6A" w14:textId="77777777" w:rsidTr="003D5E4E">
        <w:trPr>
          <w:cantSplit/>
        </w:trPr>
        <w:tc>
          <w:tcPr>
            <w:tcW w:w="1247" w:type="dxa"/>
          </w:tcPr>
          <w:p w14:paraId="30DFCF94" w14:textId="77777777" w:rsidR="00BC3E97" w:rsidRDefault="00BC3E97" w:rsidP="003D5E4E">
            <w:pPr>
              <w:spacing w:after="0"/>
            </w:pPr>
            <w:r>
              <w:rPr>
                <w:rFonts w:eastAsia="Arial"/>
                <w:sz w:val="19"/>
              </w:rPr>
              <w:t>2018</w:t>
            </w:r>
          </w:p>
        </w:tc>
        <w:tc>
          <w:tcPr>
            <w:tcW w:w="5386" w:type="dxa"/>
          </w:tcPr>
          <w:p w14:paraId="152B38A9" w14:textId="77777777" w:rsidR="00315667" w:rsidRDefault="00000000">
            <w:r>
              <w:t>NILFET**</w:t>
            </w:r>
          </w:p>
        </w:tc>
        <w:tc>
          <w:tcPr>
            <w:tcW w:w="2381" w:type="dxa"/>
          </w:tcPr>
          <w:p w14:paraId="36296158" w14:textId="77777777" w:rsidR="00BC3E97" w:rsidRDefault="00BC3E97" w:rsidP="003D5E4E">
            <w:pPr>
              <w:spacing w:after="0"/>
            </w:pPr>
            <w:r>
              <w:rPr>
                <w:rFonts w:eastAsia="Arial"/>
                <w:sz w:val="19"/>
              </w:rPr>
              <w:t>0.9%</w:t>
            </w:r>
          </w:p>
        </w:tc>
      </w:tr>
      <w:tr w:rsidR="00BC3E97" w14:paraId="2FA20126" w14:textId="77777777" w:rsidTr="003D5E4E">
        <w:trPr>
          <w:cantSplit/>
        </w:trPr>
        <w:tc>
          <w:tcPr>
            <w:tcW w:w="1247" w:type="dxa"/>
          </w:tcPr>
          <w:p w14:paraId="41CF535B" w14:textId="77777777" w:rsidR="00BC3E97" w:rsidRDefault="00BC3E97" w:rsidP="003D5E4E">
            <w:pPr>
              <w:spacing w:after="0"/>
            </w:pPr>
            <w:r>
              <w:rPr>
                <w:rFonts w:eastAsia="Arial"/>
                <w:sz w:val="19"/>
              </w:rPr>
              <w:t>2018</w:t>
            </w:r>
          </w:p>
        </w:tc>
        <w:tc>
          <w:tcPr>
            <w:tcW w:w="5386" w:type="dxa"/>
          </w:tcPr>
          <w:p w14:paraId="49BDA4CC" w14:textId="77777777" w:rsidR="00BC3E97" w:rsidRDefault="00BC3E97" w:rsidP="003D5E4E">
            <w:pPr>
              <w:spacing w:after="0"/>
            </w:pPr>
            <w:r>
              <w:rPr>
                <w:rFonts w:eastAsia="Arial"/>
                <w:sz w:val="19"/>
              </w:rPr>
              <w:t>Total respondents</w:t>
            </w:r>
          </w:p>
        </w:tc>
        <w:tc>
          <w:tcPr>
            <w:tcW w:w="2381" w:type="dxa"/>
          </w:tcPr>
          <w:p w14:paraId="0B67FEAE" w14:textId="77777777" w:rsidR="00BC3E97" w:rsidRDefault="00BC3E97" w:rsidP="003D5E4E">
            <w:pPr>
              <w:spacing w:after="0"/>
            </w:pPr>
            <w:r>
              <w:rPr>
                <w:rFonts w:eastAsia="Arial"/>
                <w:sz w:val="19"/>
              </w:rPr>
              <w:t>316</w:t>
            </w:r>
          </w:p>
        </w:tc>
      </w:tr>
      <w:tr w:rsidR="00BC3E97" w14:paraId="27FCCB82" w14:textId="77777777" w:rsidTr="003D5E4E">
        <w:trPr>
          <w:cantSplit/>
        </w:trPr>
        <w:tc>
          <w:tcPr>
            <w:tcW w:w="1247" w:type="dxa"/>
          </w:tcPr>
          <w:p w14:paraId="7512E186" w14:textId="77777777" w:rsidR="00BC3E97" w:rsidRDefault="00BC3E97" w:rsidP="003D5E4E">
            <w:pPr>
              <w:spacing w:after="0"/>
            </w:pPr>
            <w:r>
              <w:rPr>
                <w:rFonts w:eastAsia="Arial"/>
                <w:sz w:val="19"/>
              </w:rPr>
              <w:t>2019</w:t>
            </w:r>
          </w:p>
        </w:tc>
        <w:tc>
          <w:tcPr>
            <w:tcW w:w="5386" w:type="dxa"/>
          </w:tcPr>
          <w:p w14:paraId="7062BFE6" w14:textId="77777777" w:rsidR="00BC3E97" w:rsidRDefault="00BC3E97" w:rsidP="003D5E4E">
            <w:pPr>
              <w:spacing w:after="0"/>
            </w:pPr>
            <w:proofErr w:type="gramStart"/>
            <w:r>
              <w:rPr>
                <w:rFonts w:eastAsia="Arial"/>
                <w:sz w:val="19"/>
              </w:rPr>
              <w:t>Bachelor</w:t>
            </w:r>
            <w:proofErr w:type="gramEnd"/>
            <w:r>
              <w:rPr>
                <w:rFonts w:eastAsia="Arial"/>
                <w:sz w:val="19"/>
              </w:rPr>
              <w:t xml:space="preserve"> degree</w:t>
            </w:r>
          </w:p>
        </w:tc>
        <w:tc>
          <w:tcPr>
            <w:tcW w:w="2381" w:type="dxa"/>
          </w:tcPr>
          <w:p w14:paraId="1768BBE4" w14:textId="77777777" w:rsidR="00BC3E97" w:rsidRDefault="00BC3E97" w:rsidP="003D5E4E">
            <w:pPr>
              <w:spacing w:after="0"/>
            </w:pPr>
            <w:r>
              <w:rPr>
                <w:rFonts w:eastAsia="Arial"/>
                <w:sz w:val="19"/>
              </w:rPr>
              <w:t>29.8%</w:t>
            </w:r>
          </w:p>
        </w:tc>
      </w:tr>
      <w:tr w:rsidR="00BC3E97" w14:paraId="7DFE1C85" w14:textId="77777777" w:rsidTr="003D5E4E">
        <w:trPr>
          <w:cantSplit/>
        </w:trPr>
        <w:tc>
          <w:tcPr>
            <w:tcW w:w="1247" w:type="dxa"/>
          </w:tcPr>
          <w:p w14:paraId="2817FE1D" w14:textId="77777777" w:rsidR="00BC3E97" w:rsidRDefault="00BC3E97" w:rsidP="003D5E4E">
            <w:pPr>
              <w:spacing w:after="0"/>
            </w:pPr>
            <w:r>
              <w:rPr>
                <w:rFonts w:eastAsia="Arial"/>
                <w:sz w:val="19"/>
              </w:rPr>
              <w:t>2019</w:t>
            </w:r>
          </w:p>
        </w:tc>
        <w:tc>
          <w:tcPr>
            <w:tcW w:w="5386" w:type="dxa"/>
          </w:tcPr>
          <w:p w14:paraId="3B7C67BE" w14:textId="77777777" w:rsidR="00315667" w:rsidRDefault="00000000">
            <w:r>
              <w:t>Certificate/diploma</w:t>
            </w:r>
          </w:p>
        </w:tc>
        <w:tc>
          <w:tcPr>
            <w:tcW w:w="2381" w:type="dxa"/>
          </w:tcPr>
          <w:p w14:paraId="2EA4A942" w14:textId="77777777" w:rsidR="00BC3E97" w:rsidRDefault="00BC3E97" w:rsidP="003D5E4E">
            <w:pPr>
              <w:spacing w:after="0"/>
            </w:pPr>
            <w:r>
              <w:rPr>
                <w:rFonts w:eastAsia="Arial"/>
                <w:sz w:val="19"/>
              </w:rPr>
              <w:t>15.7%</w:t>
            </w:r>
          </w:p>
        </w:tc>
      </w:tr>
      <w:tr w:rsidR="00BC3E97" w14:paraId="4736FB1D" w14:textId="77777777" w:rsidTr="003D5E4E">
        <w:trPr>
          <w:cantSplit/>
        </w:trPr>
        <w:tc>
          <w:tcPr>
            <w:tcW w:w="1247" w:type="dxa"/>
          </w:tcPr>
          <w:p w14:paraId="18990877" w14:textId="77777777" w:rsidR="00BC3E97" w:rsidRDefault="00BC3E97" w:rsidP="003D5E4E">
            <w:pPr>
              <w:spacing w:after="0"/>
            </w:pPr>
            <w:r>
              <w:rPr>
                <w:rFonts w:eastAsia="Arial"/>
                <w:sz w:val="19"/>
              </w:rPr>
              <w:t>2019</w:t>
            </w:r>
          </w:p>
        </w:tc>
        <w:tc>
          <w:tcPr>
            <w:tcW w:w="5386" w:type="dxa"/>
          </w:tcPr>
          <w:p w14:paraId="41E6714E" w14:textId="77777777" w:rsidR="00315667" w:rsidRDefault="00000000">
            <w:r>
              <w:t>Apprenticeship/traineeship</w:t>
            </w:r>
          </w:p>
        </w:tc>
        <w:tc>
          <w:tcPr>
            <w:tcW w:w="2381" w:type="dxa"/>
          </w:tcPr>
          <w:p w14:paraId="4095A064" w14:textId="77777777" w:rsidR="00BC3E97" w:rsidRDefault="00BC3E97" w:rsidP="003D5E4E">
            <w:pPr>
              <w:spacing w:after="0"/>
            </w:pPr>
            <w:r>
              <w:rPr>
                <w:rFonts w:eastAsia="Arial"/>
                <w:sz w:val="19"/>
              </w:rPr>
              <w:t>17.3%</w:t>
            </w:r>
          </w:p>
        </w:tc>
      </w:tr>
      <w:tr w:rsidR="00BC3E97" w14:paraId="79961B27" w14:textId="77777777" w:rsidTr="003D5E4E">
        <w:trPr>
          <w:cantSplit/>
        </w:trPr>
        <w:tc>
          <w:tcPr>
            <w:tcW w:w="1247" w:type="dxa"/>
          </w:tcPr>
          <w:p w14:paraId="234C58C2" w14:textId="77777777" w:rsidR="00BC3E97" w:rsidRDefault="00BC3E97" w:rsidP="003D5E4E">
            <w:pPr>
              <w:spacing w:after="0"/>
            </w:pPr>
            <w:r>
              <w:rPr>
                <w:rFonts w:eastAsia="Arial"/>
                <w:sz w:val="19"/>
              </w:rPr>
              <w:t>2019</w:t>
            </w:r>
          </w:p>
        </w:tc>
        <w:tc>
          <w:tcPr>
            <w:tcW w:w="5386" w:type="dxa"/>
          </w:tcPr>
          <w:p w14:paraId="42F5E06B" w14:textId="77777777" w:rsidR="00BC3E97" w:rsidRDefault="00BC3E97" w:rsidP="003D5E4E">
            <w:pPr>
              <w:spacing w:after="0"/>
            </w:pPr>
            <w:r>
              <w:rPr>
                <w:rFonts w:eastAsia="Arial"/>
                <w:sz w:val="19"/>
              </w:rPr>
              <w:t>Employed</w:t>
            </w:r>
          </w:p>
        </w:tc>
        <w:tc>
          <w:tcPr>
            <w:tcW w:w="2381" w:type="dxa"/>
          </w:tcPr>
          <w:p w14:paraId="6DAF4FD2" w14:textId="77777777" w:rsidR="00BC3E97" w:rsidRDefault="00BC3E97" w:rsidP="003D5E4E">
            <w:pPr>
              <w:spacing w:after="0"/>
            </w:pPr>
            <w:r>
              <w:rPr>
                <w:rFonts w:eastAsia="Arial"/>
                <w:sz w:val="19"/>
              </w:rPr>
              <w:t>29.2%</w:t>
            </w:r>
          </w:p>
        </w:tc>
      </w:tr>
      <w:tr w:rsidR="00BC3E97" w14:paraId="1AC8D638" w14:textId="77777777" w:rsidTr="003D5E4E">
        <w:trPr>
          <w:cantSplit/>
        </w:trPr>
        <w:tc>
          <w:tcPr>
            <w:tcW w:w="1247" w:type="dxa"/>
          </w:tcPr>
          <w:p w14:paraId="0E9CAEB7" w14:textId="77777777" w:rsidR="00BC3E97" w:rsidRDefault="00BC3E97" w:rsidP="003D5E4E">
            <w:pPr>
              <w:spacing w:after="0"/>
            </w:pPr>
            <w:r>
              <w:rPr>
                <w:rFonts w:eastAsia="Arial"/>
                <w:sz w:val="19"/>
              </w:rPr>
              <w:t>2019</w:t>
            </w:r>
          </w:p>
        </w:tc>
        <w:tc>
          <w:tcPr>
            <w:tcW w:w="5386" w:type="dxa"/>
          </w:tcPr>
          <w:p w14:paraId="2BE76C96" w14:textId="77777777" w:rsidR="00BC3E97" w:rsidRDefault="00BC3E97" w:rsidP="003D5E4E">
            <w:pPr>
              <w:spacing w:after="0"/>
            </w:pPr>
            <w:r>
              <w:rPr>
                <w:rFonts w:eastAsia="Arial"/>
                <w:sz w:val="19"/>
              </w:rPr>
              <w:t>Looking for work</w:t>
            </w:r>
          </w:p>
        </w:tc>
        <w:tc>
          <w:tcPr>
            <w:tcW w:w="2381" w:type="dxa"/>
          </w:tcPr>
          <w:p w14:paraId="683D829E" w14:textId="77777777" w:rsidR="00BC3E97" w:rsidRDefault="00BC3E97" w:rsidP="003D5E4E">
            <w:pPr>
              <w:spacing w:after="0"/>
            </w:pPr>
            <w:r>
              <w:rPr>
                <w:rFonts w:eastAsia="Arial"/>
                <w:sz w:val="19"/>
              </w:rPr>
              <w:t>7.4%</w:t>
            </w:r>
          </w:p>
        </w:tc>
      </w:tr>
      <w:tr w:rsidR="00BC3E97" w14:paraId="02052BD2" w14:textId="77777777" w:rsidTr="003D5E4E">
        <w:trPr>
          <w:cantSplit/>
        </w:trPr>
        <w:tc>
          <w:tcPr>
            <w:tcW w:w="1247" w:type="dxa"/>
          </w:tcPr>
          <w:p w14:paraId="25CEEE9F" w14:textId="77777777" w:rsidR="00BC3E97" w:rsidRDefault="00BC3E97" w:rsidP="003D5E4E">
            <w:pPr>
              <w:spacing w:after="0"/>
            </w:pPr>
            <w:r>
              <w:rPr>
                <w:rFonts w:eastAsia="Arial"/>
                <w:sz w:val="19"/>
              </w:rPr>
              <w:t>2019</w:t>
            </w:r>
          </w:p>
        </w:tc>
        <w:tc>
          <w:tcPr>
            <w:tcW w:w="5386" w:type="dxa"/>
          </w:tcPr>
          <w:p w14:paraId="0EA52028" w14:textId="77777777" w:rsidR="00315667" w:rsidRDefault="00000000">
            <w:r>
              <w:t>NILFET**</w:t>
            </w:r>
          </w:p>
        </w:tc>
        <w:tc>
          <w:tcPr>
            <w:tcW w:w="2381" w:type="dxa"/>
          </w:tcPr>
          <w:p w14:paraId="6FCF6290" w14:textId="77777777" w:rsidR="00BC3E97" w:rsidRDefault="00BC3E97" w:rsidP="003D5E4E">
            <w:pPr>
              <w:spacing w:after="0"/>
            </w:pPr>
            <w:r>
              <w:rPr>
                <w:rFonts w:eastAsia="Arial"/>
                <w:sz w:val="19"/>
              </w:rPr>
              <w:t>0.6%</w:t>
            </w:r>
          </w:p>
        </w:tc>
      </w:tr>
      <w:tr w:rsidR="00BC3E97" w14:paraId="66E6E3AD" w14:textId="77777777" w:rsidTr="003D5E4E">
        <w:trPr>
          <w:cantSplit/>
        </w:trPr>
        <w:tc>
          <w:tcPr>
            <w:tcW w:w="1247" w:type="dxa"/>
          </w:tcPr>
          <w:p w14:paraId="1B6ED45C" w14:textId="77777777" w:rsidR="00BC3E97" w:rsidRDefault="00BC3E97" w:rsidP="003D5E4E">
            <w:pPr>
              <w:spacing w:after="0"/>
            </w:pPr>
            <w:r>
              <w:rPr>
                <w:rFonts w:eastAsia="Arial"/>
                <w:sz w:val="19"/>
              </w:rPr>
              <w:t>2019</w:t>
            </w:r>
          </w:p>
        </w:tc>
        <w:tc>
          <w:tcPr>
            <w:tcW w:w="5386" w:type="dxa"/>
          </w:tcPr>
          <w:p w14:paraId="05D58254" w14:textId="77777777" w:rsidR="00BC3E97" w:rsidRDefault="00BC3E97" w:rsidP="003D5E4E">
            <w:pPr>
              <w:spacing w:after="0"/>
            </w:pPr>
            <w:r>
              <w:rPr>
                <w:rFonts w:eastAsia="Arial"/>
                <w:sz w:val="19"/>
              </w:rPr>
              <w:t>Total respondents</w:t>
            </w:r>
          </w:p>
        </w:tc>
        <w:tc>
          <w:tcPr>
            <w:tcW w:w="2381" w:type="dxa"/>
          </w:tcPr>
          <w:p w14:paraId="6AF57DC5" w14:textId="77777777" w:rsidR="00BC3E97" w:rsidRDefault="00BC3E97" w:rsidP="003D5E4E">
            <w:pPr>
              <w:spacing w:after="0"/>
            </w:pPr>
            <w:r>
              <w:rPr>
                <w:rFonts w:eastAsia="Arial"/>
                <w:sz w:val="19"/>
              </w:rPr>
              <w:t>312</w:t>
            </w:r>
          </w:p>
        </w:tc>
      </w:tr>
      <w:tr w:rsidR="00BC3E97" w14:paraId="6E5E4E1E" w14:textId="77777777" w:rsidTr="003D5E4E">
        <w:trPr>
          <w:cantSplit/>
        </w:trPr>
        <w:tc>
          <w:tcPr>
            <w:tcW w:w="1247" w:type="dxa"/>
          </w:tcPr>
          <w:p w14:paraId="42B96074" w14:textId="77777777" w:rsidR="00BC3E97" w:rsidRDefault="00BC3E97" w:rsidP="003D5E4E">
            <w:pPr>
              <w:spacing w:after="0"/>
            </w:pPr>
            <w:r>
              <w:rPr>
                <w:rFonts w:eastAsia="Arial"/>
                <w:sz w:val="19"/>
              </w:rPr>
              <w:t>2020</w:t>
            </w:r>
          </w:p>
        </w:tc>
        <w:tc>
          <w:tcPr>
            <w:tcW w:w="5386" w:type="dxa"/>
          </w:tcPr>
          <w:p w14:paraId="5CB61E9A" w14:textId="77777777" w:rsidR="00BC3E97" w:rsidRDefault="00BC3E97" w:rsidP="003D5E4E">
            <w:pPr>
              <w:spacing w:after="0"/>
            </w:pPr>
            <w:proofErr w:type="gramStart"/>
            <w:r>
              <w:rPr>
                <w:rFonts w:eastAsia="Arial"/>
                <w:sz w:val="19"/>
              </w:rPr>
              <w:t>Bachelor</w:t>
            </w:r>
            <w:proofErr w:type="gramEnd"/>
            <w:r>
              <w:rPr>
                <w:rFonts w:eastAsia="Arial"/>
                <w:sz w:val="19"/>
              </w:rPr>
              <w:t xml:space="preserve"> degree</w:t>
            </w:r>
          </w:p>
        </w:tc>
        <w:tc>
          <w:tcPr>
            <w:tcW w:w="2381" w:type="dxa"/>
          </w:tcPr>
          <w:p w14:paraId="51C0D954" w14:textId="77777777" w:rsidR="00BC3E97" w:rsidRDefault="00BC3E97" w:rsidP="003D5E4E">
            <w:pPr>
              <w:spacing w:after="0"/>
            </w:pPr>
            <w:r>
              <w:rPr>
                <w:rFonts w:eastAsia="Arial"/>
                <w:sz w:val="19"/>
              </w:rPr>
              <w:t>32.5%</w:t>
            </w:r>
          </w:p>
        </w:tc>
      </w:tr>
      <w:tr w:rsidR="00BC3E97" w14:paraId="7FDB630D" w14:textId="77777777" w:rsidTr="003D5E4E">
        <w:trPr>
          <w:cantSplit/>
        </w:trPr>
        <w:tc>
          <w:tcPr>
            <w:tcW w:w="1247" w:type="dxa"/>
          </w:tcPr>
          <w:p w14:paraId="32E7D69A" w14:textId="77777777" w:rsidR="00BC3E97" w:rsidRDefault="00BC3E97" w:rsidP="003D5E4E">
            <w:pPr>
              <w:spacing w:after="0"/>
            </w:pPr>
            <w:r>
              <w:rPr>
                <w:rFonts w:eastAsia="Arial"/>
                <w:sz w:val="19"/>
              </w:rPr>
              <w:t>2020</w:t>
            </w:r>
          </w:p>
        </w:tc>
        <w:tc>
          <w:tcPr>
            <w:tcW w:w="5386" w:type="dxa"/>
          </w:tcPr>
          <w:p w14:paraId="0320959C" w14:textId="77777777" w:rsidR="00315667" w:rsidRDefault="00000000">
            <w:r>
              <w:t>Certificate/diploma</w:t>
            </w:r>
          </w:p>
        </w:tc>
        <w:tc>
          <w:tcPr>
            <w:tcW w:w="2381" w:type="dxa"/>
          </w:tcPr>
          <w:p w14:paraId="141835FA" w14:textId="77777777" w:rsidR="00BC3E97" w:rsidRDefault="00BC3E97" w:rsidP="003D5E4E">
            <w:pPr>
              <w:spacing w:after="0"/>
            </w:pPr>
            <w:r>
              <w:rPr>
                <w:rFonts w:eastAsia="Arial"/>
                <w:sz w:val="19"/>
              </w:rPr>
              <w:t>13.9%</w:t>
            </w:r>
          </w:p>
        </w:tc>
      </w:tr>
      <w:tr w:rsidR="00BC3E97" w14:paraId="03D0894D" w14:textId="77777777" w:rsidTr="003D5E4E">
        <w:trPr>
          <w:cantSplit/>
        </w:trPr>
        <w:tc>
          <w:tcPr>
            <w:tcW w:w="1247" w:type="dxa"/>
          </w:tcPr>
          <w:p w14:paraId="1E73F983" w14:textId="77777777" w:rsidR="00BC3E97" w:rsidRDefault="00BC3E97" w:rsidP="003D5E4E">
            <w:pPr>
              <w:spacing w:after="0"/>
            </w:pPr>
            <w:r>
              <w:rPr>
                <w:rFonts w:eastAsia="Arial"/>
                <w:sz w:val="19"/>
              </w:rPr>
              <w:lastRenderedPageBreak/>
              <w:t>2020</w:t>
            </w:r>
          </w:p>
        </w:tc>
        <w:tc>
          <w:tcPr>
            <w:tcW w:w="5386" w:type="dxa"/>
          </w:tcPr>
          <w:p w14:paraId="6237DFF1" w14:textId="77777777" w:rsidR="00315667" w:rsidRDefault="00000000">
            <w:r>
              <w:t>Apprenticeship/traineeship</w:t>
            </w:r>
          </w:p>
        </w:tc>
        <w:tc>
          <w:tcPr>
            <w:tcW w:w="2381" w:type="dxa"/>
          </w:tcPr>
          <w:p w14:paraId="14971A16" w14:textId="77777777" w:rsidR="00BC3E97" w:rsidRDefault="00BC3E97" w:rsidP="003D5E4E">
            <w:pPr>
              <w:spacing w:after="0"/>
            </w:pPr>
            <w:r>
              <w:rPr>
                <w:rFonts w:eastAsia="Arial"/>
                <w:sz w:val="19"/>
              </w:rPr>
              <w:t>16.4%</w:t>
            </w:r>
          </w:p>
        </w:tc>
      </w:tr>
      <w:tr w:rsidR="00BC3E97" w14:paraId="01F6A0E2" w14:textId="77777777" w:rsidTr="003D5E4E">
        <w:trPr>
          <w:cantSplit/>
        </w:trPr>
        <w:tc>
          <w:tcPr>
            <w:tcW w:w="1247" w:type="dxa"/>
          </w:tcPr>
          <w:p w14:paraId="722FF123" w14:textId="77777777" w:rsidR="00BC3E97" w:rsidRDefault="00BC3E97" w:rsidP="003D5E4E">
            <w:pPr>
              <w:spacing w:after="0"/>
            </w:pPr>
            <w:r>
              <w:rPr>
                <w:rFonts w:eastAsia="Arial"/>
                <w:sz w:val="19"/>
              </w:rPr>
              <w:t>2020</w:t>
            </w:r>
          </w:p>
        </w:tc>
        <w:tc>
          <w:tcPr>
            <w:tcW w:w="5386" w:type="dxa"/>
          </w:tcPr>
          <w:p w14:paraId="3442C553" w14:textId="77777777" w:rsidR="00BC3E97" w:rsidRDefault="00BC3E97" w:rsidP="003D5E4E">
            <w:pPr>
              <w:spacing w:after="0"/>
            </w:pPr>
            <w:r>
              <w:rPr>
                <w:rFonts w:eastAsia="Arial"/>
                <w:sz w:val="19"/>
              </w:rPr>
              <w:t>Employed</w:t>
            </w:r>
          </w:p>
        </w:tc>
        <w:tc>
          <w:tcPr>
            <w:tcW w:w="2381" w:type="dxa"/>
          </w:tcPr>
          <w:p w14:paraId="0098D381" w14:textId="77777777" w:rsidR="00BC3E97" w:rsidRDefault="00BC3E97" w:rsidP="003D5E4E">
            <w:pPr>
              <w:spacing w:after="0"/>
            </w:pPr>
            <w:r>
              <w:rPr>
                <w:rFonts w:eastAsia="Arial"/>
                <w:sz w:val="19"/>
              </w:rPr>
              <w:t>23.2%</w:t>
            </w:r>
          </w:p>
        </w:tc>
      </w:tr>
      <w:tr w:rsidR="00BC3E97" w14:paraId="562D6D3C" w14:textId="77777777" w:rsidTr="003D5E4E">
        <w:trPr>
          <w:cantSplit/>
        </w:trPr>
        <w:tc>
          <w:tcPr>
            <w:tcW w:w="1247" w:type="dxa"/>
          </w:tcPr>
          <w:p w14:paraId="6D86A73C" w14:textId="77777777" w:rsidR="00BC3E97" w:rsidRDefault="00BC3E97" w:rsidP="003D5E4E">
            <w:pPr>
              <w:spacing w:after="0"/>
            </w:pPr>
            <w:r>
              <w:rPr>
                <w:rFonts w:eastAsia="Arial"/>
                <w:sz w:val="19"/>
              </w:rPr>
              <w:t>2020</w:t>
            </w:r>
          </w:p>
        </w:tc>
        <w:tc>
          <w:tcPr>
            <w:tcW w:w="5386" w:type="dxa"/>
          </w:tcPr>
          <w:p w14:paraId="61CAA9C8" w14:textId="77777777" w:rsidR="00BC3E97" w:rsidRDefault="00BC3E97" w:rsidP="003D5E4E">
            <w:pPr>
              <w:spacing w:after="0"/>
            </w:pPr>
            <w:r>
              <w:rPr>
                <w:rFonts w:eastAsia="Arial"/>
                <w:sz w:val="19"/>
              </w:rPr>
              <w:t>Looking for work</w:t>
            </w:r>
          </w:p>
        </w:tc>
        <w:tc>
          <w:tcPr>
            <w:tcW w:w="2381" w:type="dxa"/>
          </w:tcPr>
          <w:p w14:paraId="36E04E6D" w14:textId="77777777" w:rsidR="00BC3E97" w:rsidRDefault="00BC3E97" w:rsidP="003D5E4E">
            <w:pPr>
              <w:spacing w:after="0"/>
            </w:pPr>
            <w:r>
              <w:rPr>
                <w:rFonts w:eastAsia="Arial"/>
                <w:sz w:val="19"/>
              </w:rPr>
              <w:t>12.1%</w:t>
            </w:r>
          </w:p>
        </w:tc>
      </w:tr>
      <w:tr w:rsidR="00BC3E97" w14:paraId="553E92F3" w14:textId="77777777" w:rsidTr="003D5E4E">
        <w:trPr>
          <w:cantSplit/>
        </w:trPr>
        <w:tc>
          <w:tcPr>
            <w:tcW w:w="1247" w:type="dxa"/>
          </w:tcPr>
          <w:p w14:paraId="27C47522" w14:textId="77777777" w:rsidR="00BC3E97" w:rsidRDefault="00BC3E97" w:rsidP="003D5E4E">
            <w:pPr>
              <w:spacing w:after="0"/>
            </w:pPr>
            <w:r>
              <w:rPr>
                <w:rFonts w:eastAsia="Arial"/>
                <w:sz w:val="19"/>
              </w:rPr>
              <w:t>2020</w:t>
            </w:r>
          </w:p>
        </w:tc>
        <w:tc>
          <w:tcPr>
            <w:tcW w:w="5386" w:type="dxa"/>
          </w:tcPr>
          <w:p w14:paraId="36CE6721" w14:textId="77777777" w:rsidR="00315667" w:rsidRDefault="00000000">
            <w:r>
              <w:t>NILFET**</w:t>
            </w:r>
          </w:p>
        </w:tc>
        <w:tc>
          <w:tcPr>
            <w:tcW w:w="2381" w:type="dxa"/>
          </w:tcPr>
          <w:p w14:paraId="2757254C" w14:textId="77777777" w:rsidR="00BC3E97" w:rsidRDefault="00BC3E97" w:rsidP="003D5E4E">
            <w:pPr>
              <w:spacing w:after="0"/>
            </w:pPr>
            <w:r>
              <w:rPr>
                <w:rFonts w:eastAsia="Arial"/>
                <w:sz w:val="19"/>
              </w:rPr>
              <w:t>1.9%</w:t>
            </w:r>
          </w:p>
        </w:tc>
      </w:tr>
      <w:tr w:rsidR="00BC3E97" w14:paraId="3FFC3F2A" w14:textId="77777777" w:rsidTr="003D5E4E">
        <w:trPr>
          <w:cantSplit/>
        </w:trPr>
        <w:tc>
          <w:tcPr>
            <w:tcW w:w="1247" w:type="dxa"/>
          </w:tcPr>
          <w:p w14:paraId="5C9852E9" w14:textId="77777777" w:rsidR="00BC3E97" w:rsidRDefault="00BC3E97" w:rsidP="003D5E4E">
            <w:pPr>
              <w:spacing w:after="0"/>
            </w:pPr>
            <w:r>
              <w:rPr>
                <w:rFonts w:eastAsia="Arial"/>
                <w:sz w:val="19"/>
              </w:rPr>
              <w:t>2020</w:t>
            </w:r>
          </w:p>
        </w:tc>
        <w:tc>
          <w:tcPr>
            <w:tcW w:w="5386" w:type="dxa"/>
          </w:tcPr>
          <w:p w14:paraId="5AB19E4B" w14:textId="77777777" w:rsidR="00BC3E97" w:rsidRDefault="00BC3E97" w:rsidP="003D5E4E">
            <w:pPr>
              <w:spacing w:after="0"/>
            </w:pPr>
            <w:r>
              <w:rPr>
                <w:rFonts w:eastAsia="Arial"/>
                <w:sz w:val="19"/>
              </w:rPr>
              <w:t>Total respondents</w:t>
            </w:r>
          </w:p>
        </w:tc>
        <w:tc>
          <w:tcPr>
            <w:tcW w:w="2381" w:type="dxa"/>
          </w:tcPr>
          <w:p w14:paraId="6B12816E" w14:textId="77777777" w:rsidR="00BC3E97" w:rsidRDefault="00BC3E97" w:rsidP="003D5E4E">
            <w:pPr>
              <w:spacing w:after="0"/>
            </w:pPr>
            <w:r>
              <w:rPr>
                <w:rFonts w:eastAsia="Arial"/>
                <w:sz w:val="19"/>
              </w:rPr>
              <w:t>323</w:t>
            </w:r>
          </w:p>
        </w:tc>
      </w:tr>
      <w:tr w:rsidR="00BC3E97" w14:paraId="137512F3" w14:textId="77777777" w:rsidTr="003D5E4E">
        <w:trPr>
          <w:cantSplit/>
        </w:trPr>
        <w:tc>
          <w:tcPr>
            <w:tcW w:w="1247" w:type="dxa"/>
          </w:tcPr>
          <w:p w14:paraId="4B0FFECE" w14:textId="77777777" w:rsidR="00BC3E97" w:rsidRDefault="00BC3E97" w:rsidP="003D5E4E">
            <w:pPr>
              <w:spacing w:after="0"/>
            </w:pPr>
            <w:r>
              <w:rPr>
                <w:rFonts w:eastAsia="Arial"/>
                <w:sz w:val="19"/>
              </w:rPr>
              <w:t>2021</w:t>
            </w:r>
          </w:p>
        </w:tc>
        <w:tc>
          <w:tcPr>
            <w:tcW w:w="5386" w:type="dxa"/>
          </w:tcPr>
          <w:p w14:paraId="3FAF08CA" w14:textId="77777777" w:rsidR="00BC3E97" w:rsidRDefault="00BC3E97" w:rsidP="003D5E4E">
            <w:pPr>
              <w:spacing w:after="0"/>
            </w:pPr>
            <w:proofErr w:type="gramStart"/>
            <w:r>
              <w:rPr>
                <w:rFonts w:eastAsia="Arial"/>
                <w:sz w:val="19"/>
              </w:rPr>
              <w:t>Bachelor</w:t>
            </w:r>
            <w:proofErr w:type="gramEnd"/>
            <w:r>
              <w:rPr>
                <w:rFonts w:eastAsia="Arial"/>
                <w:sz w:val="19"/>
              </w:rPr>
              <w:t xml:space="preserve"> degree</w:t>
            </w:r>
          </w:p>
        </w:tc>
        <w:tc>
          <w:tcPr>
            <w:tcW w:w="2381" w:type="dxa"/>
          </w:tcPr>
          <w:p w14:paraId="38F11310" w14:textId="77777777" w:rsidR="00BC3E97" w:rsidRDefault="00BC3E97" w:rsidP="003D5E4E">
            <w:pPr>
              <w:spacing w:after="0"/>
            </w:pPr>
            <w:r>
              <w:rPr>
                <w:rFonts w:eastAsia="Arial"/>
                <w:sz w:val="19"/>
              </w:rPr>
              <w:t>31.8%</w:t>
            </w:r>
          </w:p>
        </w:tc>
      </w:tr>
      <w:tr w:rsidR="00BC3E97" w14:paraId="26A8CBFE" w14:textId="77777777" w:rsidTr="003D5E4E">
        <w:trPr>
          <w:cantSplit/>
        </w:trPr>
        <w:tc>
          <w:tcPr>
            <w:tcW w:w="1247" w:type="dxa"/>
          </w:tcPr>
          <w:p w14:paraId="0D64A85B" w14:textId="77777777" w:rsidR="00BC3E97" w:rsidRDefault="00BC3E97" w:rsidP="003D5E4E">
            <w:pPr>
              <w:spacing w:after="0"/>
            </w:pPr>
            <w:r>
              <w:rPr>
                <w:rFonts w:eastAsia="Arial"/>
                <w:sz w:val="19"/>
              </w:rPr>
              <w:t>2021</w:t>
            </w:r>
          </w:p>
        </w:tc>
        <w:tc>
          <w:tcPr>
            <w:tcW w:w="5386" w:type="dxa"/>
          </w:tcPr>
          <w:p w14:paraId="699B67C0" w14:textId="77777777" w:rsidR="00315667" w:rsidRDefault="00000000">
            <w:r>
              <w:t>Certificate/diploma</w:t>
            </w:r>
          </w:p>
        </w:tc>
        <w:tc>
          <w:tcPr>
            <w:tcW w:w="2381" w:type="dxa"/>
          </w:tcPr>
          <w:p w14:paraId="09E80F8A" w14:textId="77777777" w:rsidR="00BC3E97" w:rsidRDefault="00BC3E97" w:rsidP="003D5E4E">
            <w:pPr>
              <w:spacing w:after="0"/>
            </w:pPr>
            <w:r>
              <w:rPr>
                <w:rFonts w:eastAsia="Arial"/>
                <w:sz w:val="19"/>
              </w:rPr>
              <w:t>12.4%</w:t>
            </w:r>
          </w:p>
        </w:tc>
      </w:tr>
      <w:tr w:rsidR="00BC3E97" w14:paraId="24F3E6B3" w14:textId="77777777" w:rsidTr="003D5E4E">
        <w:trPr>
          <w:cantSplit/>
        </w:trPr>
        <w:tc>
          <w:tcPr>
            <w:tcW w:w="1247" w:type="dxa"/>
          </w:tcPr>
          <w:p w14:paraId="34A6A538" w14:textId="77777777" w:rsidR="00BC3E97" w:rsidRDefault="00BC3E97" w:rsidP="003D5E4E">
            <w:pPr>
              <w:spacing w:after="0"/>
            </w:pPr>
            <w:r>
              <w:rPr>
                <w:rFonts w:eastAsia="Arial"/>
                <w:sz w:val="19"/>
              </w:rPr>
              <w:t>2021</w:t>
            </w:r>
          </w:p>
        </w:tc>
        <w:tc>
          <w:tcPr>
            <w:tcW w:w="5386" w:type="dxa"/>
          </w:tcPr>
          <w:p w14:paraId="781D15EE" w14:textId="77777777" w:rsidR="00315667" w:rsidRDefault="00000000">
            <w:r>
              <w:t>Apprenticeship/traineeship</w:t>
            </w:r>
          </w:p>
        </w:tc>
        <w:tc>
          <w:tcPr>
            <w:tcW w:w="2381" w:type="dxa"/>
          </w:tcPr>
          <w:p w14:paraId="0EDF3B55" w14:textId="77777777" w:rsidR="00BC3E97" w:rsidRDefault="00BC3E97" w:rsidP="003D5E4E">
            <w:pPr>
              <w:spacing w:after="0"/>
            </w:pPr>
            <w:r>
              <w:rPr>
                <w:rFonts w:eastAsia="Arial"/>
                <w:sz w:val="19"/>
              </w:rPr>
              <w:t>19.7%</w:t>
            </w:r>
          </w:p>
        </w:tc>
      </w:tr>
      <w:tr w:rsidR="00BC3E97" w14:paraId="14BDB728" w14:textId="77777777" w:rsidTr="003D5E4E">
        <w:trPr>
          <w:cantSplit/>
        </w:trPr>
        <w:tc>
          <w:tcPr>
            <w:tcW w:w="1247" w:type="dxa"/>
          </w:tcPr>
          <w:p w14:paraId="3BE62B0F" w14:textId="77777777" w:rsidR="00BC3E97" w:rsidRDefault="00BC3E97" w:rsidP="003D5E4E">
            <w:pPr>
              <w:spacing w:after="0"/>
            </w:pPr>
            <w:r>
              <w:rPr>
                <w:rFonts w:eastAsia="Arial"/>
                <w:sz w:val="19"/>
              </w:rPr>
              <w:t>2021</w:t>
            </w:r>
          </w:p>
        </w:tc>
        <w:tc>
          <w:tcPr>
            <w:tcW w:w="5386" w:type="dxa"/>
          </w:tcPr>
          <w:p w14:paraId="080EA39D" w14:textId="77777777" w:rsidR="00BC3E97" w:rsidRDefault="00BC3E97" w:rsidP="003D5E4E">
            <w:pPr>
              <w:spacing w:after="0"/>
            </w:pPr>
            <w:r>
              <w:rPr>
                <w:rFonts w:eastAsia="Arial"/>
                <w:sz w:val="19"/>
              </w:rPr>
              <w:t>Employed</w:t>
            </w:r>
          </w:p>
        </w:tc>
        <w:tc>
          <w:tcPr>
            <w:tcW w:w="2381" w:type="dxa"/>
          </w:tcPr>
          <w:p w14:paraId="34A76440" w14:textId="77777777" w:rsidR="00BC3E97" w:rsidRDefault="00BC3E97" w:rsidP="003D5E4E">
            <w:pPr>
              <w:spacing w:after="0"/>
            </w:pPr>
            <w:r>
              <w:rPr>
                <w:rFonts w:eastAsia="Arial"/>
                <w:sz w:val="19"/>
              </w:rPr>
              <w:t>23.1%</w:t>
            </w:r>
          </w:p>
        </w:tc>
      </w:tr>
      <w:tr w:rsidR="00BC3E97" w14:paraId="6F11FCD7" w14:textId="77777777" w:rsidTr="003D5E4E">
        <w:trPr>
          <w:cantSplit/>
        </w:trPr>
        <w:tc>
          <w:tcPr>
            <w:tcW w:w="1247" w:type="dxa"/>
          </w:tcPr>
          <w:p w14:paraId="4D282D15" w14:textId="77777777" w:rsidR="00BC3E97" w:rsidRDefault="00BC3E97" w:rsidP="003D5E4E">
            <w:pPr>
              <w:spacing w:after="0"/>
            </w:pPr>
            <w:r>
              <w:rPr>
                <w:rFonts w:eastAsia="Arial"/>
                <w:sz w:val="19"/>
              </w:rPr>
              <w:t>2021</w:t>
            </w:r>
          </w:p>
        </w:tc>
        <w:tc>
          <w:tcPr>
            <w:tcW w:w="5386" w:type="dxa"/>
          </w:tcPr>
          <w:p w14:paraId="19565746" w14:textId="77777777" w:rsidR="00BC3E97" w:rsidRDefault="00BC3E97" w:rsidP="003D5E4E">
            <w:pPr>
              <w:spacing w:after="0"/>
            </w:pPr>
            <w:r>
              <w:rPr>
                <w:rFonts w:eastAsia="Arial"/>
                <w:sz w:val="19"/>
              </w:rPr>
              <w:t>Looking for work</w:t>
            </w:r>
          </w:p>
        </w:tc>
        <w:tc>
          <w:tcPr>
            <w:tcW w:w="2381" w:type="dxa"/>
          </w:tcPr>
          <w:p w14:paraId="205EC756" w14:textId="77777777" w:rsidR="00BC3E97" w:rsidRDefault="00BC3E97" w:rsidP="003D5E4E">
            <w:pPr>
              <w:spacing w:after="0"/>
            </w:pPr>
            <w:r>
              <w:rPr>
                <w:rFonts w:eastAsia="Arial"/>
                <w:sz w:val="19"/>
              </w:rPr>
              <w:t>10.4%</w:t>
            </w:r>
          </w:p>
        </w:tc>
      </w:tr>
      <w:tr w:rsidR="00BC3E97" w14:paraId="322F297F" w14:textId="77777777" w:rsidTr="003D5E4E">
        <w:trPr>
          <w:cantSplit/>
        </w:trPr>
        <w:tc>
          <w:tcPr>
            <w:tcW w:w="1247" w:type="dxa"/>
          </w:tcPr>
          <w:p w14:paraId="201DB2B4" w14:textId="77777777" w:rsidR="00BC3E97" w:rsidRDefault="00BC3E97" w:rsidP="003D5E4E">
            <w:pPr>
              <w:spacing w:after="0"/>
            </w:pPr>
            <w:r>
              <w:rPr>
                <w:rFonts w:eastAsia="Arial"/>
                <w:sz w:val="19"/>
              </w:rPr>
              <w:t>2021</w:t>
            </w:r>
          </w:p>
        </w:tc>
        <w:tc>
          <w:tcPr>
            <w:tcW w:w="5386" w:type="dxa"/>
          </w:tcPr>
          <w:p w14:paraId="2E5D5AC4" w14:textId="77777777" w:rsidR="00315667" w:rsidRDefault="00000000">
            <w:r>
              <w:t>NILFET**</w:t>
            </w:r>
          </w:p>
        </w:tc>
        <w:tc>
          <w:tcPr>
            <w:tcW w:w="2381" w:type="dxa"/>
          </w:tcPr>
          <w:p w14:paraId="4E6FCD98" w14:textId="77777777" w:rsidR="00BC3E97" w:rsidRDefault="00BC3E97" w:rsidP="003D5E4E">
            <w:pPr>
              <w:spacing w:after="0"/>
            </w:pPr>
            <w:r>
              <w:rPr>
                <w:rFonts w:eastAsia="Arial"/>
                <w:sz w:val="19"/>
              </w:rPr>
              <w:t>2.5%</w:t>
            </w:r>
          </w:p>
        </w:tc>
      </w:tr>
      <w:tr w:rsidR="00BC3E97" w14:paraId="1311EC1C" w14:textId="77777777" w:rsidTr="003D5E4E">
        <w:trPr>
          <w:cantSplit/>
        </w:trPr>
        <w:tc>
          <w:tcPr>
            <w:tcW w:w="1247" w:type="dxa"/>
          </w:tcPr>
          <w:p w14:paraId="5657A87B" w14:textId="77777777" w:rsidR="00BC3E97" w:rsidRDefault="00BC3E97" w:rsidP="003D5E4E">
            <w:pPr>
              <w:spacing w:after="0"/>
            </w:pPr>
            <w:r>
              <w:rPr>
                <w:rFonts w:eastAsia="Arial"/>
                <w:sz w:val="19"/>
              </w:rPr>
              <w:t>2021</w:t>
            </w:r>
          </w:p>
        </w:tc>
        <w:tc>
          <w:tcPr>
            <w:tcW w:w="5386" w:type="dxa"/>
          </w:tcPr>
          <w:p w14:paraId="7BE74B20" w14:textId="77777777" w:rsidR="00BC3E97" w:rsidRDefault="00BC3E97" w:rsidP="003D5E4E">
            <w:pPr>
              <w:spacing w:after="0"/>
            </w:pPr>
            <w:r>
              <w:rPr>
                <w:rFonts w:eastAsia="Arial"/>
                <w:sz w:val="19"/>
              </w:rPr>
              <w:t>Total respondents</w:t>
            </w:r>
          </w:p>
        </w:tc>
        <w:tc>
          <w:tcPr>
            <w:tcW w:w="2381" w:type="dxa"/>
          </w:tcPr>
          <w:p w14:paraId="7339FFA9" w14:textId="77777777" w:rsidR="00BC3E97" w:rsidRDefault="00BC3E97" w:rsidP="003D5E4E">
            <w:pPr>
              <w:spacing w:after="0"/>
            </w:pPr>
            <w:r>
              <w:rPr>
                <w:rFonts w:eastAsia="Arial"/>
                <w:sz w:val="19"/>
              </w:rPr>
              <w:t>355</w:t>
            </w:r>
          </w:p>
        </w:tc>
      </w:tr>
      <w:tr w:rsidR="00BC3E97" w14:paraId="472CB927" w14:textId="77777777" w:rsidTr="003D5E4E">
        <w:trPr>
          <w:cantSplit/>
        </w:trPr>
        <w:tc>
          <w:tcPr>
            <w:tcW w:w="1247" w:type="dxa"/>
          </w:tcPr>
          <w:p w14:paraId="319BAF70" w14:textId="77777777" w:rsidR="00BC3E97" w:rsidRDefault="00BC3E97" w:rsidP="003D5E4E">
            <w:pPr>
              <w:spacing w:after="0"/>
            </w:pPr>
            <w:r>
              <w:rPr>
                <w:rFonts w:eastAsia="Arial"/>
                <w:sz w:val="19"/>
              </w:rPr>
              <w:t>2022</w:t>
            </w:r>
          </w:p>
        </w:tc>
        <w:tc>
          <w:tcPr>
            <w:tcW w:w="5386" w:type="dxa"/>
          </w:tcPr>
          <w:p w14:paraId="3CA6172E" w14:textId="77777777" w:rsidR="00BC3E97" w:rsidRDefault="00BC3E97" w:rsidP="003D5E4E">
            <w:pPr>
              <w:spacing w:after="0"/>
            </w:pPr>
            <w:proofErr w:type="gramStart"/>
            <w:r>
              <w:rPr>
                <w:rFonts w:eastAsia="Arial"/>
                <w:sz w:val="19"/>
              </w:rPr>
              <w:t>Bachelor</w:t>
            </w:r>
            <w:proofErr w:type="gramEnd"/>
            <w:r>
              <w:rPr>
                <w:rFonts w:eastAsia="Arial"/>
                <w:sz w:val="19"/>
              </w:rPr>
              <w:t xml:space="preserve"> degree</w:t>
            </w:r>
          </w:p>
        </w:tc>
        <w:tc>
          <w:tcPr>
            <w:tcW w:w="2381" w:type="dxa"/>
          </w:tcPr>
          <w:p w14:paraId="4AD42217" w14:textId="77777777" w:rsidR="00BC3E97" w:rsidRDefault="00BC3E97" w:rsidP="003D5E4E">
            <w:pPr>
              <w:spacing w:after="0"/>
            </w:pPr>
            <w:r>
              <w:rPr>
                <w:rFonts w:eastAsia="Arial"/>
                <w:sz w:val="19"/>
              </w:rPr>
              <w:t>26.9%</w:t>
            </w:r>
          </w:p>
        </w:tc>
      </w:tr>
      <w:tr w:rsidR="00BC3E97" w14:paraId="4EDAF3E0" w14:textId="77777777" w:rsidTr="003D5E4E">
        <w:trPr>
          <w:cantSplit/>
        </w:trPr>
        <w:tc>
          <w:tcPr>
            <w:tcW w:w="1247" w:type="dxa"/>
          </w:tcPr>
          <w:p w14:paraId="19C7DD1E" w14:textId="77777777" w:rsidR="00BC3E97" w:rsidRDefault="00BC3E97" w:rsidP="003D5E4E">
            <w:pPr>
              <w:spacing w:after="0"/>
            </w:pPr>
            <w:r>
              <w:rPr>
                <w:rFonts w:eastAsia="Arial"/>
                <w:sz w:val="19"/>
              </w:rPr>
              <w:t>2022</w:t>
            </w:r>
          </w:p>
        </w:tc>
        <w:tc>
          <w:tcPr>
            <w:tcW w:w="5386" w:type="dxa"/>
          </w:tcPr>
          <w:p w14:paraId="237A9A79" w14:textId="77777777" w:rsidR="00315667" w:rsidRDefault="00000000">
            <w:r>
              <w:t>Certificate/diploma</w:t>
            </w:r>
          </w:p>
        </w:tc>
        <w:tc>
          <w:tcPr>
            <w:tcW w:w="2381" w:type="dxa"/>
          </w:tcPr>
          <w:p w14:paraId="3184CDE1" w14:textId="77777777" w:rsidR="00BC3E97" w:rsidRDefault="00BC3E97" w:rsidP="003D5E4E">
            <w:pPr>
              <w:spacing w:after="0"/>
            </w:pPr>
            <w:r>
              <w:rPr>
                <w:rFonts w:eastAsia="Arial"/>
                <w:sz w:val="19"/>
              </w:rPr>
              <w:t>10.8%</w:t>
            </w:r>
          </w:p>
        </w:tc>
      </w:tr>
      <w:tr w:rsidR="00BC3E97" w14:paraId="468A94B8" w14:textId="77777777" w:rsidTr="003D5E4E">
        <w:trPr>
          <w:cantSplit/>
        </w:trPr>
        <w:tc>
          <w:tcPr>
            <w:tcW w:w="1247" w:type="dxa"/>
          </w:tcPr>
          <w:p w14:paraId="40CAA8A0" w14:textId="77777777" w:rsidR="00BC3E97" w:rsidRDefault="00BC3E97" w:rsidP="003D5E4E">
            <w:pPr>
              <w:spacing w:after="0"/>
            </w:pPr>
            <w:r>
              <w:rPr>
                <w:rFonts w:eastAsia="Arial"/>
                <w:sz w:val="19"/>
              </w:rPr>
              <w:t>2022</w:t>
            </w:r>
          </w:p>
        </w:tc>
        <w:tc>
          <w:tcPr>
            <w:tcW w:w="5386" w:type="dxa"/>
          </w:tcPr>
          <w:p w14:paraId="39B3CA35" w14:textId="77777777" w:rsidR="00315667" w:rsidRDefault="00000000">
            <w:r>
              <w:t>Apprenticeship/traineeship</w:t>
            </w:r>
          </w:p>
        </w:tc>
        <w:tc>
          <w:tcPr>
            <w:tcW w:w="2381" w:type="dxa"/>
          </w:tcPr>
          <w:p w14:paraId="4161230E" w14:textId="77777777" w:rsidR="00BC3E97" w:rsidRDefault="00BC3E97" w:rsidP="003D5E4E">
            <w:pPr>
              <w:spacing w:after="0"/>
            </w:pPr>
            <w:r>
              <w:rPr>
                <w:rFonts w:eastAsia="Arial"/>
                <w:sz w:val="19"/>
              </w:rPr>
              <w:t>24.2%</w:t>
            </w:r>
          </w:p>
        </w:tc>
      </w:tr>
      <w:tr w:rsidR="00BC3E97" w14:paraId="1A394EC3" w14:textId="77777777" w:rsidTr="003D5E4E">
        <w:trPr>
          <w:cantSplit/>
        </w:trPr>
        <w:tc>
          <w:tcPr>
            <w:tcW w:w="1247" w:type="dxa"/>
          </w:tcPr>
          <w:p w14:paraId="4D783F5E" w14:textId="77777777" w:rsidR="00BC3E97" w:rsidRDefault="00BC3E97" w:rsidP="003D5E4E">
            <w:pPr>
              <w:spacing w:after="0"/>
            </w:pPr>
            <w:r>
              <w:rPr>
                <w:rFonts w:eastAsia="Arial"/>
                <w:sz w:val="19"/>
              </w:rPr>
              <w:t>2022</w:t>
            </w:r>
          </w:p>
        </w:tc>
        <w:tc>
          <w:tcPr>
            <w:tcW w:w="5386" w:type="dxa"/>
          </w:tcPr>
          <w:p w14:paraId="1923E1E7" w14:textId="77777777" w:rsidR="00BC3E97" w:rsidRDefault="00BC3E97" w:rsidP="003D5E4E">
            <w:pPr>
              <w:spacing w:after="0"/>
            </w:pPr>
            <w:r>
              <w:rPr>
                <w:rFonts w:eastAsia="Arial"/>
                <w:sz w:val="19"/>
              </w:rPr>
              <w:t>Employed</w:t>
            </w:r>
          </w:p>
        </w:tc>
        <w:tc>
          <w:tcPr>
            <w:tcW w:w="2381" w:type="dxa"/>
          </w:tcPr>
          <w:p w14:paraId="109E0BD9" w14:textId="77777777" w:rsidR="00BC3E97" w:rsidRDefault="00BC3E97" w:rsidP="003D5E4E">
            <w:pPr>
              <w:spacing w:after="0"/>
            </w:pPr>
            <w:r>
              <w:rPr>
                <w:rFonts w:eastAsia="Arial"/>
                <w:sz w:val="19"/>
              </w:rPr>
              <w:t>32.0%</w:t>
            </w:r>
          </w:p>
        </w:tc>
      </w:tr>
      <w:tr w:rsidR="00BC3E97" w14:paraId="225291B1" w14:textId="77777777" w:rsidTr="003D5E4E">
        <w:trPr>
          <w:cantSplit/>
        </w:trPr>
        <w:tc>
          <w:tcPr>
            <w:tcW w:w="1247" w:type="dxa"/>
          </w:tcPr>
          <w:p w14:paraId="238F5AE5" w14:textId="77777777" w:rsidR="00BC3E97" w:rsidRDefault="00BC3E97" w:rsidP="003D5E4E">
            <w:pPr>
              <w:spacing w:after="0"/>
            </w:pPr>
            <w:r>
              <w:rPr>
                <w:rFonts w:eastAsia="Arial"/>
                <w:sz w:val="19"/>
              </w:rPr>
              <w:t>2022</w:t>
            </w:r>
          </w:p>
        </w:tc>
        <w:tc>
          <w:tcPr>
            <w:tcW w:w="5386" w:type="dxa"/>
          </w:tcPr>
          <w:p w14:paraId="4D9EC4AE" w14:textId="77777777" w:rsidR="00BC3E97" w:rsidRDefault="00BC3E97" w:rsidP="003D5E4E">
            <w:pPr>
              <w:spacing w:after="0"/>
            </w:pPr>
            <w:r>
              <w:rPr>
                <w:rFonts w:eastAsia="Arial"/>
                <w:sz w:val="19"/>
              </w:rPr>
              <w:t>Looking for work</w:t>
            </w:r>
          </w:p>
        </w:tc>
        <w:tc>
          <w:tcPr>
            <w:tcW w:w="2381" w:type="dxa"/>
          </w:tcPr>
          <w:p w14:paraId="5EEC179C" w14:textId="77777777" w:rsidR="00BC3E97" w:rsidRDefault="00BC3E97" w:rsidP="003D5E4E">
            <w:pPr>
              <w:spacing w:after="0"/>
            </w:pPr>
            <w:r>
              <w:rPr>
                <w:rFonts w:eastAsia="Arial"/>
                <w:sz w:val="19"/>
              </w:rPr>
              <w:t>4.7%</w:t>
            </w:r>
          </w:p>
        </w:tc>
      </w:tr>
      <w:tr w:rsidR="00BC3E97" w14:paraId="47BD2BD4" w14:textId="77777777" w:rsidTr="003D5E4E">
        <w:trPr>
          <w:cantSplit/>
        </w:trPr>
        <w:tc>
          <w:tcPr>
            <w:tcW w:w="1247" w:type="dxa"/>
          </w:tcPr>
          <w:p w14:paraId="54ABFADB" w14:textId="77777777" w:rsidR="00BC3E97" w:rsidRDefault="00BC3E97" w:rsidP="003D5E4E">
            <w:pPr>
              <w:spacing w:after="0"/>
            </w:pPr>
            <w:r>
              <w:rPr>
                <w:rFonts w:eastAsia="Arial"/>
                <w:sz w:val="19"/>
              </w:rPr>
              <w:t>2022</w:t>
            </w:r>
          </w:p>
        </w:tc>
        <w:tc>
          <w:tcPr>
            <w:tcW w:w="5386" w:type="dxa"/>
          </w:tcPr>
          <w:p w14:paraId="64C38F4E" w14:textId="77777777" w:rsidR="00315667" w:rsidRDefault="00000000">
            <w:r>
              <w:t>NILFET**</w:t>
            </w:r>
          </w:p>
        </w:tc>
        <w:tc>
          <w:tcPr>
            <w:tcW w:w="2381" w:type="dxa"/>
          </w:tcPr>
          <w:p w14:paraId="3D5D84D1" w14:textId="77777777" w:rsidR="00BC3E97" w:rsidRDefault="00BC3E97" w:rsidP="003D5E4E">
            <w:pPr>
              <w:spacing w:after="0"/>
            </w:pPr>
            <w:r>
              <w:rPr>
                <w:rFonts w:eastAsia="Arial"/>
                <w:sz w:val="19"/>
              </w:rPr>
              <w:t>1.3%</w:t>
            </w:r>
          </w:p>
        </w:tc>
      </w:tr>
      <w:tr w:rsidR="00BC3E97" w14:paraId="2F2A8C20" w14:textId="77777777" w:rsidTr="003D5E4E">
        <w:trPr>
          <w:cantSplit/>
        </w:trPr>
        <w:tc>
          <w:tcPr>
            <w:tcW w:w="1247" w:type="dxa"/>
          </w:tcPr>
          <w:p w14:paraId="3F473F0E" w14:textId="77777777" w:rsidR="00BC3E97" w:rsidRDefault="00BC3E97" w:rsidP="003D5E4E">
            <w:pPr>
              <w:spacing w:after="0"/>
            </w:pPr>
            <w:r>
              <w:rPr>
                <w:rFonts w:eastAsia="Arial"/>
                <w:sz w:val="19"/>
              </w:rPr>
              <w:t>2022</w:t>
            </w:r>
          </w:p>
        </w:tc>
        <w:tc>
          <w:tcPr>
            <w:tcW w:w="5386" w:type="dxa"/>
          </w:tcPr>
          <w:p w14:paraId="2B4ACA2A" w14:textId="77777777" w:rsidR="00BC3E97" w:rsidRDefault="00BC3E97" w:rsidP="003D5E4E">
            <w:pPr>
              <w:spacing w:after="0"/>
            </w:pPr>
            <w:r>
              <w:rPr>
                <w:rFonts w:eastAsia="Arial"/>
                <w:sz w:val="19"/>
              </w:rPr>
              <w:t>Total respondents</w:t>
            </w:r>
          </w:p>
        </w:tc>
        <w:tc>
          <w:tcPr>
            <w:tcW w:w="2381" w:type="dxa"/>
          </w:tcPr>
          <w:p w14:paraId="6F3A6B12" w14:textId="77777777" w:rsidR="00BC3E97" w:rsidRDefault="00BC3E97" w:rsidP="003D5E4E">
            <w:pPr>
              <w:spacing w:after="0"/>
            </w:pPr>
            <w:r>
              <w:rPr>
                <w:rFonts w:eastAsia="Arial"/>
                <w:sz w:val="19"/>
              </w:rPr>
              <w:t>297</w:t>
            </w:r>
          </w:p>
        </w:tc>
      </w:tr>
      <w:tr w:rsidR="00BC3E97" w14:paraId="3859A437" w14:textId="77777777" w:rsidTr="003D5E4E">
        <w:trPr>
          <w:cantSplit/>
        </w:trPr>
        <w:tc>
          <w:tcPr>
            <w:tcW w:w="1247" w:type="dxa"/>
          </w:tcPr>
          <w:p w14:paraId="0E4E6166" w14:textId="77777777" w:rsidR="00BC3E97" w:rsidRDefault="00BC3E97" w:rsidP="003D5E4E">
            <w:pPr>
              <w:spacing w:after="0"/>
            </w:pPr>
            <w:r>
              <w:rPr>
                <w:rFonts w:eastAsia="Arial"/>
                <w:sz w:val="19"/>
              </w:rPr>
              <w:t>2023</w:t>
            </w:r>
          </w:p>
        </w:tc>
        <w:tc>
          <w:tcPr>
            <w:tcW w:w="5386" w:type="dxa"/>
          </w:tcPr>
          <w:p w14:paraId="6FFB3B40" w14:textId="77777777" w:rsidR="00BC3E97" w:rsidRDefault="00BC3E97" w:rsidP="003D5E4E">
            <w:pPr>
              <w:spacing w:after="0"/>
            </w:pPr>
            <w:proofErr w:type="gramStart"/>
            <w:r>
              <w:rPr>
                <w:rFonts w:eastAsia="Arial"/>
                <w:sz w:val="19"/>
              </w:rPr>
              <w:t>Bachelor</w:t>
            </w:r>
            <w:proofErr w:type="gramEnd"/>
            <w:r>
              <w:rPr>
                <w:rFonts w:eastAsia="Arial"/>
                <w:sz w:val="19"/>
              </w:rPr>
              <w:t xml:space="preserve"> degree</w:t>
            </w:r>
          </w:p>
        </w:tc>
        <w:tc>
          <w:tcPr>
            <w:tcW w:w="2381" w:type="dxa"/>
          </w:tcPr>
          <w:p w14:paraId="141D051B" w14:textId="77777777" w:rsidR="00BC3E97" w:rsidRDefault="00BC3E97" w:rsidP="003D5E4E">
            <w:pPr>
              <w:spacing w:after="0"/>
            </w:pPr>
            <w:r>
              <w:rPr>
                <w:rFonts w:eastAsia="Arial"/>
                <w:sz w:val="19"/>
              </w:rPr>
              <w:t>29.2%</w:t>
            </w:r>
          </w:p>
        </w:tc>
      </w:tr>
      <w:tr w:rsidR="00BC3E97" w14:paraId="13404174" w14:textId="77777777" w:rsidTr="003D5E4E">
        <w:trPr>
          <w:cantSplit/>
        </w:trPr>
        <w:tc>
          <w:tcPr>
            <w:tcW w:w="1247" w:type="dxa"/>
          </w:tcPr>
          <w:p w14:paraId="61FDAFCA" w14:textId="77777777" w:rsidR="00BC3E97" w:rsidRDefault="00BC3E97" w:rsidP="003D5E4E">
            <w:pPr>
              <w:spacing w:after="0"/>
            </w:pPr>
            <w:r>
              <w:rPr>
                <w:rFonts w:eastAsia="Arial"/>
                <w:sz w:val="19"/>
              </w:rPr>
              <w:t>2023</w:t>
            </w:r>
          </w:p>
        </w:tc>
        <w:tc>
          <w:tcPr>
            <w:tcW w:w="5386" w:type="dxa"/>
          </w:tcPr>
          <w:p w14:paraId="5C4DC21B" w14:textId="77777777" w:rsidR="00315667" w:rsidRDefault="00000000">
            <w:r>
              <w:t>Certificate/diploma</w:t>
            </w:r>
          </w:p>
        </w:tc>
        <w:tc>
          <w:tcPr>
            <w:tcW w:w="2381" w:type="dxa"/>
          </w:tcPr>
          <w:p w14:paraId="2E1C6AF7" w14:textId="77777777" w:rsidR="00BC3E97" w:rsidRDefault="00BC3E97" w:rsidP="003D5E4E">
            <w:pPr>
              <w:spacing w:after="0"/>
            </w:pPr>
            <w:r>
              <w:rPr>
                <w:rFonts w:eastAsia="Arial"/>
                <w:sz w:val="19"/>
              </w:rPr>
              <w:t>12.0%</w:t>
            </w:r>
          </w:p>
        </w:tc>
      </w:tr>
      <w:tr w:rsidR="00BC3E97" w14:paraId="4103E0B5" w14:textId="77777777" w:rsidTr="003D5E4E">
        <w:trPr>
          <w:cantSplit/>
        </w:trPr>
        <w:tc>
          <w:tcPr>
            <w:tcW w:w="1247" w:type="dxa"/>
          </w:tcPr>
          <w:p w14:paraId="231BA9B4" w14:textId="77777777" w:rsidR="00BC3E97" w:rsidRDefault="00BC3E97" w:rsidP="003D5E4E">
            <w:pPr>
              <w:spacing w:after="0"/>
            </w:pPr>
            <w:r>
              <w:rPr>
                <w:rFonts w:eastAsia="Arial"/>
                <w:sz w:val="19"/>
              </w:rPr>
              <w:t>2023</w:t>
            </w:r>
          </w:p>
        </w:tc>
        <w:tc>
          <w:tcPr>
            <w:tcW w:w="5386" w:type="dxa"/>
          </w:tcPr>
          <w:p w14:paraId="774A1875" w14:textId="77777777" w:rsidR="00315667" w:rsidRDefault="00000000">
            <w:r>
              <w:t>Apprenticeship/traineeship</w:t>
            </w:r>
          </w:p>
        </w:tc>
        <w:tc>
          <w:tcPr>
            <w:tcW w:w="2381" w:type="dxa"/>
          </w:tcPr>
          <w:p w14:paraId="709937F0" w14:textId="77777777" w:rsidR="00BC3E97" w:rsidRDefault="00BC3E97" w:rsidP="003D5E4E">
            <w:pPr>
              <w:spacing w:after="0"/>
            </w:pPr>
            <w:r>
              <w:rPr>
                <w:rFonts w:eastAsia="Arial"/>
                <w:sz w:val="19"/>
              </w:rPr>
              <w:t>14.4%</w:t>
            </w:r>
          </w:p>
        </w:tc>
      </w:tr>
      <w:tr w:rsidR="00BC3E97" w14:paraId="10993389" w14:textId="77777777" w:rsidTr="003D5E4E">
        <w:trPr>
          <w:cantSplit/>
        </w:trPr>
        <w:tc>
          <w:tcPr>
            <w:tcW w:w="1247" w:type="dxa"/>
          </w:tcPr>
          <w:p w14:paraId="4CD05698" w14:textId="77777777" w:rsidR="00BC3E97" w:rsidRDefault="00BC3E97" w:rsidP="003D5E4E">
            <w:pPr>
              <w:spacing w:after="0"/>
            </w:pPr>
            <w:r>
              <w:rPr>
                <w:rFonts w:eastAsia="Arial"/>
                <w:sz w:val="19"/>
              </w:rPr>
              <w:t>2023</w:t>
            </w:r>
          </w:p>
        </w:tc>
        <w:tc>
          <w:tcPr>
            <w:tcW w:w="5386" w:type="dxa"/>
          </w:tcPr>
          <w:p w14:paraId="6F96F310" w14:textId="77777777" w:rsidR="00BC3E97" w:rsidRDefault="00BC3E97" w:rsidP="003D5E4E">
            <w:pPr>
              <w:spacing w:after="0"/>
            </w:pPr>
            <w:r>
              <w:rPr>
                <w:rFonts w:eastAsia="Arial"/>
                <w:sz w:val="19"/>
              </w:rPr>
              <w:t>Employed</w:t>
            </w:r>
          </w:p>
        </w:tc>
        <w:tc>
          <w:tcPr>
            <w:tcW w:w="2381" w:type="dxa"/>
          </w:tcPr>
          <w:p w14:paraId="0CF79198" w14:textId="77777777" w:rsidR="00BC3E97" w:rsidRDefault="00BC3E97" w:rsidP="003D5E4E">
            <w:pPr>
              <w:spacing w:after="0"/>
            </w:pPr>
            <w:r>
              <w:rPr>
                <w:rFonts w:eastAsia="Arial"/>
                <w:sz w:val="19"/>
              </w:rPr>
              <w:t>37.3%</w:t>
            </w:r>
          </w:p>
        </w:tc>
      </w:tr>
      <w:tr w:rsidR="00BC3E97" w14:paraId="62DB4151" w14:textId="77777777" w:rsidTr="003D5E4E">
        <w:trPr>
          <w:cantSplit/>
        </w:trPr>
        <w:tc>
          <w:tcPr>
            <w:tcW w:w="1247" w:type="dxa"/>
          </w:tcPr>
          <w:p w14:paraId="605AD4E7" w14:textId="77777777" w:rsidR="00BC3E97" w:rsidRDefault="00BC3E97" w:rsidP="003D5E4E">
            <w:pPr>
              <w:spacing w:after="0"/>
            </w:pPr>
            <w:r>
              <w:rPr>
                <w:rFonts w:eastAsia="Arial"/>
                <w:sz w:val="19"/>
              </w:rPr>
              <w:t>2023</w:t>
            </w:r>
          </w:p>
        </w:tc>
        <w:tc>
          <w:tcPr>
            <w:tcW w:w="5386" w:type="dxa"/>
          </w:tcPr>
          <w:p w14:paraId="17A67C5C" w14:textId="77777777" w:rsidR="00BC3E97" w:rsidRDefault="00BC3E97" w:rsidP="003D5E4E">
            <w:pPr>
              <w:spacing w:after="0"/>
            </w:pPr>
            <w:r>
              <w:rPr>
                <w:rFonts w:eastAsia="Arial"/>
                <w:sz w:val="19"/>
              </w:rPr>
              <w:t>Looking for work</w:t>
            </w:r>
          </w:p>
        </w:tc>
        <w:tc>
          <w:tcPr>
            <w:tcW w:w="2381" w:type="dxa"/>
          </w:tcPr>
          <w:p w14:paraId="68FD921D" w14:textId="77777777" w:rsidR="00BC3E97" w:rsidRDefault="00BC3E97" w:rsidP="003D5E4E">
            <w:pPr>
              <w:spacing w:after="0"/>
            </w:pPr>
            <w:r>
              <w:rPr>
                <w:rFonts w:eastAsia="Arial"/>
                <w:sz w:val="19"/>
              </w:rPr>
              <w:t>4.8%</w:t>
            </w:r>
          </w:p>
        </w:tc>
      </w:tr>
      <w:tr w:rsidR="00BC3E97" w14:paraId="7C12BF6C" w14:textId="77777777" w:rsidTr="003D5E4E">
        <w:trPr>
          <w:cantSplit/>
        </w:trPr>
        <w:tc>
          <w:tcPr>
            <w:tcW w:w="1247" w:type="dxa"/>
          </w:tcPr>
          <w:p w14:paraId="1065B804" w14:textId="77777777" w:rsidR="00BC3E97" w:rsidRDefault="00BC3E97" w:rsidP="003D5E4E">
            <w:pPr>
              <w:spacing w:after="0"/>
            </w:pPr>
            <w:r>
              <w:rPr>
                <w:rFonts w:eastAsia="Arial"/>
                <w:sz w:val="19"/>
              </w:rPr>
              <w:t>2023</w:t>
            </w:r>
          </w:p>
        </w:tc>
        <w:tc>
          <w:tcPr>
            <w:tcW w:w="5386" w:type="dxa"/>
          </w:tcPr>
          <w:p w14:paraId="29512109" w14:textId="77777777" w:rsidR="00315667" w:rsidRDefault="00000000">
            <w:r>
              <w:t>NILFET**</w:t>
            </w:r>
          </w:p>
        </w:tc>
        <w:tc>
          <w:tcPr>
            <w:tcW w:w="2381" w:type="dxa"/>
          </w:tcPr>
          <w:p w14:paraId="286D16DC" w14:textId="77777777" w:rsidR="00BC3E97" w:rsidRDefault="00BC3E97" w:rsidP="003D5E4E">
            <w:pPr>
              <w:spacing w:after="0"/>
            </w:pPr>
            <w:r>
              <w:rPr>
                <w:rFonts w:eastAsia="Arial"/>
                <w:sz w:val="19"/>
              </w:rPr>
              <w:t>2.4%</w:t>
            </w:r>
          </w:p>
        </w:tc>
      </w:tr>
      <w:tr w:rsidR="00BC3E97" w14:paraId="7A32DB53" w14:textId="77777777" w:rsidTr="003D5E4E">
        <w:trPr>
          <w:cantSplit/>
        </w:trPr>
        <w:tc>
          <w:tcPr>
            <w:tcW w:w="1247" w:type="dxa"/>
          </w:tcPr>
          <w:p w14:paraId="764699B4" w14:textId="77777777" w:rsidR="00BC3E97" w:rsidRDefault="00BC3E97" w:rsidP="003D5E4E">
            <w:pPr>
              <w:spacing w:after="0"/>
            </w:pPr>
            <w:r>
              <w:rPr>
                <w:rFonts w:eastAsia="Arial"/>
                <w:sz w:val="19"/>
              </w:rPr>
              <w:t>2023</w:t>
            </w:r>
          </w:p>
        </w:tc>
        <w:tc>
          <w:tcPr>
            <w:tcW w:w="5386" w:type="dxa"/>
          </w:tcPr>
          <w:p w14:paraId="0D8377D1" w14:textId="77777777" w:rsidR="00BC3E97" w:rsidRDefault="00BC3E97" w:rsidP="003D5E4E">
            <w:pPr>
              <w:spacing w:after="0"/>
            </w:pPr>
            <w:r>
              <w:rPr>
                <w:rFonts w:eastAsia="Arial"/>
                <w:sz w:val="19"/>
              </w:rPr>
              <w:t>Total respondents</w:t>
            </w:r>
          </w:p>
        </w:tc>
        <w:tc>
          <w:tcPr>
            <w:tcW w:w="2381" w:type="dxa"/>
          </w:tcPr>
          <w:p w14:paraId="07985649" w14:textId="77777777" w:rsidR="00BC3E97" w:rsidRDefault="00BC3E97" w:rsidP="003D5E4E">
            <w:pPr>
              <w:spacing w:after="0"/>
            </w:pPr>
            <w:r>
              <w:rPr>
                <w:rFonts w:eastAsia="Arial"/>
                <w:sz w:val="19"/>
              </w:rPr>
              <w:t>209</w:t>
            </w:r>
          </w:p>
        </w:tc>
      </w:tr>
      <w:tr w:rsidR="00BC3E97" w14:paraId="2487F2EF" w14:textId="77777777" w:rsidTr="003D5E4E">
        <w:trPr>
          <w:cantSplit/>
        </w:trPr>
        <w:tc>
          <w:tcPr>
            <w:tcW w:w="1247" w:type="dxa"/>
          </w:tcPr>
          <w:p w14:paraId="0C14F0D2" w14:textId="77777777" w:rsidR="00BC3E97" w:rsidRDefault="00BC3E97" w:rsidP="003D5E4E">
            <w:pPr>
              <w:spacing w:after="0"/>
            </w:pPr>
            <w:r>
              <w:rPr>
                <w:rFonts w:eastAsia="Arial"/>
                <w:sz w:val="19"/>
              </w:rPr>
              <w:t>2024</w:t>
            </w:r>
          </w:p>
        </w:tc>
        <w:tc>
          <w:tcPr>
            <w:tcW w:w="5386" w:type="dxa"/>
          </w:tcPr>
          <w:p w14:paraId="1A6770E6" w14:textId="77777777" w:rsidR="00BC3E97" w:rsidRDefault="00BC3E97" w:rsidP="003D5E4E">
            <w:pPr>
              <w:spacing w:after="0"/>
            </w:pPr>
            <w:proofErr w:type="gramStart"/>
            <w:r>
              <w:rPr>
                <w:rFonts w:eastAsia="Arial"/>
                <w:sz w:val="19"/>
              </w:rPr>
              <w:t>Bachelor</w:t>
            </w:r>
            <w:proofErr w:type="gramEnd"/>
            <w:r>
              <w:rPr>
                <w:rFonts w:eastAsia="Arial"/>
                <w:sz w:val="19"/>
              </w:rPr>
              <w:t xml:space="preserve"> degree</w:t>
            </w:r>
          </w:p>
        </w:tc>
        <w:tc>
          <w:tcPr>
            <w:tcW w:w="2381" w:type="dxa"/>
          </w:tcPr>
          <w:p w14:paraId="0D62DB69" w14:textId="77777777" w:rsidR="00BC3E97" w:rsidRDefault="00BC3E97" w:rsidP="003D5E4E">
            <w:pPr>
              <w:spacing w:after="0"/>
            </w:pPr>
            <w:r>
              <w:rPr>
                <w:rFonts w:eastAsia="Arial"/>
                <w:sz w:val="19"/>
              </w:rPr>
              <w:t>29.7%</w:t>
            </w:r>
          </w:p>
        </w:tc>
      </w:tr>
      <w:tr w:rsidR="00BC3E97" w14:paraId="2C29E9F2" w14:textId="77777777" w:rsidTr="003D5E4E">
        <w:trPr>
          <w:cantSplit/>
        </w:trPr>
        <w:tc>
          <w:tcPr>
            <w:tcW w:w="1247" w:type="dxa"/>
          </w:tcPr>
          <w:p w14:paraId="0E7F7F9D" w14:textId="77777777" w:rsidR="00BC3E97" w:rsidRDefault="00BC3E97" w:rsidP="003D5E4E">
            <w:pPr>
              <w:spacing w:after="0"/>
            </w:pPr>
            <w:r>
              <w:rPr>
                <w:rFonts w:eastAsia="Arial"/>
                <w:sz w:val="19"/>
              </w:rPr>
              <w:t>2024</w:t>
            </w:r>
          </w:p>
        </w:tc>
        <w:tc>
          <w:tcPr>
            <w:tcW w:w="5386" w:type="dxa"/>
          </w:tcPr>
          <w:p w14:paraId="4C4F53C5" w14:textId="77777777" w:rsidR="00315667" w:rsidRDefault="00000000">
            <w:r>
              <w:t>Certificate/diploma</w:t>
            </w:r>
          </w:p>
        </w:tc>
        <w:tc>
          <w:tcPr>
            <w:tcW w:w="2381" w:type="dxa"/>
          </w:tcPr>
          <w:p w14:paraId="1A4D8D14" w14:textId="77777777" w:rsidR="00BC3E97" w:rsidRDefault="00BC3E97" w:rsidP="003D5E4E">
            <w:pPr>
              <w:spacing w:after="0"/>
            </w:pPr>
            <w:r>
              <w:rPr>
                <w:rFonts w:eastAsia="Arial"/>
                <w:sz w:val="19"/>
              </w:rPr>
              <w:t>12.3%</w:t>
            </w:r>
          </w:p>
        </w:tc>
      </w:tr>
      <w:tr w:rsidR="00BC3E97" w14:paraId="141305F6" w14:textId="77777777" w:rsidTr="003D5E4E">
        <w:trPr>
          <w:cantSplit/>
        </w:trPr>
        <w:tc>
          <w:tcPr>
            <w:tcW w:w="1247" w:type="dxa"/>
          </w:tcPr>
          <w:p w14:paraId="5F00ACCC" w14:textId="77777777" w:rsidR="00BC3E97" w:rsidRDefault="00BC3E97" w:rsidP="003D5E4E">
            <w:pPr>
              <w:spacing w:after="0"/>
            </w:pPr>
            <w:r>
              <w:rPr>
                <w:rFonts w:eastAsia="Arial"/>
                <w:sz w:val="19"/>
              </w:rPr>
              <w:t>2024</w:t>
            </w:r>
          </w:p>
        </w:tc>
        <w:tc>
          <w:tcPr>
            <w:tcW w:w="5386" w:type="dxa"/>
          </w:tcPr>
          <w:p w14:paraId="37F1FDAE" w14:textId="77777777" w:rsidR="00315667" w:rsidRDefault="00000000">
            <w:r>
              <w:t>Apprenticeship/traineeship</w:t>
            </w:r>
          </w:p>
        </w:tc>
        <w:tc>
          <w:tcPr>
            <w:tcW w:w="2381" w:type="dxa"/>
          </w:tcPr>
          <w:p w14:paraId="599DC172" w14:textId="77777777" w:rsidR="00BC3E97" w:rsidRDefault="00BC3E97" w:rsidP="003D5E4E">
            <w:pPr>
              <w:spacing w:after="0"/>
            </w:pPr>
            <w:r>
              <w:rPr>
                <w:rFonts w:eastAsia="Arial"/>
                <w:sz w:val="19"/>
              </w:rPr>
              <w:t>20.8%</w:t>
            </w:r>
          </w:p>
        </w:tc>
      </w:tr>
      <w:tr w:rsidR="00BC3E97" w14:paraId="41A8CBC5" w14:textId="77777777" w:rsidTr="003D5E4E">
        <w:trPr>
          <w:cantSplit/>
        </w:trPr>
        <w:tc>
          <w:tcPr>
            <w:tcW w:w="1247" w:type="dxa"/>
          </w:tcPr>
          <w:p w14:paraId="38D87626" w14:textId="77777777" w:rsidR="00BC3E97" w:rsidRDefault="00BC3E97" w:rsidP="003D5E4E">
            <w:pPr>
              <w:spacing w:after="0"/>
            </w:pPr>
            <w:r>
              <w:rPr>
                <w:rFonts w:eastAsia="Arial"/>
                <w:sz w:val="19"/>
              </w:rPr>
              <w:t>2024</w:t>
            </w:r>
          </w:p>
        </w:tc>
        <w:tc>
          <w:tcPr>
            <w:tcW w:w="5386" w:type="dxa"/>
          </w:tcPr>
          <w:p w14:paraId="63396A17" w14:textId="77777777" w:rsidR="00BC3E97" w:rsidRDefault="00BC3E97" w:rsidP="003D5E4E">
            <w:pPr>
              <w:spacing w:after="0"/>
            </w:pPr>
            <w:r>
              <w:rPr>
                <w:rFonts w:eastAsia="Arial"/>
                <w:sz w:val="19"/>
              </w:rPr>
              <w:t>Employed</w:t>
            </w:r>
          </w:p>
        </w:tc>
        <w:tc>
          <w:tcPr>
            <w:tcW w:w="2381" w:type="dxa"/>
          </w:tcPr>
          <w:p w14:paraId="2CA7EFD7" w14:textId="77777777" w:rsidR="00BC3E97" w:rsidRDefault="00BC3E97" w:rsidP="003D5E4E">
            <w:pPr>
              <w:spacing w:after="0"/>
            </w:pPr>
            <w:r>
              <w:rPr>
                <w:rFonts w:eastAsia="Arial"/>
                <w:sz w:val="19"/>
              </w:rPr>
              <w:t>25.9%</w:t>
            </w:r>
          </w:p>
        </w:tc>
      </w:tr>
      <w:tr w:rsidR="00BC3E97" w14:paraId="4379EA49" w14:textId="77777777" w:rsidTr="003D5E4E">
        <w:trPr>
          <w:cantSplit/>
        </w:trPr>
        <w:tc>
          <w:tcPr>
            <w:tcW w:w="1247" w:type="dxa"/>
          </w:tcPr>
          <w:p w14:paraId="039E150B" w14:textId="77777777" w:rsidR="00BC3E97" w:rsidRDefault="00BC3E97" w:rsidP="003D5E4E">
            <w:pPr>
              <w:spacing w:after="0"/>
            </w:pPr>
            <w:r>
              <w:rPr>
                <w:rFonts w:eastAsia="Arial"/>
                <w:sz w:val="19"/>
              </w:rPr>
              <w:lastRenderedPageBreak/>
              <w:t>2024</w:t>
            </w:r>
          </w:p>
        </w:tc>
        <w:tc>
          <w:tcPr>
            <w:tcW w:w="5386" w:type="dxa"/>
          </w:tcPr>
          <w:p w14:paraId="6299FD9E" w14:textId="77777777" w:rsidR="00BC3E97" w:rsidRDefault="00BC3E97" w:rsidP="003D5E4E">
            <w:pPr>
              <w:spacing w:after="0"/>
            </w:pPr>
            <w:r>
              <w:rPr>
                <w:rFonts w:eastAsia="Arial"/>
                <w:sz w:val="19"/>
              </w:rPr>
              <w:t>Looking for work</w:t>
            </w:r>
          </w:p>
        </w:tc>
        <w:tc>
          <w:tcPr>
            <w:tcW w:w="2381" w:type="dxa"/>
          </w:tcPr>
          <w:p w14:paraId="48A38032" w14:textId="77777777" w:rsidR="00BC3E97" w:rsidRDefault="00BC3E97" w:rsidP="003D5E4E">
            <w:pPr>
              <w:spacing w:after="0"/>
            </w:pPr>
            <w:r>
              <w:rPr>
                <w:rFonts w:eastAsia="Arial"/>
                <w:sz w:val="19"/>
              </w:rPr>
              <w:t>8.9%</w:t>
            </w:r>
          </w:p>
        </w:tc>
      </w:tr>
      <w:tr w:rsidR="00BC3E97" w14:paraId="26A3548D" w14:textId="77777777" w:rsidTr="003D5E4E">
        <w:trPr>
          <w:cantSplit/>
        </w:trPr>
        <w:tc>
          <w:tcPr>
            <w:tcW w:w="1247" w:type="dxa"/>
          </w:tcPr>
          <w:p w14:paraId="371DD07B" w14:textId="77777777" w:rsidR="00BC3E97" w:rsidRDefault="00BC3E97" w:rsidP="003D5E4E">
            <w:pPr>
              <w:spacing w:after="0"/>
            </w:pPr>
            <w:r>
              <w:rPr>
                <w:rFonts w:eastAsia="Arial"/>
                <w:sz w:val="19"/>
              </w:rPr>
              <w:t>2024</w:t>
            </w:r>
          </w:p>
        </w:tc>
        <w:tc>
          <w:tcPr>
            <w:tcW w:w="5386" w:type="dxa"/>
          </w:tcPr>
          <w:p w14:paraId="0DD3CFFC" w14:textId="77777777" w:rsidR="00315667" w:rsidRDefault="00000000">
            <w:r>
              <w:t>NILFET**</w:t>
            </w:r>
          </w:p>
        </w:tc>
        <w:tc>
          <w:tcPr>
            <w:tcW w:w="2381" w:type="dxa"/>
          </w:tcPr>
          <w:p w14:paraId="11DEAD19" w14:textId="77777777" w:rsidR="00BC3E97" w:rsidRDefault="00BC3E97" w:rsidP="003D5E4E">
            <w:pPr>
              <w:spacing w:after="0"/>
            </w:pPr>
            <w:r>
              <w:rPr>
                <w:rFonts w:eastAsia="Arial"/>
                <w:sz w:val="19"/>
              </w:rPr>
              <w:t>2.4%</w:t>
            </w:r>
          </w:p>
        </w:tc>
      </w:tr>
      <w:tr w:rsidR="00BC3E97" w14:paraId="1BD07BBA" w14:textId="77777777" w:rsidTr="003D5E4E">
        <w:trPr>
          <w:cantSplit/>
        </w:trPr>
        <w:tc>
          <w:tcPr>
            <w:tcW w:w="1247" w:type="dxa"/>
          </w:tcPr>
          <w:p w14:paraId="62EF6F1A" w14:textId="77777777" w:rsidR="00BC3E97" w:rsidRDefault="00BC3E97" w:rsidP="003D5E4E">
            <w:pPr>
              <w:spacing w:after="0"/>
            </w:pPr>
            <w:r>
              <w:rPr>
                <w:rFonts w:eastAsia="Arial"/>
                <w:sz w:val="19"/>
              </w:rPr>
              <w:t>2024</w:t>
            </w:r>
          </w:p>
        </w:tc>
        <w:tc>
          <w:tcPr>
            <w:tcW w:w="5386" w:type="dxa"/>
          </w:tcPr>
          <w:p w14:paraId="16861609" w14:textId="77777777" w:rsidR="00BC3E97" w:rsidRDefault="00BC3E97" w:rsidP="003D5E4E">
            <w:pPr>
              <w:spacing w:after="0"/>
            </w:pPr>
            <w:r>
              <w:rPr>
                <w:rFonts w:eastAsia="Arial"/>
                <w:sz w:val="19"/>
              </w:rPr>
              <w:t>Total respondents</w:t>
            </w:r>
          </w:p>
        </w:tc>
        <w:tc>
          <w:tcPr>
            <w:tcW w:w="2381" w:type="dxa"/>
          </w:tcPr>
          <w:p w14:paraId="310805BA" w14:textId="77777777" w:rsidR="00BC3E97" w:rsidRDefault="00BC3E97" w:rsidP="003D5E4E">
            <w:pPr>
              <w:spacing w:after="0"/>
            </w:pPr>
            <w:r>
              <w:rPr>
                <w:rFonts w:eastAsia="Arial"/>
                <w:sz w:val="19"/>
              </w:rPr>
              <w:t>293</w:t>
            </w:r>
          </w:p>
        </w:tc>
      </w:tr>
    </w:tbl>
    <w:p w14:paraId="2827492B" w14:textId="77777777" w:rsidR="00BC3E97" w:rsidRDefault="00BC3E97" w:rsidP="00BC3E97"/>
    <w:p w14:paraId="062EABC0" w14:textId="77777777" w:rsidR="00BC3E97" w:rsidRDefault="00BC3E97" w:rsidP="00BC3E97">
      <w:r>
        <w:t>* The On Track Survey was not run in 2025.</w:t>
      </w:r>
    </w:p>
    <w:p w14:paraId="477F8FE9" w14:textId="77777777" w:rsidR="00315667" w:rsidRDefault="00000000">
      <w:r>
        <w:t>** Not in labour force, education or training.</w:t>
      </w:r>
    </w:p>
    <w:p w14:paraId="03C0A91A" w14:textId="77777777" w:rsidR="00315667" w:rsidRDefault="00000000">
      <w:r>
        <w:t>Source: Koorie Year 12 completers responses to the On Track Survey. All sectors.</w:t>
      </w:r>
    </w:p>
    <w:p w14:paraId="1123FA8D" w14:textId="77777777" w:rsidR="00BC3E97" w:rsidRDefault="00BC3E97" w:rsidP="00BC3E97">
      <w:pPr>
        <w:pStyle w:val="Heading2"/>
      </w:pPr>
      <w:bookmarkStart w:id="51" w:name="_Toc238720425"/>
      <w:bookmarkStart w:id="52" w:name="_Toc239931009"/>
      <w:bookmarkEnd w:id="51"/>
      <w:r>
        <w:t>Tertiary</w:t>
      </w:r>
      <w:bookmarkEnd w:id="52"/>
    </w:p>
    <w:p w14:paraId="2C4FBE3A" w14:textId="77777777" w:rsidR="00BC3E97" w:rsidRDefault="00BC3E97" w:rsidP="00BC3E97">
      <w:r>
        <w:t>Outcomes for First Nations learners in the tertiary education system continue to strengthen. Overall, more First Nations learners are participating in tertiary education — with increased enrolments at adult community and further education providers (Learn Local providers), TAFEs, Aboriginal Community Controlled Registered Training Organisations and universities (including dual sector). Importantly, completion rates for First Nations learners are also improving and First Nations learners in Victoria are enrolling in higher-level qualifications. For example, around 82% of First Nations commencements in vocational education and training are now at Certificate III level or higher, increasingly aligned to industry priority areas.</w:t>
      </w:r>
    </w:p>
    <w:p w14:paraId="0A418A18" w14:textId="77777777" w:rsidR="00BC3E97" w:rsidRDefault="00BC3E97" w:rsidP="00BC3E97">
      <w:r>
        <w:t>Learner survey data also indicates that First Nations students in vocational education and training report positive experiences of teaching and learning, slightly above the Victorian average. First Nations learner enrolments and completions in university and higher education qualifications have also increased, with significant increases in completions over the past 10 years. At the same time, there remain important opportunities to further close completion gaps between First Nations and non-First Nations learners, strengthen transitions into employment, and support higher-level tertiary pathways.</w:t>
      </w:r>
    </w:p>
    <w:p w14:paraId="0F5B7817" w14:textId="77777777" w:rsidR="00BC3E97" w:rsidRDefault="00BC3E97" w:rsidP="00BC3E97">
      <w:pPr>
        <w:pStyle w:val="Heading3"/>
      </w:pPr>
      <w:bookmarkStart w:id="53" w:name="_Toc238720427"/>
      <w:bookmarkStart w:id="54" w:name="_Toc239931010"/>
      <w:bookmarkEnd w:id="53"/>
      <w:r>
        <w:t>Participation in Pre-Accredited Training</w:t>
      </w:r>
      <w:bookmarkEnd w:id="54"/>
    </w:p>
    <w:p w14:paraId="431AB4C4" w14:textId="77777777" w:rsidR="00BC3E97" w:rsidRDefault="00BC3E97" w:rsidP="00BC3E97">
      <w:r>
        <w:t>Increase in pre-accredited training to First Nations learners between 2019–2025: 13.8%. Includes learners funded through ACFE pre-accredited and digital skills programs.</w:t>
      </w:r>
    </w:p>
    <w:p w14:paraId="729595B2" w14:textId="77777777" w:rsidR="00BC3E97" w:rsidRDefault="00BC3E97" w:rsidP="00BC3E97">
      <w:pPr>
        <w:pStyle w:val="Heading3"/>
      </w:pPr>
      <w:bookmarkStart w:id="55" w:name="_Toc238720428"/>
      <w:bookmarkStart w:id="56" w:name="_Toc239931011"/>
      <w:bookmarkEnd w:id="55"/>
      <w:r>
        <w:t>First Nations VET students report satisfaction levels above the Victoria average</w:t>
      </w:r>
      <w:bookmarkEnd w:id="56"/>
    </w:p>
    <w:tbl>
      <w:tblPr>
        <w:tblStyle w:val="TableGrid"/>
        <w:tblW w:w="0" w:type="auto"/>
        <w:tblLook w:val="04A0" w:firstRow="1" w:lastRow="0" w:firstColumn="1" w:lastColumn="0" w:noHBand="0" w:noVBand="1"/>
      </w:tblPr>
      <w:tblGrid>
        <w:gridCol w:w="6236"/>
        <w:gridCol w:w="2268"/>
      </w:tblGrid>
      <w:tr w:rsidR="00BC3E97" w14:paraId="26A43105" w14:textId="77777777" w:rsidTr="003D5E4E">
        <w:trPr>
          <w:cantSplit/>
          <w:tblHeader/>
        </w:trPr>
        <w:tc>
          <w:tcPr>
            <w:tcW w:w="6236" w:type="dxa"/>
            <w:shd w:val="clear" w:color="auto" w:fill="E7F2F4"/>
          </w:tcPr>
          <w:p w14:paraId="6F9CCD57" w14:textId="77777777" w:rsidR="00BC3E97" w:rsidRDefault="00BC3E97" w:rsidP="003D5E4E">
            <w:pPr>
              <w:spacing w:after="0"/>
            </w:pPr>
            <w:r>
              <w:rPr>
                <w:rFonts w:eastAsia="Arial"/>
                <w:b/>
                <w:sz w:val="19"/>
              </w:rPr>
              <w:t>Measure</w:t>
            </w:r>
          </w:p>
        </w:tc>
        <w:tc>
          <w:tcPr>
            <w:tcW w:w="2268" w:type="dxa"/>
            <w:shd w:val="clear" w:color="auto" w:fill="E7F2F4"/>
          </w:tcPr>
          <w:p w14:paraId="6D7E7039" w14:textId="77777777" w:rsidR="00BC3E97" w:rsidRDefault="00BC3E97" w:rsidP="003D5E4E">
            <w:pPr>
              <w:spacing w:after="0"/>
            </w:pPr>
            <w:r>
              <w:rPr>
                <w:rFonts w:eastAsia="Arial"/>
                <w:b/>
                <w:sz w:val="19"/>
              </w:rPr>
              <w:t>First Nations result</w:t>
            </w:r>
          </w:p>
        </w:tc>
      </w:tr>
      <w:tr w:rsidR="00BC3E97" w14:paraId="1A607947" w14:textId="77777777" w:rsidTr="003D5E4E">
        <w:trPr>
          <w:cantSplit/>
        </w:trPr>
        <w:tc>
          <w:tcPr>
            <w:tcW w:w="6236" w:type="dxa"/>
          </w:tcPr>
          <w:p w14:paraId="03F95F77" w14:textId="77777777" w:rsidR="00BC3E97" w:rsidRDefault="00BC3E97" w:rsidP="003D5E4E">
            <w:pPr>
              <w:spacing w:after="0"/>
            </w:pPr>
            <w:r>
              <w:rPr>
                <w:rFonts w:eastAsia="Arial"/>
                <w:sz w:val="19"/>
              </w:rPr>
              <w:t>Satisfaction with training</w:t>
            </w:r>
          </w:p>
        </w:tc>
        <w:tc>
          <w:tcPr>
            <w:tcW w:w="2268" w:type="dxa"/>
          </w:tcPr>
          <w:p w14:paraId="10D0191F" w14:textId="77777777" w:rsidR="00BC3E97" w:rsidRDefault="00BC3E97" w:rsidP="003D5E4E">
            <w:pPr>
              <w:spacing w:after="0"/>
            </w:pPr>
            <w:r>
              <w:rPr>
                <w:rFonts w:eastAsia="Arial"/>
                <w:sz w:val="19"/>
              </w:rPr>
              <w:t>80.6%</w:t>
            </w:r>
          </w:p>
        </w:tc>
      </w:tr>
      <w:tr w:rsidR="00BC3E97" w14:paraId="7A7A4784" w14:textId="77777777" w:rsidTr="003D5E4E">
        <w:trPr>
          <w:cantSplit/>
        </w:trPr>
        <w:tc>
          <w:tcPr>
            <w:tcW w:w="6236" w:type="dxa"/>
          </w:tcPr>
          <w:p w14:paraId="0219696B" w14:textId="77777777" w:rsidR="00BC3E97" w:rsidRDefault="00BC3E97" w:rsidP="003D5E4E">
            <w:pPr>
              <w:spacing w:after="0"/>
            </w:pPr>
            <w:r>
              <w:rPr>
                <w:rFonts w:eastAsia="Arial"/>
                <w:sz w:val="19"/>
              </w:rPr>
              <w:t>Satisfaction with improvement in non-technical skills</w:t>
            </w:r>
          </w:p>
        </w:tc>
        <w:tc>
          <w:tcPr>
            <w:tcW w:w="2268" w:type="dxa"/>
          </w:tcPr>
          <w:p w14:paraId="23EDF26F" w14:textId="77777777" w:rsidR="00BC3E97" w:rsidRDefault="00BC3E97" w:rsidP="003D5E4E">
            <w:pPr>
              <w:spacing w:after="0"/>
            </w:pPr>
            <w:r>
              <w:rPr>
                <w:rFonts w:eastAsia="Arial"/>
                <w:sz w:val="19"/>
              </w:rPr>
              <w:t>63.9%</w:t>
            </w:r>
          </w:p>
        </w:tc>
      </w:tr>
    </w:tbl>
    <w:p w14:paraId="401696D4" w14:textId="77777777" w:rsidR="00BC3E97" w:rsidRDefault="00BC3E97" w:rsidP="00BC3E97"/>
    <w:p w14:paraId="3DA510DE" w14:textId="77777777" w:rsidR="00BC3E97" w:rsidRDefault="00BC3E97" w:rsidP="00BC3E97">
      <w:r>
        <w:t>Student Satisfaction Survey, Victorian Skills Authority, Government Funded Vocational Education and Training.</w:t>
      </w:r>
    </w:p>
    <w:p w14:paraId="0084E3ED" w14:textId="77777777" w:rsidR="00BC3E97" w:rsidRDefault="00BC3E97" w:rsidP="00BC3E97">
      <w:pPr>
        <w:pStyle w:val="Heading3"/>
      </w:pPr>
      <w:bookmarkStart w:id="57" w:name="_Toc238720429"/>
      <w:bookmarkStart w:id="58" w:name="_Toc239931012"/>
      <w:bookmarkEnd w:id="57"/>
      <w:r>
        <w:lastRenderedPageBreak/>
        <w:t>VET Completion Rate</w:t>
      </w:r>
      <w:bookmarkEnd w:id="58"/>
    </w:p>
    <w:p w14:paraId="0528B552" w14:textId="77777777" w:rsidR="00BC3E97" w:rsidRDefault="00BC3E97" w:rsidP="00BC3E97">
      <w:r>
        <w:t>10%. The VET completion rate has increased for First Nations learners in 2017–2025 but more work is needed to close the gap. Based on Skills First Government Funded Students, non-Apprentice delivery, 4-year Completion Rate.</w:t>
      </w:r>
    </w:p>
    <w:p w14:paraId="05C0C371" w14:textId="77777777" w:rsidR="00BC3E97" w:rsidRDefault="00BC3E97" w:rsidP="00BC3E97">
      <w:pPr>
        <w:pStyle w:val="Heading3"/>
      </w:pPr>
      <w:bookmarkStart w:id="59" w:name="_Toc238720430"/>
      <w:bookmarkStart w:id="60" w:name="_Toc239931013"/>
      <w:bookmarkEnd w:id="59"/>
      <w:r>
        <w:t>First Nations students are undertaking higher level qualifications</w:t>
      </w:r>
      <w:bookmarkEnd w:id="60"/>
    </w:p>
    <w:tbl>
      <w:tblPr>
        <w:tblStyle w:val="TableGrid"/>
        <w:tblW w:w="0" w:type="auto"/>
        <w:tblLook w:val="04A0" w:firstRow="1" w:lastRow="0" w:firstColumn="1" w:lastColumn="0" w:noHBand="0" w:noVBand="1"/>
      </w:tblPr>
      <w:tblGrid>
        <w:gridCol w:w="2551"/>
        <w:gridCol w:w="6236"/>
      </w:tblGrid>
      <w:tr w:rsidR="00BC3E97" w14:paraId="0587C887" w14:textId="77777777" w:rsidTr="003D5E4E">
        <w:trPr>
          <w:cantSplit/>
          <w:tblHeader/>
        </w:trPr>
        <w:tc>
          <w:tcPr>
            <w:tcW w:w="2551" w:type="dxa"/>
            <w:shd w:val="clear" w:color="auto" w:fill="E7F2F4"/>
          </w:tcPr>
          <w:p w14:paraId="4F166AF3" w14:textId="77777777" w:rsidR="00BC3E97" w:rsidRDefault="00BC3E97" w:rsidP="003D5E4E">
            <w:pPr>
              <w:spacing w:after="0"/>
            </w:pPr>
            <w:r>
              <w:rPr>
                <w:rFonts w:eastAsia="Arial"/>
                <w:b/>
                <w:sz w:val="19"/>
              </w:rPr>
              <w:t>Year</w:t>
            </w:r>
          </w:p>
        </w:tc>
        <w:tc>
          <w:tcPr>
            <w:tcW w:w="6236" w:type="dxa"/>
            <w:shd w:val="clear" w:color="auto" w:fill="E7F2F4"/>
          </w:tcPr>
          <w:p w14:paraId="2A11BCE1" w14:textId="77777777" w:rsidR="00315667" w:rsidRDefault="00000000">
            <w:r>
              <w:t>Commencements of Certificate III and above</w:t>
            </w:r>
          </w:p>
        </w:tc>
      </w:tr>
      <w:tr w:rsidR="00BC3E97" w14:paraId="09282684" w14:textId="77777777" w:rsidTr="003D5E4E">
        <w:trPr>
          <w:cantSplit/>
        </w:trPr>
        <w:tc>
          <w:tcPr>
            <w:tcW w:w="2551" w:type="dxa"/>
          </w:tcPr>
          <w:p w14:paraId="45248CC7" w14:textId="77777777" w:rsidR="00BC3E97" w:rsidRDefault="00BC3E97" w:rsidP="003D5E4E">
            <w:pPr>
              <w:spacing w:after="0"/>
            </w:pPr>
            <w:r>
              <w:rPr>
                <w:rFonts w:eastAsia="Arial"/>
                <w:sz w:val="19"/>
              </w:rPr>
              <w:t>2016</w:t>
            </w:r>
          </w:p>
        </w:tc>
        <w:tc>
          <w:tcPr>
            <w:tcW w:w="6236" w:type="dxa"/>
          </w:tcPr>
          <w:p w14:paraId="26398ECD" w14:textId="77777777" w:rsidR="00BC3E97" w:rsidRDefault="00BC3E97" w:rsidP="003D5E4E">
            <w:pPr>
              <w:spacing w:after="0"/>
            </w:pPr>
            <w:r>
              <w:rPr>
                <w:rFonts w:eastAsia="Arial"/>
                <w:sz w:val="19"/>
              </w:rPr>
              <w:t>70%</w:t>
            </w:r>
          </w:p>
        </w:tc>
      </w:tr>
      <w:tr w:rsidR="00BC3E97" w14:paraId="0E3D004D" w14:textId="77777777" w:rsidTr="003D5E4E">
        <w:trPr>
          <w:cantSplit/>
        </w:trPr>
        <w:tc>
          <w:tcPr>
            <w:tcW w:w="2551" w:type="dxa"/>
          </w:tcPr>
          <w:p w14:paraId="645A59D6" w14:textId="77777777" w:rsidR="00BC3E97" w:rsidRDefault="00BC3E97" w:rsidP="003D5E4E">
            <w:pPr>
              <w:spacing w:after="0"/>
            </w:pPr>
            <w:r>
              <w:rPr>
                <w:rFonts w:eastAsia="Arial"/>
                <w:sz w:val="19"/>
              </w:rPr>
              <w:t>2025</w:t>
            </w:r>
          </w:p>
        </w:tc>
        <w:tc>
          <w:tcPr>
            <w:tcW w:w="6236" w:type="dxa"/>
          </w:tcPr>
          <w:p w14:paraId="7935564F" w14:textId="77777777" w:rsidR="00BC3E97" w:rsidRDefault="00BC3E97" w:rsidP="003D5E4E">
            <w:pPr>
              <w:spacing w:after="0"/>
            </w:pPr>
            <w:r>
              <w:rPr>
                <w:rFonts w:eastAsia="Arial"/>
                <w:sz w:val="19"/>
              </w:rPr>
              <w:t>82%</w:t>
            </w:r>
          </w:p>
        </w:tc>
      </w:tr>
    </w:tbl>
    <w:p w14:paraId="55413727" w14:textId="77777777" w:rsidR="00BC3E97" w:rsidRDefault="00BC3E97" w:rsidP="00BC3E97"/>
    <w:p w14:paraId="41EDC150" w14:textId="77777777" w:rsidR="00BC3E97" w:rsidRDefault="00BC3E97" w:rsidP="00BC3E97">
      <w:r>
        <w:t>Over the last decade the qualification level studied by First Nations learners has risen. These higher level qualifications are linked to better economic outcomes. Based on Skills First Government Funded Students</w:t>
      </w:r>
    </w:p>
    <w:p w14:paraId="591DF45A" w14:textId="77777777" w:rsidR="00BC3E97" w:rsidRDefault="00BC3E97" w:rsidP="00BC3E97">
      <w:pPr>
        <w:pStyle w:val="Heading3"/>
      </w:pPr>
      <w:bookmarkStart w:id="61" w:name="_Toc238720431"/>
      <w:bookmarkStart w:id="62" w:name="_Toc239931014"/>
      <w:bookmarkEnd w:id="61"/>
      <w:r>
        <w:t>First Nations learner rates of enrolment and completion at university has increased</w:t>
      </w:r>
      <w:bookmarkEnd w:id="62"/>
    </w:p>
    <w:p w14:paraId="6D33F5D0" w14:textId="77777777" w:rsidR="00BC3E97" w:rsidRDefault="00BC3E97" w:rsidP="00BC3E97">
      <w:r>
        <w:t>Participation and completion rates have been increasing since 2016 for First Nations students at Victorian universities. Enrolments in 2024 represent 1.17% of all domestic enrolments.</w:t>
      </w:r>
    </w:p>
    <w:tbl>
      <w:tblPr>
        <w:tblStyle w:val="TableGrid"/>
        <w:tblW w:w="0" w:type="auto"/>
        <w:tblLook w:val="04A0" w:firstRow="1" w:lastRow="0" w:firstColumn="1" w:lastColumn="0" w:noHBand="0" w:noVBand="1"/>
      </w:tblPr>
      <w:tblGrid>
        <w:gridCol w:w="4535"/>
        <w:gridCol w:w="4535"/>
      </w:tblGrid>
      <w:tr w:rsidR="00BC3E97" w14:paraId="2F124B73" w14:textId="77777777" w:rsidTr="003D5E4E">
        <w:trPr>
          <w:cantSplit/>
          <w:tblHeader/>
        </w:trPr>
        <w:tc>
          <w:tcPr>
            <w:tcW w:w="4535" w:type="dxa"/>
            <w:shd w:val="clear" w:color="auto" w:fill="E7F2F4"/>
          </w:tcPr>
          <w:p w14:paraId="7D6A1396" w14:textId="77777777" w:rsidR="00BC3E97" w:rsidRDefault="00BC3E97" w:rsidP="003D5E4E">
            <w:pPr>
              <w:spacing w:after="0"/>
            </w:pPr>
            <w:r>
              <w:rPr>
                <w:rFonts w:eastAsia="Arial"/>
                <w:b/>
                <w:sz w:val="19"/>
              </w:rPr>
              <w:t>Measure</w:t>
            </w:r>
          </w:p>
        </w:tc>
        <w:tc>
          <w:tcPr>
            <w:tcW w:w="4535" w:type="dxa"/>
            <w:shd w:val="clear" w:color="auto" w:fill="E7F2F4"/>
          </w:tcPr>
          <w:p w14:paraId="697E5867" w14:textId="77777777" w:rsidR="00BC3E97" w:rsidRDefault="00BC3E97" w:rsidP="003D5E4E">
            <w:pPr>
              <w:spacing w:after="0"/>
            </w:pPr>
            <w:r>
              <w:rPr>
                <w:rFonts w:eastAsia="Arial"/>
                <w:b/>
                <w:sz w:val="19"/>
              </w:rPr>
              <w:t>Change from 2016 to 2024</w:t>
            </w:r>
          </w:p>
        </w:tc>
      </w:tr>
      <w:tr w:rsidR="00BC3E97" w14:paraId="2674AD8B" w14:textId="77777777" w:rsidTr="003D5E4E">
        <w:trPr>
          <w:cantSplit/>
        </w:trPr>
        <w:tc>
          <w:tcPr>
            <w:tcW w:w="4535" w:type="dxa"/>
          </w:tcPr>
          <w:p w14:paraId="6BE5410F" w14:textId="77777777" w:rsidR="00BC3E97" w:rsidRDefault="00BC3E97" w:rsidP="003D5E4E">
            <w:pPr>
              <w:spacing w:after="0"/>
            </w:pPr>
            <w:r>
              <w:rPr>
                <w:rFonts w:eastAsia="Arial"/>
                <w:sz w:val="19"/>
              </w:rPr>
              <w:t>Enrolments</w:t>
            </w:r>
          </w:p>
        </w:tc>
        <w:tc>
          <w:tcPr>
            <w:tcW w:w="4535" w:type="dxa"/>
          </w:tcPr>
          <w:p w14:paraId="54FDC4D3" w14:textId="77777777" w:rsidR="00BC3E97" w:rsidRDefault="00BC3E97" w:rsidP="003D5E4E">
            <w:pPr>
              <w:spacing w:after="0"/>
            </w:pPr>
            <w:r>
              <w:rPr>
                <w:rFonts w:eastAsia="Arial"/>
                <w:sz w:val="19"/>
              </w:rPr>
              <w:t>53% increase</w:t>
            </w:r>
          </w:p>
        </w:tc>
      </w:tr>
      <w:tr w:rsidR="00BC3E97" w14:paraId="7F3D6CE5" w14:textId="77777777" w:rsidTr="003D5E4E">
        <w:trPr>
          <w:cantSplit/>
        </w:trPr>
        <w:tc>
          <w:tcPr>
            <w:tcW w:w="4535" w:type="dxa"/>
          </w:tcPr>
          <w:p w14:paraId="65326DA2" w14:textId="77777777" w:rsidR="00BC3E97" w:rsidRDefault="00BC3E97" w:rsidP="003D5E4E">
            <w:pPr>
              <w:spacing w:after="0"/>
            </w:pPr>
            <w:r>
              <w:rPr>
                <w:rFonts w:eastAsia="Arial"/>
                <w:sz w:val="19"/>
              </w:rPr>
              <w:t>Completions</w:t>
            </w:r>
          </w:p>
        </w:tc>
        <w:tc>
          <w:tcPr>
            <w:tcW w:w="4535" w:type="dxa"/>
          </w:tcPr>
          <w:p w14:paraId="5AA4CC46" w14:textId="77777777" w:rsidR="00BC3E97" w:rsidRDefault="00BC3E97" w:rsidP="003D5E4E">
            <w:pPr>
              <w:spacing w:after="0"/>
            </w:pPr>
            <w:r>
              <w:rPr>
                <w:rFonts w:eastAsia="Arial"/>
                <w:sz w:val="19"/>
              </w:rPr>
              <w:t>139% increase</w:t>
            </w:r>
          </w:p>
        </w:tc>
      </w:tr>
    </w:tbl>
    <w:p w14:paraId="72879ABA" w14:textId="77777777" w:rsidR="00BC3E97" w:rsidRDefault="00BC3E97" w:rsidP="00BC3E97"/>
    <w:p w14:paraId="5747D66B" w14:textId="77777777" w:rsidR="00BC3E97" w:rsidRDefault="00BC3E97" w:rsidP="00BC3E97">
      <w:r>
        <w:t>Selected Higher Education Statistics (2016–2024) — Australian Government.</w:t>
      </w:r>
    </w:p>
    <w:p w14:paraId="79F9A2A8" w14:textId="77777777" w:rsidR="00F85EAC" w:rsidRDefault="00F85EAC" w:rsidP="00BC3E97">
      <w:r>
        <w:t>Importantly, across all sectors, there has been a strengthened understanding and commitment to culturally safe and responsive practice and a growing recognition that First Nations success must be defined on First Nations terms. This is reinforced by a number of broader commitments and compacts which, in general, recognise that achieving sustained improvement in First Nations outcomes requires that First Nations peoples are recognised not only as participants in the system, but as leaders and decision-makers in the governance, strategy and accountability frameworks that shape how the systems operate.</w:t>
      </w:r>
    </w:p>
    <w:p w14:paraId="78E1F46C" w14:textId="77777777" w:rsidR="00315667" w:rsidRDefault="00000000">
      <w:r>
        <w:t>This indicates a profound change in how communities and educators experience the education system. ‘Marrung 2026–2036’ commits to a new approach to data that includes sharing place-based data and reporting against community-defined measures. Data sharing will evolve from reporting into a comprehensive story of change, illustrating past progress, current successes and areas requiring further effort.</w:t>
      </w:r>
    </w:p>
    <w:p w14:paraId="115DB481" w14:textId="490700DC" w:rsidR="00BC3E97" w:rsidRDefault="00000000" w:rsidP="00BC3E97">
      <w:pPr>
        <w:pStyle w:val="Heading1"/>
      </w:pPr>
      <w:bookmarkStart w:id="63" w:name="_Toc239931015"/>
      <w:r>
        <w:t>What we heard</w:t>
      </w:r>
      <w:r w:rsidR="00C11A7A">
        <w:t>:</w:t>
      </w:r>
      <w:bookmarkStart w:id="64" w:name="_Toc238720432"/>
      <w:bookmarkEnd w:id="64"/>
      <w:r w:rsidR="00C11A7A">
        <w:t xml:space="preserve"> </w:t>
      </w:r>
      <w:r w:rsidR="002F56A2">
        <w:t>Strengthening Aboriginal Self-Determination in Education report.</w:t>
      </w:r>
      <w:bookmarkEnd w:id="63"/>
    </w:p>
    <w:p w14:paraId="52E27CBF" w14:textId="77777777" w:rsidR="00BC3E97" w:rsidRDefault="00BC3E97" w:rsidP="00BC3E97">
      <w:r>
        <w:t xml:space="preserve">The Strengthening Aboriginal Self-Determination report, informed through community Campfire Conversations, provides a critical foundation for ‘Marrung 2026–2036’. These </w:t>
      </w:r>
      <w:r>
        <w:lastRenderedPageBreak/>
        <w:t>conversations created space for First Nations communities, young people, families and organisations to share their experiences, priorities and expectations for the future of education in Victoria.</w:t>
      </w:r>
    </w:p>
    <w:p w14:paraId="55D89AF4" w14:textId="77777777" w:rsidR="00BC3E97" w:rsidRDefault="00BC3E97" w:rsidP="00BC3E97">
      <w:r>
        <w:t>Engaging over 3,000 participants across 89 schools, 12 ACCOs and 182 campfires, community consultations reinforced the need for self-determination to be embedded systemically. Communities reiterated the importance of genuine decision-making authority over education policy and programs, emphasising that First Nations organisations are best placed to lead solutions for their young people.</w:t>
      </w:r>
    </w:p>
    <w:p w14:paraId="71BD6E3C" w14:textId="77777777" w:rsidR="00BC3E97" w:rsidRDefault="00BC3E97" w:rsidP="00BC3E97">
      <w:r>
        <w:t>Participants highlighted the necessity of culturally safe environments that embed First Nations knowledge and language. Improved outcomes rely on all educators fostering inclusive spaces where identity is recognised, respected and celebrated. Furthermore, achieving this requires transparent, respectful partnerships built on shared accountability, specifically recognising ACCOs as essential delivery partners rather than just stakeholders.</w:t>
      </w:r>
    </w:p>
    <w:p w14:paraId="0B3AEDB5" w14:textId="77777777" w:rsidR="00BC3E97" w:rsidRDefault="00BC3E97" w:rsidP="00BC3E97">
      <w:pPr>
        <w:pStyle w:val="Heading2"/>
      </w:pPr>
      <w:bookmarkStart w:id="65" w:name="_Toc238720433"/>
      <w:bookmarkStart w:id="66" w:name="_Toc239931016"/>
      <w:bookmarkEnd w:id="65"/>
      <w:r>
        <w:t>Possum Skin artwork by Nakia Cadd.</w:t>
      </w:r>
      <w:bookmarkEnd w:id="66"/>
    </w:p>
    <w:p w14:paraId="6EBE009C" w14:textId="77777777" w:rsidR="008C541D" w:rsidRDefault="008C541D" w:rsidP="00BC3E97">
      <w:r>
        <w:rPr>
          <w:noProof/>
        </w:rPr>
        <w:drawing>
          <wp:inline distT="0" distB="0" distL="0" distR="0" wp14:anchorId="13C08BC6" wp14:editId="5CBED770">
            <wp:extent cx="6122670" cy="4314190"/>
            <wp:effectExtent l="0" t="0" r="0" b="3810"/>
            <wp:docPr id="218107244" name="Picture 3" descr="Possum Skin Cloak (with stat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07244" name="Picture 3" descr="Possum Skin Cloak (with statements)"/>
                    <pic:cNvPicPr/>
                  </pic:nvPicPr>
                  <pic:blipFill>
                    <a:blip r:embed="rId14">
                      <a:extLst>
                        <a:ext uri="{28A0092B-C50C-407E-A947-70E740481C1C}">
                          <a14:useLocalDpi xmlns:a14="http://schemas.microsoft.com/office/drawing/2010/main" val="0"/>
                        </a:ext>
                      </a:extLst>
                    </a:blip>
                    <a:stretch>
                      <a:fillRect/>
                    </a:stretch>
                  </pic:blipFill>
                  <pic:spPr>
                    <a:xfrm>
                      <a:off x="0" y="0"/>
                      <a:ext cx="6122670" cy="4314190"/>
                    </a:xfrm>
                    <a:prstGeom prst="rect">
                      <a:avLst/>
                    </a:prstGeom>
                  </pic:spPr>
                </pic:pic>
              </a:graphicData>
            </a:graphic>
          </wp:inline>
        </w:drawing>
      </w:r>
    </w:p>
    <w:p w14:paraId="0A2A41EF" w14:textId="77777777" w:rsidR="00315667" w:rsidRDefault="00000000">
      <w:r>
        <w:t>Possum skin cloaks were once everyday items for Aboriginal communities in parts of Victoria. Each person had a unique cloak, adding parts as they grew. Each new piece featured artwork, reflecting their life, identity, Country and totems.</w:t>
      </w:r>
    </w:p>
    <w:p w14:paraId="1230189D" w14:textId="77777777" w:rsidR="002F56A2" w:rsidRDefault="002F56A2" w:rsidP="002F56A2">
      <w:r>
        <w:t>Text description of the framework:</w:t>
      </w:r>
    </w:p>
    <w:p w14:paraId="5A2CE7A5" w14:textId="77777777" w:rsidR="00BC3E97" w:rsidRDefault="00BC3E97" w:rsidP="00BC3E97">
      <w:pPr>
        <w:pStyle w:val="ListBullet"/>
        <w:tabs>
          <w:tab w:val="num" w:pos="360"/>
        </w:tabs>
        <w:ind w:left="360" w:hanging="360"/>
      </w:pPr>
      <w:r>
        <w:t>We are the oldest living culture in the world.</w:t>
      </w:r>
    </w:p>
    <w:p w14:paraId="07BF9005" w14:textId="77777777" w:rsidR="00BC3E97" w:rsidRDefault="00BC3E97" w:rsidP="00BC3E97">
      <w:pPr>
        <w:pStyle w:val="ListBullet"/>
        <w:tabs>
          <w:tab w:val="num" w:pos="360"/>
        </w:tabs>
        <w:ind w:left="360" w:hanging="360"/>
      </w:pPr>
      <w:r>
        <w:t xml:space="preserve">We want everyone to learn about our cultures and </w:t>
      </w:r>
      <w:proofErr w:type="gramStart"/>
      <w:r>
        <w:t>histories</w:t>
      </w:r>
      <w:proofErr w:type="gramEnd"/>
      <w:r>
        <w:t xml:space="preserve"> so they understand our people better.</w:t>
      </w:r>
    </w:p>
    <w:p w14:paraId="5B04B295" w14:textId="77777777" w:rsidR="00BC3E97" w:rsidRDefault="00BC3E97" w:rsidP="00BC3E97">
      <w:pPr>
        <w:pStyle w:val="ListBullet"/>
        <w:tabs>
          <w:tab w:val="num" w:pos="360"/>
        </w:tabs>
        <w:ind w:left="360" w:hanging="360"/>
      </w:pPr>
      <w:r>
        <w:t>We are all on our own journey — no-one has the right to question our identity.</w:t>
      </w:r>
    </w:p>
    <w:p w14:paraId="5E43E2C2" w14:textId="77777777" w:rsidR="00BC3E97" w:rsidRDefault="00BC3E97" w:rsidP="00BC3E97">
      <w:pPr>
        <w:pStyle w:val="ListBullet"/>
        <w:tabs>
          <w:tab w:val="num" w:pos="360"/>
        </w:tabs>
        <w:ind w:left="360" w:hanging="360"/>
      </w:pPr>
      <w:r>
        <w:lastRenderedPageBreak/>
        <w:t>We do not want our families and communities to feel the pain of ignorance.</w:t>
      </w:r>
    </w:p>
    <w:p w14:paraId="6D5F0424" w14:textId="77777777" w:rsidR="00BC3E97" w:rsidRDefault="00BC3E97" w:rsidP="00BC3E97">
      <w:pPr>
        <w:pStyle w:val="ListBullet"/>
        <w:tabs>
          <w:tab w:val="num" w:pos="360"/>
        </w:tabs>
        <w:ind w:left="360" w:hanging="360"/>
      </w:pPr>
      <w:r>
        <w:t>We are our own people, do not assume we are all the same or a stereotype.</w:t>
      </w:r>
    </w:p>
    <w:p w14:paraId="712EC6D8" w14:textId="77777777" w:rsidR="00BC3E97" w:rsidRDefault="00BC3E97" w:rsidP="00BC3E97">
      <w:pPr>
        <w:pStyle w:val="ListBullet"/>
        <w:tabs>
          <w:tab w:val="num" w:pos="360"/>
        </w:tabs>
        <w:ind w:left="360" w:hanging="360"/>
      </w:pPr>
      <w:r>
        <w:t>Our knowledge systems have been passed down through our families and communities for millennia.</w:t>
      </w:r>
    </w:p>
    <w:p w14:paraId="2A8F50B8" w14:textId="77777777" w:rsidR="00BC3E97" w:rsidRDefault="00BC3E97" w:rsidP="00BC3E97">
      <w:pPr>
        <w:pStyle w:val="ListBullet"/>
        <w:tabs>
          <w:tab w:val="num" w:pos="360"/>
        </w:tabs>
        <w:ind w:left="360" w:hanging="360"/>
      </w:pPr>
      <w:r>
        <w:t xml:space="preserve">We are proud of our </w:t>
      </w:r>
      <w:proofErr w:type="gramStart"/>
      <w:r>
        <w:t>culture</w:t>
      </w:r>
      <w:proofErr w:type="gramEnd"/>
      <w:r>
        <w:t xml:space="preserve"> and it is ours to share when we decide.</w:t>
      </w:r>
    </w:p>
    <w:p w14:paraId="57186D3F" w14:textId="77777777" w:rsidR="00BC3E97" w:rsidRDefault="00BC3E97" w:rsidP="00BC3E97">
      <w:pPr>
        <w:pStyle w:val="ListBullet"/>
        <w:tabs>
          <w:tab w:val="num" w:pos="360"/>
        </w:tabs>
        <w:ind w:left="360" w:hanging="360"/>
      </w:pPr>
      <w:r>
        <w:t>We want you to learn with us.</w:t>
      </w:r>
    </w:p>
    <w:p w14:paraId="5F23F1E3" w14:textId="77777777" w:rsidR="00BC3E97" w:rsidRDefault="00BC3E97" w:rsidP="00BC3E97">
      <w:pPr>
        <w:pStyle w:val="ListBullet"/>
        <w:tabs>
          <w:tab w:val="num" w:pos="360"/>
        </w:tabs>
        <w:ind w:left="360" w:hanging="360"/>
      </w:pPr>
      <w:r>
        <w:t>We are not defined by the colour of our skin.</w:t>
      </w:r>
    </w:p>
    <w:p w14:paraId="01036FCE" w14:textId="77777777" w:rsidR="00BC3E97" w:rsidRDefault="00BC3E97" w:rsidP="00BC3E97">
      <w:pPr>
        <w:pStyle w:val="ListBullet"/>
        <w:tabs>
          <w:tab w:val="num" w:pos="360"/>
        </w:tabs>
        <w:ind w:left="360" w:hanging="360"/>
      </w:pPr>
      <w:r>
        <w:t>We want to learn a curriculum that inspires and celebrates our people, not just teaches the pain and trauma.</w:t>
      </w:r>
    </w:p>
    <w:p w14:paraId="7BE4D93F" w14:textId="77777777" w:rsidR="00BC3E97" w:rsidRDefault="00BC3E97" w:rsidP="00BC3E97">
      <w:pPr>
        <w:pStyle w:val="ListBullet"/>
        <w:tabs>
          <w:tab w:val="num" w:pos="360"/>
        </w:tabs>
        <w:ind w:left="360" w:hanging="360"/>
      </w:pPr>
      <w:r>
        <w:t>Our histories are as important as other cultures we study at school.</w:t>
      </w:r>
    </w:p>
    <w:p w14:paraId="156F348F" w14:textId="77777777" w:rsidR="00BC3E97" w:rsidRDefault="00BC3E97" w:rsidP="00BC3E97">
      <w:pPr>
        <w:pStyle w:val="ListBullet"/>
        <w:tabs>
          <w:tab w:val="num" w:pos="360"/>
        </w:tabs>
        <w:ind w:left="360" w:hanging="360"/>
      </w:pPr>
      <w:r>
        <w:t>We do not have to be experts on our culture and history.</w:t>
      </w:r>
    </w:p>
    <w:p w14:paraId="66401BE7" w14:textId="77777777" w:rsidR="00BC3E97" w:rsidRDefault="00BC3E97" w:rsidP="00BC3E97">
      <w:pPr>
        <w:pStyle w:val="ListBullet"/>
        <w:tabs>
          <w:tab w:val="num" w:pos="360"/>
        </w:tabs>
        <w:ind w:left="360" w:hanging="360"/>
      </w:pPr>
      <w:r>
        <w:t>We are proud of our connections to our culture.</w:t>
      </w:r>
    </w:p>
    <w:p w14:paraId="447B5179" w14:textId="77777777" w:rsidR="00BC3E97" w:rsidRDefault="00BC3E97" w:rsidP="00BC3E97">
      <w:pPr>
        <w:pStyle w:val="ListBullet"/>
        <w:tabs>
          <w:tab w:val="num" w:pos="360"/>
        </w:tabs>
        <w:ind w:left="360" w:hanging="360"/>
      </w:pPr>
      <w:r>
        <w:t>We want the whole school to get involved with our culture.</w:t>
      </w:r>
    </w:p>
    <w:p w14:paraId="49F15FA8" w14:textId="77777777" w:rsidR="00BC3E97" w:rsidRDefault="00BC3E97" w:rsidP="00BC3E97">
      <w:pPr>
        <w:pStyle w:val="ListBullet"/>
        <w:tabs>
          <w:tab w:val="num" w:pos="360"/>
        </w:tabs>
        <w:ind w:left="360" w:hanging="360"/>
      </w:pPr>
      <w:r>
        <w:t>Our voices and opinions matter and should be heard.</w:t>
      </w:r>
    </w:p>
    <w:p w14:paraId="4BEF7B8F" w14:textId="77777777" w:rsidR="00BC3E97" w:rsidRDefault="00BC3E97" w:rsidP="00BC3E97">
      <w:pPr>
        <w:pStyle w:val="ListBullet"/>
        <w:tabs>
          <w:tab w:val="num" w:pos="360"/>
        </w:tabs>
        <w:ind w:left="360" w:hanging="360"/>
      </w:pPr>
      <w:r>
        <w:t>We decide who we are and who we want to be.</w:t>
      </w:r>
    </w:p>
    <w:p w14:paraId="3D63FA63" w14:textId="77777777" w:rsidR="00BC3E97" w:rsidRDefault="00BC3E97" w:rsidP="00BC3E97">
      <w:pPr>
        <w:pStyle w:val="ListBullet"/>
        <w:tabs>
          <w:tab w:val="num" w:pos="360"/>
        </w:tabs>
        <w:ind w:left="360" w:hanging="360"/>
      </w:pPr>
      <w:r>
        <w:t>We are people, just like everyone else, with our own experiences, identities, and interests.</w:t>
      </w:r>
    </w:p>
    <w:p w14:paraId="3F896ED9" w14:textId="77777777" w:rsidR="00BC3E97" w:rsidRDefault="00BC3E97" w:rsidP="00BC3E97">
      <w:pPr>
        <w:pStyle w:val="ListBullet"/>
        <w:tabs>
          <w:tab w:val="num" w:pos="360"/>
        </w:tabs>
        <w:ind w:left="360" w:hanging="360"/>
      </w:pPr>
      <w:r>
        <w:t>Our families and communities are important, learn from them.</w:t>
      </w:r>
    </w:p>
    <w:p w14:paraId="166E4E3B" w14:textId="77777777" w:rsidR="00BC3E97" w:rsidRDefault="00BC3E97" w:rsidP="00BC3E97">
      <w:pPr>
        <w:pStyle w:val="ListBullet"/>
        <w:tabs>
          <w:tab w:val="num" w:pos="360"/>
        </w:tabs>
        <w:ind w:left="360" w:hanging="360"/>
      </w:pPr>
      <w:r>
        <w:t>We have our own ways of knowing, being and doing that are sophisticated and unique to our cultures.</w:t>
      </w:r>
    </w:p>
    <w:p w14:paraId="20BBE748" w14:textId="77777777" w:rsidR="00BC3E97" w:rsidRDefault="00BC3E97" w:rsidP="00BC3E97">
      <w:pPr>
        <w:pStyle w:val="ListBullet"/>
        <w:tabs>
          <w:tab w:val="num" w:pos="360"/>
        </w:tabs>
        <w:ind w:left="360" w:hanging="360"/>
      </w:pPr>
      <w:r>
        <w:t>We are here to learn, not to be interrogated.</w:t>
      </w:r>
    </w:p>
    <w:p w14:paraId="63A47152" w14:textId="77777777" w:rsidR="00F85EAC" w:rsidRDefault="00F85EAC" w:rsidP="00BC3E97">
      <w:pPr>
        <w:rPr>
          <w:rFonts w:eastAsia="Arial" w:cstheme="minorBidi"/>
          <w:sz w:val="21"/>
          <w:szCs w:val="22"/>
          <w:lang w:eastAsia="en-AU"/>
        </w:rPr>
      </w:pPr>
      <w:r>
        <w:t>Source: Strengthening Aboriginal Self-Determination in Education report</w:t>
      </w:r>
    </w:p>
    <w:p w14:paraId="369C5186" w14:textId="77777777" w:rsidR="00BC3E97" w:rsidRDefault="00BC3E97" w:rsidP="00BC3E97">
      <w:r>
        <w:t>Communities stressed the need for holistic, wraparound support across critical transitions, from early childhood through to employment. Crucially, the definition of success must be broadened; while educational attainment remains valued, true success must equally reflect cultural strength, wellbeing, community connection and pride in First Nations identity.</w:t>
      </w:r>
    </w:p>
    <w:p w14:paraId="25F04963" w14:textId="77777777" w:rsidR="00BC3E97" w:rsidRDefault="00BC3E97" w:rsidP="00BC3E97">
      <w:r>
        <w:t>Through the Campfire Conversations, we heard from young people about their experiences with education. It was evident that young people share many of the same challenges in education despite their unique stories and journeys.</w:t>
      </w:r>
    </w:p>
    <w:p w14:paraId="0E3C2E4A" w14:textId="77777777" w:rsidR="00BC3E97" w:rsidRDefault="00BC3E97" w:rsidP="00BC3E97">
      <w:r>
        <w:t>Together, these conversations and resulting report called for a strengthening of self-determination in education, helping to inform ‘Marrung 2026–2036’. In particular, it provides clear direction for education to evolve as a system.</w:t>
      </w:r>
    </w:p>
    <w:p w14:paraId="35C87FC3" w14:textId="77777777" w:rsidR="00BC3E97" w:rsidRDefault="00BC3E97" w:rsidP="00BC3E97">
      <w:pPr>
        <w:pStyle w:val="Heading2"/>
      </w:pPr>
      <w:bookmarkStart w:id="67" w:name="_Toc238720434"/>
      <w:bookmarkStart w:id="68" w:name="_Toc239931017"/>
      <w:bookmarkEnd w:id="67"/>
      <w:r>
        <w:lastRenderedPageBreak/>
        <w:t>Conceptual Framework artwork by Nakia Cadd</w:t>
      </w:r>
      <w:bookmarkEnd w:id="68"/>
    </w:p>
    <w:p w14:paraId="67DA1C20" w14:textId="77777777" w:rsidR="00BC3E97" w:rsidRDefault="00C957CB" w:rsidP="00BC3E97">
      <w:r>
        <w:rPr>
          <w:noProof/>
        </w:rPr>
        <w:drawing>
          <wp:inline distT="0" distB="0" distL="0" distR="0" wp14:anchorId="205BB97C" wp14:editId="79E77CB2">
            <wp:extent cx="6122670" cy="4323080"/>
            <wp:effectExtent l="0" t="0" r="0" b="0"/>
            <wp:docPr id="1369865173" name="Picture 2" descr="Conceptual Frame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865173" name="Picture 2" descr="Conceptual Framework "/>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2670" cy="4323080"/>
                    </a:xfrm>
                    <a:prstGeom prst="rect">
                      <a:avLst/>
                    </a:prstGeom>
                  </pic:spPr>
                </pic:pic>
              </a:graphicData>
            </a:graphic>
          </wp:inline>
        </w:drawing>
      </w:r>
    </w:p>
    <w:p w14:paraId="3575F1FC" w14:textId="77777777" w:rsidR="00BC3E97" w:rsidRDefault="00BC3E97" w:rsidP="00BC3E97">
      <w:r>
        <w:t>Text description of the framework:</w:t>
      </w:r>
    </w:p>
    <w:p w14:paraId="08D11BC7" w14:textId="77777777" w:rsidR="00BC3E97" w:rsidRDefault="00BC3E97" w:rsidP="00BC3E97">
      <w:pPr>
        <w:pStyle w:val="ListBullet"/>
        <w:tabs>
          <w:tab w:val="num" w:pos="360"/>
        </w:tabs>
        <w:ind w:left="360" w:hanging="360"/>
      </w:pPr>
      <w:r>
        <w:t>At the centre: Family, community and culture; identity and belonging.</w:t>
      </w:r>
    </w:p>
    <w:p w14:paraId="592362DB" w14:textId="77777777" w:rsidR="00BC3E97" w:rsidRDefault="00BC3E97" w:rsidP="00BC3E97">
      <w:pPr>
        <w:pStyle w:val="ListBullet"/>
        <w:tabs>
          <w:tab w:val="num" w:pos="360"/>
        </w:tabs>
        <w:ind w:left="360" w:hanging="360"/>
      </w:pPr>
      <w:r>
        <w:t>Connected areas: curriculum; transitions; professional learning; communication; teacher practice; leadership; support services; connectedness; and the school environment.</w:t>
      </w:r>
    </w:p>
    <w:p w14:paraId="3D9442ED" w14:textId="77777777" w:rsidR="00BC3E97" w:rsidRDefault="00BC3E97" w:rsidP="00BC3E97">
      <w:pPr>
        <w:pStyle w:val="ListBullet"/>
        <w:tabs>
          <w:tab w:val="num" w:pos="360"/>
        </w:tabs>
        <w:ind w:left="360" w:hanging="360"/>
      </w:pPr>
      <w:r>
        <w:t>System-wide conditions around the outside: accountability; truth-telling; partnerships; a culturally safe and responsive school system; voice; and capacity building.</w:t>
      </w:r>
    </w:p>
    <w:p w14:paraId="7BD84FFE" w14:textId="77777777" w:rsidR="00BC3E97" w:rsidRDefault="00BC3E97" w:rsidP="00BC3E97">
      <w:r>
        <w:t>The circular arrangement shows that these elements are interconnected and interdependent.</w:t>
      </w:r>
    </w:p>
    <w:p w14:paraId="3481B192" w14:textId="77777777" w:rsidR="00F85EAC" w:rsidRPr="00F85EAC" w:rsidRDefault="00F85EAC" w:rsidP="00BC3E97">
      <w:pPr>
        <w:rPr>
          <w:rFonts w:eastAsia="Arial" w:cstheme="minorBidi"/>
          <w:sz w:val="21"/>
          <w:szCs w:val="22"/>
          <w:lang w:eastAsia="en-AU"/>
        </w:rPr>
      </w:pPr>
      <w:r>
        <w:t>Source: Strengthening Aboriginal Self-Determination in Education report</w:t>
      </w:r>
    </w:p>
    <w:p w14:paraId="23513DCC" w14:textId="72874053" w:rsidR="00BC3E97" w:rsidRDefault="00000000" w:rsidP="00BC3E97">
      <w:pPr>
        <w:pStyle w:val="Heading1"/>
      </w:pPr>
      <w:bookmarkStart w:id="69" w:name="_Toc239931018"/>
      <w:r>
        <w:t>What guides our work</w:t>
      </w:r>
      <w:r w:rsidR="00C11A7A">
        <w:t xml:space="preserve">: </w:t>
      </w:r>
      <w:bookmarkStart w:id="70" w:name="_Toc238720435"/>
      <w:r w:rsidR="00BC3E97">
        <w:t>Guiding Principles</w:t>
      </w:r>
      <w:bookmarkEnd w:id="69"/>
      <w:bookmarkEnd w:id="70"/>
    </w:p>
    <w:p w14:paraId="7EBC7CAB" w14:textId="77777777" w:rsidR="00BC3E97" w:rsidRDefault="00BC3E97" w:rsidP="00BC3E97">
      <w:r>
        <w:t>The Guiding Principles lay the foundation for ‘Marrung 2026–2036’. They commit to improving outcomes for First Nations learners by recognising the strengths, knowledge and leadership of First Nations peoples. Meaningful, sustained change requires a fundamental shift in how the system operates, partners and ensures accountability across all stages of learning.</w:t>
      </w:r>
    </w:p>
    <w:p w14:paraId="2007A9DA" w14:textId="77777777" w:rsidR="00BC3E97" w:rsidRDefault="00BC3E97" w:rsidP="00BC3E97">
      <w:pPr>
        <w:pStyle w:val="Heading2"/>
      </w:pPr>
      <w:bookmarkStart w:id="71" w:name="_Toc238720436"/>
      <w:bookmarkStart w:id="72" w:name="_Toc239931019"/>
      <w:r>
        <w:t>Self-Determination</w:t>
      </w:r>
      <w:bookmarkEnd w:id="71"/>
      <w:bookmarkEnd w:id="72"/>
    </w:p>
    <w:p w14:paraId="610BE23D" w14:textId="77777777" w:rsidR="00BC3E97" w:rsidRDefault="00BC3E97" w:rsidP="00BC3E97">
      <w:r>
        <w:t xml:space="preserve">Self-determination underpins ‘Marrung 2026–2036’. First Nations communities possess the knowledge, expertise and authority to determine what is best for learners. This strategy </w:t>
      </w:r>
      <w:r>
        <w:lastRenderedPageBreak/>
        <w:t>prioritises self-determination by embedding First Nations leadership and decision-making across all systemic levels. Transitioning towards shared decision-making and co-design, ensures First Nations peoples maintain a genuine, ongoing role in shaping education policies and programs.</w:t>
      </w:r>
    </w:p>
    <w:p w14:paraId="1FF33A65" w14:textId="77777777" w:rsidR="00BC3E97" w:rsidRDefault="00BC3E97" w:rsidP="00BC3E97">
      <w:pPr>
        <w:pStyle w:val="Heading2"/>
      </w:pPr>
      <w:bookmarkStart w:id="73" w:name="_Toc238720437"/>
      <w:bookmarkStart w:id="74" w:name="_Toc239931020"/>
      <w:r>
        <w:t>Advancing Systemic Transformation</w:t>
      </w:r>
      <w:bookmarkEnd w:id="73"/>
      <w:bookmarkEnd w:id="74"/>
    </w:p>
    <w:p w14:paraId="5113EE50" w14:textId="77777777" w:rsidR="00BC3E97" w:rsidRDefault="00BC3E97" w:rsidP="00BC3E97">
      <w:r>
        <w:t>Achieving ambitious targets requires a commitment to sustained systemic transformation, including addressing institutional barriers. The Victorian education system will shift its focus to policy and practice reform that recognises First Nations learners’ experiences and strengths. This includes addressing structural racism and challenging bias.</w:t>
      </w:r>
    </w:p>
    <w:p w14:paraId="04AA40B1" w14:textId="77777777" w:rsidR="00BC3E97" w:rsidRDefault="00BC3E97" w:rsidP="00BC3E97">
      <w:r>
        <w:t>This transformation relies on respectful, accountable partnerships with First Nations communities, grounded in trust, transparency and shared responsibility. Progress will be measured by improved outcomes, underpinned by relational trust, and the extent to which First Nations learners and families experience true inclusion, respect and influence the education system.</w:t>
      </w:r>
    </w:p>
    <w:p w14:paraId="128080AC" w14:textId="77777777" w:rsidR="00BC3E97" w:rsidRDefault="00BC3E97" w:rsidP="00BC3E97">
      <w:pPr>
        <w:pStyle w:val="Heading2"/>
      </w:pPr>
      <w:bookmarkStart w:id="75" w:name="_Toc238720438"/>
      <w:bookmarkStart w:id="76" w:name="_Toc239931021"/>
      <w:r>
        <w:t>Cultural Safety and Responsiveness</w:t>
      </w:r>
      <w:bookmarkEnd w:id="75"/>
      <w:bookmarkEnd w:id="76"/>
    </w:p>
    <w:p w14:paraId="66D50D11" w14:textId="77777777" w:rsidR="00BC3E97" w:rsidRDefault="00BC3E97" w:rsidP="00BC3E97">
      <w:r>
        <w:t>Cultural safety is non-negotiable. All learning environments must be safe, inclusive and respectful of First Nations identities, cultures and experiences. ‘Marrung 2026–2036’ commits to strengthening cultural responsiveness across curriculum, learning frameworks, practice and environments. This includes accurately and respectfully representing First Nations histories, cultures and the ongoing impacts of colonisation.</w:t>
      </w:r>
    </w:p>
    <w:p w14:paraId="16632310" w14:textId="77777777" w:rsidR="00BC3E97" w:rsidRDefault="00BC3E97" w:rsidP="00BC3E97">
      <w:r>
        <w:t>This includes strengthening approaches to prevent, identify and respond to racism in education settings, and ensuring culturally safe responses, supports and accountability mechanisms are in place when racism occurs.</w:t>
      </w:r>
    </w:p>
    <w:p w14:paraId="7444E723" w14:textId="77777777" w:rsidR="00BC3E97" w:rsidRDefault="00BC3E97" w:rsidP="00BC3E97">
      <w:r>
        <w:t>A culturally responsive system supports First Nations learners in developing a strong sense of identity, belonging and wellbeing while valuing the strengths, knowledge and diversity of First Nations cultures. All educators share responsibility for utilising culturally responsive practices and ensuring First Nations perspectives are integral to teaching and learning.</w:t>
      </w:r>
    </w:p>
    <w:p w14:paraId="1264311D" w14:textId="77777777" w:rsidR="00BC3E97" w:rsidRDefault="00BC3E97" w:rsidP="00BC3E97">
      <w:pPr>
        <w:pStyle w:val="Heading1"/>
      </w:pPr>
      <w:bookmarkStart w:id="77" w:name="_Toc238720439"/>
      <w:bookmarkStart w:id="78" w:name="_Toc239931022"/>
      <w:r>
        <w:t>Key Priorities and Supporting Actions</w:t>
      </w:r>
      <w:bookmarkEnd w:id="77"/>
      <w:bookmarkEnd w:id="78"/>
    </w:p>
    <w:p w14:paraId="28BCE1B4" w14:textId="77777777" w:rsidR="00BC3E97" w:rsidRDefault="00BC3E97" w:rsidP="00BC3E97">
      <w:r>
        <w:t>‘Marrung 2026–2036’ is structured around 6 Key Priorities with 31 supporting actions. The actions apply to all sectors and are intended to be implemented within each sector’s context, unless otherwise indicated in the wording of the action.</w:t>
      </w:r>
    </w:p>
    <w:p w14:paraId="712B8AC2" w14:textId="77777777" w:rsidR="00BC3E97" w:rsidRDefault="00BC3E97" w:rsidP="00BC3E97">
      <w:r>
        <w:t>‘Marrung 2026–2036’ recognises the importance of alignment with existing cross-government reform agendas. Implementation of actions will occur in collaboration with existing cross government forums and portfolios to support coordinated reform, reduce duplication and strengthen shared accountability for improved outcomes for First Nations learners.</w:t>
      </w:r>
    </w:p>
    <w:p w14:paraId="2E77228C" w14:textId="77777777" w:rsidR="00BC3E97" w:rsidRDefault="00BC3E97" w:rsidP="00BC3E97">
      <w:r>
        <w:t>Many of these priorities and actions will support the delivery of existing Statewide Treaty commitments, with flexibility for future revision to ensure continued Treaty alignment.</w:t>
      </w:r>
    </w:p>
    <w:p w14:paraId="2B752842" w14:textId="77777777" w:rsidR="00BC3E97" w:rsidRDefault="00BC3E97" w:rsidP="00BC3E97">
      <w:r>
        <w:lastRenderedPageBreak/>
        <w:t xml:space="preserve">This includes alignment with the emerging priorities of </w:t>
      </w:r>
      <w:proofErr w:type="spellStart"/>
      <w:r>
        <w:t>Gellung</w:t>
      </w:r>
      <w:proofErr w:type="spellEnd"/>
      <w:r>
        <w:t xml:space="preserve"> Warl as the democratically elected representative body for First Peoples in Victoria, with legislated powers and functions, and with any future Statewide or Traditional Owner Treaties.</w:t>
      </w:r>
    </w:p>
    <w:p w14:paraId="489625D2" w14:textId="77777777" w:rsidR="00BC3E97" w:rsidRDefault="00BC3E97" w:rsidP="00BC3E97">
      <w:r>
        <w:t xml:space="preserve">Where supporting actions have the potential to relate to Statewide Treaty commitments or with the legislated powers and functions of </w:t>
      </w:r>
      <w:proofErr w:type="spellStart"/>
      <w:r>
        <w:t>Gellung</w:t>
      </w:r>
      <w:proofErr w:type="spellEnd"/>
      <w:r>
        <w:t xml:space="preserve"> Warl, departments and sectors will engage with </w:t>
      </w:r>
      <w:proofErr w:type="spellStart"/>
      <w:r>
        <w:t>Gellung</w:t>
      </w:r>
      <w:proofErr w:type="spellEnd"/>
      <w:r>
        <w:t xml:space="preserve"> Warl.</w:t>
      </w:r>
    </w:p>
    <w:p w14:paraId="4335CBD2" w14:textId="77777777" w:rsidR="00BC3E97" w:rsidRDefault="00BC3E97" w:rsidP="00BC3E97">
      <w:r>
        <w:t>The six key priorities are:</w:t>
      </w:r>
    </w:p>
    <w:p w14:paraId="01D90BAA" w14:textId="77777777" w:rsidR="00BC3E97" w:rsidRDefault="00BC3E97" w:rsidP="00BC3E97">
      <w:pPr>
        <w:pStyle w:val="ListBullet"/>
        <w:tabs>
          <w:tab w:val="num" w:pos="360"/>
        </w:tabs>
        <w:ind w:left="360" w:hanging="360"/>
      </w:pPr>
      <w:r>
        <w:t>Workforce Capacity and Capability</w:t>
      </w:r>
    </w:p>
    <w:p w14:paraId="7EA11A19" w14:textId="77777777" w:rsidR="00BC3E97" w:rsidRDefault="00BC3E97" w:rsidP="00BC3E97">
      <w:pPr>
        <w:pStyle w:val="ListBullet"/>
        <w:tabs>
          <w:tab w:val="num" w:pos="360"/>
        </w:tabs>
        <w:ind w:left="360" w:hanging="360"/>
      </w:pPr>
      <w:r>
        <w:t>First Nations Leadership and Partnership</w:t>
      </w:r>
    </w:p>
    <w:p w14:paraId="05732AC6" w14:textId="77777777" w:rsidR="00BC3E97" w:rsidRDefault="00BC3E97" w:rsidP="00BC3E97">
      <w:pPr>
        <w:pStyle w:val="ListBullet"/>
        <w:tabs>
          <w:tab w:val="num" w:pos="360"/>
        </w:tabs>
        <w:ind w:left="360" w:hanging="360"/>
      </w:pPr>
      <w:r>
        <w:t>First Nations Languages</w:t>
      </w:r>
    </w:p>
    <w:p w14:paraId="2E3C9186" w14:textId="77777777" w:rsidR="00BC3E97" w:rsidRDefault="00BC3E97" w:rsidP="00BC3E97">
      <w:pPr>
        <w:pStyle w:val="ListBullet"/>
        <w:tabs>
          <w:tab w:val="num" w:pos="360"/>
        </w:tabs>
        <w:ind w:left="360" w:hanging="360"/>
      </w:pPr>
      <w:r>
        <w:t>Curriculum and Teacher Practice</w:t>
      </w:r>
    </w:p>
    <w:p w14:paraId="64A77FDE" w14:textId="77777777" w:rsidR="00BC3E97" w:rsidRDefault="00BC3E97" w:rsidP="00BC3E97">
      <w:pPr>
        <w:pStyle w:val="ListBullet"/>
        <w:tabs>
          <w:tab w:val="num" w:pos="360"/>
        </w:tabs>
        <w:ind w:left="360" w:hanging="360"/>
      </w:pPr>
      <w:r>
        <w:t>Learner Engagement, Participation and Voice</w:t>
      </w:r>
    </w:p>
    <w:p w14:paraId="08E15EB7" w14:textId="77777777" w:rsidR="00BC3E97" w:rsidRDefault="00BC3E97" w:rsidP="00BC3E97">
      <w:pPr>
        <w:pStyle w:val="ListBullet"/>
        <w:tabs>
          <w:tab w:val="num" w:pos="360"/>
        </w:tabs>
        <w:ind w:left="360" w:hanging="360"/>
      </w:pPr>
      <w:r>
        <w:t>Transitions and Pathways</w:t>
      </w:r>
    </w:p>
    <w:p w14:paraId="48FB37A5" w14:textId="77777777" w:rsidR="00BC3E97" w:rsidRDefault="00BC3E97" w:rsidP="00BC3E97">
      <w:pPr>
        <w:pStyle w:val="Heading2"/>
      </w:pPr>
      <w:bookmarkStart w:id="79" w:name="_Toc238720440"/>
      <w:bookmarkStart w:id="80" w:name="_Toc239931023"/>
      <w:r>
        <w:t>1. Workforce Capacity and Capability</w:t>
      </w:r>
      <w:bookmarkEnd w:id="79"/>
      <w:bookmarkEnd w:id="80"/>
    </w:p>
    <w:p w14:paraId="68929260" w14:textId="77777777" w:rsidR="00BC3E97" w:rsidRDefault="00BC3E97" w:rsidP="00BC3E97">
      <w:r>
        <w:t>Develop culturally safe, inclusive, co-ordinated and responsive workforces with the expertise to support improved learning and wellbeing outcomes for First Nations learners across the early childhood, schools and tertiary education sectors, including children and young people with experience in out-of-home care, child protection and justice systems. This includes a strong focus on both First Nations staff and the broader workforce.</w:t>
      </w:r>
    </w:p>
    <w:p w14:paraId="5A065A1F" w14:textId="77777777" w:rsidR="00BC3E97" w:rsidRDefault="00BC3E97" w:rsidP="00BC3E97">
      <w:r>
        <w:t>1.1 Build capability across education settings for all staff, including administrative, educators, teachers and senior leaders, by expanding best-practice guidance and cross-sector professional learning content that supports the achievement of Child Safe Standard 1 and other system priorities (including anti-racism, trauma-informed practice, disability inclusion, Victorian Teaching and Learning Model 2.0).</w:t>
      </w:r>
    </w:p>
    <w:p w14:paraId="40BC2AA8" w14:textId="77777777" w:rsidR="00BC3E97" w:rsidRDefault="00BC3E97" w:rsidP="00BC3E97">
      <w:r>
        <w:rPr>
          <w:b/>
        </w:rPr>
        <w:t xml:space="preserve">Guiding principles: </w:t>
      </w:r>
      <w:r>
        <w:t>Self-determination; Cultural Safety and Responsiveness.</w:t>
      </w:r>
    </w:p>
    <w:p w14:paraId="0DBD4F3E" w14:textId="77777777" w:rsidR="00BC3E97" w:rsidRDefault="00BC3E97" w:rsidP="00BC3E97">
      <w:r>
        <w:rPr>
          <w:b/>
        </w:rPr>
        <w:t xml:space="preserve">1.2 </w:t>
      </w:r>
      <w:r w:rsidR="00625E18" w:rsidRPr="00625E18">
        <w:t>Develop First Nations workforce practice models that include strong induction processes, defined practice activities, including coordination points with other internal and external workforces and alignment with existing networks, and targeted professional learning.</w:t>
      </w:r>
    </w:p>
    <w:p w14:paraId="3295B9B1" w14:textId="77777777" w:rsidR="00BC3E97" w:rsidRDefault="00BC3E97" w:rsidP="00BC3E97">
      <w:r>
        <w:rPr>
          <w:b/>
        </w:rPr>
        <w:t xml:space="preserve">Guiding principles: </w:t>
      </w:r>
      <w:r>
        <w:t>Advancing Systemic Transformation.</w:t>
      </w:r>
    </w:p>
    <w:p w14:paraId="35018FAC" w14:textId="77777777" w:rsidR="00BC3E97" w:rsidRDefault="00BC3E97" w:rsidP="00BC3E97">
      <w:r>
        <w:rPr>
          <w:b/>
        </w:rPr>
        <w:t xml:space="preserve">1.3 </w:t>
      </w:r>
      <w:r w:rsidRPr="00DE6BD5">
        <w:t xml:space="preserve">Establish a structure to drive </w:t>
      </w:r>
      <w:proofErr w:type="spellStart"/>
      <w:r w:rsidRPr="00DE6BD5">
        <w:t>Marrung</w:t>
      </w:r>
      <w:proofErr w:type="spellEnd"/>
      <w:r w:rsidRPr="00DE6BD5">
        <w:t xml:space="preserve"> implementation at a school and service provider level through provision of practice guidance to support continuous improvement and accountability.</w:t>
      </w:r>
    </w:p>
    <w:p w14:paraId="17F18132" w14:textId="77777777" w:rsidR="00BC3E97" w:rsidRDefault="00BC3E97" w:rsidP="00BC3E97">
      <w:r>
        <w:rPr>
          <w:b/>
        </w:rPr>
        <w:t xml:space="preserve">Guiding principles: </w:t>
      </w:r>
      <w:r>
        <w:t>Advancing Systemic Transformation; Cultural Safety and Responsiveness.</w:t>
      </w:r>
    </w:p>
    <w:p w14:paraId="26F6081F" w14:textId="77777777" w:rsidR="00BC3E97" w:rsidRDefault="00BC3E97" w:rsidP="00BC3E97">
      <w:r>
        <w:rPr>
          <w:b/>
        </w:rPr>
        <w:t xml:space="preserve">1.4 </w:t>
      </w:r>
      <w:r w:rsidRPr="00DE6BD5">
        <w:t>Grow and strengthen the First Nations workforce across early childhood education, schools and the Victorian VET system through attraction, retention and empowerment, and clear leadership pathways and opportunities to ensure learning systems are inclusive and reflective of the Victorian community.</w:t>
      </w:r>
    </w:p>
    <w:p w14:paraId="47A26680" w14:textId="77777777" w:rsidR="00BC3E97" w:rsidRDefault="00BC3E97" w:rsidP="00BC3E97">
      <w:r>
        <w:rPr>
          <w:b/>
        </w:rPr>
        <w:t xml:space="preserve">Guiding principles: </w:t>
      </w:r>
      <w:r>
        <w:t>Cultural Safety and Responsiveness.</w:t>
      </w:r>
    </w:p>
    <w:p w14:paraId="3C432327" w14:textId="77777777" w:rsidR="00BC3E97" w:rsidRDefault="00BC3E97" w:rsidP="00BC3E97">
      <w:r>
        <w:rPr>
          <w:b/>
        </w:rPr>
        <w:lastRenderedPageBreak/>
        <w:t xml:space="preserve">1.5 </w:t>
      </w:r>
      <w:r>
        <w:t>Develop a First Nations engagement framework for educators to provide clarity on principles, processes, referral pathways and expectations for partnering with First Nations communities and families, Traditional Owner groups, ACCOs and stakeholders to support early, respectful and meaningful engagement.</w:t>
      </w:r>
    </w:p>
    <w:p w14:paraId="76A86329" w14:textId="77777777" w:rsidR="00BC3E97" w:rsidRDefault="00BC3E97" w:rsidP="00BC3E97">
      <w:r>
        <w:rPr>
          <w:b/>
        </w:rPr>
        <w:t xml:space="preserve">Guiding principles: </w:t>
      </w:r>
      <w:r>
        <w:t>Advancing Systemic Transformation.</w:t>
      </w:r>
    </w:p>
    <w:p w14:paraId="34F10D7D" w14:textId="77777777" w:rsidR="00BC3E97" w:rsidRDefault="00BC3E97" w:rsidP="00BC3E97">
      <w:pPr>
        <w:pStyle w:val="Heading2"/>
      </w:pPr>
      <w:bookmarkStart w:id="81" w:name="_Toc238720441"/>
      <w:bookmarkStart w:id="82" w:name="_Toc239931024"/>
      <w:r>
        <w:t>2. First Nations Leadership and Partnership</w:t>
      </w:r>
      <w:bookmarkEnd w:id="81"/>
      <w:bookmarkEnd w:id="82"/>
    </w:p>
    <w:p w14:paraId="1E9F35FA" w14:textId="77777777" w:rsidR="00BC3E97" w:rsidRDefault="00BC3E97" w:rsidP="00BC3E97">
      <w:r>
        <w:t>Strengthen partnerships with First Nations families and communities to advance self-determination across early childhood, schools and tertiary education sectors, and ensure First Nations leadership guides policy, design and delivery.</w:t>
      </w:r>
    </w:p>
    <w:p w14:paraId="5CE668D2" w14:textId="77777777" w:rsidR="00BC3E97" w:rsidRDefault="00BC3E97" w:rsidP="00BC3E97">
      <w:r>
        <w:rPr>
          <w:b/>
        </w:rPr>
        <w:t xml:space="preserve">2.1 </w:t>
      </w:r>
      <w:r>
        <w:t>Support, strengthen and expand ACCO service provision.</w:t>
      </w:r>
    </w:p>
    <w:p w14:paraId="0E50388D" w14:textId="77777777" w:rsidR="00BC3E97" w:rsidRDefault="00BC3E97" w:rsidP="00BC3E97">
      <w:r>
        <w:rPr>
          <w:b/>
        </w:rPr>
        <w:t xml:space="preserve">Guiding principles: </w:t>
      </w:r>
      <w:r>
        <w:t>Self-determination; Cultural Safety and Responsiveness.</w:t>
      </w:r>
    </w:p>
    <w:p w14:paraId="36964128" w14:textId="77777777" w:rsidR="00BC3E97" w:rsidRDefault="00BC3E97" w:rsidP="00BC3E97">
      <w:r>
        <w:rPr>
          <w:b/>
        </w:rPr>
        <w:t xml:space="preserve">2.2 </w:t>
      </w:r>
      <w:r>
        <w:t>Develop a First Nations data sovereignty and governance policy to guide the collection, use, control, management and reporting of data, which will include returning knowledge to support community validation and discussion.</w:t>
      </w:r>
    </w:p>
    <w:p w14:paraId="3D4E5D65" w14:textId="77777777" w:rsidR="00BC3E97" w:rsidRDefault="00BC3E97" w:rsidP="00BC3E97">
      <w:r>
        <w:rPr>
          <w:b/>
        </w:rPr>
        <w:t xml:space="preserve">Guiding principles: </w:t>
      </w:r>
      <w:r>
        <w:t>Advancing Systemic Transformation; Cultural Safety and Responsiveness; Self-determination.</w:t>
      </w:r>
    </w:p>
    <w:p w14:paraId="0261B892" w14:textId="77777777" w:rsidR="00BC3E97" w:rsidRDefault="00BC3E97" w:rsidP="00BC3E97">
      <w:r>
        <w:rPr>
          <w:b/>
        </w:rPr>
        <w:t xml:space="preserve">2.3 </w:t>
      </w:r>
      <w:r>
        <w:t>Support existing education governance mechanisms to incorporate a focus on improved learning and wellbeing outcomes for First Nations learners.</w:t>
      </w:r>
    </w:p>
    <w:p w14:paraId="79F27A73" w14:textId="77777777" w:rsidR="00BC3E97" w:rsidRDefault="00BC3E97" w:rsidP="00BC3E97">
      <w:r>
        <w:rPr>
          <w:b/>
        </w:rPr>
        <w:t xml:space="preserve">Guiding principles: </w:t>
      </w:r>
      <w:r>
        <w:t>Advancing Systemic Transformation.</w:t>
      </w:r>
    </w:p>
    <w:p w14:paraId="66507D92" w14:textId="77777777" w:rsidR="00BC3E97" w:rsidRDefault="00BC3E97" w:rsidP="00BC3E97">
      <w:r>
        <w:rPr>
          <w:b/>
        </w:rPr>
        <w:t xml:space="preserve">2.4 </w:t>
      </w:r>
      <w:r>
        <w:t>Review and revise processes to further develop streamlined, sustainable and flexible funding, contracting and reporting arrangements with ACCOs.</w:t>
      </w:r>
    </w:p>
    <w:p w14:paraId="38EE3B42" w14:textId="77777777" w:rsidR="00BC3E97" w:rsidRDefault="00BC3E97" w:rsidP="00BC3E97">
      <w:r>
        <w:rPr>
          <w:b/>
        </w:rPr>
        <w:t xml:space="preserve">Guiding principles: </w:t>
      </w:r>
      <w:r>
        <w:t>Advancing Systemic Transformation.</w:t>
      </w:r>
    </w:p>
    <w:p w14:paraId="26641810" w14:textId="77777777" w:rsidR="00BC3E97" w:rsidRDefault="00BC3E97" w:rsidP="00BC3E97">
      <w:r>
        <w:rPr>
          <w:b/>
        </w:rPr>
        <w:t xml:space="preserve">2.5 </w:t>
      </w:r>
      <w:r>
        <w:t>Increase opportunities for First Nations voice in education and training decision-making at a local, regional and state level.</w:t>
      </w:r>
    </w:p>
    <w:p w14:paraId="68FBE36B" w14:textId="77777777" w:rsidR="00BC3E97" w:rsidRDefault="00BC3E97" w:rsidP="00BC3E97">
      <w:r>
        <w:rPr>
          <w:b/>
        </w:rPr>
        <w:t xml:space="preserve">Guiding principles: </w:t>
      </w:r>
      <w:r>
        <w:t>Self-determination; Cultural Safety and Responsiveness.</w:t>
      </w:r>
    </w:p>
    <w:p w14:paraId="22507643" w14:textId="77777777" w:rsidR="00BC3E97" w:rsidRDefault="00BC3E97" w:rsidP="00BC3E97">
      <w:pPr>
        <w:pStyle w:val="Heading2"/>
      </w:pPr>
      <w:bookmarkStart w:id="83" w:name="_Toc238720442"/>
      <w:bookmarkStart w:id="84" w:name="_Toc239931025"/>
      <w:r>
        <w:t>3. First Nations Languages</w:t>
      </w:r>
      <w:bookmarkEnd w:id="83"/>
      <w:bookmarkEnd w:id="84"/>
    </w:p>
    <w:p w14:paraId="03D59B85" w14:textId="77777777" w:rsidR="00BC3E97" w:rsidRDefault="00BC3E97" w:rsidP="00BC3E97">
      <w:r>
        <w:t>Support First Nations communities to protect, reclaim and sustain languages in ways that are culturally safe and reflect community-defined priorities in recognition that languages play an important role in cultural affirmation.</w:t>
      </w:r>
    </w:p>
    <w:p w14:paraId="34BBF31E" w14:textId="77777777" w:rsidR="00BC3E97" w:rsidRDefault="00BC3E97" w:rsidP="00BC3E97">
      <w:r>
        <w:rPr>
          <w:b/>
        </w:rPr>
        <w:t>3.1 Actively promote the incorporation of First Nations languages including through renaming of learning spaces, rooms, buildings, services and schools.</w:t>
      </w:r>
    </w:p>
    <w:p w14:paraId="296A8969" w14:textId="77777777" w:rsidR="00BC3E97" w:rsidRDefault="00BC3E97" w:rsidP="00BC3E97">
      <w:r>
        <w:rPr>
          <w:b/>
        </w:rPr>
        <w:t xml:space="preserve">Guiding principles: </w:t>
      </w:r>
      <w:r>
        <w:t>Advancing Systemic Transformation.</w:t>
      </w:r>
    </w:p>
    <w:p w14:paraId="77264DDE" w14:textId="77777777" w:rsidR="00BC3E97" w:rsidRDefault="00BC3E97" w:rsidP="00BC3E97">
      <w:r>
        <w:rPr>
          <w:b/>
        </w:rPr>
        <w:t xml:space="preserve">3.2 </w:t>
      </w:r>
      <w:r>
        <w:t>In partnership with Traditional Owners and Aboriginal Community Controlled Organisations, promote clear guidance for the development and implementation of First Nations languages programs.</w:t>
      </w:r>
    </w:p>
    <w:p w14:paraId="13863DDB" w14:textId="77777777" w:rsidR="00BC3E97" w:rsidRDefault="00BC3E97" w:rsidP="00BC3E97">
      <w:r>
        <w:rPr>
          <w:b/>
        </w:rPr>
        <w:t xml:space="preserve">Guiding principles: </w:t>
      </w:r>
      <w:r>
        <w:t>Cultural Safety and Responsiveness.</w:t>
      </w:r>
    </w:p>
    <w:p w14:paraId="1FFFA5F2" w14:textId="77777777" w:rsidR="00BC3E97" w:rsidRDefault="00BC3E97" w:rsidP="00BC3E97">
      <w:r>
        <w:rPr>
          <w:b/>
        </w:rPr>
        <w:lastRenderedPageBreak/>
        <w:t>3.3 Celebrate learning settings that are teaching First Nations languages through a communication campaign including good practice case studies to inform system scaling.</w:t>
      </w:r>
    </w:p>
    <w:p w14:paraId="2D8DEEE9" w14:textId="77777777" w:rsidR="00BC3E97" w:rsidRDefault="00BC3E97" w:rsidP="00BC3E97">
      <w:r>
        <w:rPr>
          <w:b/>
        </w:rPr>
        <w:t xml:space="preserve">Guiding principles: </w:t>
      </w:r>
      <w:r>
        <w:t>Cultural Safety and Responsiveness.</w:t>
      </w:r>
    </w:p>
    <w:p w14:paraId="39132AC0" w14:textId="77777777" w:rsidR="00BC3E97" w:rsidRDefault="00BC3E97" w:rsidP="00BC3E97">
      <w:r>
        <w:rPr>
          <w:b/>
        </w:rPr>
        <w:t>3.4 Support First Nations languages delivery through leveraging funding including existing programs.</w:t>
      </w:r>
    </w:p>
    <w:p w14:paraId="2F5BD3E1" w14:textId="77777777" w:rsidR="00BC3E97" w:rsidRDefault="00BC3E97" w:rsidP="00BC3E97">
      <w:r>
        <w:rPr>
          <w:b/>
        </w:rPr>
        <w:t xml:space="preserve">Guiding principles: </w:t>
      </w:r>
      <w:r>
        <w:t>Self-determination.</w:t>
      </w:r>
    </w:p>
    <w:p w14:paraId="70DC2731" w14:textId="77777777" w:rsidR="00BC3E97" w:rsidRDefault="00BC3E97" w:rsidP="00BC3E97">
      <w:r>
        <w:rPr>
          <w:b/>
        </w:rPr>
        <w:t xml:space="preserve">3.5 </w:t>
      </w:r>
      <w:r>
        <w:t>Strengthen opportunities for First Nations people to reclaim and reconnect with language, and provide opportunities to share language, including through expansion of the First Nations languages teacher workforce.</w:t>
      </w:r>
    </w:p>
    <w:p w14:paraId="48D87571" w14:textId="77777777" w:rsidR="00BC3E97" w:rsidRDefault="00BC3E97" w:rsidP="00BC3E97">
      <w:r>
        <w:rPr>
          <w:b/>
        </w:rPr>
        <w:t xml:space="preserve">Guiding principles: </w:t>
      </w:r>
      <w:r>
        <w:t>Self-determination.</w:t>
      </w:r>
    </w:p>
    <w:p w14:paraId="331E4698" w14:textId="77777777" w:rsidR="00BC3E97" w:rsidRDefault="00BC3E97" w:rsidP="00BC3E97">
      <w:r>
        <w:rPr>
          <w:b/>
        </w:rPr>
        <w:t>3.6 Support educators’ understanding of Koorie English including through targeted professional learning.</w:t>
      </w:r>
    </w:p>
    <w:p w14:paraId="2B870731" w14:textId="77777777" w:rsidR="00BC3E97" w:rsidRDefault="00BC3E97" w:rsidP="00BC3E97">
      <w:r>
        <w:rPr>
          <w:b/>
        </w:rPr>
        <w:t xml:space="preserve">Guiding principles: </w:t>
      </w:r>
      <w:r>
        <w:t>Cultural Safety and Responsiveness.</w:t>
      </w:r>
    </w:p>
    <w:p w14:paraId="762BB1B3" w14:textId="77777777" w:rsidR="00BC3E97" w:rsidRDefault="00BC3E97" w:rsidP="00BC3E97">
      <w:pPr>
        <w:pStyle w:val="Heading2"/>
      </w:pPr>
      <w:bookmarkStart w:id="85" w:name="_Toc238720443"/>
      <w:bookmarkStart w:id="86" w:name="_Toc239931026"/>
      <w:r>
        <w:t>4. Curriculum and Teacher Practice</w:t>
      </w:r>
      <w:bookmarkEnd w:id="85"/>
      <w:bookmarkEnd w:id="86"/>
    </w:p>
    <w:p w14:paraId="054D0423" w14:textId="77777777" w:rsidR="00BC3E97" w:rsidRDefault="00BC3E97" w:rsidP="00BC3E97">
      <w:r>
        <w:t>Strengthen and embed Aboriginal and Torres Strait Islander perspectives as integral, ongoing elements of teaching and learning across early childhood, schools and tertiary education settings. Educators will use culturally responsive and evidence-informed practices to ensure what is taught (curriculum and learning frameworks), and how (teacher practice) is respectful, and responsive to both First Nations and non-First Nations learners.</w:t>
      </w:r>
    </w:p>
    <w:p w14:paraId="76A4599A" w14:textId="77777777" w:rsidR="00BC3E97" w:rsidRDefault="00BC3E97" w:rsidP="00BC3E97">
      <w:r>
        <w:rPr>
          <w:b/>
        </w:rPr>
        <w:t xml:space="preserve">4.1 </w:t>
      </w:r>
      <w:r>
        <w:t xml:space="preserve">Support educators and teachers to incorporate First Nations knowledge and expertise into their practice and content. This will include the provision of high-quality structured guidance and tailored courses co-designed with First Nations </w:t>
      </w:r>
      <w:proofErr w:type="gramStart"/>
      <w:r>
        <w:t>communities, and</w:t>
      </w:r>
      <w:proofErr w:type="gramEnd"/>
      <w:r>
        <w:t xml:space="preserve"> delivered by providers including the Victorian Academy of Teaching and Leadership.</w:t>
      </w:r>
    </w:p>
    <w:p w14:paraId="1A0E4D34" w14:textId="77777777" w:rsidR="00BC3E97" w:rsidRDefault="00BC3E97" w:rsidP="00BC3E97">
      <w:r>
        <w:rPr>
          <w:b/>
        </w:rPr>
        <w:t xml:space="preserve">Guiding principles: </w:t>
      </w:r>
      <w:r>
        <w:t>Self-determination; Advancing Systemic Transformation.</w:t>
      </w:r>
    </w:p>
    <w:p w14:paraId="31B478DE" w14:textId="77777777" w:rsidR="00BC3E97" w:rsidRPr="002F56A2" w:rsidRDefault="00BC3E97" w:rsidP="00BC3E97">
      <w:r>
        <w:rPr>
          <w:b/>
        </w:rPr>
        <w:t xml:space="preserve">4.2 </w:t>
      </w:r>
      <w:r w:rsidRPr="002F56A2">
        <w:t>Work with the Victorian Institute of Teaching (VIT) and the Victorian VET Educator Academy to strengthen recognition of high-quality First Nations professional learning in the teacher registration and educator capability development process.</w:t>
      </w:r>
    </w:p>
    <w:p w14:paraId="738DA03B" w14:textId="77777777" w:rsidR="00BC3E97" w:rsidRDefault="00BC3E97" w:rsidP="00BC3E97">
      <w:r>
        <w:rPr>
          <w:b/>
        </w:rPr>
        <w:t xml:space="preserve">Guiding principles: </w:t>
      </w:r>
      <w:r>
        <w:t>Advancing Systemic Transformation.</w:t>
      </w:r>
    </w:p>
    <w:p w14:paraId="1B48F17F" w14:textId="77777777" w:rsidR="00BC3E97" w:rsidRDefault="00BC3E97" w:rsidP="00BC3E97">
      <w:r>
        <w:rPr>
          <w:b/>
        </w:rPr>
        <w:t xml:space="preserve">4.3 </w:t>
      </w:r>
      <w:r w:rsidRPr="002F56A2">
        <w:t>Enhance targeted initiatives to support First Nations learners to achieve their aspirations, with a strengthened focus on foundational skills (including Literacy and Numeracy) and high ability.</w:t>
      </w:r>
    </w:p>
    <w:p w14:paraId="58654491" w14:textId="77777777" w:rsidR="00BC3E97" w:rsidRDefault="00BC3E97" w:rsidP="00BC3E97">
      <w:r>
        <w:rPr>
          <w:b/>
        </w:rPr>
        <w:t xml:space="preserve">Guiding principles: </w:t>
      </w:r>
      <w:r>
        <w:t>Cultural Safety and Responsiveness; Advancing Systemic Transformation.</w:t>
      </w:r>
    </w:p>
    <w:p w14:paraId="400447B1" w14:textId="77777777" w:rsidR="00BC3E97" w:rsidRDefault="00BC3E97" w:rsidP="00BC3E97">
      <w:r>
        <w:rPr>
          <w:b/>
        </w:rPr>
        <w:t xml:space="preserve">4.4 </w:t>
      </w:r>
      <w:r w:rsidRPr="002F56A2">
        <w:t>Strengthen support for Initial Teacher Education providers to deliver content consistent with the Australian Institute for Teaching and School Leadership (AITSL) Australian Professional Standards for Teachers — graduate level, that prepares graduates to be confident and culturally responsive in their practice.</w:t>
      </w:r>
    </w:p>
    <w:p w14:paraId="7F3F230B" w14:textId="77777777" w:rsidR="00BC3E97" w:rsidRDefault="00BC3E97" w:rsidP="00BC3E97">
      <w:r>
        <w:rPr>
          <w:b/>
        </w:rPr>
        <w:lastRenderedPageBreak/>
        <w:t xml:space="preserve">Guiding principles: </w:t>
      </w:r>
      <w:r>
        <w:t>Cultural Safety and Responsiveness; Advancing Systemic Transformation.</w:t>
      </w:r>
    </w:p>
    <w:p w14:paraId="343063B8" w14:textId="77777777" w:rsidR="00BC3E97" w:rsidRDefault="00BC3E97" w:rsidP="00BC3E97">
      <w:r>
        <w:rPr>
          <w:b/>
        </w:rPr>
        <w:t xml:space="preserve">4.5 </w:t>
      </w:r>
      <w:r w:rsidRPr="002F56A2">
        <w:t>Work with VIT, Australian Children’s Education and Care Quality Authority and the Victorian Council of Deans of Education to strengthen approaches relating to relevant standards in the AITSL Accreditation of initial teacher education programs in Australia: Standards and Procedures.</w:t>
      </w:r>
    </w:p>
    <w:p w14:paraId="3F6E5419" w14:textId="77777777" w:rsidR="00BC3E97" w:rsidRDefault="00BC3E97" w:rsidP="00BC3E97">
      <w:r>
        <w:rPr>
          <w:b/>
        </w:rPr>
        <w:t xml:space="preserve">Guiding principles: </w:t>
      </w:r>
      <w:r>
        <w:t>Cultural Safety and Responsiveness; Advancing Systemic Transformation.</w:t>
      </w:r>
    </w:p>
    <w:p w14:paraId="069D1D26" w14:textId="77777777" w:rsidR="00BC3E97" w:rsidRPr="002F56A2" w:rsidRDefault="00BC3E97" w:rsidP="00BC3E97">
      <w:r>
        <w:rPr>
          <w:b/>
        </w:rPr>
        <w:t xml:space="preserve">4.6 </w:t>
      </w:r>
      <w:r w:rsidRPr="002F56A2">
        <w:t>Strengthen school and service provider review and planning processes to drive clear expectations, improve accountability and monitor impact including in relation to delivery of First Nations perspectives in curriculum and learner outcomes, as appropriate under existing regulatory and governance frameworks.</w:t>
      </w:r>
    </w:p>
    <w:p w14:paraId="5473FB04" w14:textId="77777777" w:rsidR="00BC3E97" w:rsidRDefault="00BC3E97" w:rsidP="00BC3E97">
      <w:r>
        <w:rPr>
          <w:b/>
        </w:rPr>
        <w:t xml:space="preserve">Guiding principles: </w:t>
      </w:r>
      <w:r>
        <w:t>Advancing Systemic Transformation.</w:t>
      </w:r>
    </w:p>
    <w:p w14:paraId="0071BBD9" w14:textId="77777777" w:rsidR="00BC3E97" w:rsidRPr="002F56A2" w:rsidRDefault="00BC3E97" w:rsidP="00BC3E97">
      <w:r>
        <w:rPr>
          <w:b/>
        </w:rPr>
        <w:t xml:space="preserve">4.7 </w:t>
      </w:r>
      <w:r w:rsidRPr="002F56A2">
        <w:t xml:space="preserve">Implement Statewide Treaty Reform: Inclusion of Truth-telling in the Victorian Curriculum 2.0, to be co-designed between </w:t>
      </w:r>
      <w:proofErr w:type="spellStart"/>
      <w:r w:rsidRPr="002F56A2">
        <w:t>Gellung</w:t>
      </w:r>
      <w:proofErr w:type="spellEnd"/>
      <w:r w:rsidRPr="002F56A2">
        <w:t xml:space="preserve"> Warl, VAEAI, VCAA and the Department of Education, and including the </w:t>
      </w:r>
      <w:proofErr w:type="spellStart"/>
      <w:r w:rsidRPr="002F56A2">
        <w:t>Yoorrook</w:t>
      </w:r>
      <w:proofErr w:type="spellEnd"/>
      <w:r w:rsidRPr="002F56A2">
        <w:t xml:space="preserve"> Justice Commission Official Public Record as a resource, and monitoring and reporting mechanisms.</w:t>
      </w:r>
    </w:p>
    <w:p w14:paraId="26401CD2" w14:textId="77777777" w:rsidR="00BC3E97" w:rsidRDefault="00BC3E97" w:rsidP="00BC3E97">
      <w:r>
        <w:rPr>
          <w:b/>
        </w:rPr>
        <w:t xml:space="preserve">Guiding principles: </w:t>
      </w:r>
      <w:r>
        <w:t>Self-determination; Advancing Systemic Transformation; Cultural Safety and Responsiveness.</w:t>
      </w:r>
    </w:p>
    <w:p w14:paraId="049E657B" w14:textId="77777777" w:rsidR="00BC3E97" w:rsidRDefault="00BC3E97" w:rsidP="00BC3E97">
      <w:pPr>
        <w:pStyle w:val="Heading2"/>
      </w:pPr>
      <w:bookmarkStart w:id="87" w:name="_Toc238720444"/>
      <w:bookmarkStart w:id="88" w:name="_Toc239931027"/>
      <w:r>
        <w:t>5. Learner Engagement, Participation and Voice</w:t>
      </w:r>
      <w:bookmarkEnd w:id="87"/>
      <w:bookmarkEnd w:id="88"/>
    </w:p>
    <w:p w14:paraId="4BA7DFB6" w14:textId="77777777" w:rsidR="00BC3E97" w:rsidRDefault="00BC3E97" w:rsidP="00BC3E97">
      <w:r>
        <w:t>Education systems acknowledge, respect and actively support the diversity of First Nations learners that enable full participation, continuity of learning, links to community and family, and access to opportunities. The voices of First Nations learners are centred and meaningfully responded to, with genuine opportunities to shape educational experiences.</w:t>
      </w:r>
    </w:p>
    <w:p w14:paraId="023E17E9" w14:textId="77777777" w:rsidR="00BC3E97" w:rsidRDefault="00BC3E97" w:rsidP="00BC3E97">
      <w:r>
        <w:rPr>
          <w:b/>
        </w:rPr>
        <w:t xml:space="preserve">5.1 </w:t>
      </w:r>
      <w:r>
        <w:t>Ensure First Nations learners are supported and connected to education and training systems, including through strengthened processes to support individual learning and wellbeing, with active involvement from families, and targeted approaches for learners who are disengaged or at risk of disengagement.</w:t>
      </w:r>
    </w:p>
    <w:p w14:paraId="2327E5B7" w14:textId="77777777" w:rsidR="00BC3E97" w:rsidRDefault="00BC3E97" w:rsidP="00BC3E97">
      <w:r>
        <w:rPr>
          <w:b/>
        </w:rPr>
        <w:t xml:space="preserve">Guiding principles: </w:t>
      </w:r>
      <w:r>
        <w:t>Cultural Safety and Responsiveness; Advancing Systemic Transformation.</w:t>
      </w:r>
    </w:p>
    <w:p w14:paraId="4CA46D6E" w14:textId="77777777" w:rsidR="00BC3E97" w:rsidRDefault="00BC3E97" w:rsidP="00BC3E97">
      <w:r>
        <w:rPr>
          <w:b/>
        </w:rPr>
        <w:t xml:space="preserve">5.2 </w:t>
      </w:r>
      <w:r>
        <w:t>Empower and amplify the voice of First Nations learners and families by enhancing opportunities for advocacy, leadership and co-design in education and training systems at a state and place-based level.</w:t>
      </w:r>
    </w:p>
    <w:p w14:paraId="5B06FE89" w14:textId="77777777" w:rsidR="00BC3E97" w:rsidRDefault="00BC3E97" w:rsidP="00BC3E97">
      <w:r>
        <w:rPr>
          <w:b/>
        </w:rPr>
        <w:t xml:space="preserve">Guiding principles: </w:t>
      </w:r>
      <w:r>
        <w:t>Self-determination; Cultural Safety and Responsiveness.</w:t>
      </w:r>
    </w:p>
    <w:p w14:paraId="365FA4FD" w14:textId="77777777" w:rsidR="00BC3E97" w:rsidRDefault="00BC3E97" w:rsidP="00BC3E97">
      <w:r>
        <w:rPr>
          <w:b/>
        </w:rPr>
        <w:t xml:space="preserve">5.3 </w:t>
      </w:r>
      <w:r>
        <w:t>Improve attendance, participation and sense of belonging through community-defined strategies, informed by evidence and local context.</w:t>
      </w:r>
    </w:p>
    <w:p w14:paraId="0E4941E0" w14:textId="77777777" w:rsidR="00BC3E97" w:rsidRDefault="00BC3E97" w:rsidP="00BC3E97">
      <w:r>
        <w:rPr>
          <w:b/>
        </w:rPr>
        <w:t xml:space="preserve">Guiding principles: </w:t>
      </w:r>
      <w:r>
        <w:t>Self-determination; Advancing Systemic Transformation; Cultural Safety and Responsiveness.</w:t>
      </w:r>
    </w:p>
    <w:p w14:paraId="2B70D830" w14:textId="77777777" w:rsidR="00BC3E97" w:rsidRDefault="00BC3E97" w:rsidP="00BC3E97">
      <w:r>
        <w:rPr>
          <w:b/>
        </w:rPr>
        <w:t xml:space="preserve">5.4 </w:t>
      </w:r>
      <w:r>
        <w:t xml:space="preserve">Strengthen early intervention and re-engagement approaches to ensure timely and appropriate supports for children, young people, adult learners and their families, including </w:t>
      </w:r>
      <w:r>
        <w:lastRenderedPageBreak/>
        <w:t>for children and young people at risk of or in contact with the child protection and justice systems, through cross-portfolio collaboration.</w:t>
      </w:r>
    </w:p>
    <w:p w14:paraId="23226A8D" w14:textId="77777777" w:rsidR="00BC3E97" w:rsidRDefault="00BC3E97" w:rsidP="00BC3E97">
      <w:r>
        <w:rPr>
          <w:b/>
        </w:rPr>
        <w:t xml:space="preserve">Guiding principles: </w:t>
      </w:r>
      <w:r>
        <w:t>Cultural Safety and Responsiveness; Advancing Systemic Transformation.</w:t>
      </w:r>
    </w:p>
    <w:p w14:paraId="7A5E7724" w14:textId="77777777" w:rsidR="00BC3E97" w:rsidRDefault="00BC3E97" w:rsidP="00BC3E97">
      <w:r>
        <w:rPr>
          <w:b/>
        </w:rPr>
        <w:t xml:space="preserve">5.5 </w:t>
      </w:r>
      <w:r>
        <w:t>Strengthen approaches across education settings to identify, respond to and address racism experienced by First Nations learners, including culturally safe supports, clear escalation pathways, restorative responses and accountability mechanisms.</w:t>
      </w:r>
    </w:p>
    <w:p w14:paraId="150D8AB4" w14:textId="77777777" w:rsidR="00BC3E97" w:rsidRDefault="00BC3E97" w:rsidP="00BC3E97">
      <w:r>
        <w:rPr>
          <w:b/>
        </w:rPr>
        <w:t xml:space="preserve">Guiding principles: </w:t>
      </w:r>
      <w:r>
        <w:t>Advancing Systemic Transformation; Cultural Safety and Responsiveness.</w:t>
      </w:r>
    </w:p>
    <w:p w14:paraId="438EE126" w14:textId="77777777" w:rsidR="00BC3E97" w:rsidRDefault="00BC3E97" w:rsidP="00BC3E97">
      <w:pPr>
        <w:pStyle w:val="Heading2"/>
      </w:pPr>
      <w:bookmarkStart w:id="89" w:name="_Toc238720445"/>
      <w:bookmarkStart w:id="90" w:name="_Toc239931028"/>
      <w:r>
        <w:t>6. Transitions and Pathways</w:t>
      </w:r>
      <w:bookmarkEnd w:id="89"/>
      <w:bookmarkEnd w:id="90"/>
    </w:p>
    <w:p w14:paraId="5B604CC3" w14:textId="77777777" w:rsidR="00BC3E97" w:rsidRDefault="00BC3E97" w:rsidP="00BC3E97">
      <w:r>
        <w:t>First Nations learners receive culturally responsive, tailored support across all transitions — from early childhood and school to tertiary education and/or employment.</w:t>
      </w:r>
    </w:p>
    <w:p w14:paraId="186DCC81" w14:textId="77777777" w:rsidR="00BC3E97" w:rsidRDefault="00BC3E97" w:rsidP="00BC3E97">
      <w:r>
        <w:rPr>
          <w:b/>
        </w:rPr>
        <w:t xml:space="preserve">6.1 </w:t>
      </w:r>
      <w:r w:rsidRPr="002F56A2">
        <w:t>Strengthen supports for First Nations learners across key transition points through culturally responsive and coordinated planning and strengthened communication, learner experiences and resources.</w:t>
      </w:r>
    </w:p>
    <w:p w14:paraId="474B2769" w14:textId="77777777" w:rsidR="00BC3E97" w:rsidRDefault="00BC3E97" w:rsidP="00BC3E97">
      <w:r>
        <w:rPr>
          <w:b/>
        </w:rPr>
        <w:t xml:space="preserve">Guiding principles: </w:t>
      </w:r>
      <w:r>
        <w:t>Advancing Systemic Transformation; Cultural Safety and Responsiveness.</w:t>
      </w:r>
    </w:p>
    <w:p w14:paraId="2933C9FA" w14:textId="77777777" w:rsidR="00BC3E97" w:rsidRDefault="00BC3E97" w:rsidP="00BC3E97">
      <w:r>
        <w:rPr>
          <w:b/>
        </w:rPr>
        <w:t xml:space="preserve">6.2 </w:t>
      </w:r>
      <w:r w:rsidRPr="002F56A2">
        <w:t>Improve access to and participation in diverse and high quality senior secondary and tertiary education, and career pathways, including through strengthened collaboration with communities, employers and training providers.</w:t>
      </w:r>
    </w:p>
    <w:p w14:paraId="42D845B3" w14:textId="77777777" w:rsidR="00BC3E97" w:rsidRDefault="00BC3E97" w:rsidP="00BC3E97">
      <w:r>
        <w:rPr>
          <w:b/>
        </w:rPr>
        <w:t xml:space="preserve">Guiding principles: </w:t>
      </w:r>
      <w:r>
        <w:t>Self-determination; Advancing Systemic Transformation; Cultural Safety and Responsiveness.</w:t>
      </w:r>
    </w:p>
    <w:p w14:paraId="7DF6C19C" w14:textId="77777777" w:rsidR="00BC3E97" w:rsidRDefault="00BC3E97" w:rsidP="00BC3E97">
      <w:r>
        <w:rPr>
          <w:b/>
        </w:rPr>
        <w:t xml:space="preserve">6.3 </w:t>
      </w:r>
      <w:r>
        <w:t>Strengthen family and carer engagement and provide continuity of support through key transition points.</w:t>
      </w:r>
    </w:p>
    <w:p w14:paraId="7E6E78DA" w14:textId="77777777" w:rsidR="00BC3E97" w:rsidRDefault="00BC3E97" w:rsidP="00BC3E97">
      <w:r>
        <w:rPr>
          <w:b/>
        </w:rPr>
        <w:t xml:space="preserve">Guiding principles: </w:t>
      </w:r>
      <w:r>
        <w:t>Self-determination; Advancing Systemic Transformation; Cultural Safety and Responsiveness.</w:t>
      </w:r>
    </w:p>
    <w:p w14:paraId="6F1F34B6" w14:textId="77777777" w:rsidR="00315667" w:rsidRDefault="00000000">
      <w:r>
        <w:rPr>
          <w:b/>
        </w:rPr>
        <w:t>How we will deliver this work</w:t>
      </w:r>
    </w:p>
    <w:p w14:paraId="1B360B27" w14:textId="77777777" w:rsidR="00BC3E97" w:rsidRDefault="002414A0" w:rsidP="00BC3E97">
      <w:pPr>
        <w:pStyle w:val="Heading1"/>
      </w:pPr>
      <w:bookmarkStart w:id="91" w:name="_Toc238720446"/>
      <w:bookmarkStart w:id="92" w:name="_Toc239931029"/>
      <w:bookmarkEnd w:id="91"/>
      <w:r>
        <w:t>Implementation Approach</w:t>
      </w:r>
      <w:bookmarkEnd w:id="92"/>
    </w:p>
    <w:p w14:paraId="03569357" w14:textId="77777777" w:rsidR="00BC3E97" w:rsidRDefault="00BC3E97" w:rsidP="00BC3E97">
      <w:r>
        <w:t>Implementation plans, developed after the release of ‘Marrung 2026–2036’, will act to translate actions into practical commitments by identifying specific initiatives from the Department of Education (DE), Department of Jobs, Skills, Industry and Regions (DJSIR), Independent Schools Victoria (ISV) and Victorian Catholic Education Authority (VCEA). This will ensure strong alignment with the shared vision, guiding principles and key priorities.</w:t>
      </w:r>
    </w:p>
    <w:p w14:paraId="2B5F1E9D" w14:textId="77777777" w:rsidR="00BC3E97" w:rsidRDefault="00BC3E97" w:rsidP="00BC3E97">
      <w:r>
        <w:t>Implementation plans will be co-designed with First Nations partners, informed by sector context and priorities, and closely monitored by their respective department or sector.</w:t>
      </w:r>
    </w:p>
    <w:p w14:paraId="7B2634BD" w14:textId="77777777" w:rsidR="00BC3E97" w:rsidRDefault="00BC3E97" w:rsidP="00BC3E97">
      <w:proofErr w:type="gramStart"/>
      <w:r>
        <w:lastRenderedPageBreak/>
        <w:t>In particular, strong</w:t>
      </w:r>
      <w:proofErr w:type="gramEnd"/>
      <w:r>
        <w:t xml:space="preserve"> partnerships with community will underpin the development and implementation of these plans, ensuring they are informed by lived experience and community priorities.</w:t>
      </w:r>
    </w:p>
    <w:p w14:paraId="03C23059" w14:textId="77777777" w:rsidR="00BC3E97" w:rsidRDefault="00BC3E97" w:rsidP="00BC3E97">
      <w:r>
        <w:t>Marrung Central Governance Committee (CGC) will approve implementation plans following endorsement through respective department or sector governance mechanisms. Plans will operate over a 3-year timeframe, and will feature annual reporting. This will maintain accountability, align with the review points for ‘Marrung 2026–2036’, and ensure that the plans remain responsive to emerging needs and changing context across the strategy’s 10-year term.</w:t>
      </w:r>
    </w:p>
    <w:p w14:paraId="4BC57935" w14:textId="77777777" w:rsidR="00315667" w:rsidRDefault="00000000">
      <w:r>
        <w:rPr>
          <w:b/>
        </w:rPr>
        <w:t>How we will work together, track progress and stay accountable</w:t>
      </w:r>
    </w:p>
    <w:p w14:paraId="71C7CCE7" w14:textId="77777777" w:rsidR="00BC3E97" w:rsidRDefault="002414A0" w:rsidP="00BC3E97">
      <w:pPr>
        <w:pStyle w:val="Heading1"/>
      </w:pPr>
      <w:bookmarkStart w:id="93" w:name="_Toc238720447"/>
      <w:bookmarkStart w:id="94" w:name="_Toc239931030"/>
      <w:bookmarkEnd w:id="93"/>
      <w:r>
        <w:t>Governance and Monitoring</w:t>
      </w:r>
      <w:bookmarkEnd w:id="94"/>
    </w:p>
    <w:p w14:paraId="190CB447" w14:textId="77777777" w:rsidR="00BC3E97" w:rsidRDefault="00BC3E97" w:rsidP="00BC3E97">
      <w:r>
        <w:t>In implementing ‘Marrung 2026–2036’, governance and accountability measures will be strengthened with a focus on centring community voice, decision making and strong feedback mechanisms.</w:t>
      </w:r>
    </w:p>
    <w:p w14:paraId="176CD319" w14:textId="77777777" w:rsidR="00315667" w:rsidRDefault="00000000">
      <w:pPr>
        <w:pStyle w:val="Heading2"/>
      </w:pPr>
      <w:bookmarkStart w:id="95" w:name="_Toc239931031"/>
      <w:r>
        <w:t>Key elements of governance include:</w:t>
      </w:r>
      <w:bookmarkEnd w:id="95"/>
    </w:p>
    <w:p w14:paraId="44EB2E9D" w14:textId="77777777" w:rsidR="00315667" w:rsidRDefault="00000000">
      <w:pPr>
        <w:pStyle w:val="Heading3"/>
      </w:pPr>
      <w:bookmarkStart w:id="96" w:name="_Toc239931032"/>
      <w:r>
        <w:t>Marrung Central Governance Committee:</w:t>
      </w:r>
      <w:bookmarkEnd w:id="96"/>
    </w:p>
    <w:p w14:paraId="0D681049" w14:textId="77777777" w:rsidR="00315667" w:rsidRDefault="00000000">
      <w:r>
        <w:t>Co-chaired by the President of VAEAI and the Secretary of DE. This committee will have decision-making authority and oversee implementation of actions over the life of the strategy.</w:t>
      </w:r>
    </w:p>
    <w:p w14:paraId="6C456C6D" w14:textId="77777777" w:rsidR="00315667" w:rsidRDefault="00000000">
      <w:pPr>
        <w:pStyle w:val="Heading3"/>
      </w:pPr>
      <w:bookmarkStart w:id="97" w:name="_Toc239931033"/>
      <w:r>
        <w:t>Marrung Regional Partnership Forums:</w:t>
      </w:r>
      <w:bookmarkEnd w:id="97"/>
    </w:p>
    <w:p w14:paraId="3E5D7C5F" w14:textId="77777777" w:rsidR="00315667" w:rsidRDefault="00000000">
      <w:r>
        <w:t>Co-chaired by a nominated LAECG Chairperson and DE Regional Director. The purpose of these forums is to provide strong regional leadership and oversight, ensuring implementation of Marrung drives improvement for place-based outcomes.</w:t>
      </w:r>
    </w:p>
    <w:p w14:paraId="23791C35" w14:textId="77777777" w:rsidR="00315667" w:rsidRDefault="00000000">
      <w:pPr>
        <w:pStyle w:val="Heading3"/>
      </w:pPr>
      <w:bookmarkStart w:id="98" w:name="_Toc239931034"/>
      <w:r>
        <w:t>Koorie Education Roundtables:</w:t>
      </w:r>
      <w:bookmarkEnd w:id="98"/>
    </w:p>
    <w:p w14:paraId="783BF2F8" w14:textId="77777777" w:rsidR="00315667" w:rsidRDefault="00000000">
      <w:r>
        <w:t>Chaired by a nominated local LAECG Chairperson within the Region. The purpose of the roundtables is to ensure what matters to local communities is captured and responded to. The roundtables will include broad community and sector representation.</w:t>
      </w:r>
    </w:p>
    <w:p w14:paraId="2EE50C81" w14:textId="77777777" w:rsidR="00315667" w:rsidRDefault="00000000">
      <w:pPr>
        <w:pStyle w:val="Heading3"/>
      </w:pPr>
      <w:bookmarkStart w:id="99" w:name="_Toc239931035"/>
      <w:r>
        <w:t>Marrung Ministerial Roundtable:</w:t>
      </w:r>
      <w:bookmarkEnd w:id="99"/>
    </w:p>
    <w:p w14:paraId="241D86CF" w14:textId="77777777" w:rsidR="00315667" w:rsidRDefault="00000000">
      <w:r>
        <w:t>Co-chaired by the President of VAEAI and the Secretary of DE. The purpose of the Roundtable is to reflect annually on key achievements and emerging priorities and provide an opportunity for portfolio ministers to hear directly from community partners.</w:t>
      </w:r>
    </w:p>
    <w:p w14:paraId="1BC973CA" w14:textId="77777777" w:rsidR="00315667" w:rsidRDefault="00000000">
      <w:pPr>
        <w:pStyle w:val="Heading3"/>
      </w:pPr>
      <w:bookmarkStart w:id="100" w:name="_Toc239931036"/>
      <w:r>
        <w:t>Koorie Skills Coordination Forum:</w:t>
      </w:r>
      <w:bookmarkEnd w:id="100"/>
    </w:p>
    <w:p w14:paraId="1A6BD5E4" w14:textId="77777777" w:rsidR="00315667" w:rsidRDefault="00000000">
      <w:r>
        <w:t>Co-chaired by the General Manager, VAEAI, and the Deputy Secretary of the Skills and TAFE Group in the Department of Jobs, Skills, Industry and Regions. The purpose of the forum, which is inclusive of Aboriginal Community Controlled Registered Training Organisations, is to progress and monitor relevant actions under ‘Marrung 2026-2036’ in the tertiary education sector, as well as support other initiatives relevant to First Nations self-determination and learning and employment outcomes.</w:t>
      </w:r>
    </w:p>
    <w:p w14:paraId="35F94693" w14:textId="77777777" w:rsidR="00315667" w:rsidRDefault="00000000">
      <w:pPr>
        <w:pStyle w:val="Heading3"/>
      </w:pPr>
      <w:bookmarkStart w:id="101" w:name="_Toc239931037"/>
      <w:r>
        <w:lastRenderedPageBreak/>
        <w:t>Marrung Project Board:</w:t>
      </w:r>
      <w:bookmarkEnd w:id="101"/>
    </w:p>
    <w:p w14:paraId="37153877" w14:textId="77777777" w:rsidR="00315667" w:rsidRDefault="00000000">
      <w:r>
        <w:t>Co-chaired by VAEAI’s Executive Manager, Programs and Policy and the Deputy Secretary of the First Nations Strategy, Policy and Programs Group in DE. The purpose of the Project Board is to monitor the status of actions in ‘Marrung 2026-2036’ and provide high level governance and accountability.</w:t>
      </w:r>
    </w:p>
    <w:p w14:paraId="4423F683" w14:textId="77777777" w:rsidR="00315667" w:rsidRDefault="00000000">
      <w:pPr>
        <w:pStyle w:val="Heading2"/>
      </w:pPr>
      <w:bookmarkStart w:id="102" w:name="_Toc239931038"/>
      <w:r>
        <w:t>Marrung Central Governance Committee</w:t>
      </w:r>
      <w:bookmarkEnd w:id="102"/>
    </w:p>
    <w:p w14:paraId="32B4CBCB" w14:textId="77777777" w:rsidR="00315667" w:rsidRDefault="00000000">
      <w:r>
        <w:rPr>
          <w:b/>
        </w:rPr>
        <w:t>Decision making body</w:t>
      </w:r>
    </w:p>
    <w:p w14:paraId="5CFAFA2B" w14:textId="77777777" w:rsidR="00315667" w:rsidRDefault="00000000">
      <w:r>
        <w:t>Membership: Co-chaired by VAEAI President and DE Secretary.</w:t>
      </w:r>
    </w:p>
    <w:p w14:paraId="235C3224" w14:textId="77777777" w:rsidR="00315667" w:rsidRDefault="00000000">
      <w:r>
        <w:t>Includes VACCA, VACCHO, VACSAL, Koorie Youth Council (KYC), Gellung Warl, VACYPA, Aboriginal Caucuses of AJF, Dhelk Dja and Yuma Yirramboi, DE and DJSIR Deputy Secretaries, ISV and VCEA representatives, DE Regional Directors, Executives from DH, DPC, DFFH and DJCS, School sector representatives, CEO VCAA, CEO ELAA, CEO MAV, Chairs of VTA and ACFE Board, CEO Victorian Skills Authority, Commissioner for Aboriginal Children and Young People, President of AEU, early childhood peak bodies.</w:t>
      </w:r>
    </w:p>
    <w:p w14:paraId="22FC65D9" w14:textId="77777777" w:rsidR="00315667" w:rsidRDefault="00000000">
      <w:r>
        <w:t>Purpose: To oversee implementation of the strategic actions over the life of the strategy.</w:t>
      </w:r>
    </w:p>
    <w:p w14:paraId="47DBF658" w14:textId="77777777" w:rsidR="00315667" w:rsidRDefault="00000000">
      <w:pPr>
        <w:pStyle w:val="Heading3"/>
      </w:pPr>
      <w:bookmarkStart w:id="103" w:name="_Toc239931039"/>
      <w:r>
        <w:t>Koorie Education Roundtables</w:t>
      </w:r>
      <w:bookmarkEnd w:id="103"/>
    </w:p>
    <w:p w14:paraId="5C8676DE" w14:textId="77777777" w:rsidR="00315667" w:rsidRDefault="00000000">
      <w:r>
        <w:t>Chaired by VAEAI.</w:t>
      </w:r>
    </w:p>
    <w:p w14:paraId="2D8B07E1" w14:textId="77777777" w:rsidR="00315667" w:rsidRDefault="00000000">
      <w:r>
        <w:t>Includes LAECGs, First Nations community members, local First Nations organisations, broad sector representation.</w:t>
      </w:r>
    </w:p>
    <w:p w14:paraId="49BA056D" w14:textId="77777777" w:rsidR="00315667" w:rsidRDefault="00000000">
      <w:r>
        <w:t>Purpose: The purpose of the roundtables is to ensure what matters to local communities is captured and responded to.</w:t>
      </w:r>
    </w:p>
    <w:p w14:paraId="006EF367" w14:textId="77777777" w:rsidR="00315667" w:rsidRDefault="00000000">
      <w:pPr>
        <w:pStyle w:val="Heading3"/>
      </w:pPr>
      <w:bookmarkStart w:id="104" w:name="_Toc239931040"/>
      <w:r>
        <w:t>Marrung Regional Partnership Forums</w:t>
      </w:r>
      <w:bookmarkEnd w:id="104"/>
    </w:p>
    <w:p w14:paraId="3B7C70DD" w14:textId="77777777" w:rsidR="00315667" w:rsidRDefault="00000000">
      <w:r>
        <w:t>Co-chaired by LAECG Chair and DE Regional Director.</w:t>
      </w:r>
    </w:p>
    <w:p w14:paraId="30029BD7" w14:textId="77777777" w:rsidR="00315667" w:rsidRDefault="00000000">
      <w:r>
        <w:t>Includes VAEAI, LAECGs, regional ACCOs, KYC, Regional DE Executive Directors, Koorie Education Director, VCEA, ISV, TAFEs, ACFE, relevant councils and Early Years Managers.</w:t>
      </w:r>
    </w:p>
    <w:p w14:paraId="6F2145F8" w14:textId="77777777" w:rsidR="00315667" w:rsidRDefault="00000000">
      <w:r>
        <w:t>Note: Inclusive of annual youth panel.</w:t>
      </w:r>
    </w:p>
    <w:p w14:paraId="6A862424" w14:textId="77777777" w:rsidR="00315667" w:rsidRDefault="00000000">
      <w:r>
        <w:t>Purpose: The purpose of these forums is to provide strong regional leadership and oversight, ensuring implementation of Marrung drives improvement for place-based outcomes.</w:t>
      </w:r>
    </w:p>
    <w:p w14:paraId="37256C65" w14:textId="77777777" w:rsidR="00315667" w:rsidRDefault="00000000">
      <w:pPr>
        <w:pStyle w:val="Heading3"/>
      </w:pPr>
      <w:bookmarkStart w:id="105" w:name="_Toc239931041"/>
      <w:r>
        <w:t>Marrung Project Board</w:t>
      </w:r>
      <w:bookmarkEnd w:id="105"/>
    </w:p>
    <w:p w14:paraId="31BC2713" w14:textId="77777777" w:rsidR="00315667" w:rsidRDefault="00000000">
      <w:r>
        <w:rPr>
          <w:b/>
        </w:rPr>
        <w:t>Monitoring</w:t>
      </w:r>
    </w:p>
    <w:p w14:paraId="1A33C937" w14:textId="77777777" w:rsidR="00315667" w:rsidRDefault="00000000">
      <w:r>
        <w:t>Co-chaired by VAEAI and FNSPP Deputy Secretary.</w:t>
      </w:r>
    </w:p>
    <w:p w14:paraId="4FBAF721" w14:textId="77777777" w:rsidR="00315667" w:rsidRDefault="00000000">
      <w:r>
        <w:t>Includes Executives from DE, DJSIR, ISV and VCEA.</w:t>
      </w:r>
    </w:p>
    <w:p w14:paraId="52A79703" w14:textId="77777777" w:rsidR="00315667" w:rsidRDefault="00000000">
      <w:r>
        <w:t>Note: Inclusive of working groups.</w:t>
      </w:r>
    </w:p>
    <w:p w14:paraId="025928C2" w14:textId="77777777" w:rsidR="00315667" w:rsidRDefault="00000000">
      <w:r>
        <w:lastRenderedPageBreak/>
        <w:t>Purpose: The purpose of the Project Board is to monitor the status of actions in Marrung 2026–2036 and provide high level governance and accountability.</w:t>
      </w:r>
    </w:p>
    <w:p w14:paraId="317D45B6" w14:textId="77777777" w:rsidR="00315667" w:rsidRDefault="00000000">
      <w:r>
        <w:t>In addition to formal governance outlined above, each department or sector representative will develop an implementation plan to progress actions according to their specific context, supported by relevant governance mechanisms (for example Koorie Skills Co-ordination Forum, Marrung Area Implementation Teams, ISV and VCEA equivalent).</w:t>
      </w:r>
    </w:p>
    <w:p w14:paraId="2DE8298B" w14:textId="77777777" w:rsidR="00BC3E97" w:rsidRDefault="00BC3E97" w:rsidP="00BC3E97">
      <w:pPr>
        <w:pStyle w:val="Heading1"/>
      </w:pPr>
      <w:bookmarkStart w:id="106" w:name="_Toc238720457"/>
      <w:bookmarkStart w:id="107" w:name="_Toc239931042"/>
      <w:bookmarkEnd w:id="106"/>
      <w:r>
        <w:t>‘Marrung 2026–2036’ commits to working holistically</w:t>
      </w:r>
      <w:bookmarkEnd w:id="107"/>
    </w:p>
    <w:p w14:paraId="3E8E7C7B" w14:textId="77777777" w:rsidR="00BC3E97" w:rsidRDefault="00BC3E97" w:rsidP="00BC3E97">
      <w:r>
        <w:t>‘Marrung 2026–2036’ operates within the broader context of local, state and national reforms aimed at improving outcomes for First Nations peoples. This encompasses community-partnered initiatives addressing justice, disability inclusion, family violence and family wellbeing, all of which directly contribute to the success of First Nations learners.</w:t>
      </w:r>
    </w:p>
    <w:p w14:paraId="7B4A635B" w14:textId="77777777" w:rsidR="00BC3E97" w:rsidRDefault="00BC3E97" w:rsidP="00BC3E97">
      <w:r>
        <w:t xml:space="preserve">To ensure these broader commitments are actively integrated into the work, </w:t>
      </w:r>
      <w:proofErr w:type="spellStart"/>
      <w:r>
        <w:t>Marrung’s</w:t>
      </w:r>
      <w:proofErr w:type="spellEnd"/>
      <w:r>
        <w:t xml:space="preserve"> central governance mechanisms will include representatives from key forums, including the Dhelk Dja Forum, the Aboriginal Children’s Forum, the Aboriginal Justice Forum, and Yuma Yirramboi. This representation will support stronger coordination and alignment across related reform efforts, including the development of cross-referral pathways where identified issues can be more appropriately addressed through collaboration with key forums and departments.</w:t>
      </w:r>
    </w:p>
    <w:p w14:paraId="6FD290BE" w14:textId="77777777" w:rsidR="00BC3E97" w:rsidRDefault="00BC3E97" w:rsidP="00BC3E97">
      <w:r>
        <w:t>This approach recognises that many of the barriers experienced by First Nations learners intersect across education, health, wellbeing, child and family services, disability, housing and justice systems, and require coordinated responses across government. Additionally, to ensure coordinated action that responds to community priorities and strengthens alignment across government portfolios, governance will also include representation from the Department of Families, Fairness and Housing; the Department of Justice and Community Safety; and the Department of Health.</w:t>
      </w:r>
    </w:p>
    <w:p w14:paraId="7C07BE6F" w14:textId="77777777" w:rsidR="00315667" w:rsidRDefault="00000000">
      <w:r>
        <w:rPr>
          <w:b/>
        </w:rPr>
        <w:t>Strengthening Accountability</w:t>
      </w:r>
    </w:p>
    <w:p w14:paraId="50219A70" w14:textId="77777777" w:rsidR="00BC3E97" w:rsidRDefault="002414A0" w:rsidP="00BC3E97">
      <w:pPr>
        <w:pStyle w:val="Heading1"/>
      </w:pPr>
      <w:bookmarkStart w:id="108" w:name="_Toc238720458"/>
      <w:bookmarkStart w:id="109" w:name="_Toc239931043"/>
      <w:bookmarkEnd w:id="108"/>
      <w:r>
        <w:t>Outcomes Monitoring Framework</w:t>
      </w:r>
      <w:bookmarkEnd w:id="109"/>
    </w:p>
    <w:p w14:paraId="342EAD1B" w14:textId="77777777" w:rsidR="00BC3E97" w:rsidRDefault="00BC3E97" w:rsidP="00BC3E97">
      <w:r>
        <w:t>The outcomes monitoring framework for ‘Marrung 2026–2036’ will measure progress against key measures and targets. It will also include relational health measures and community-defined measures of success. ‘Marrung 2026–2036’ will assess strategy implementation and governance using the Victorian Aboriginal Affairs Self-Determination Continuum.</w:t>
      </w:r>
    </w:p>
    <w:p w14:paraId="7DB3A64B" w14:textId="77777777" w:rsidR="00BC3E97" w:rsidRDefault="00BC3E97" w:rsidP="00BC3E97">
      <w:pPr>
        <w:pStyle w:val="Heading2"/>
      </w:pPr>
      <w:bookmarkStart w:id="110" w:name="_Toc238720459"/>
      <w:bookmarkStart w:id="111" w:name="_Toc239931044"/>
      <w:bookmarkEnd w:id="110"/>
      <w:r>
        <w:t>Outcomes Monitoring Framework</w:t>
      </w:r>
      <w:bookmarkEnd w:id="111"/>
    </w:p>
    <w:p w14:paraId="6FFF8201" w14:textId="77777777" w:rsidR="00BC3E97" w:rsidRDefault="00BC3E97" w:rsidP="00BC3E97">
      <w:pPr>
        <w:pStyle w:val="Heading3"/>
      </w:pPr>
      <w:bookmarkStart w:id="112" w:name="_Toc238720460"/>
      <w:bookmarkStart w:id="113" w:name="_Toc239931045"/>
      <w:r>
        <w:t>Quantitative indicators</w:t>
      </w:r>
      <w:bookmarkEnd w:id="112"/>
      <w:bookmarkEnd w:id="113"/>
    </w:p>
    <w:p w14:paraId="382B5CD2" w14:textId="77777777" w:rsidR="00BC3E97" w:rsidRDefault="00BC3E97" w:rsidP="00BC3E97">
      <w:pPr>
        <w:pStyle w:val="ListBullet"/>
        <w:tabs>
          <w:tab w:val="num" w:pos="360"/>
        </w:tabs>
        <w:ind w:left="360" w:hanging="360"/>
      </w:pPr>
      <w:r>
        <w:t>Closing the Gap (CTG)</w:t>
      </w:r>
    </w:p>
    <w:p w14:paraId="7294B2E3" w14:textId="77777777" w:rsidR="00BC3E97" w:rsidRDefault="00BC3E97" w:rsidP="00BC3E97">
      <w:pPr>
        <w:pStyle w:val="ListBullet"/>
        <w:tabs>
          <w:tab w:val="num" w:pos="360"/>
        </w:tabs>
        <w:ind w:left="360" w:hanging="360"/>
      </w:pPr>
      <w:r>
        <w:t>Output Performance Measure (OPM)</w:t>
      </w:r>
    </w:p>
    <w:p w14:paraId="4D9F9D0F" w14:textId="77777777" w:rsidR="00BC3E97" w:rsidRDefault="00BC3E97" w:rsidP="00BC3E97">
      <w:pPr>
        <w:pStyle w:val="ListBullet"/>
        <w:tabs>
          <w:tab w:val="num" w:pos="360"/>
        </w:tabs>
        <w:ind w:left="360" w:hanging="360"/>
      </w:pPr>
      <w:r>
        <w:t>Victorian Aboriginal Affairs Framework (VAAF) measures</w:t>
      </w:r>
    </w:p>
    <w:p w14:paraId="7F59262E" w14:textId="77777777" w:rsidR="00BC3E97" w:rsidRDefault="00BC3E97" w:rsidP="00BC3E97">
      <w:pPr>
        <w:pStyle w:val="Heading3"/>
      </w:pPr>
      <w:bookmarkStart w:id="114" w:name="_Toc238720461"/>
      <w:bookmarkStart w:id="115" w:name="_Toc239931046"/>
      <w:r>
        <w:t>Community-defined measures of success</w:t>
      </w:r>
      <w:bookmarkEnd w:id="114"/>
      <w:bookmarkEnd w:id="115"/>
    </w:p>
    <w:p w14:paraId="1A1ABBD5" w14:textId="77777777" w:rsidR="00BC3E97" w:rsidRDefault="00BC3E97" w:rsidP="00BC3E97">
      <w:r>
        <w:t>Note: Further measures to be developed collaboratively with community after launch.</w:t>
      </w:r>
    </w:p>
    <w:p w14:paraId="0EA49D71" w14:textId="77777777" w:rsidR="00BC3E97" w:rsidRDefault="00BC3E97" w:rsidP="00BC3E97">
      <w:pPr>
        <w:pStyle w:val="Heading3"/>
      </w:pPr>
      <w:bookmarkStart w:id="116" w:name="_Toc238720462"/>
      <w:bookmarkStart w:id="117" w:name="_Toc239931047"/>
      <w:bookmarkEnd w:id="116"/>
      <w:r>
        <w:lastRenderedPageBreak/>
        <w:t>Relational Health Measures</w:t>
      </w:r>
      <w:bookmarkEnd w:id="117"/>
    </w:p>
    <w:p w14:paraId="5C38C154" w14:textId="77777777" w:rsidR="00BC3E97" w:rsidRDefault="00BC3E97" w:rsidP="00BC3E97">
      <w:pPr>
        <w:pStyle w:val="ListBullet"/>
        <w:tabs>
          <w:tab w:val="num" w:pos="360"/>
        </w:tabs>
        <w:ind w:left="360" w:hanging="360"/>
      </w:pPr>
      <w:r>
        <w:t>Trust (community perception of honesty and follow-through)</w:t>
      </w:r>
    </w:p>
    <w:p w14:paraId="085DA616" w14:textId="77777777" w:rsidR="00BC3E97" w:rsidRDefault="00BC3E97" w:rsidP="00BC3E97">
      <w:pPr>
        <w:pStyle w:val="ListBullet"/>
        <w:tabs>
          <w:tab w:val="num" w:pos="360"/>
        </w:tabs>
        <w:ind w:left="360" w:hanging="360"/>
      </w:pPr>
      <w:r>
        <w:t>Reciprocity (mutual benefit and respect in partnerships)</w:t>
      </w:r>
    </w:p>
    <w:p w14:paraId="0BB9430E" w14:textId="77777777" w:rsidR="00BC3E97" w:rsidRDefault="00BC3E97" w:rsidP="00BC3E97">
      <w:pPr>
        <w:pStyle w:val="ListBullet"/>
        <w:tabs>
          <w:tab w:val="num" w:pos="360"/>
        </w:tabs>
        <w:ind w:left="360" w:hanging="360"/>
      </w:pPr>
      <w:r>
        <w:t>Cultural safety (student and family experience)</w:t>
      </w:r>
    </w:p>
    <w:p w14:paraId="5D4E383E" w14:textId="77777777" w:rsidR="00BC3E97" w:rsidRDefault="00BC3E97" w:rsidP="00BC3E97">
      <w:pPr>
        <w:pStyle w:val="ListBullet"/>
        <w:tabs>
          <w:tab w:val="num" w:pos="360"/>
        </w:tabs>
        <w:ind w:left="360" w:hanging="360"/>
      </w:pPr>
      <w:r>
        <w:t>Shared authority (evidence of co-design and decision traceability)</w:t>
      </w:r>
    </w:p>
    <w:p w14:paraId="1CD0794B" w14:textId="77777777" w:rsidR="00BC3E97" w:rsidRDefault="00BC3E97" w:rsidP="00BC3E97">
      <w:pPr>
        <w:pStyle w:val="ListBullet"/>
        <w:tabs>
          <w:tab w:val="num" w:pos="360"/>
        </w:tabs>
        <w:ind w:left="360" w:hanging="360"/>
      </w:pPr>
      <w:r>
        <w:t>Responsiveness (timeliness of action on community advice)</w:t>
      </w:r>
    </w:p>
    <w:p w14:paraId="04C9F2C3" w14:textId="77777777" w:rsidR="00BC3E97" w:rsidRDefault="00BC3E97" w:rsidP="00BC3E97">
      <w:pPr>
        <w:pStyle w:val="Heading3"/>
      </w:pPr>
      <w:bookmarkStart w:id="118" w:name="_Toc238720463"/>
      <w:bookmarkStart w:id="119" w:name="_Toc239931048"/>
      <w:bookmarkEnd w:id="118"/>
      <w:r>
        <w:t>Self-Determination Continuum</w:t>
      </w:r>
      <w:bookmarkEnd w:id="119"/>
    </w:p>
    <w:p w14:paraId="5272E560" w14:textId="77777777" w:rsidR="00BC3E97" w:rsidRDefault="00BC3E97" w:rsidP="00BC3E97">
      <w:r>
        <w:t>Annual self-assessment by community Central Governance Committee members and community regional governance members.</w:t>
      </w:r>
    </w:p>
    <w:p w14:paraId="1CD6791B" w14:textId="77777777" w:rsidR="00BC3E97" w:rsidRDefault="00BC3E97" w:rsidP="00BC3E97">
      <w:pPr>
        <w:pStyle w:val="Heading3"/>
      </w:pPr>
      <w:bookmarkStart w:id="120" w:name="_Toc238720464"/>
      <w:bookmarkStart w:id="121" w:name="_Toc239931049"/>
      <w:bookmarkEnd w:id="120"/>
      <w:r>
        <w:t>Ongoing Development and Refinement</w:t>
      </w:r>
      <w:bookmarkEnd w:id="121"/>
    </w:p>
    <w:p w14:paraId="6AF0C37E" w14:textId="77777777" w:rsidR="00BC3E97" w:rsidRDefault="00BC3E97" w:rsidP="00BC3E97">
      <w:r>
        <w:t>Note: Two comprehensive reviews to be conducted over the 10-year life span of the strategy.</w:t>
      </w:r>
    </w:p>
    <w:p w14:paraId="3188ABF0" w14:textId="77777777" w:rsidR="00BC3E97" w:rsidRDefault="00BC3E97" w:rsidP="00BC3E97">
      <w:pPr>
        <w:pStyle w:val="Heading2"/>
      </w:pPr>
      <w:bookmarkStart w:id="122" w:name="_Toc238720465"/>
      <w:bookmarkStart w:id="123" w:name="_Toc239931050"/>
      <w:proofErr w:type="spellStart"/>
      <w:r>
        <w:t>Nginma</w:t>
      </w:r>
      <w:proofErr w:type="spellEnd"/>
      <w:r>
        <w:t xml:space="preserve"> </w:t>
      </w:r>
      <w:proofErr w:type="spellStart"/>
      <w:r>
        <w:t>Ngainga</w:t>
      </w:r>
      <w:proofErr w:type="spellEnd"/>
      <w:r>
        <w:t xml:space="preserve"> Wara</w:t>
      </w:r>
      <w:bookmarkEnd w:id="122"/>
      <w:bookmarkEnd w:id="123"/>
    </w:p>
    <w:p w14:paraId="6338F711" w14:textId="77777777" w:rsidR="00BC3E97" w:rsidRDefault="00BC3E97" w:rsidP="00BC3E97">
      <w:r>
        <w:t xml:space="preserve">Statewide Treaty establishes </w:t>
      </w:r>
      <w:proofErr w:type="spellStart"/>
      <w:r>
        <w:t>Nginma</w:t>
      </w:r>
      <w:proofErr w:type="spellEnd"/>
      <w:r>
        <w:t xml:space="preserve"> </w:t>
      </w:r>
      <w:proofErr w:type="spellStart"/>
      <w:r>
        <w:t>Ngainga</w:t>
      </w:r>
      <w:proofErr w:type="spellEnd"/>
      <w:r>
        <w:t xml:space="preserve"> Wara as the independent accountability mechanism of </w:t>
      </w:r>
      <w:proofErr w:type="spellStart"/>
      <w:r>
        <w:t>Gellung</w:t>
      </w:r>
      <w:proofErr w:type="spellEnd"/>
      <w:r>
        <w:t xml:space="preserve"> Warl to monitor, evaluate and ensure accountability for the effectiveness of the Victorian Government in achieving better outcomes for First Peoples.</w:t>
      </w:r>
    </w:p>
    <w:p w14:paraId="1B6B4210" w14:textId="77777777" w:rsidR="00BC3E97" w:rsidRDefault="00BC3E97" w:rsidP="00BC3E97">
      <w:r>
        <w:t>The outcomes monitoring framework for ‘Marrung 2026–2036’ is in place to inform continuous improvement throughout its implementation and will remain flexible to avoid duplication and ensure alignment with the work and functions of Nginma Ngainga Wara.</w:t>
      </w:r>
    </w:p>
    <w:p w14:paraId="7CD20F17" w14:textId="77777777" w:rsidR="00BC3E97" w:rsidRDefault="00BC3E97" w:rsidP="00BC3E97">
      <w:pPr>
        <w:pStyle w:val="Heading1"/>
      </w:pPr>
      <w:bookmarkStart w:id="124" w:name="_Toc238720466"/>
      <w:bookmarkStart w:id="125" w:name="_Toc239931051"/>
      <w:r>
        <w:t>New Relational Health Measures</w:t>
      </w:r>
      <w:bookmarkEnd w:id="124"/>
      <w:bookmarkEnd w:id="125"/>
    </w:p>
    <w:p w14:paraId="2199D6CD" w14:textId="77777777" w:rsidR="00BC3E97" w:rsidRDefault="00BC3E97" w:rsidP="00BC3E97">
      <w:r>
        <w:t>Relational health measures will be developed and reported annually alongside existing measures and targets. These relational health measures are critical and will ensure a focus on strengthening relationships and relational accountability.</w:t>
      </w:r>
    </w:p>
    <w:p w14:paraId="25D22A40" w14:textId="77777777" w:rsidR="00BC3E97" w:rsidRDefault="00BC3E97" w:rsidP="00BC3E97">
      <w:r>
        <w:t>To advance systemic transformation, education systems require relational accountability, where sectors are answerable both upward to government and outward to First Nations communities. Relational health measures are core indicators of success — not optional commitments — and can help build trust and reciprocity.</w:t>
      </w:r>
    </w:p>
    <w:p w14:paraId="0AABA06F" w14:textId="77777777" w:rsidR="00BC3E97" w:rsidRDefault="00BC3E97" w:rsidP="00BC3E97">
      <w:pPr>
        <w:pStyle w:val="Heading1"/>
      </w:pPr>
      <w:bookmarkStart w:id="126" w:name="_Toc238720467"/>
      <w:bookmarkStart w:id="127" w:name="_Toc239931052"/>
      <w:r>
        <w:t>Community-defined Measures of Success</w:t>
      </w:r>
      <w:bookmarkEnd w:id="126"/>
      <w:bookmarkEnd w:id="127"/>
    </w:p>
    <w:p w14:paraId="75368B3A" w14:textId="77777777" w:rsidR="00BC3E97" w:rsidRDefault="00BC3E97" w:rsidP="00BC3E97">
      <w:r>
        <w:t>Community have made it clear that ‘Marrung 2026–2036’ needs to include success measures defined by community, focusing on aspiration and what community views as important.</w:t>
      </w:r>
    </w:p>
    <w:p w14:paraId="48882628" w14:textId="77777777" w:rsidR="00BC3E97" w:rsidRDefault="00BC3E97" w:rsidP="00BC3E97">
      <w:r>
        <w:t>Through extensive community feedback involving Local Aboriginal Education Consultative Groups, ACCOs, Registered Aboriginal Parties, and community members across Victoria, the following key themes and messaging reflect what community have long been advocating for.</w:t>
      </w:r>
    </w:p>
    <w:p w14:paraId="2A2CB090" w14:textId="77777777" w:rsidR="00BC3E97" w:rsidRDefault="00BC3E97" w:rsidP="00BC3E97">
      <w:pPr>
        <w:pStyle w:val="Heading2"/>
      </w:pPr>
      <w:bookmarkStart w:id="128" w:name="_Toc238720468"/>
      <w:bookmarkStart w:id="129" w:name="_Toc239931053"/>
      <w:bookmarkEnd w:id="128"/>
      <w:r>
        <w:lastRenderedPageBreak/>
        <w:t>1 Cultural safety, belonging and holistic definitions of success</w:t>
      </w:r>
      <w:bookmarkEnd w:id="129"/>
    </w:p>
    <w:p w14:paraId="0F7E4A99" w14:textId="77777777" w:rsidR="00BC3E97" w:rsidRDefault="00BC3E97" w:rsidP="00BC3E97">
      <w:r>
        <w:t>Education programs for First Nations learners are most effective when First Nations knowledge, language and perspectives are embedded as core elements of learning, not treated as additions. This includes Aboriginal language education, learning on Country, and curriculum co-designed with local First Nations communities. Measures of engagement and achievement must move beyond narrow indicators such as standardised test scores to reflect a more holistic view of success. This includes learner wellbeing, cultural safety, belonging and identity. When identity, agency and relationships are embedded in the education system, stronger engagement and improved academic outcomes follow.</w:t>
      </w:r>
    </w:p>
    <w:p w14:paraId="7B009197" w14:textId="77777777" w:rsidR="00BC3E97" w:rsidRDefault="00BC3E97" w:rsidP="00BC3E97">
      <w:pPr>
        <w:pStyle w:val="Heading3"/>
      </w:pPr>
      <w:bookmarkStart w:id="130" w:name="_Toc238720469"/>
      <w:bookmarkStart w:id="131" w:name="_Toc239931054"/>
      <w:r>
        <w:t>Measures</w:t>
      </w:r>
      <w:bookmarkEnd w:id="130"/>
      <w:bookmarkEnd w:id="131"/>
    </w:p>
    <w:p w14:paraId="5FDE4F08" w14:textId="77777777" w:rsidR="00BC3E97" w:rsidRDefault="00BC3E97" w:rsidP="00BC3E97">
      <w:pPr>
        <w:pStyle w:val="ListNumber"/>
        <w:numPr>
          <w:ilvl w:val="0"/>
          <w:numId w:val="55"/>
        </w:numPr>
      </w:pPr>
      <w:r>
        <w:t>Proportion of First Nations learners reporting feeling culturally safe and a sense of belonging in their school or adult learning environment, and families reporting their early childhood education service is culturally safe and their children feel a sense of belonging.</w:t>
      </w:r>
    </w:p>
    <w:p w14:paraId="6E8AC570" w14:textId="77777777" w:rsidR="00BC3E97" w:rsidRDefault="00BC3E97" w:rsidP="00BC3E97">
      <w:pPr>
        <w:pStyle w:val="ListNumber"/>
        <w:numPr>
          <w:ilvl w:val="0"/>
          <w:numId w:val="55"/>
        </w:numPr>
      </w:pPr>
      <w:r>
        <w:t>Number of education initiatives that are co-designed, community-led, or delivered in partnership with local First Nations community.</w:t>
      </w:r>
    </w:p>
    <w:p w14:paraId="5CC54A3A" w14:textId="77777777" w:rsidR="00BC3E97" w:rsidRDefault="00BC3E97" w:rsidP="00BC3E97">
      <w:pPr>
        <w:pStyle w:val="ListNumber"/>
        <w:numPr>
          <w:ilvl w:val="0"/>
          <w:numId w:val="55"/>
        </w:numPr>
      </w:pPr>
      <w:r>
        <w:t>Proportion of learners who feel confident to identify as First Nations in their school or adult learning environment.</w:t>
      </w:r>
    </w:p>
    <w:p w14:paraId="17BD8CAF" w14:textId="77777777" w:rsidR="00BC3E97" w:rsidRDefault="00BC3E97" w:rsidP="00BC3E97">
      <w:pPr>
        <w:pStyle w:val="Heading2"/>
      </w:pPr>
      <w:bookmarkStart w:id="132" w:name="_Toc238720470"/>
      <w:bookmarkStart w:id="133" w:name="_Toc239931055"/>
      <w:bookmarkEnd w:id="132"/>
      <w:r>
        <w:t>2 Community ownership and governance</w:t>
      </w:r>
      <w:bookmarkEnd w:id="133"/>
    </w:p>
    <w:p w14:paraId="5DCAC17B" w14:textId="77777777" w:rsidR="00BC3E97" w:rsidRDefault="00BC3E97" w:rsidP="00BC3E97">
      <w:r>
        <w:t>Education outcomes for First Nations learners improve when local First Nations communities have real input into curriculum and learning frameworks, education priorities and governance. This includes community having confidence in the leadership, governance and daily management of educational services. Success is measured by community trust, engagement and long-term continuity (not just short-term academic gains).</w:t>
      </w:r>
    </w:p>
    <w:p w14:paraId="466D7675" w14:textId="77777777" w:rsidR="00BC3E97" w:rsidRDefault="00BC3E97" w:rsidP="00BC3E97">
      <w:pPr>
        <w:pStyle w:val="Heading3"/>
      </w:pPr>
      <w:bookmarkStart w:id="134" w:name="_Toc238720471"/>
      <w:bookmarkStart w:id="135" w:name="_Toc239931056"/>
      <w:r>
        <w:t>Measures</w:t>
      </w:r>
      <w:bookmarkEnd w:id="134"/>
      <w:bookmarkEnd w:id="135"/>
    </w:p>
    <w:p w14:paraId="70663A1F" w14:textId="77777777" w:rsidR="00BC3E97" w:rsidRDefault="00BC3E97" w:rsidP="00BC3E97">
      <w:pPr>
        <w:pStyle w:val="ListNumber"/>
        <w:numPr>
          <w:ilvl w:val="0"/>
          <w:numId w:val="56"/>
        </w:numPr>
      </w:pPr>
      <w:r>
        <w:t>Percentage of First Nations families and carers reporting trust and confidence in education leadership.</w:t>
      </w:r>
    </w:p>
    <w:p w14:paraId="1CD0AC61" w14:textId="77777777" w:rsidR="00BC3E97" w:rsidRDefault="00BC3E97" w:rsidP="00BC3E97">
      <w:pPr>
        <w:pStyle w:val="ListNumber"/>
        <w:numPr>
          <w:ilvl w:val="0"/>
          <w:numId w:val="56"/>
        </w:numPr>
      </w:pPr>
      <w:r>
        <w:t>Percentage of First Nations Marrung CGC community members reporting trust and confidence in governance and decision-making processes.</w:t>
      </w:r>
    </w:p>
    <w:p w14:paraId="0C71B51F" w14:textId="77777777" w:rsidR="00BC3E97" w:rsidRDefault="00BC3E97" w:rsidP="00BC3E97">
      <w:pPr>
        <w:pStyle w:val="ListNumber"/>
        <w:numPr>
          <w:ilvl w:val="0"/>
          <w:numId w:val="56"/>
        </w:numPr>
      </w:pPr>
      <w:r>
        <w:t>Number of LAECGs who report that local education settings meaningfully involve community in decision making.</w:t>
      </w:r>
    </w:p>
    <w:p w14:paraId="013E1C5D" w14:textId="77777777" w:rsidR="00BC3E97" w:rsidRDefault="00BC3E97" w:rsidP="00BC3E97">
      <w:pPr>
        <w:pStyle w:val="Heading2"/>
      </w:pPr>
      <w:bookmarkStart w:id="136" w:name="_Toc238720472"/>
      <w:bookmarkStart w:id="137" w:name="_Toc239931057"/>
      <w:bookmarkEnd w:id="136"/>
      <w:r>
        <w:t>3 Anti-racism system accountability and culturally responsive teaching</w:t>
      </w:r>
      <w:bookmarkEnd w:id="137"/>
    </w:p>
    <w:p w14:paraId="46D2D4CE" w14:textId="77777777" w:rsidR="00BC3E97" w:rsidRDefault="00BC3E97" w:rsidP="00BC3E97">
      <w:r>
        <w:t xml:space="preserve">Education services must be culturally safe environments for First Nations learners, families and communities. Educators across systems need to demonstrate the skills required to identify racism and know how to deal with it. Educators need to have access to appropriate professional learning to address racism. There must be clear processes for dealing with racism at all levels. Educators who build strong, respectful relationships with First Nations students, families and communities generally see better learner engagement and achievement. Success is seen through stronger participation, reduced disciplinary issues and improved learning outcomes. High-impact education systems invest heavily in teacher </w:t>
      </w:r>
      <w:r>
        <w:lastRenderedPageBreak/>
        <w:t>capability — with a focus on cultural competence and relational teaching and learning practice — in addition to content knowledge.</w:t>
      </w:r>
    </w:p>
    <w:p w14:paraId="213AC572" w14:textId="77777777" w:rsidR="00BC3E97" w:rsidRDefault="00BC3E97" w:rsidP="00BC3E97">
      <w:pPr>
        <w:pStyle w:val="Heading3"/>
      </w:pPr>
      <w:bookmarkStart w:id="138" w:name="_Toc238720473"/>
      <w:bookmarkStart w:id="139" w:name="_Toc239931058"/>
      <w:r>
        <w:t>Measures</w:t>
      </w:r>
      <w:bookmarkEnd w:id="138"/>
      <w:bookmarkEnd w:id="139"/>
    </w:p>
    <w:p w14:paraId="66B566DA" w14:textId="77777777" w:rsidR="00BC3E97" w:rsidRDefault="00BC3E97" w:rsidP="00BC3E97">
      <w:pPr>
        <w:pStyle w:val="ListNumber"/>
        <w:numPr>
          <w:ilvl w:val="0"/>
          <w:numId w:val="57"/>
        </w:numPr>
      </w:pPr>
      <w:r>
        <w:t>Number of staff engaged in professional learning focusing on cultural safety and responsiveness, including Child Safe Standard 1.</w:t>
      </w:r>
    </w:p>
    <w:p w14:paraId="58379B20" w14:textId="77777777" w:rsidR="00BC3E97" w:rsidRDefault="00BC3E97" w:rsidP="00BC3E97">
      <w:pPr>
        <w:pStyle w:val="ListNumber"/>
        <w:numPr>
          <w:ilvl w:val="0"/>
          <w:numId w:val="57"/>
        </w:numPr>
      </w:pPr>
      <w:r>
        <w:t>Proportion of educators and teachers reporting improved understanding and appreciation of First Nations histories and perspectives after completing professional learning.</w:t>
      </w:r>
    </w:p>
    <w:p w14:paraId="684703F9" w14:textId="77777777" w:rsidR="00BC3E97" w:rsidRDefault="00BC3E97" w:rsidP="00BC3E97">
      <w:r>
        <w:t>This initial tranche of community-defined measures of success represents the beginning of an ongoing process, not a final or fixed set of measures. Through community conversations and partnership, ‘Marrung 2026–2036’ will continue to refine and expand these measures. This approach recognises that success must remain responsive to the voices, priorities and aspirations of First Nations learners, families and communities.</w:t>
      </w:r>
    </w:p>
    <w:p w14:paraId="07705023" w14:textId="77777777" w:rsidR="00BC3E97" w:rsidRDefault="00BC3E97" w:rsidP="00BC3E97">
      <w:pPr>
        <w:pStyle w:val="Heading1"/>
      </w:pPr>
      <w:bookmarkStart w:id="140" w:name="_Toc238720474"/>
      <w:bookmarkStart w:id="141" w:name="_Toc239931059"/>
      <w:r>
        <w:t>Measures and Targets</w:t>
      </w:r>
      <w:bookmarkEnd w:id="140"/>
      <w:bookmarkEnd w:id="141"/>
    </w:p>
    <w:p w14:paraId="7ABEF8AC" w14:textId="77777777" w:rsidR="00BC3E97" w:rsidRDefault="00BC3E97" w:rsidP="00BC3E97">
      <w:pPr>
        <w:pStyle w:val="Heading2"/>
      </w:pPr>
      <w:bookmarkStart w:id="142" w:name="_Toc238720475"/>
      <w:bookmarkStart w:id="143" w:name="_Toc239931060"/>
      <w:r>
        <w:t>Budget Paper 3 Output Performance Measures</w:t>
      </w:r>
      <w:bookmarkEnd w:id="142"/>
      <w:bookmarkEnd w:id="143"/>
    </w:p>
    <w:p w14:paraId="0B56D3E7" w14:textId="77777777" w:rsidR="00BC3E97" w:rsidRDefault="00BC3E97" w:rsidP="00BC3E97">
      <w:pPr>
        <w:pStyle w:val="Heading3"/>
      </w:pPr>
      <w:bookmarkStart w:id="144" w:name="_Toc238720476"/>
      <w:bookmarkStart w:id="145" w:name="_Toc239931061"/>
      <w:r>
        <w:t>Kindergarten measures</w:t>
      </w:r>
      <w:bookmarkEnd w:id="144"/>
      <w:bookmarkEnd w:id="145"/>
    </w:p>
    <w:p w14:paraId="1D0BEA4F" w14:textId="77777777" w:rsidR="00BC3E97" w:rsidRDefault="00BC3E97" w:rsidP="00BC3E97">
      <w:pPr>
        <w:pStyle w:val="ListBullet"/>
        <w:tabs>
          <w:tab w:val="num" w:pos="360"/>
        </w:tabs>
        <w:ind w:left="360" w:hanging="360"/>
      </w:pPr>
      <w:r>
        <w:t>Aboriginal children funded to participate in kindergarten in the year before school</w:t>
      </w:r>
    </w:p>
    <w:p w14:paraId="6D28A4AD" w14:textId="77777777" w:rsidR="00BC3E97" w:rsidRDefault="00BC3E97" w:rsidP="00BC3E97">
      <w:pPr>
        <w:pStyle w:val="ListBullet"/>
        <w:tabs>
          <w:tab w:val="num" w:pos="360"/>
        </w:tabs>
        <w:ind w:left="360" w:hanging="360"/>
      </w:pPr>
      <w:r>
        <w:t>Kindergarten participation rate for Aboriginal children in the year two years before school</w:t>
      </w:r>
    </w:p>
    <w:p w14:paraId="4B4261BB" w14:textId="77777777" w:rsidR="00BC3E97" w:rsidRDefault="00BC3E97" w:rsidP="00BC3E97">
      <w:pPr>
        <w:pStyle w:val="ListBullet"/>
        <w:tabs>
          <w:tab w:val="num" w:pos="360"/>
        </w:tabs>
        <w:ind w:left="360" w:hanging="360"/>
      </w:pPr>
      <w:r>
        <w:t>Kindergarten participation rate for Aboriginal children in the two years before school</w:t>
      </w:r>
    </w:p>
    <w:p w14:paraId="4CAC1787" w14:textId="77777777" w:rsidR="00BC3E97" w:rsidRDefault="00BC3E97" w:rsidP="00BC3E97">
      <w:pPr>
        <w:pStyle w:val="Heading3"/>
      </w:pPr>
      <w:bookmarkStart w:id="146" w:name="_Toc238720477"/>
      <w:bookmarkStart w:id="147" w:name="_Toc239931062"/>
      <w:bookmarkEnd w:id="146"/>
      <w:r>
        <w:t>Attendance measures*</w:t>
      </w:r>
      <w:bookmarkEnd w:id="147"/>
    </w:p>
    <w:p w14:paraId="010F72A9" w14:textId="77777777" w:rsidR="00BC3E97" w:rsidRDefault="00BC3E97" w:rsidP="00BC3E97">
      <w:pPr>
        <w:pStyle w:val="ListBullet"/>
        <w:tabs>
          <w:tab w:val="num" w:pos="360"/>
        </w:tabs>
        <w:ind w:left="360" w:hanging="360"/>
      </w:pPr>
      <w:r>
        <w:t>Aboriginal student attendance rate, all schools, Years 1 to 6</w:t>
      </w:r>
    </w:p>
    <w:p w14:paraId="48AE5DFD" w14:textId="77777777" w:rsidR="00BC3E97" w:rsidRDefault="00BC3E97" w:rsidP="00BC3E97">
      <w:pPr>
        <w:pStyle w:val="ListBullet"/>
        <w:tabs>
          <w:tab w:val="num" w:pos="360"/>
        </w:tabs>
        <w:ind w:left="360" w:hanging="360"/>
      </w:pPr>
      <w:r>
        <w:t>Aboriginal student attendance rate, all schools, Years 7 to 10</w:t>
      </w:r>
    </w:p>
    <w:p w14:paraId="64588D46" w14:textId="77777777" w:rsidR="00BC3E97" w:rsidRDefault="00BC3E97" w:rsidP="00BC3E97">
      <w:pPr>
        <w:pStyle w:val="Heading3"/>
      </w:pPr>
      <w:bookmarkStart w:id="148" w:name="_Toc238720478"/>
      <w:bookmarkStart w:id="149" w:name="_Toc239931063"/>
      <w:bookmarkEnd w:id="148"/>
      <w:r>
        <w:t>NAPLAN measures*</w:t>
      </w:r>
      <w:bookmarkEnd w:id="149"/>
    </w:p>
    <w:p w14:paraId="34309DFB" w14:textId="20D16598" w:rsidR="00BC3E97" w:rsidRDefault="00BC3E97" w:rsidP="00BC3E97">
      <w:pPr>
        <w:pStyle w:val="ListBullet"/>
        <w:tabs>
          <w:tab w:val="num" w:pos="360"/>
        </w:tabs>
        <w:ind w:left="360" w:hanging="360"/>
      </w:pPr>
      <w:r>
        <w:t>Percentage of Aboriginal students strong and exceeding in Year</w:t>
      </w:r>
      <w:r w:rsidR="00C11A7A">
        <w:t>s</w:t>
      </w:r>
      <w:r>
        <w:t xml:space="preserve"> 3</w:t>
      </w:r>
      <w:r w:rsidR="00C11A7A">
        <w:t>, 5, 7 and 9</w:t>
      </w:r>
      <w:r>
        <w:t xml:space="preserve"> </w:t>
      </w:r>
      <w:r w:rsidR="00C11A7A">
        <w:t xml:space="preserve">in </w:t>
      </w:r>
      <w:r>
        <w:t>Numeracy</w:t>
      </w:r>
    </w:p>
    <w:p w14:paraId="79723B32" w14:textId="7C6BBB91" w:rsidR="00BC3E97" w:rsidRDefault="00BC3E97" w:rsidP="00C11A7A">
      <w:pPr>
        <w:pStyle w:val="ListBullet"/>
        <w:tabs>
          <w:tab w:val="num" w:pos="360"/>
        </w:tabs>
        <w:ind w:left="360" w:hanging="360"/>
      </w:pPr>
      <w:r>
        <w:t xml:space="preserve">Percentage of Aboriginal students strong and exceeding in Year </w:t>
      </w:r>
      <w:r w:rsidR="00C11A7A">
        <w:t>3, 5, 7 and 9 in</w:t>
      </w:r>
      <w:r>
        <w:t xml:space="preserve"> Reading</w:t>
      </w:r>
    </w:p>
    <w:p w14:paraId="2E55D431" w14:textId="77777777" w:rsidR="00BC3E97" w:rsidRDefault="00BC3E97" w:rsidP="00BC3E97">
      <w:pPr>
        <w:pStyle w:val="Heading2"/>
      </w:pPr>
      <w:bookmarkStart w:id="150" w:name="_Toc238720479"/>
      <w:bookmarkStart w:id="151" w:name="_Toc239931064"/>
      <w:bookmarkEnd w:id="150"/>
      <w:r>
        <w:t>Closing the Gap Targets</w:t>
      </w:r>
      <w:bookmarkEnd w:id="151"/>
    </w:p>
    <w:p w14:paraId="2DBA2C5A" w14:textId="77777777" w:rsidR="00BC3E97" w:rsidRDefault="00BC3E97" w:rsidP="00BC3E97">
      <w:pPr>
        <w:pStyle w:val="Heading3"/>
      </w:pPr>
      <w:bookmarkStart w:id="152" w:name="_Toc238720480"/>
      <w:bookmarkStart w:id="153" w:name="_Toc239931065"/>
      <w:bookmarkEnd w:id="152"/>
      <w:r>
        <w:t>Outcome 3</w:t>
      </w:r>
      <w:bookmarkEnd w:id="153"/>
    </w:p>
    <w:p w14:paraId="5A443649" w14:textId="77777777" w:rsidR="00315667" w:rsidRDefault="00000000">
      <w:r>
        <w:rPr>
          <w:b/>
        </w:rPr>
        <w:t>Children engaged in high-quality, culturally appropriate early childhood education</w:t>
      </w:r>
    </w:p>
    <w:p w14:paraId="05E37433" w14:textId="77777777" w:rsidR="00BC3E97" w:rsidRDefault="00BC3E97" w:rsidP="00BC3E97">
      <w:r>
        <w:t>a. By 2031, increase the proportion of Aboriginal and Torres Strait Islander children enrolled in YBFS early childhood education to 95%.</w:t>
      </w:r>
    </w:p>
    <w:p w14:paraId="01ED8EAA" w14:textId="77777777" w:rsidR="00315667" w:rsidRDefault="00000000">
      <w:r>
        <w:t>b. By 2031, increase the proportion of Aboriginal and Torres Strait Islander children attending 480 hours of YBFS early childhood education to 80%.</w:t>
      </w:r>
    </w:p>
    <w:p w14:paraId="1186C3D6" w14:textId="77777777" w:rsidR="00BC3E97" w:rsidRDefault="00BC3E97" w:rsidP="00BC3E97">
      <w:pPr>
        <w:pStyle w:val="Heading3"/>
      </w:pPr>
      <w:bookmarkStart w:id="154" w:name="_Toc238720481"/>
      <w:bookmarkStart w:id="155" w:name="_Toc239931066"/>
      <w:bookmarkEnd w:id="154"/>
      <w:r>
        <w:t>Outcome 4</w:t>
      </w:r>
      <w:bookmarkEnd w:id="155"/>
    </w:p>
    <w:p w14:paraId="7A13A56F" w14:textId="77777777" w:rsidR="00315667" w:rsidRDefault="00000000">
      <w:r>
        <w:rPr>
          <w:b/>
        </w:rPr>
        <w:t>Children thriving</w:t>
      </w:r>
    </w:p>
    <w:p w14:paraId="5EBE891C" w14:textId="77777777" w:rsidR="00BC3E97" w:rsidRDefault="00BC3E97" w:rsidP="00BC3E97">
      <w:r>
        <w:lastRenderedPageBreak/>
        <w:t>By 2031, increase the proportion of Aboriginal and Torres Strait Islander children assessed as developmentally on track in all five domains of the Australian Early Development Census (AEDC) to 55%.*</w:t>
      </w:r>
    </w:p>
    <w:p w14:paraId="4E9EE5B1" w14:textId="77777777" w:rsidR="00BC3E97" w:rsidRDefault="00BC3E97" w:rsidP="00BC3E97">
      <w:pPr>
        <w:pStyle w:val="Heading3"/>
      </w:pPr>
      <w:bookmarkStart w:id="156" w:name="_Toc238720482"/>
      <w:bookmarkStart w:id="157" w:name="_Toc239931067"/>
      <w:bookmarkEnd w:id="156"/>
      <w:r>
        <w:t>Outcome 5</w:t>
      </w:r>
      <w:bookmarkEnd w:id="157"/>
    </w:p>
    <w:p w14:paraId="40DE8E11" w14:textId="77777777" w:rsidR="00315667" w:rsidRDefault="00000000">
      <w:r>
        <w:rPr>
          <w:b/>
        </w:rPr>
        <w:t>Student learning potential</w:t>
      </w:r>
    </w:p>
    <w:p w14:paraId="34FD090E" w14:textId="77777777" w:rsidR="00BC3E97" w:rsidRDefault="00BC3E97" w:rsidP="00BC3E97">
      <w:r>
        <w:t>By 2031, increase the proportion of Aboriginal and Torres Strait Islander people (age 20 to 24) attaining year 12 or equivalent qualification to 96%.</w:t>
      </w:r>
    </w:p>
    <w:p w14:paraId="6A51209F" w14:textId="77777777" w:rsidR="00BC3E97" w:rsidRDefault="00BC3E97" w:rsidP="00BC3E97">
      <w:pPr>
        <w:pStyle w:val="Heading3"/>
      </w:pPr>
      <w:bookmarkStart w:id="158" w:name="_Toc238720483"/>
      <w:bookmarkStart w:id="159" w:name="_Toc239931068"/>
      <w:bookmarkEnd w:id="158"/>
      <w:r>
        <w:t>Outcome 6</w:t>
      </w:r>
      <w:bookmarkEnd w:id="159"/>
    </w:p>
    <w:p w14:paraId="455D58FD" w14:textId="77777777" w:rsidR="00315667" w:rsidRDefault="00000000">
      <w:r>
        <w:rPr>
          <w:b/>
        </w:rPr>
        <w:t>Further education pathways</w:t>
      </w:r>
    </w:p>
    <w:p w14:paraId="292BCAF6" w14:textId="77777777" w:rsidR="00BC3E97" w:rsidRDefault="00BC3E97" w:rsidP="00BC3E97">
      <w:r>
        <w:t>By 2031, increase the proportion of Aboriginal and Torres Strait Islander people aged 25 to 34 years who have completed a tertiary qualification (Certificate III and above) to 70%.</w:t>
      </w:r>
    </w:p>
    <w:p w14:paraId="10160C2C" w14:textId="77777777" w:rsidR="00BC3E97" w:rsidRDefault="00BC3E97" w:rsidP="00BC3E97">
      <w:pPr>
        <w:pStyle w:val="Heading3"/>
      </w:pPr>
      <w:bookmarkStart w:id="160" w:name="_Toc238720484"/>
      <w:bookmarkStart w:id="161" w:name="_Toc239931069"/>
      <w:bookmarkEnd w:id="160"/>
      <w:r>
        <w:t>Outcome 7</w:t>
      </w:r>
      <w:bookmarkEnd w:id="161"/>
    </w:p>
    <w:p w14:paraId="38DDAE6E" w14:textId="77777777" w:rsidR="00315667" w:rsidRDefault="00000000">
      <w:r>
        <w:rPr>
          <w:b/>
        </w:rPr>
        <w:t>Youth engagement</w:t>
      </w:r>
    </w:p>
    <w:p w14:paraId="2B797F83" w14:textId="77777777" w:rsidR="00BC3E97" w:rsidRDefault="00BC3E97" w:rsidP="00BC3E97">
      <w:r>
        <w:t>By 2031, increase the proportion of Aboriginal and Torres Strait Islander youth (15 to 24 years) who are in employment, education or training to 67%.</w:t>
      </w:r>
    </w:p>
    <w:p w14:paraId="6F1D9E5A" w14:textId="77777777" w:rsidR="00315667" w:rsidRDefault="00000000">
      <w:r>
        <w:t>Note that* denotes targets and measures that are applicable across the school education system, including VCEA and ISV.</w:t>
      </w:r>
    </w:p>
    <w:p w14:paraId="5E50D3C3" w14:textId="77777777" w:rsidR="00BC3E97" w:rsidRDefault="00BC3E97" w:rsidP="00BC3E97">
      <w:pPr>
        <w:pStyle w:val="Heading2"/>
      </w:pPr>
      <w:bookmarkStart w:id="162" w:name="_Toc238720485"/>
      <w:bookmarkStart w:id="163" w:name="_Toc239931070"/>
      <w:bookmarkEnd w:id="162"/>
      <w:r>
        <w:t>Victorian Aboriginal Affairs Framework Measures</w:t>
      </w:r>
      <w:bookmarkEnd w:id="163"/>
    </w:p>
    <w:p w14:paraId="5DD8BD6C" w14:textId="77777777" w:rsidR="00BC3E97" w:rsidRDefault="00BC3E97" w:rsidP="00BC3E97">
      <w:pPr>
        <w:pStyle w:val="Heading3"/>
      </w:pPr>
      <w:bookmarkStart w:id="164" w:name="_Toc238720486"/>
      <w:bookmarkStart w:id="165" w:name="_Toc239931071"/>
      <w:bookmarkEnd w:id="164"/>
      <w:r>
        <w:t>Goal 4</w:t>
      </w:r>
      <w:r>
        <w:br/>
        <w:t>Aboriginal children thrive in the early years</w:t>
      </w:r>
      <w:bookmarkEnd w:id="165"/>
    </w:p>
    <w:p w14:paraId="5EE7D36A" w14:textId="77777777" w:rsidR="00BC3E97" w:rsidRDefault="00BC3E97" w:rsidP="00BC3E97">
      <w:r>
        <w:t>Measure 4.1.1: Number and proportion of eligible children enrolled in a funded 4-year old kindergarten program in the year before school</w:t>
      </w:r>
    </w:p>
    <w:p w14:paraId="7EA67B05" w14:textId="77777777" w:rsidR="00BC3E97" w:rsidRDefault="00BC3E97" w:rsidP="00BC3E97">
      <w:r>
        <w:t>Measure 4.1.2: Number of children funded to participate in Early Start Kindergarten and 3-Year-Old Kindergarten</w:t>
      </w:r>
    </w:p>
    <w:p w14:paraId="53CA7623" w14:textId="77777777" w:rsidR="00BC3E97" w:rsidRDefault="00BC3E97" w:rsidP="00BC3E97">
      <w:r>
        <w:t>Measure 4.1.3: Proportion of children vulnerable on one or more domain(s) on the AEDC*</w:t>
      </w:r>
    </w:p>
    <w:p w14:paraId="1922F85B" w14:textId="77777777" w:rsidR="00BC3E97" w:rsidRDefault="00BC3E97" w:rsidP="00BC3E97">
      <w:pPr>
        <w:pStyle w:val="Heading3"/>
      </w:pPr>
      <w:bookmarkStart w:id="166" w:name="_Toc238720487"/>
      <w:bookmarkStart w:id="167" w:name="_Toc239931072"/>
      <w:bookmarkEnd w:id="166"/>
      <w:r>
        <w:t>Goal 5</w:t>
      </w:r>
      <w:r>
        <w:br/>
        <w:t>Aboriginal learners excel at school</w:t>
      </w:r>
      <w:bookmarkEnd w:id="167"/>
    </w:p>
    <w:p w14:paraId="6D9E7427" w14:textId="77777777" w:rsidR="00BC3E97" w:rsidRDefault="00BC3E97" w:rsidP="00BC3E97">
      <w:r>
        <w:t>Measure 5.1.1: Percentage of students scoring strong or exceeding — Reading and Numeracy (NAPLAN) in years 3, 5, 7 and 9*</w:t>
      </w:r>
    </w:p>
    <w:p w14:paraId="72DAE5BD" w14:textId="77777777" w:rsidR="00BC3E97" w:rsidRDefault="00BC3E97" w:rsidP="00BC3E97">
      <w:r>
        <w:t>Measure 5.2.1: Proportion of students who feel connected to their school</w:t>
      </w:r>
    </w:p>
    <w:p w14:paraId="52AC8150" w14:textId="77777777" w:rsidR="00BC3E97" w:rsidRDefault="00BC3E97" w:rsidP="00BC3E97">
      <w:r>
        <w:t>Measure 5.2.2: Student attendance rates at government schools</w:t>
      </w:r>
    </w:p>
    <w:p w14:paraId="3EE9CB6E" w14:textId="77777777" w:rsidR="00BC3E97" w:rsidRDefault="00BC3E97" w:rsidP="00BC3E97">
      <w:r>
        <w:t>Measure 5.2.3: Number of Aboriginal people on school councils</w:t>
      </w:r>
    </w:p>
    <w:p w14:paraId="2A2E0DFC" w14:textId="77777777" w:rsidR="00BC3E97" w:rsidRDefault="00BC3E97" w:rsidP="00BC3E97">
      <w:r>
        <w:t>Measure 5.2.4: Proportion of students who report bullying at school</w:t>
      </w:r>
    </w:p>
    <w:p w14:paraId="43DB39EA" w14:textId="77777777" w:rsidR="00BC3E97" w:rsidRDefault="00BC3E97" w:rsidP="00BC3E97">
      <w:r>
        <w:lastRenderedPageBreak/>
        <w:t>Measure 5.2.5: Number and proportion of school based Aboriginal workers across all schools</w:t>
      </w:r>
    </w:p>
    <w:p w14:paraId="4C4996C8" w14:textId="77777777" w:rsidR="00BC3E97" w:rsidRDefault="00BC3E97" w:rsidP="00BC3E97">
      <w:r>
        <w:t>Measure 5.2.6: Number of schools teaching an Aboriginal language</w:t>
      </w:r>
    </w:p>
    <w:p w14:paraId="3E2A4927" w14:textId="77777777" w:rsidR="00BC3E97" w:rsidRDefault="00BC3E97" w:rsidP="00BC3E97">
      <w:r>
        <w:t>Measure 5.2.7: Number and proportion of government schools having undertaken CUST</w:t>
      </w:r>
    </w:p>
    <w:p w14:paraId="7745367B" w14:textId="77777777" w:rsidR="00BC3E97" w:rsidRDefault="00BC3E97" w:rsidP="00BC3E97">
      <w:pPr>
        <w:pStyle w:val="Heading3"/>
      </w:pPr>
      <w:bookmarkStart w:id="168" w:name="_Toc238720488"/>
      <w:bookmarkStart w:id="169" w:name="_Toc239931073"/>
      <w:bookmarkEnd w:id="168"/>
      <w:r>
        <w:t>Goal 6</w:t>
      </w:r>
      <w:r>
        <w:br/>
        <w:t>Aboriginal learners are engaged at school</w:t>
      </w:r>
      <w:bookmarkEnd w:id="169"/>
    </w:p>
    <w:p w14:paraId="3547FA4E" w14:textId="77777777" w:rsidR="00BC3E97" w:rsidRDefault="00BC3E97" w:rsidP="00BC3E97">
      <w:r>
        <w:t>Measure 6.1.1: Proportion of young people aged 20 to 24 with Year 12 or equivalent</w:t>
      </w:r>
    </w:p>
    <w:p w14:paraId="255A5249" w14:textId="77777777" w:rsidR="00BC3E97" w:rsidRDefault="00BC3E97" w:rsidP="00BC3E97">
      <w:r>
        <w:t>Measure 6.1.2: Apparent retention rates for students in years 10 to 12*</w:t>
      </w:r>
    </w:p>
    <w:p w14:paraId="15138D18" w14:textId="77777777" w:rsidR="00BC3E97" w:rsidRDefault="00BC3E97" w:rsidP="00BC3E97">
      <w:r>
        <w:t>Measure 6.1.3: Number of Aboriginal students who complete the VCE including the VCE vocational major and who complete the Victorian Pathways Certificate*</w:t>
      </w:r>
    </w:p>
    <w:p w14:paraId="2A188BA4" w14:textId="77777777" w:rsidR="00BC3E97" w:rsidRDefault="00BC3E97" w:rsidP="00BC3E97">
      <w:pPr>
        <w:pStyle w:val="Heading3"/>
      </w:pPr>
      <w:bookmarkStart w:id="170" w:name="_Toc238720489"/>
      <w:bookmarkStart w:id="171" w:name="_Toc239931074"/>
      <w:bookmarkEnd w:id="170"/>
      <w:r>
        <w:t>Goal 7</w:t>
      </w:r>
      <w:r>
        <w:br/>
        <w:t>Aboriginal learners achieve their full potential after school</w:t>
      </w:r>
      <w:bookmarkEnd w:id="171"/>
    </w:p>
    <w:p w14:paraId="0AB1D5B8" w14:textId="77777777" w:rsidR="00BC3E97" w:rsidRDefault="00BC3E97" w:rsidP="00BC3E97">
      <w:r>
        <w:t>Measure 7.1.1: Destination of Year 12 Completers*</w:t>
      </w:r>
    </w:p>
    <w:p w14:paraId="63609DBA" w14:textId="77777777" w:rsidR="00BC3E97" w:rsidRDefault="00BC3E97" w:rsidP="00BC3E97">
      <w:r>
        <w:t>Measure 7.1.2: Proportion of 17 to 24 year-old school leavers participating in full-time education and training, and or employment</w:t>
      </w:r>
    </w:p>
    <w:p w14:paraId="0C8FD705" w14:textId="77777777" w:rsidR="00BC3E97" w:rsidRDefault="00BC3E97" w:rsidP="00BC3E97">
      <w:r>
        <w:t>Measure 7.1.3</w:t>
      </w:r>
    </w:p>
    <w:p w14:paraId="05388441" w14:textId="77777777" w:rsidR="00315667" w:rsidRDefault="00000000">
      <w:r>
        <w:t>Tertiary education participation and completion:</w:t>
      </w:r>
    </w:p>
    <w:p w14:paraId="6436763F" w14:textId="77777777" w:rsidR="00315667" w:rsidRDefault="00000000">
      <w:pPr>
        <w:pStyle w:val="ListBullet"/>
      </w:pPr>
      <w:r>
        <w:t>7.1.3a: VET participation rate</w:t>
      </w:r>
    </w:p>
    <w:p w14:paraId="1863376A" w14:textId="77777777" w:rsidR="00315667" w:rsidRDefault="00000000">
      <w:pPr>
        <w:pStyle w:val="ListBullet"/>
      </w:pPr>
      <w:r>
        <w:t>7.1.3b: university participation rate</w:t>
      </w:r>
    </w:p>
    <w:p w14:paraId="31519FE5" w14:textId="77777777" w:rsidR="00315667" w:rsidRDefault="00000000">
      <w:pPr>
        <w:pStyle w:val="ListBullet"/>
      </w:pPr>
      <w:r>
        <w:t>7.1.3c: VET course completion rate</w:t>
      </w:r>
    </w:p>
    <w:p w14:paraId="236FEB7C" w14:textId="77777777" w:rsidR="00315667" w:rsidRDefault="00000000">
      <w:pPr>
        <w:pStyle w:val="ListBullet"/>
      </w:pPr>
      <w:r>
        <w:t>7.1.3d: university course completion rate</w:t>
      </w:r>
    </w:p>
    <w:p w14:paraId="17A9BEFA" w14:textId="77777777" w:rsidR="00BC3E97" w:rsidRDefault="00BC3E97" w:rsidP="00BC3E97">
      <w:r>
        <w:t>Measure 7.1.4: Proportion of 20 to 64-year-olds with qualifications at Certificate III level or above.</w:t>
      </w:r>
    </w:p>
    <w:p w14:paraId="661048DF" w14:textId="77777777" w:rsidR="00BC3E97" w:rsidRDefault="00BC3E97" w:rsidP="00BC3E97">
      <w:r>
        <w:t>Measure 7.1.5: Proportion of 20 to 64-year-old government-funded and total VET graduates employed and/or in further study after training.</w:t>
      </w:r>
    </w:p>
    <w:p w14:paraId="19C87ADD" w14:textId="77777777" w:rsidR="00BC3E97" w:rsidRDefault="00BC3E97" w:rsidP="00BC3E97">
      <w:pPr>
        <w:pStyle w:val="Heading2"/>
      </w:pPr>
      <w:bookmarkStart w:id="172" w:name="_Toc238720490"/>
      <w:bookmarkStart w:id="173" w:name="_Toc239931075"/>
      <w:bookmarkEnd w:id="172"/>
      <w:r>
        <w:t>First Nations Languages</w:t>
      </w:r>
      <w:bookmarkEnd w:id="173"/>
    </w:p>
    <w:p w14:paraId="3B1E40AF" w14:textId="77777777" w:rsidR="00BC3E97" w:rsidRDefault="00BC3E97" w:rsidP="00BC3E97">
      <w:pPr>
        <w:pStyle w:val="ListBullet"/>
        <w:tabs>
          <w:tab w:val="num" w:pos="360"/>
        </w:tabs>
        <w:ind w:left="360" w:hanging="360"/>
      </w:pPr>
      <w:r>
        <w:t>Number of First Nations Early Childhood language programs funded through Early Years Language Program</w:t>
      </w:r>
    </w:p>
    <w:p w14:paraId="12A44F98" w14:textId="77777777" w:rsidR="00BC3E97" w:rsidRDefault="00BC3E97" w:rsidP="00BC3E97">
      <w:pPr>
        <w:pStyle w:val="ListBullet"/>
        <w:tabs>
          <w:tab w:val="num" w:pos="360"/>
        </w:tabs>
        <w:ind w:left="360" w:hanging="360"/>
      </w:pPr>
      <w:r>
        <w:t>Number of schools delivering a First Nations language as Language Other Than English</w:t>
      </w:r>
    </w:p>
    <w:p w14:paraId="448E41C6" w14:textId="77777777" w:rsidR="00BC3E97" w:rsidRDefault="00BC3E97" w:rsidP="00BC3E97">
      <w:pPr>
        <w:pStyle w:val="ListBullet"/>
        <w:tabs>
          <w:tab w:val="num" w:pos="360"/>
        </w:tabs>
        <w:ind w:left="360" w:hanging="360"/>
      </w:pPr>
      <w:r>
        <w:t>Number of completions for Certificate II and III: Learning an Australian First Nations Language, and Certificate IV: Teaching an Australian First Nations Language</w:t>
      </w:r>
    </w:p>
    <w:p w14:paraId="207E34AE" w14:textId="77777777" w:rsidR="00BC3E97" w:rsidRDefault="00BC3E97" w:rsidP="00BC3E97">
      <w:pPr>
        <w:pStyle w:val="ListBullet"/>
        <w:tabs>
          <w:tab w:val="num" w:pos="360"/>
        </w:tabs>
        <w:ind w:left="360" w:hanging="360"/>
      </w:pPr>
      <w:r>
        <w:t>Schools and early years services that the department funds the construction of, that are named in First Nations languages.</w:t>
      </w:r>
    </w:p>
    <w:p w14:paraId="24B7B255" w14:textId="77777777" w:rsidR="00BC3E97" w:rsidRDefault="00BC3E97" w:rsidP="00BC3E97">
      <w:pPr>
        <w:pStyle w:val="Heading2"/>
      </w:pPr>
      <w:bookmarkStart w:id="174" w:name="_Toc238720491"/>
      <w:bookmarkStart w:id="175" w:name="_Toc239931076"/>
      <w:bookmarkEnd w:id="174"/>
      <w:r>
        <w:t>Tertiary Measures</w:t>
      </w:r>
      <w:bookmarkEnd w:id="175"/>
    </w:p>
    <w:p w14:paraId="3641266B" w14:textId="77777777" w:rsidR="00BC3E97" w:rsidRDefault="00BC3E97" w:rsidP="00BC3E97">
      <w:pPr>
        <w:pStyle w:val="ListBullet"/>
        <w:tabs>
          <w:tab w:val="num" w:pos="360"/>
        </w:tabs>
        <w:ind w:left="360" w:hanging="360"/>
      </w:pPr>
      <w:r>
        <w:t>Proportion of Victorian First Nations young people aged 15 to 24 who are engaged in employment, education or training.</w:t>
      </w:r>
    </w:p>
    <w:p w14:paraId="7C6BB1E8" w14:textId="77777777" w:rsidR="00BC3E97" w:rsidRDefault="00BC3E97" w:rsidP="00BC3E97">
      <w:pPr>
        <w:pStyle w:val="ListBullet"/>
        <w:tabs>
          <w:tab w:val="num" w:pos="360"/>
        </w:tabs>
        <w:ind w:left="360" w:hanging="360"/>
      </w:pPr>
      <w:r>
        <w:t>Proportion of people aged 25 to 34 who have Certificate III and higher</w:t>
      </w:r>
    </w:p>
    <w:p w14:paraId="4A9505B8" w14:textId="77777777" w:rsidR="00BC3E97" w:rsidRDefault="00BC3E97" w:rsidP="00BC3E97">
      <w:pPr>
        <w:pStyle w:val="ListBullet"/>
        <w:tabs>
          <w:tab w:val="num" w:pos="360"/>
        </w:tabs>
        <w:ind w:left="360" w:hanging="360"/>
      </w:pPr>
      <w:r>
        <w:lastRenderedPageBreak/>
        <w:t>Proportion of First Nations learners enrolled in tertiary education (AQF Certificate III and above)</w:t>
      </w:r>
    </w:p>
    <w:p w14:paraId="5209482C" w14:textId="77777777" w:rsidR="00BC3E97" w:rsidRDefault="00BC3E97" w:rsidP="00BC3E97">
      <w:pPr>
        <w:pStyle w:val="ListBullet"/>
        <w:tabs>
          <w:tab w:val="num" w:pos="360"/>
        </w:tabs>
        <w:ind w:left="360" w:hanging="360"/>
      </w:pPr>
      <w:r>
        <w:t>Proportion of First Nations VET completers who are satisfied with training</w:t>
      </w:r>
    </w:p>
    <w:p w14:paraId="4922A224" w14:textId="77777777" w:rsidR="00BC3E97" w:rsidRDefault="00BC3E97" w:rsidP="00BC3E97">
      <w:pPr>
        <w:pStyle w:val="ListBullet"/>
        <w:tabs>
          <w:tab w:val="num" w:pos="360"/>
        </w:tabs>
        <w:ind w:left="360" w:hanging="360"/>
      </w:pPr>
      <w:r>
        <w:t>Proportion of First Nations VET completers who are in employment after training</w:t>
      </w:r>
    </w:p>
    <w:p w14:paraId="50B316F8" w14:textId="77777777" w:rsidR="00BC3E97" w:rsidRDefault="00BC3E97" w:rsidP="00BC3E97">
      <w:pPr>
        <w:pStyle w:val="ListBullet"/>
        <w:tabs>
          <w:tab w:val="num" w:pos="360"/>
        </w:tabs>
        <w:ind w:left="360" w:hanging="360"/>
      </w:pPr>
      <w:r>
        <w:t>The proportion of First Nations VET completers who achieved their main reason for training</w:t>
      </w:r>
    </w:p>
    <w:p w14:paraId="01850469" w14:textId="77777777" w:rsidR="00BC3E97" w:rsidRDefault="00BC3E97" w:rsidP="00BC3E97">
      <w:pPr>
        <w:pStyle w:val="ListBullet"/>
        <w:tabs>
          <w:tab w:val="num" w:pos="360"/>
        </w:tabs>
        <w:ind w:left="360" w:hanging="360"/>
      </w:pPr>
      <w:r>
        <w:t>Completion rate for First Nations Apprentices</w:t>
      </w:r>
    </w:p>
    <w:p w14:paraId="6706DB3A" w14:textId="77777777" w:rsidR="00BC3E97" w:rsidRDefault="00BC3E97" w:rsidP="00BC3E97">
      <w:pPr>
        <w:pStyle w:val="ListBullet"/>
        <w:tabs>
          <w:tab w:val="num" w:pos="360"/>
        </w:tabs>
        <w:ind w:left="360" w:hanging="360"/>
      </w:pPr>
      <w:r>
        <w:t>Completion rate for First Nations VET learners (non-apprentices)</w:t>
      </w:r>
    </w:p>
    <w:p w14:paraId="0D152AEC" w14:textId="77777777" w:rsidR="00BC3E97" w:rsidRDefault="00BC3E97" w:rsidP="00BC3E97">
      <w:pPr>
        <w:pStyle w:val="ListBullet"/>
        <w:tabs>
          <w:tab w:val="num" w:pos="360"/>
        </w:tabs>
        <w:ind w:left="360" w:hanging="360"/>
      </w:pPr>
      <w:r>
        <w:t>Proportion of First Nations pre-accredited learners undertaking Learn Local training</w:t>
      </w:r>
    </w:p>
    <w:p w14:paraId="001C5F6D" w14:textId="77777777" w:rsidR="00BC3E97" w:rsidRDefault="00BC3E97" w:rsidP="00BC3E97">
      <w:pPr>
        <w:pStyle w:val="ListBullet"/>
        <w:tabs>
          <w:tab w:val="num" w:pos="360"/>
        </w:tabs>
        <w:ind w:left="360" w:hanging="360"/>
      </w:pPr>
      <w:r>
        <w:t>Proportion of First Nations pre-accredited learners who report they are satisfied with their Learn Local training.</w:t>
      </w:r>
    </w:p>
    <w:p w14:paraId="5B859B35" w14:textId="77777777" w:rsidR="00BC3E97" w:rsidRDefault="00BC3E97" w:rsidP="00BC3E97">
      <w:pPr>
        <w:pStyle w:val="Heading2"/>
      </w:pPr>
      <w:bookmarkStart w:id="176" w:name="_Toc238720492"/>
      <w:bookmarkStart w:id="177" w:name="_Toc239931077"/>
      <w:bookmarkEnd w:id="176"/>
      <w:r>
        <w:t>Racism</w:t>
      </w:r>
      <w:bookmarkEnd w:id="177"/>
    </w:p>
    <w:p w14:paraId="2FA02C74" w14:textId="77777777" w:rsidR="00BC3E97" w:rsidRDefault="00BC3E97" w:rsidP="00BC3E97">
      <w:pPr>
        <w:pStyle w:val="ListBullet"/>
        <w:tabs>
          <w:tab w:val="num" w:pos="360"/>
        </w:tabs>
        <w:ind w:left="360" w:hanging="360"/>
      </w:pPr>
      <w:r>
        <w:t>Number and proportion of First Nations students experiencing racism at their school in the past 12 months.</w:t>
      </w:r>
    </w:p>
    <w:p w14:paraId="2ED62B18" w14:textId="77777777" w:rsidR="00BC3E97" w:rsidRDefault="00BC3E97" w:rsidP="00BC3E97">
      <w:pPr>
        <w:pStyle w:val="Heading1"/>
      </w:pPr>
      <w:bookmarkStart w:id="178" w:name="_Toc238720493"/>
      <w:bookmarkStart w:id="179" w:name="_Toc239931078"/>
      <w:r>
        <w:t>Ongoing development and refinement</w:t>
      </w:r>
      <w:bookmarkEnd w:id="178"/>
      <w:bookmarkEnd w:id="179"/>
    </w:p>
    <w:p w14:paraId="69400019" w14:textId="77777777" w:rsidR="00BC3E97" w:rsidRDefault="00BC3E97" w:rsidP="00BC3E97">
      <w:r>
        <w:t>Two comprehensive reviews will be conducted throughout the lifecycle of ‘Marrung 2026–2036’.</w:t>
      </w:r>
    </w:p>
    <w:p w14:paraId="5750AAC1" w14:textId="77777777" w:rsidR="00BC3E97" w:rsidRPr="00DE6BD5" w:rsidRDefault="00BC3E97" w:rsidP="00BC3E97">
      <w:r>
        <w:rPr>
          <w:b/>
        </w:rPr>
        <w:t>Scope</w:t>
      </w:r>
    </w:p>
    <w:p w14:paraId="4CB388A0" w14:textId="77777777" w:rsidR="00315667" w:rsidRDefault="00000000">
      <w:r>
        <w:t>The scope of the reviews will be confirmed by the Marrung CGC and consider progress against key priorities as well as new policy developments.</w:t>
      </w:r>
    </w:p>
    <w:p w14:paraId="1E8D4C27" w14:textId="77777777" w:rsidR="00BC3E97" w:rsidRPr="00DE6BD5" w:rsidRDefault="00BC3E97" w:rsidP="00BC3E97">
      <w:r>
        <w:rPr>
          <w:b/>
        </w:rPr>
        <w:t>Method</w:t>
      </w:r>
    </w:p>
    <w:p w14:paraId="2DAF2878" w14:textId="77777777" w:rsidR="00315667" w:rsidRDefault="00000000">
      <w:r>
        <w:t>It will be informed by the Campfire Conversation methodology, which was grounded in community lived experience, alongside quantitative data.</w:t>
      </w:r>
    </w:p>
    <w:p w14:paraId="33B05531" w14:textId="77777777" w:rsidR="00BC3E97" w:rsidRDefault="00BC3E97" w:rsidP="00BC3E97">
      <w:pPr>
        <w:pStyle w:val="Heading1"/>
      </w:pPr>
      <w:bookmarkStart w:id="180" w:name="_Toc238720494"/>
      <w:bookmarkStart w:id="181" w:name="_Toc239931079"/>
      <w:r>
        <w:t>Appendices</w:t>
      </w:r>
      <w:bookmarkEnd w:id="180"/>
      <w:bookmarkEnd w:id="181"/>
    </w:p>
    <w:p w14:paraId="0EC10B3A" w14:textId="77777777" w:rsidR="00BC3E97" w:rsidRDefault="00BC3E97" w:rsidP="00BC3E97">
      <w:pPr>
        <w:pStyle w:val="Heading2"/>
      </w:pPr>
      <w:bookmarkStart w:id="182" w:name="_Toc238720495"/>
      <w:bookmarkStart w:id="183" w:name="_Toc239931080"/>
      <w:bookmarkEnd w:id="182"/>
      <w:r>
        <w:t>Appendix A — Glossary</w:t>
      </w:r>
      <w:bookmarkEnd w:id="183"/>
    </w:p>
    <w:tbl>
      <w:tblPr>
        <w:tblStyle w:val="TableGrid"/>
        <w:tblW w:w="0" w:type="auto"/>
        <w:tblLook w:val="04A0" w:firstRow="1" w:lastRow="0" w:firstColumn="1" w:lastColumn="0" w:noHBand="0" w:noVBand="1"/>
      </w:tblPr>
      <w:tblGrid>
        <w:gridCol w:w="2551"/>
        <w:gridCol w:w="6520"/>
      </w:tblGrid>
      <w:tr w:rsidR="00BC3E97" w14:paraId="3D2BB4BB" w14:textId="77777777" w:rsidTr="003D5E4E">
        <w:trPr>
          <w:cantSplit/>
          <w:tblHeader/>
        </w:trPr>
        <w:tc>
          <w:tcPr>
            <w:tcW w:w="2551" w:type="dxa"/>
            <w:shd w:val="clear" w:color="auto" w:fill="E7F2F4"/>
          </w:tcPr>
          <w:p w14:paraId="1ED85C0E" w14:textId="77777777" w:rsidR="00BC3E97" w:rsidRDefault="00BC3E97" w:rsidP="003D5E4E">
            <w:pPr>
              <w:spacing w:after="0"/>
            </w:pPr>
            <w:r>
              <w:rPr>
                <w:rFonts w:eastAsia="Arial"/>
                <w:b/>
                <w:sz w:val="19"/>
              </w:rPr>
              <w:t>Term</w:t>
            </w:r>
          </w:p>
        </w:tc>
        <w:tc>
          <w:tcPr>
            <w:tcW w:w="6520" w:type="dxa"/>
            <w:shd w:val="clear" w:color="auto" w:fill="E7F2F4"/>
          </w:tcPr>
          <w:p w14:paraId="6D505076" w14:textId="77777777" w:rsidR="00BC3E97" w:rsidRDefault="00BC3E97" w:rsidP="003D5E4E">
            <w:pPr>
              <w:spacing w:after="0"/>
            </w:pPr>
            <w:r>
              <w:rPr>
                <w:rFonts w:eastAsia="Arial"/>
                <w:b/>
                <w:sz w:val="19"/>
              </w:rPr>
              <w:t>Meaning in this document</w:t>
            </w:r>
          </w:p>
        </w:tc>
      </w:tr>
      <w:tr w:rsidR="00BC3E97" w14:paraId="304734DD" w14:textId="77777777" w:rsidTr="003D5E4E">
        <w:trPr>
          <w:cantSplit/>
        </w:trPr>
        <w:tc>
          <w:tcPr>
            <w:tcW w:w="2551" w:type="dxa"/>
          </w:tcPr>
          <w:p w14:paraId="50C13922" w14:textId="77777777" w:rsidR="00315667" w:rsidRDefault="00000000">
            <w:r>
              <w:t>Academic attainment</w:t>
            </w:r>
          </w:p>
        </w:tc>
        <w:tc>
          <w:tcPr>
            <w:tcW w:w="6520" w:type="dxa"/>
          </w:tcPr>
          <w:p w14:paraId="1FB9A6F8" w14:textId="77777777" w:rsidR="00315667" w:rsidRDefault="00000000">
            <w:r>
              <w:t>Completing an accredited qualification earned through formal education.</w:t>
            </w:r>
          </w:p>
        </w:tc>
      </w:tr>
      <w:tr w:rsidR="00BC3E97" w14:paraId="3BE7FE98" w14:textId="77777777" w:rsidTr="003D5E4E">
        <w:trPr>
          <w:cantSplit/>
        </w:trPr>
        <w:tc>
          <w:tcPr>
            <w:tcW w:w="2551" w:type="dxa"/>
          </w:tcPr>
          <w:p w14:paraId="36C3C1AD" w14:textId="77777777" w:rsidR="00315667" w:rsidRDefault="00000000">
            <w:r>
              <w:t>ACCO</w:t>
            </w:r>
          </w:p>
        </w:tc>
        <w:tc>
          <w:tcPr>
            <w:tcW w:w="6520" w:type="dxa"/>
          </w:tcPr>
          <w:p w14:paraId="0EE9D6F4" w14:textId="77777777" w:rsidR="00315667" w:rsidRDefault="00000000">
            <w:r>
              <w:t>Aboriginal Community-Controlled Organisation</w:t>
            </w:r>
          </w:p>
        </w:tc>
      </w:tr>
      <w:tr w:rsidR="00BC3E97" w14:paraId="4F13FCA8" w14:textId="77777777" w:rsidTr="003D5E4E">
        <w:trPr>
          <w:cantSplit/>
        </w:trPr>
        <w:tc>
          <w:tcPr>
            <w:tcW w:w="2551" w:type="dxa"/>
          </w:tcPr>
          <w:p w14:paraId="4E1EF0A6" w14:textId="77777777" w:rsidR="00315667" w:rsidRDefault="00000000">
            <w:r>
              <w:t>ACECQA</w:t>
            </w:r>
          </w:p>
        </w:tc>
        <w:tc>
          <w:tcPr>
            <w:tcW w:w="6520" w:type="dxa"/>
          </w:tcPr>
          <w:p w14:paraId="1402EB92" w14:textId="77777777" w:rsidR="00315667" w:rsidRDefault="00000000">
            <w:r>
              <w:t>Australian Children’s Education and Care Quality Authority</w:t>
            </w:r>
          </w:p>
        </w:tc>
      </w:tr>
      <w:tr w:rsidR="00BC3E97" w14:paraId="6FFA55EA" w14:textId="77777777" w:rsidTr="003D5E4E">
        <w:trPr>
          <w:cantSplit/>
        </w:trPr>
        <w:tc>
          <w:tcPr>
            <w:tcW w:w="2551" w:type="dxa"/>
          </w:tcPr>
          <w:p w14:paraId="4CD090D9" w14:textId="77777777" w:rsidR="00315667" w:rsidRDefault="00000000">
            <w:r>
              <w:t>AEDC</w:t>
            </w:r>
          </w:p>
        </w:tc>
        <w:tc>
          <w:tcPr>
            <w:tcW w:w="6520" w:type="dxa"/>
          </w:tcPr>
          <w:p w14:paraId="7851AA2C" w14:textId="77777777" w:rsidR="00315667" w:rsidRDefault="00000000">
            <w:r>
              <w:t>Australian Early Development Census</w:t>
            </w:r>
          </w:p>
        </w:tc>
      </w:tr>
      <w:tr w:rsidR="00BC3E97" w14:paraId="52A856B5" w14:textId="77777777" w:rsidTr="003D5E4E">
        <w:trPr>
          <w:cantSplit/>
        </w:trPr>
        <w:tc>
          <w:tcPr>
            <w:tcW w:w="2551" w:type="dxa"/>
          </w:tcPr>
          <w:p w14:paraId="71BEDCA1" w14:textId="77777777" w:rsidR="00315667" w:rsidRDefault="00000000">
            <w:r>
              <w:t>AEU</w:t>
            </w:r>
          </w:p>
        </w:tc>
        <w:tc>
          <w:tcPr>
            <w:tcW w:w="6520" w:type="dxa"/>
          </w:tcPr>
          <w:p w14:paraId="4222F89C" w14:textId="77777777" w:rsidR="00315667" w:rsidRDefault="00000000">
            <w:r>
              <w:t>Australian Education Union</w:t>
            </w:r>
          </w:p>
        </w:tc>
      </w:tr>
      <w:tr w:rsidR="00BC3E97" w14:paraId="5297BB83" w14:textId="77777777" w:rsidTr="003D5E4E">
        <w:trPr>
          <w:cantSplit/>
        </w:trPr>
        <w:tc>
          <w:tcPr>
            <w:tcW w:w="2551" w:type="dxa"/>
          </w:tcPr>
          <w:p w14:paraId="1F133606" w14:textId="77777777" w:rsidR="00315667" w:rsidRDefault="00000000">
            <w:r>
              <w:t>AITSL</w:t>
            </w:r>
          </w:p>
        </w:tc>
        <w:tc>
          <w:tcPr>
            <w:tcW w:w="6520" w:type="dxa"/>
          </w:tcPr>
          <w:p w14:paraId="3F0C369B" w14:textId="77777777" w:rsidR="00315667" w:rsidRDefault="00000000">
            <w:r>
              <w:t>Australian Institute for Teaching and School Leadership</w:t>
            </w:r>
          </w:p>
        </w:tc>
      </w:tr>
      <w:tr w:rsidR="00BC3E97" w14:paraId="2FE68FB0" w14:textId="77777777" w:rsidTr="003D5E4E">
        <w:trPr>
          <w:cantSplit/>
        </w:trPr>
        <w:tc>
          <w:tcPr>
            <w:tcW w:w="2551" w:type="dxa"/>
          </w:tcPr>
          <w:p w14:paraId="22017D50" w14:textId="77777777" w:rsidR="00315667" w:rsidRDefault="00000000">
            <w:r>
              <w:lastRenderedPageBreak/>
              <w:t>APST</w:t>
            </w:r>
          </w:p>
        </w:tc>
        <w:tc>
          <w:tcPr>
            <w:tcW w:w="6520" w:type="dxa"/>
          </w:tcPr>
          <w:p w14:paraId="2E312F0B" w14:textId="77777777" w:rsidR="00315667" w:rsidRDefault="00000000">
            <w:r>
              <w:t>Australian Professional Standards for Teachers</w:t>
            </w:r>
          </w:p>
        </w:tc>
      </w:tr>
      <w:tr w:rsidR="00BC3E97" w14:paraId="6C422143" w14:textId="77777777" w:rsidTr="003D5E4E">
        <w:trPr>
          <w:cantSplit/>
        </w:trPr>
        <w:tc>
          <w:tcPr>
            <w:tcW w:w="2551" w:type="dxa"/>
          </w:tcPr>
          <w:p w14:paraId="3B2332D9" w14:textId="77777777" w:rsidR="00315667" w:rsidRDefault="00000000">
            <w:r>
              <w:t>CGC</w:t>
            </w:r>
          </w:p>
        </w:tc>
        <w:tc>
          <w:tcPr>
            <w:tcW w:w="6520" w:type="dxa"/>
          </w:tcPr>
          <w:p w14:paraId="5062757D" w14:textId="77777777" w:rsidR="00315667" w:rsidRDefault="00000000">
            <w:r>
              <w:t>Marrung Central Governance Committee</w:t>
            </w:r>
          </w:p>
        </w:tc>
      </w:tr>
      <w:tr w:rsidR="00BC3E97" w14:paraId="506E9887" w14:textId="77777777" w:rsidTr="003D5E4E">
        <w:trPr>
          <w:cantSplit/>
        </w:trPr>
        <w:tc>
          <w:tcPr>
            <w:tcW w:w="2551" w:type="dxa"/>
          </w:tcPr>
          <w:p w14:paraId="4002F3E9" w14:textId="77777777" w:rsidR="00315667" w:rsidRDefault="00000000">
            <w:r>
              <w:t>CUST</w:t>
            </w:r>
          </w:p>
        </w:tc>
        <w:tc>
          <w:tcPr>
            <w:tcW w:w="6520" w:type="dxa"/>
          </w:tcPr>
          <w:p w14:paraId="4C541320" w14:textId="77777777" w:rsidR="00315667" w:rsidRDefault="00000000">
            <w:r>
              <w:t>Community Understanding and Safety Training program</w:t>
            </w:r>
          </w:p>
        </w:tc>
      </w:tr>
      <w:tr w:rsidR="00BC3E97" w14:paraId="33266292" w14:textId="77777777" w:rsidTr="003D5E4E">
        <w:trPr>
          <w:cantSplit/>
        </w:trPr>
        <w:tc>
          <w:tcPr>
            <w:tcW w:w="2551" w:type="dxa"/>
          </w:tcPr>
          <w:p w14:paraId="3DDE4E15" w14:textId="77777777" w:rsidR="00315667" w:rsidRDefault="00000000">
            <w:r>
              <w:t>DE</w:t>
            </w:r>
          </w:p>
        </w:tc>
        <w:tc>
          <w:tcPr>
            <w:tcW w:w="6520" w:type="dxa"/>
          </w:tcPr>
          <w:p w14:paraId="146649B5" w14:textId="77777777" w:rsidR="00315667" w:rsidRDefault="00000000">
            <w:r>
              <w:t>Department of Education, the Victorian Government agency responsible for education policy, funding, and system leadership across government schools and early childhood providers.</w:t>
            </w:r>
          </w:p>
        </w:tc>
      </w:tr>
      <w:tr w:rsidR="00BC3E97" w14:paraId="0E9F48BD" w14:textId="77777777" w:rsidTr="003D5E4E">
        <w:trPr>
          <w:cantSplit/>
        </w:trPr>
        <w:tc>
          <w:tcPr>
            <w:tcW w:w="2551" w:type="dxa"/>
          </w:tcPr>
          <w:p w14:paraId="62A04F42" w14:textId="77777777" w:rsidR="00315667" w:rsidRDefault="00000000">
            <w:r>
              <w:t>DJSIR</w:t>
            </w:r>
          </w:p>
        </w:tc>
        <w:tc>
          <w:tcPr>
            <w:tcW w:w="6520" w:type="dxa"/>
          </w:tcPr>
          <w:p w14:paraId="3B0D771C" w14:textId="77777777" w:rsidR="00315667" w:rsidRDefault="00000000">
            <w:r>
              <w:t>Department of Jobs, Skills, Industry and Regions</w:t>
            </w:r>
          </w:p>
        </w:tc>
      </w:tr>
      <w:tr w:rsidR="00BC3E97" w14:paraId="06182B54" w14:textId="77777777" w:rsidTr="003D5E4E">
        <w:trPr>
          <w:cantSplit/>
        </w:trPr>
        <w:tc>
          <w:tcPr>
            <w:tcW w:w="2551" w:type="dxa"/>
          </w:tcPr>
          <w:p w14:paraId="0FB62CCA" w14:textId="77777777" w:rsidR="00315667" w:rsidRDefault="00000000">
            <w:r>
              <w:t>ECE</w:t>
            </w:r>
          </w:p>
        </w:tc>
        <w:tc>
          <w:tcPr>
            <w:tcW w:w="6520" w:type="dxa"/>
          </w:tcPr>
          <w:p w14:paraId="5AE108B7" w14:textId="77777777" w:rsidR="00315667" w:rsidRDefault="00000000">
            <w:r>
              <w:t>Early Childhood Education. In the context of Marrung, this encompasses 3- and 4-year-old kindergarten as well as Early Learning Victoria centres.</w:t>
            </w:r>
          </w:p>
        </w:tc>
      </w:tr>
      <w:tr w:rsidR="00BC3E97" w14:paraId="5A7FAB17" w14:textId="77777777" w:rsidTr="003D5E4E">
        <w:trPr>
          <w:cantSplit/>
        </w:trPr>
        <w:tc>
          <w:tcPr>
            <w:tcW w:w="2551" w:type="dxa"/>
          </w:tcPr>
          <w:p w14:paraId="6842D6A2" w14:textId="77777777" w:rsidR="00315667" w:rsidRDefault="00000000">
            <w:r>
              <w:t>ES</w:t>
            </w:r>
          </w:p>
        </w:tc>
        <w:tc>
          <w:tcPr>
            <w:tcW w:w="6520" w:type="dxa"/>
          </w:tcPr>
          <w:p w14:paraId="6730E9A1" w14:textId="77777777" w:rsidR="00315667" w:rsidRDefault="00000000">
            <w:r>
              <w:t>Education Support</w:t>
            </w:r>
          </w:p>
        </w:tc>
      </w:tr>
      <w:tr w:rsidR="00BC3E97" w14:paraId="172E283A" w14:textId="77777777" w:rsidTr="003D5E4E">
        <w:trPr>
          <w:cantSplit/>
        </w:trPr>
        <w:tc>
          <w:tcPr>
            <w:tcW w:w="2551" w:type="dxa"/>
          </w:tcPr>
          <w:p w14:paraId="6ED376E1" w14:textId="77777777" w:rsidR="00315667" w:rsidRDefault="00000000">
            <w:r>
              <w:t>ELAA</w:t>
            </w:r>
          </w:p>
        </w:tc>
        <w:tc>
          <w:tcPr>
            <w:tcW w:w="6520" w:type="dxa"/>
          </w:tcPr>
          <w:p w14:paraId="41849AA9" w14:textId="77777777" w:rsidR="00315667" w:rsidRDefault="00000000">
            <w:r>
              <w:t>Early Learning Association Australia</w:t>
            </w:r>
          </w:p>
        </w:tc>
      </w:tr>
      <w:tr w:rsidR="00BC3E97" w14:paraId="6CB4501A" w14:textId="77777777" w:rsidTr="003D5E4E">
        <w:trPr>
          <w:cantSplit/>
        </w:trPr>
        <w:tc>
          <w:tcPr>
            <w:tcW w:w="2551" w:type="dxa"/>
          </w:tcPr>
          <w:p w14:paraId="60CA02F3" w14:textId="77777777" w:rsidR="00315667" w:rsidRDefault="00000000">
            <w:r>
              <w:t>Foundational Skills</w:t>
            </w:r>
          </w:p>
        </w:tc>
        <w:tc>
          <w:tcPr>
            <w:tcW w:w="6520" w:type="dxa"/>
          </w:tcPr>
          <w:p w14:paraId="40E001DD" w14:textId="77777777" w:rsidR="00315667" w:rsidRDefault="00000000">
            <w:r>
              <w:t>The 3 foundational skills are Digital Literacy, Literacy and Numeracy. They are fundamental to learning across the Victorian Curriculum because their development is crucial for students to build understanding of the key knowledge, skills and concepts in the learning areas and capabilities. Literacy and Numeracy are presented as progressions, while Digital Literacy skills are presented as a continuum.</w:t>
            </w:r>
          </w:p>
        </w:tc>
      </w:tr>
      <w:tr w:rsidR="00BC3E97" w14:paraId="249DC783" w14:textId="77777777" w:rsidTr="003D5E4E">
        <w:trPr>
          <w:cantSplit/>
        </w:trPr>
        <w:tc>
          <w:tcPr>
            <w:tcW w:w="2551" w:type="dxa"/>
          </w:tcPr>
          <w:p w14:paraId="5C71E6F6" w14:textId="77777777" w:rsidR="00315667" w:rsidRDefault="00000000">
            <w:r>
              <w:t>ITE</w:t>
            </w:r>
          </w:p>
        </w:tc>
        <w:tc>
          <w:tcPr>
            <w:tcW w:w="6520" w:type="dxa"/>
          </w:tcPr>
          <w:p w14:paraId="18B64C67" w14:textId="77777777" w:rsidR="00315667" w:rsidRDefault="00000000">
            <w:r>
              <w:t>Initial Teacher Education</w:t>
            </w:r>
          </w:p>
        </w:tc>
      </w:tr>
      <w:tr w:rsidR="00BC3E97" w14:paraId="586BE564" w14:textId="77777777" w:rsidTr="003D5E4E">
        <w:trPr>
          <w:cantSplit/>
        </w:trPr>
        <w:tc>
          <w:tcPr>
            <w:tcW w:w="2551" w:type="dxa"/>
          </w:tcPr>
          <w:p w14:paraId="53FBB9FD" w14:textId="77777777" w:rsidR="00315667" w:rsidRDefault="00000000">
            <w:r>
              <w:t>ISV</w:t>
            </w:r>
          </w:p>
        </w:tc>
        <w:tc>
          <w:tcPr>
            <w:tcW w:w="6520" w:type="dxa"/>
          </w:tcPr>
          <w:p w14:paraId="7B1B1119" w14:textId="77777777" w:rsidR="00315667" w:rsidRDefault="00000000">
            <w:r>
              <w:t>Independent Schools Victoria</w:t>
            </w:r>
          </w:p>
        </w:tc>
      </w:tr>
      <w:tr w:rsidR="00BC3E97" w14:paraId="4BE67843" w14:textId="77777777" w:rsidTr="003D5E4E">
        <w:trPr>
          <w:cantSplit/>
        </w:trPr>
        <w:tc>
          <w:tcPr>
            <w:tcW w:w="2551" w:type="dxa"/>
          </w:tcPr>
          <w:p w14:paraId="3E4C0A2A" w14:textId="77777777" w:rsidR="00315667" w:rsidRDefault="00000000">
            <w:r>
              <w:t>KSCF</w:t>
            </w:r>
          </w:p>
        </w:tc>
        <w:tc>
          <w:tcPr>
            <w:tcW w:w="6520" w:type="dxa"/>
          </w:tcPr>
          <w:p w14:paraId="062EC920" w14:textId="77777777" w:rsidR="00315667" w:rsidRDefault="00000000">
            <w:r>
              <w:t>Koorie Skills Coordination Forum</w:t>
            </w:r>
          </w:p>
        </w:tc>
      </w:tr>
      <w:tr w:rsidR="00BC3E97" w14:paraId="7936A011" w14:textId="77777777" w:rsidTr="003D5E4E">
        <w:trPr>
          <w:cantSplit/>
        </w:trPr>
        <w:tc>
          <w:tcPr>
            <w:tcW w:w="2551" w:type="dxa"/>
          </w:tcPr>
          <w:p w14:paraId="63A07F8C" w14:textId="77777777" w:rsidR="00315667" w:rsidRDefault="00000000">
            <w:r>
              <w:t>KYC</w:t>
            </w:r>
          </w:p>
        </w:tc>
        <w:tc>
          <w:tcPr>
            <w:tcW w:w="6520" w:type="dxa"/>
          </w:tcPr>
          <w:p w14:paraId="1F4A1C91" w14:textId="77777777" w:rsidR="00315667" w:rsidRDefault="00000000">
            <w:r>
              <w:t>Koorie Youth Council</w:t>
            </w:r>
          </w:p>
        </w:tc>
      </w:tr>
      <w:tr w:rsidR="00BC3E97" w14:paraId="43615640" w14:textId="77777777" w:rsidTr="003D5E4E">
        <w:trPr>
          <w:cantSplit/>
        </w:trPr>
        <w:tc>
          <w:tcPr>
            <w:tcW w:w="2551" w:type="dxa"/>
          </w:tcPr>
          <w:p w14:paraId="3FA7B1A0" w14:textId="77777777" w:rsidR="00315667" w:rsidRDefault="00000000">
            <w:r>
              <w:t>LAECG</w:t>
            </w:r>
          </w:p>
        </w:tc>
        <w:tc>
          <w:tcPr>
            <w:tcW w:w="6520" w:type="dxa"/>
          </w:tcPr>
          <w:p w14:paraId="1F560DEF" w14:textId="77777777" w:rsidR="00315667" w:rsidRDefault="00000000">
            <w:r>
              <w:t>Local Aboriginal Education Consultative Group; LAECGs are constituent units of VAEAI and voluntary local Koorie community members who have an interest in, and commitment to, Koorie education and training, and bring knowledge and experience to Koorie education issues across all sectors. LAECGs sit at the heart of VAEAI’s core governance structure — which remains in place today</w:t>
            </w:r>
          </w:p>
        </w:tc>
      </w:tr>
      <w:tr w:rsidR="00BC3E97" w14:paraId="0BB2E9A1" w14:textId="77777777" w:rsidTr="003D5E4E">
        <w:trPr>
          <w:cantSplit/>
        </w:trPr>
        <w:tc>
          <w:tcPr>
            <w:tcW w:w="2551" w:type="dxa"/>
          </w:tcPr>
          <w:p w14:paraId="0836B995" w14:textId="77777777" w:rsidR="00315667" w:rsidRDefault="00000000">
            <w:r>
              <w:t>MAIT</w:t>
            </w:r>
          </w:p>
        </w:tc>
        <w:tc>
          <w:tcPr>
            <w:tcW w:w="6520" w:type="dxa"/>
          </w:tcPr>
          <w:p w14:paraId="367A44EC" w14:textId="77777777" w:rsidR="00315667" w:rsidRDefault="00000000">
            <w:r>
              <w:t>Marrung Area Implementation Teams</w:t>
            </w:r>
          </w:p>
        </w:tc>
      </w:tr>
      <w:tr w:rsidR="00BC3E97" w14:paraId="111F8834" w14:textId="77777777" w:rsidTr="003D5E4E">
        <w:trPr>
          <w:cantSplit/>
        </w:trPr>
        <w:tc>
          <w:tcPr>
            <w:tcW w:w="2551" w:type="dxa"/>
          </w:tcPr>
          <w:p w14:paraId="69B97B6F" w14:textId="77777777" w:rsidR="00315667" w:rsidRDefault="00000000">
            <w:r>
              <w:lastRenderedPageBreak/>
              <w:t>Marrung 2016–2026</w:t>
            </w:r>
          </w:p>
        </w:tc>
        <w:tc>
          <w:tcPr>
            <w:tcW w:w="6520" w:type="dxa"/>
          </w:tcPr>
          <w:p w14:paraId="0BC14923" w14:textId="77777777" w:rsidR="00315667" w:rsidRDefault="00000000">
            <w:r>
              <w:t>‘Marrung: Aboriginal Education Plan 2016–2026’</w:t>
            </w:r>
          </w:p>
        </w:tc>
      </w:tr>
      <w:tr w:rsidR="00BC3E97" w14:paraId="36F6F597" w14:textId="77777777" w:rsidTr="003D5E4E">
        <w:trPr>
          <w:cantSplit/>
        </w:trPr>
        <w:tc>
          <w:tcPr>
            <w:tcW w:w="2551" w:type="dxa"/>
          </w:tcPr>
          <w:p w14:paraId="01B8E71F" w14:textId="77777777" w:rsidR="00315667" w:rsidRDefault="00000000">
            <w:r>
              <w:t>Marrung 2026–2036</w:t>
            </w:r>
          </w:p>
        </w:tc>
        <w:tc>
          <w:tcPr>
            <w:tcW w:w="6520" w:type="dxa"/>
          </w:tcPr>
          <w:p w14:paraId="2D873487" w14:textId="77777777" w:rsidR="00315667" w:rsidRDefault="00000000">
            <w:r>
              <w:t>‘Marrung 2026–2036 First Nations Education Strategy’</w:t>
            </w:r>
          </w:p>
        </w:tc>
      </w:tr>
      <w:tr w:rsidR="00BC3E97" w14:paraId="4309DB87" w14:textId="77777777" w:rsidTr="003D5E4E">
        <w:trPr>
          <w:cantSplit/>
        </w:trPr>
        <w:tc>
          <w:tcPr>
            <w:tcW w:w="2551" w:type="dxa"/>
          </w:tcPr>
          <w:p w14:paraId="3B386478" w14:textId="77777777" w:rsidR="00315667" w:rsidRDefault="00000000">
            <w:r>
              <w:t>NAPLAN</w:t>
            </w:r>
          </w:p>
        </w:tc>
        <w:tc>
          <w:tcPr>
            <w:tcW w:w="6520" w:type="dxa"/>
          </w:tcPr>
          <w:p w14:paraId="7D73156C" w14:textId="77777777" w:rsidR="00315667" w:rsidRDefault="00000000">
            <w:r>
              <w:t>National Assessment Program – Literacy and Numeracy</w:t>
            </w:r>
          </w:p>
        </w:tc>
      </w:tr>
      <w:tr w:rsidR="00BC3E97" w14:paraId="32EA95D7" w14:textId="77777777" w:rsidTr="003D5E4E">
        <w:trPr>
          <w:cantSplit/>
        </w:trPr>
        <w:tc>
          <w:tcPr>
            <w:tcW w:w="2551" w:type="dxa"/>
          </w:tcPr>
          <w:p w14:paraId="6C37974B" w14:textId="77777777" w:rsidR="00315667" w:rsidRDefault="00000000">
            <w:r>
              <w:t>PB</w:t>
            </w:r>
          </w:p>
        </w:tc>
        <w:tc>
          <w:tcPr>
            <w:tcW w:w="6520" w:type="dxa"/>
          </w:tcPr>
          <w:p w14:paraId="2BB3FC80" w14:textId="77777777" w:rsidR="00315667" w:rsidRDefault="00000000">
            <w:r>
              <w:t>Marrung Project Board</w:t>
            </w:r>
          </w:p>
        </w:tc>
      </w:tr>
      <w:tr w:rsidR="00BC3E97" w14:paraId="32515D6E" w14:textId="77777777" w:rsidTr="003D5E4E">
        <w:trPr>
          <w:cantSplit/>
        </w:trPr>
        <w:tc>
          <w:tcPr>
            <w:tcW w:w="2551" w:type="dxa"/>
          </w:tcPr>
          <w:p w14:paraId="6C831CB0" w14:textId="77777777" w:rsidR="00315667" w:rsidRDefault="00000000">
            <w:r>
              <w:t>RPF</w:t>
            </w:r>
          </w:p>
        </w:tc>
        <w:tc>
          <w:tcPr>
            <w:tcW w:w="6520" w:type="dxa"/>
          </w:tcPr>
          <w:p w14:paraId="7CF085FE" w14:textId="77777777" w:rsidR="00315667" w:rsidRDefault="00000000">
            <w:r>
              <w:t>Marrung Regional Partnership Forum</w:t>
            </w:r>
          </w:p>
        </w:tc>
      </w:tr>
      <w:tr w:rsidR="00BC3E97" w14:paraId="31A6F1ED" w14:textId="77777777" w:rsidTr="003D5E4E">
        <w:trPr>
          <w:cantSplit/>
        </w:trPr>
        <w:tc>
          <w:tcPr>
            <w:tcW w:w="2551" w:type="dxa"/>
          </w:tcPr>
          <w:p w14:paraId="767A1E0C" w14:textId="77777777" w:rsidR="00315667" w:rsidRDefault="00000000">
            <w:r>
              <w:t>TAFE</w:t>
            </w:r>
          </w:p>
        </w:tc>
        <w:tc>
          <w:tcPr>
            <w:tcW w:w="6520" w:type="dxa"/>
          </w:tcPr>
          <w:p w14:paraId="45DFB170" w14:textId="77777777" w:rsidR="00315667" w:rsidRDefault="00000000">
            <w:r>
              <w:t>Technical and Further Education</w:t>
            </w:r>
          </w:p>
        </w:tc>
      </w:tr>
      <w:tr w:rsidR="00BC3E97" w14:paraId="636067CC" w14:textId="77777777" w:rsidTr="003D5E4E">
        <w:trPr>
          <w:cantSplit/>
        </w:trPr>
        <w:tc>
          <w:tcPr>
            <w:tcW w:w="2551" w:type="dxa"/>
          </w:tcPr>
          <w:p w14:paraId="6C9BDB93" w14:textId="77777777" w:rsidR="00315667" w:rsidRDefault="00000000">
            <w:r>
              <w:t>Tertiary education</w:t>
            </w:r>
          </w:p>
        </w:tc>
        <w:tc>
          <w:tcPr>
            <w:tcW w:w="6520" w:type="dxa"/>
          </w:tcPr>
          <w:p w14:paraId="3243855F" w14:textId="77777777" w:rsidR="00315667" w:rsidRDefault="00000000">
            <w:r>
              <w:t>Victoria’s tertiary education sector supports post-school education, providing foundation skills through Adult and Community Education (ACE); accredited vocational education and training and apprenticeships through TAFEs, Aboriginal Community Controlled Registered Training Organisations and other RTOs; and higher education through universities and TAFEs.</w:t>
            </w:r>
          </w:p>
        </w:tc>
      </w:tr>
      <w:tr w:rsidR="00BC3E97" w14:paraId="12C57194" w14:textId="77777777" w:rsidTr="003D5E4E">
        <w:trPr>
          <w:cantSplit/>
        </w:trPr>
        <w:tc>
          <w:tcPr>
            <w:tcW w:w="2551" w:type="dxa"/>
          </w:tcPr>
          <w:p w14:paraId="047AF898" w14:textId="77777777" w:rsidR="00315667" w:rsidRDefault="00000000">
            <w:r>
              <w:t>Toorong Marnong</w:t>
            </w:r>
          </w:p>
        </w:tc>
        <w:tc>
          <w:tcPr>
            <w:tcW w:w="6520" w:type="dxa"/>
          </w:tcPr>
          <w:p w14:paraId="7C9F9FE1" w14:textId="77777777" w:rsidR="00315667" w:rsidRDefault="00000000">
            <w:r>
              <w:t>A higher education accord developed in partnership with VAEAI to progress improved outcomes for First Nations students at Victorian Universities, delivered through the Toorong Marnong Higher Education Accord.</w:t>
            </w:r>
          </w:p>
        </w:tc>
      </w:tr>
      <w:tr w:rsidR="00BC3E97" w14:paraId="5D0194BE" w14:textId="77777777" w:rsidTr="003D5E4E">
        <w:trPr>
          <w:cantSplit/>
        </w:trPr>
        <w:tc>
          <w:tcPr>
            <w:tcW w:w="2551" w:type="dxa"/>
          </w:tcPr>
          <w:p w14:paraId="3BA2F18A" w14:textId="77777777" w:rsidR="00315667" w:rsidRDefault="00000000">
            <w:r>
              <w:t>VAAF</w:t>
            </w:r>
          </w:p>
        </w:tc>
        <w:tc>
          <w:tcPr>
            <w:tcW w:w="6520" w:type="dxa"/>
          </w:tcPr>
          <w:p w14:paraId="75190C81" w14:textId="77777777" w:rsidR="00315667" w:rsidRDefault="00000000">
            <w:r>
              <w:t>Victorian Aboriginal Affairs Framework 2018–2023 (extended to 2025)</w:t>
            </w:r>
          </w:p>
        </w:tc>
      </w:tr>
      <w:tr w:rsidR="00BC3E97" w14:paraId="4625F62D" w14:textId="77777777" w:rsidTr="003D5E4E">
        <w:trPr>
          <w:cantSplit/>
        </w:trPr>
        <w:tc>
          <w:tcPr>
            <w:tcW w:w="2551" w:type="dxa"/>
          </w:tcPr>
          <w:p w14:paraId="20B41BCF" w14:textId="77777777" w:rsidR="00315667" w:rsidRDefault="00000000">
            <w:r>
              <w:t>VACCA</w:t>
            </w:r>
          </w:p>
        </w:tc>
        <w:tc>
          <w:tcPr>
            <w:tcW w:w="6520" w:type="dxa"/>
          </w:tcPr>
          <w:p w14:paraId="389BA56C" w14:textId="77777777" w:rsidR="00315667" w:rsidRDefault="00000000">
            <w:r>
              <w:t>The Victorian Aboriginal Child and Community Agency is Victoria’s peak voice for First Nations children; a state-wide Aboriginal Community-Controlled Organisation providing services for children, young people, families and community members across Victoria.</w:t>
            </w:r>
          </w:p>
        </w:tc>
      </w:tr>
      <w:tr w:rsidR="00BC3E97" w14:paraId="3672AB6E" w14:textId="77777777" w:rsidTr="003D5E4E">
        <w:trPr>
          <w:cantSplit/>
        </w:trPr>
        <w:tc>
          <w:tcPr>
            <w:tcW w:w="2551" w:type="dxa"/>
          </w:tcPr>
          <w:p w14:paraId="3962034D" w14:textId="77777777" w:rsidR="00315667" w:rsidRDefault="00000000">
            <w:r>
              <w:t>VACCHO</w:t>
            </w:r>
          </w:p>
        </w:tc>
        <w:tc>
          <w:tcPr>
            <w:tcW w:w="6520" w:type="dxa"/>
          </w:tcPr>
          <w:p w14:paraId="00256A7B" w14:textId="77777777" w:rsidR="00315667" w:rsidRDefault="00000000">
            <w:r>
              <w:t>Victorian Aboriginal Community Controlled Health Organisation; the peak body for the health and wellbeing of Koorie people in Victoria.</w:t>
            </w:r>
          </w:p>
        </w:tc>
      </w:tr>
      <w:tr w:rsidR="00BC3E97" w14:paraId="7287C33C" w14:textId="77777777" w:rsidTr="003D5E4E">
        <w:trPr>
          <w:cantSplit/>
        </w:trPr>
        <w:tc>
          <w:tcPr>
            <w:tcW w:w="2551" w:type="dxa"/>
          </w:tcPr>
          <w:p w14:paraId="68275E05" w14:textId="77777777" w:rsidR="00315667" w:rsidRDefault="00000000">
            <w:r>
              <w:t>VACSAL</w:t>
            </w:r>
          </w:p>
        </w:tc>
        <w:tc>
          <w:tcPr>
            <w:tcW w:w="6520" w:type="dxa"/>
          </w:tcPr>
          <w:p w14:paraId="494EE3D8" w14:textId="77777777" w:rsidR="00315667" w:rsidRDefault="00000000">
            <w:r>
              <w:t>Victorian Aboriginal Community Services Association Ltd; VACSAL is a peak body in relation to community development as well as being a major service provider.</w:t>
            </w:r>
          </w:p>
        </w:tc>
      </w:tr>
      <w:tr w:rsidR="00BC3E97" w14:paraId="3331B615" w14:textId="77777777" w:rsidTr="003D5E4E">
        <w:trPr>
          <w:cantSplit/>
        </w:trPr>
        <w:tc>
          <w:tcPr>
            <w:tcW w:w="2551" w:type="dxa"/>
          </w:tcPr>
          <w:p w14:paraId="5D59D8F8" w14:textId="77777777" w:rsidR="00315667" w:rsidRDefault="00000000">
            <w:r>
              <w:t>VACYPA</w:t>
            </w:r>
          </w:p>
        </w:tc>
        <w:tc>
          <w:tcPr>
            <w:tcW w:w="6520" w:type="dxa"/>
          </w:tcPr>
          <w:p w14:paraId="5AE58BD1" w14:textId="77777777" w:rsidR="00315667" w:rsidRDefault="00000000">
            <w:r>
              <w:t>Victorian Aboriginal Children and Young People’s Alliance</w:t>
            </w:r>
          </w:p>
        </w:tc>
      </w:tr>
      <w:tr w:rsidR="00BC3E97" w14:paraId="051E000D" w14:textId="77777777" w:rsidTr="003D5E4E">
        <w:trPr>
          <w:cantSplit/>
        </w:trPr>
        <w:tc>
          <w:tcPr>
            <w:tcW w:w="2551" w:type="dxa"/>
          </w:tcPr>
          <w:p w14:paraId="1522FF5A" w14:textId="77777777" w:rsidR="00315667" w:rsidRDefault="00000000">
            <w:r>
              <w:lastRenderedPageBreak/>
              <w:t>VAEAI</w:t>
            </w:r>
          </w:p>
        </w:tc>
        <w:tc>
          <w:tcPr>
            <w:tcW w:w="6520" w:type="dxa"/>
          </w:tcPr>
          <w:p w14:paraId="7AAACA40" w14:textId="77777777" w:rsidR="00315667" w:rsidRDefault="00000000">
            <w:r>
              <w:t>Victorian Aboriginal Education Association Incorporated; VAEAI is a peak body that represents the Koorie Community in relation to education and training policy development and strategic programming at the local, state and national levels. VAEAI was formerly known as the Victorian Aboriginal Education Consultative Group.</w:t>
            </w:r>
          </w:p>
        </w:tc>
      </w:tr>
      <w:tr w:rsidR="00BC3E97" w14:paraId="75C3B6BF" w14:textId="77777777" w:rsidTr="003D5E4E">
        <w:trPr>
          <w:cantSplit/>
        </w:trPr>
        <w:tc>
          <w:tcPr>
            <w:tcW w:w="2551" w:type="dxa"/>
          </w:tcPr>
          <w:p w14:paraId="6AF49D81" w14:textId="77777777" w:rsidR="00315667" w:rsidRDefault="00000000">
            <w:r>
              <w:t>VCAA</w:t>
            </w:r>
          </w:p>
        </w:tc>
        <w:tc>
          <w:tcPr>
            <w:tcW w:w="6520" w:type="dxa"/>
          </w:tcPr>
          <w:p w14:paraId="454B5333" w14:textId="77777777" w:rsidR="00315667" w:rsidRDefault="00000000">
            <w:r>
              <w:t>Victorian Curriculum and Assessment Authority</w:t>
            </w:r>
          </w:p>
        </w:tc>
      </w:tr>
      <w:tr w:rsidR="00BC3E97" w14:paraId="2DD9554C" w14:textId="77777777" w:rsidTr="003D5E4E">
        <w:trPr>
          <w:cantSplit/>
        </w:trPr>
        <w:tc>
          <w:tcPr>
            <w:tcW w:w="2551" w:type="dxa"/>
          </w:tcPr>
          <w:p w14:paraId="7046BAD0" w14:textId="77777777" w:rsidR="00315667" w:rsidRDefault="00000000">
            <w:r>
              <w:t>VCEA</w:t>
            </w:r>
          </w:p>
        </w:tc>
        <w:tc>
          <w:tcPr>
            <w:tcW w:w="6520" w:type="dxa"/>
          </w:tcPr>
          <w:p w14:paraId="6479C076" w14:textId="77777777" w:rsidR="00315667" w:rsidRDefault="00000000">
            <w:r>
              <w:t>Victorian Catholic Education Authority</w:t>
            </w:r>
          </w:p>
        </w:tc>
      </w:tr>
      <w:tr w:rsidR="00BC3E97" w14:paraId="0F7CB134" w14:textId="77777777" w:rsidTr="003D5E4E">
        <w:trPr>
          <w:cantSplit/>
        </w:trPr>
        <w:tc>
          <w:tcPr>
            <w:tcW w:w="2551" w:type="dxa"/>
          </w:tcPr>
          <w:p w14:paraId="05AA03B4" w14:textId="77777777" w:rsidR="00315667" w:rsidRDefault="00000000">
            <w:r>
              <w:t>VCDE</w:t>
            </w:r>
          </w:p>
        </w:tc>
        <w:tc>
          <w:tcPr>
            <w:tcW w:w="6520" w:type="dxa"/>
          </w:tcPr>
          <w:p w14:paraId="665CC19E" w14:textId="77777777" w:rsidR="00315667" w:rsidRDefault="00000000">
            <w:r>
              <w:t>Victorian Council of Deans of Education</w:t>
            </w:r>
          </w:p>
        </w:tc>
      </w:tr>
      <w:tr w:rsidR="00315667" w14:paraId="78C54BDE" w14:textId="77777777">
        <w:tc>
          <w:tcPr>
            <w:tcW w:w="2551" w:type="dxa"/>
          </w:tcPr>
          <w:p w14:paraId="3DA6D376" w14:textId="77777777" w:rsidR="00315667" w:rsidRDefault="00000000">
            <w:r>
              <w:t>VEYLDF</w:t>
            </w:r>
          </w:p>
        </w:tc>
        <w:tc>
          <w:tcPr>
            <w:tcW w:w="6520" w:type="dxa"/>
          </w:tcPr>
          <w:p w14:paraId="440B18DA" w14:textId="77777777" w:rsidR="00315667" w:rsidRDefault="00000000">
            <w:r>
              <w:t>Victorian Early Years Learning and Development Framework</w:t>
            </w:r>
          </w:p>
        </w:tc>
      </w:tr>
      <w:tr w:rsidR="00315667" w14:paraId="11277CED" w14:textId="77777777">
        <w:tc>
          <w:tcPr>
            <w:tcW w:w="2551" w:type="dxa"/>
          </w:tcPr>
          <w:p w14:paraId="43FC7A56" w14:textId="77777777" w:rsidR="00315667" w:rsidRDefault="00000000">
            <w:r>
              <w:t>VET</w:t>
            </w:r>
          </w:p>
        </w:tc>
        <w:tc>
          <w:tcPr>
            <w:tcW w:w="6520" w:type="dxa"/>
          </w:tcPr>
          <w:p w14:paraId="47EE044B" w14:textId="77777777" w:rsidR="00315667" w:rsidRDefault="00000000">
            <w:r>
              <w:t>Vocational Education and Training</w:t>
            </w:r>
          </w:p>
        </w:tc>
      </w:tr>
      <w:tr w:rsidR="00315667" w14:paraId="4C66ECB5" w14:textId="77777777">
        <w:tc>
          <w:tcPr>
            <w:tcW w:w="2551" w:type="dxa"/>
          </w:tcPr>
          <w:p w14:paraId="32F0551C" w14:textId="77777777" w:rsidR="00315667" w:rsidRDefault="00000000">
            <w:r>
              <w:t>VIT</w:t>
            </w:r>
          </w:p>
        </w:tc>
        <w:tc>
          <w:tcPr>
            <w:tcW w:w="6520" w:type="dxa"/>
          </w:tcPr>
          <w:p w14:paraId="48FDD1D0" w14:textId="77777777" w:rsidR="00315667" w:rsidRDefault="00000000">
            <w:r>
              <w:t>Victorian Institute of Teaching</w:t>
            </w:r>
          </w:p>
        </w:tc>
      </w:tr>
      <w:tr w:rsidR="00315667" w14:paraId="65CDA033" w14:textId="77777777">
        <w:tc>
          <w:tcPr>
            <w:tcW w:w="2551" w:type="dxa"/>
          </w:tcPr>
          <w:p w14:paraId="2393B4EC" w14:textId="77777777" w:rsidR="00315667" w:rsidRDefault="00000000">
            <w:r>
              <w:t>VPS</w:t>
            </w:r>
          </w:p>
        </w:tc>
        <w:tc>
          <w:tcPr>
            <w:tcW w:w="6520" w:type="dxa"/>
          </w:tcPr>
          <w:p w14:paraId="74907B0D" w14:textId="77777777" w:rsidR="00315667" w:rsidRDefault="00000000">
            <w:r>
              <w:t>Victorian Public Sector</w:t>
            </w:r>
          </w:p>
        </w:tc>
      </w:tr>
      <w:tr w:rsidR="00315667" w14:paraId="402E5891" w14:textId="77777777">
        <w:tc>
          <w:tcPr>
            <w:tcW w:w="2551" w:type="dxa"/>
          </w:tcPr>
          <w:p w14:paraId="1C87B5BF" w14:textId="77777777" w:rsidR="00315667" w:rsidRDefault="00000000">
            <w:r>
              <w:t>VTA</w:t>
            </w:r>
          </w:p>
        </w:tc>
        <w:tc>
          <w:tcPr>
            <w:tcW w:w="6520" w:type="dxa"/>
          </w:tcPr>
          <w:p w14:paraId="1D542579" w14:textId="77777777" w:rsidR="00315667" w:rsidRDefault="00000000">
            <w:r>
              <w:t>Victorian TAFE Association</w:t>
            </w:r>
          </w:p>
        </w:tc>
      </w:tr>
    </w:tbl>
    <w:p w14:paraId="4D0882B3" w14:textId="77777777" w:rsidR="00BC3E97" w:rsidRDefault="00BC3E97" w:rsidP="00BC3E97"/>
    <w:p w14:paraId="5A8AE691" w14:textId="77777777" w:rsidR="00BC3E97" w:rsidRDefault="00BC3E97" w:rsidP="00BC3E97">
      <w:pPr>
        <w:pStyle w:val="Heading2"/>
      </w:pPr>
      <w:bookmarkStart w:id="184" w:name="_Toc238720496"/>
      <w:bookmarkStart w:id="185" w:name="_Toc239931081"/>
      <w:bookmarkEnd w:id="184"/>
      <w:r>
        <w:t>Appendix B — First Nations Policy Overview</w:t>
      </w:r>
      <w:bookmarkEnd w:id="185"/>
    </w:p>
    <w:tbl>
      <w:tblPr>
        <w:tblStyle w:val="TableGrid"/>
        <w:tblW w:w="0" w:type="auto"/>
        <w:tblLook w:val="04A0" w:firstRow="1" w:lastRow="0" w:firstColumn="1" w:lastColumn="0" w:noHBand="0" w:noVBand="1"/>
      </w:tblPr>
      <w:tblGrid>
        <w:gridCol w:w="1587"/>
        <w:gridCol w:w="7483"/>
      </w:tblGrid>
      <w:tr w:rsidR="00BC3E97" w14:paraId="4309ED20" w14:textId="77777777" w:rsidTr="003D5E4E">
        <w:trPr>
          <w:cantSplit/>
          <w:tblHeader/>
        </w:trPr>
        <w:tc>
          <w:tcPr>
            <w:tcW w:w="1587" w:type="dxa"/>
            <w:shd w:val="clear" w:color="auto" w:fill="E7F2F4"/>
          </w:tcPr>
          <w:p w14:paraId="1DBC24D7" w14:textId="77777777" w:rsidR="00BC3E97" w:rsidRDefault="00BC3E97" w:rsidP="003D5E4E">
            <w:pPr>
              <w:spacing w:after="0"/>
            </w:pPr>
            <w:r>
              <w:rPr>
                <w:rFonts w:eastAsia="Arial"/>
                <w:b/>
                <w:sz w:val="19"/>
              </w:rPr>
              <w:t>Year</w:t>
            </w:r>
          </w:p>
        </w:tc>
        <w:tc>
          <w:tcPr>
            <w:tcW w:w="7483" w:type="dxa"/>
            <w:shd w:val="clear" w:color="auto" w:fill="E7F2F4"/>
          </w:tcPr>
          <w:p w14:paraId="55DE0F9D" w14:textId="77777777" w:rsidR="00BC3E97" w:rsidRDefault="00BC3E97" w:rsidP="003D5E4E">
            <w:pPr>
              <w:spacing w:after="0"/>
            </w:pPr>
            <w:r>
              <w:rPr>
                <w:rFonts w:eastAsia="Arial"/>
                <w:b/>
                <w:sz w:val="19"/>
              </w:rPr>
              <w:t>Policy, reform or strategy</w:t>
            </w:r>
          </w:p>
        </w:tc>
      </w:tr>
      <w:tr w:rsidR="00BC3E97" w14:paraId="4BFAF375" w14:textId="77777777" w:rsidTr="003D5E4E">
        <w:trPr>
          <w:cantSplit/>
        </w:trPr>
        <w:tc>
          <w:tcPr>
            <w:tcW w:w="1587" w:type="dxa"/>
          </w:tcPr>
          <w:p w14:paraId="6EDABE76" w14:textId="77777777" w:rsidR="00315667" w:rsidRDefault="00000000">
            <w:r>
              <w:t>1990</w:t>
            </w:r>
          </w:p>
        </w:tc>
        <w:tc>
          <w:tcPr>
            <w:tcW w:w="7483" w:type="dxa"/>
          </w:tcPr>
          <w:p w14:paraId="58C9ACE7" w14:textId="77777777" w:rsidR="00315667" w:rsidRDefault="00000000">
            <w:r>
              <w:t>Partnership in Education: Koorie Education Policy</w:t>
            </w:r>
          </w:p>
        </w:tc>
      </w:tr>
      <w:tr w:rsidR="00BC3E97" w14:paraId="54384DA7" w14:textId="77777777" w:rsidTr="003D5E4E">
        <w:trPr>
          <w:cantSplit/>
        </w:trPr>
        <w:tc>
          <w:tcPr>
            <w:tcW w:w="1587" w:type="dxa"/>
          </w:tcPr>
          <w:p w14:paraId="755AABAA" w14:textId="77777777" w:rsidR="00315667" w:rsidRDefault="00000000">
            <w:r>
              <w:t>1997</w:t>
            </w:r>
          </w:p>
        </w:tc>
        <w:tc>
          <w:tcPr>
            <w:tcW w:w="7483" w:type="dxa"/>
          </w:tcPr>
          <w:p w14:paraId="327882A2" w14:textId="77777777" w:rsidR="00315667" w:rsidRDefault="00000000">
            <w:r>
              <w:t>Koorie 2000 launched</w:t>
            </w:r>
          </w:p>
        </w:tc>
      </w:tr>
      <w:tr w:rsidR="00BC3E97" w14:paraId="5025C5C6" w14:textId="77777777" w:rsidTr="003D5E4E">
        <w:trPr>
          <w:cantSplit/>
        </w:trPr>
        <w:tc>
          <w:tcPr>
            <w:tcW w:w="1587" w:type="dxa"/>
          </w:tcPr>
          <w:p w14:paraId="0F07E07B" w14:textId="77777777" w:rsidR="00315667" w:rsidRDefault="00000000">
            <w:r>
              <w:t>2000</w:t>
            </w:r>
          </w:p>
        </w:tc>
        <w:tc>
          <w:tcPr>
            <w:tcW w:w="7483" w:type="dxa"/>
          </w:tcPr>
          <w:p w14:paraId="3C3B75DF" w14:textId="77777777" w:rsidR="00315667" w:rsidRDefault="00000000">
            <w:r>
              <w:t>Wurreker Strategy launched</w:t>
            </w:r>
          </w:p>
        </w:tc>
      </w:tr>
      <w:tr w:rsidR="00BC3E97" w14:paraId="30DE18A8" w14:textId="77777777" w:rsidTr="003D5E4E">
        <w:trPr>
          <w:cantSplit/>
        </w:trPr>
        <w:tc>
          <w:tcPr>
            <w:tcW w:w="1587" w:type="dxa"/>
          </w:tcPr>
          <w:p w14:paraId="54212DFF" w14:textId="77777777" w:rsidR="00315667" w:rsidRDefault="00000000">
            <w:r>
              <w:t>2001</w:t>
            </w:r>
          </w:p>
        </w:tc>
        <w:tc>
          <w:tcPr>
            <w:tcW w:w="7483" w:type="dxa"/>
          </w:tcPr>
          <w:p w14:paraId="17EE6D26" w14:textId="77777777" w:rsidR="00315667" w:rsidRDefault="00000000">
            <w:r>
              <w:t>Yalca: A Partnership in Education and Training for the New Millennium, Koorie Education Policy</w:t>
            </w:r>
          </w:p>
        </w:tc>
      </w:tr>
      <w:tr w:rsidR="00BC3E97" w14:paraId="3771BA62" w14:textId="77777777" w:rsidTr="003D5E4E">
        <w:trPr>
          <w:cantSplit/>
        </w:trPr>
        <w:tc>
          <w:tcPr>
            <w:tcW w:w="1587" w:type="dxa"/>
          </w:tcPr>
          <w:p w14:paraId="5364B44E" w14:textId="77777777" w:rsidR="00315667" w:rsidRDefault="00000000">
            <w:r>
              <w:t>2006</w:t>
            </w:r>
          </w:p>
        </w:tc>
        <w:tc>
          <w:tcPr>
            <w:tcW w:w="7483" w:type="dxa"/>
          </w:tcPr>
          <w:p w14:paraId="5965F4EB" w14:textId="77777777" w:rsidR="00315667" w:rsidRDefault="00000000">
            <w:r>
              <w:t>Education and Training Reform Act 2006</w:t>
            </w:r>
          </w:p>
        </w:tc>
      </w:tr>
      <w:tr w:rsidR="00BC3E97" w14:paraId="080B93A6" w14:textId="77777777" w:rsidTr="003D5E4E">
        <w:trPr>
          <w:cantSplit/>
        </w:trPr>
        <w:tc>
          <w:tcPr>
            <w:tcW w:w="1587" w:type="dxa"/>
          </w:tcPr>
          <w:p w14:paraId="2108015E" w14:textId="77777777" w:rsidR="00315667" w:rsidRDefault="00000000">
            <w:r>
              <w:t>2007</w:t>
            </w:r>
          </w:p>
        </w:tc>
        <w:tc>
          <w:tcPr>
            <w:tcW w:w="7483" w:type="dxa"/>
          </w:tcPr>
          <w:p w14:paraId="4B293CBA" w14:textId="77777777" w:rsidR="00315667" w:rsidRDefault="00000000">
            <w:r>
              <w:t>The Council of Australian Governments’ commitment through the National Indigenous Reform Agreement to ‘closing the gap’ between Aboriginal and non-Aboriginal Australians</w:t>
            </w:r>
          </w:p>
        </w:tc>
      </w:tr>
      <w:tr w:rsidR="00BC3E97" w14:paraId="52CF652D" w14:textId="77777777" w:rsidTr="003D5E4E">
        <w:trPr>
          <w:cantSplit/>
        </w:trPr>
        <w:tc>
          <w:tcPr>
            <w:tcW w:w="1587" w:type="dxa"/>
          </w:tcPr>
          <w:p w14:paraId="3F2C063F" w14:textId="77777777" w:rsidR="00315667" w:rsidRDefault="00000000">
            <w:r>
              <w:t>2008</w:t>
            </w:r>
          </w:p>
        </w:tc>
        <w:tc>
          <w:tcPr>
            <w:tcW w:w="7483" w:type="dxa"/>
          </w:tcPr>
          <w:p w14:paraId="16F8688B" w14:textId="77777777" w:rsidR="00315667" w:rsidRDefault="00000000">
            <w:r>
              <w:t>Wannik: Learning Together Journey to Our Future, Education Strategy for Koorie Students</w:t>
            </w:r>
          </w:p>
        </w:tc>
      </w:tr>
      <w:tr w:rsidR="00BC3E97" w14:paraId="264BFCD9" w14:textId="77777777" w:rsidTr="003D5E4E">
        <w:trPr>
          <w:cantSplit/>
        </w:trPr>
        <w:tc>
          <w:tcPr>
            <w:tcW w:w="1587" w:type="dxa"/>
          </w:tcPr>
          <w:p w14:paraId="79695087" w14:textId="77777777" w:rsidR="00315667" w:rsidRDefault="00000000">
            <w:r>
              <w:lastRenderedPageBreak/>
              <w:t>2013</w:t>
            </w:r>
          </w:p>
        </w:tc>
        <w:tc>
          <w:tcPr>
            <w:tcW w:w="7483" w:type="dxa"/>
          </w:tcPr>
          <w:p w14:paraId="58433B6F" w14:textId="77777777" w:rsidR="00315667" w:rsidRDefault="00000000">
            <w:r>
              <w:t>Victorian Aboriginal Affairs Framework 2013–2018</w:t>
            </w:r>
          </w:p>
        </w:tc>
      </w:tr>
      <w:tr w:rsidR="00BC3E97" w14:paraId="3B599346" w14:textId="77777777" w:rsidTr="003D5E4E">
        <w:trPr>
          <w:cantSplit/>
        </w:trPr>
        <w:tc>
          <w:tcPr>
            <w:tcW w:w="1587" w:type="dxa"/>
          </w:tcPr>
          <w:p w14:paraId="4C2FDD69" w14:textId="77777777" w:rsidR="00315667" w:rsidRDefault="00000000">
            <w:r>
              <w:t>2013</w:t>
            </w:r>
          </w:p>
        </w:tc>
        <w:tc>
          <w:tcPr>
            <w:tcW w:w="7483" w:type="dxa"/>
          </w:tcPr>
          <w:p w14:paraId="634DD10C" w14:textId="77777777" w:rsidR="00315667" w:rsidRDefault="00000000">
            <w:r>
              <w:t>Victorian Aboriginal Economic Strategy 2013–2020</w:t>
            </w:r>
          </w:p>
        </w:tc>
      </w:tr>
      <w:tr w:rsidR="00BC3E97" w14:paraId="344243F3" w14:textId="77777777" w:rsidTr="003D5E4E">
        <w:trPr>
          <w:cantSplit/>
        </w:trPr>
        <w:tc>
          <w:tcPr>
            <w:tcW w:w="1587" w:type="dxa"/>
          </w:tcPr>
          <w:p w14:paraId="7673BD11" w14:textId="77777777" w:rsidR="00315667" w:rsidRDefault="00000000">
            <w:r>
              <w:t>2015</w:t>
            </w:r>
          </w:p>
        </w:tc>
        <w:tc>
          <w:tcPr>
            <w:tcW w:w="7483" w:type="dxa"/>
          </w:tcPr>
          <w:p w14:paraId="512930CF" w14:textId="77777777" w:rsidR="00315667" w:rsidRDefault="00000000">
            <w:r>
              <w:t>National Aboriginal and Torres Strait Islander Education Strategy</w:t>
            </w:r>
          </w:p>
        </w:tc>
      </w:tr>
      <w:tr w:rsidR="00BC3E97" w14:paraId="5E5838DC" w14:textId="77777777" w:rsidTr="003D5E4E">
        <w:trPr>
          <w:cantSplit/>
        </w:trPr>
        <w:tc>
          <w:tcPr>
            <w:tcW w:w="1587" w:type="dxa"/>
          </w:tcPr>
          <w:p w14:paraId="6D359771" w14:textId="77777777" w:rsidR="00315667" w:rsidRDefault="00000000">
            <w:r>
              <w:t>2015</w:t>
            </w:r>
          </w:p>
        </w:tc>
        <w:tc>
          <w:tcPr>
            <w:tcW w:w="7483" w:type="dxa"/>
          </w:tcPr>
          <w:p w14:paraId="3BFFC5E8" w14:textId="77777777" w:rsidR="00315667" w:rsidRDefault="00000000">
            <w:r>
              <w:t>Toorong Marnong Higher Education Accord</w:t>
            </w:r>
          </w:p>
        </w:tc>
      </w:tr>
      <w:tr w:rsidR="00BC3E97" w14:paraId="0A0419A5" w14:textId="77777777" w:rsidTr="003D5E4E">
        <w:trPr>
          <w:cantSplit/>
        </w:trPr>
        <w:tc>
          <w:tcPr>
            <w:tcW w:w="1587" w:type="dxa"/>
          </w:tcPr>
          <w:p w14:paraId="798A391E" w14:textId="77777777" w:rsidR="00315667" w:rsidRDefault="00000000">
            <w:r>
              <w:t>2016</w:t>
            </w:r>
          </w:p>
        </w:tc>
        <w:tc>
          <w:tcPr>
            <w:tcW w:w="7483" w:type="dxa"/>
          </w:tcPr>
          <w:p w14:paraId="46BE3500" w14:textId="77777777" w:rsidR="00315667" w:rsidRDefault="00000000">
            <w:r>
              <w:t>Roadmap for Reform: strong families, safe children</w:t>
            </w:r>
          </w:p>
        </w:tc>
      </w:tr>
      <w:tr w:rsidR="00BC3E97" w14:paraId="3BA9B68E" w14:textId="77777777" w:rsidTr="003D5E4E">
        <w:trPr>
          <w:cantSplit/>
        </w:trPr>
        <w:tc>
          <w:tcPr>
            <w:tcW w:w="1587" w:type="dxa"/>
          </w:tcPr>
          <w:p w14:paraId="5A587DD8" w14:textId="77777777" w:rsidR="00315667" w:rsidRDefault="00000000">
            <w:r>
              <w:t>2016</w:t>
            </w:r>
          </w:p>
        </w:tc>
        <w:tc>
          <w:tcPr>
            <w:tcW w:w="7483" w:type="dxa"/>
          </w:tcPr>
          <w:p w14:paraId="0FE0BC6F" w14:textId="77777777" w:rsidR="00315667" w:rsidRDefault="00000000">
            <w:r>
              <w:t>Marrung: Aboriginal Education Plan 2016–2026</w:t>
            </w:r>
          </w:p>
        </w:tc>
      </w:tr>
      <w:tr w:rsidR="00BC3E97" w14:paraId="106F54EC" w14:textId="77777777" w:rsidTr="003D5E4E">
        <w:trPr>
          <w:cantSplit/>
        </w:trPr>
        <w:tc>
          <w:tcPr>
            <w:tcW w:w="1587" w:type="dxa"/>
          </w:tcPr>
          <w:p w14:paraId="78CD4351" w14:textId="77777777" w:rsidR="00315667" w:rsidRDefault="00000000">
            <w:r>
              <w:t>2016</w:t>
            </w:r>
          </w:p>
        </w:tc>
        <w:tc>
          <w:tcPr>
            <w:tcW w:w="7483" w:type="dxa"/>
          </w:tcPr>
          <w:p w14:paraId="759C838B" w14:textId="77777777" w:rsidR="00315667" w:rsidRDefault="00000000">
            <w:r>
              <w:t>Taskforce 1000: Always was, always will be Koorie children: a systemic inquiry into services provided to Aboriginal children and young people in Out of Home Care</w:t>
            </w:r>
          </w:p>
        </w:tc>
      </w:tr>
      <w:tr w:rsidR="00BC3E97" w14:paraId="60AE5A58" w14:textId="77777777" w:rsidTr="003D5E4E">
        <w:trPr>
          <w:cantSplit/>
        </w:trPr>
        <w:tc>
          <w:tcPr>
            <w:tcW w:w="1587" w:type="dxa"/>
          </w:tcPr>
          <w:p w14:paraId="1A19AB18" w14:textId="77777777" w:rsidR="00315667" w:rsidRDefault="00000000">
            <w:r>
              <w:t>2017</w:t>
            </w:r>
          </w:p>
        </w:tc>
        <w:tc>
          <w:tcPr>
            <w:tcW w:w="7483" w:type="dxa"/>
          </w:tcPr>
          <w:p w14:paraId="65C56486" w14:textId="77777777" w:rsidR="00315667" w:rsidRDefault="00000000">
            <w:r>
              <w:t>Balit Murrup: Aboriginal social and emotional wellbeing framework 2017–2027</w:t>
            </w:r>
          </w:p>
        </w:tc>
      </w:tr>
      <w:tr w:rsidR="00BC3E97" w14:paraId="05F710AE" w14:textId="77777777" w:rsidTr="003D5E4E">
        <w:trPr>
          <w:cantSplit/>
        </w:trPr>
        <w:tc>
          <w:tcPr>
            <w:tcW w:w="1587" w:type="dxa"/>
          </w:tcPr>
          <w:p w14:paraId="1BCCD0DD" w14:textId="77777777" w:rsidR="00315667" w:rsidRDefault="00000000">
            <w:r>
              <w:t>2018</w:t>
            </w:r>
          </w:p>
        </w:tc>
        <w:tc>
          <w:tcPr>
            <w:tcW w:w="7483" w:type="dxa"/>
          </w:tcPr>
          <w:p w14:paraId="1B758188" w14:textId="77777777" w:rsidR="00315667" w:rsidRDefault="00000000">
            <w:r>
              <w:t>Victorian Aboriginal Affairs Framework 2018-2023</w:t>
            </w:r>
          </w:p>
        </w:tc>
      </w:tr>
      <w:tr w:rsidR="00BC3E97" w14:paraId="21C3485A" w14:textId="77777777" w:rsidTr="003D5E4E">
        <w:trPr>
          <w:cantSplit/>
        </w:trPr>
        <w:tc>
          <w:tcPr>
            <w:tcW w:w="1587" w:type="dxa"/>
          </w:tcPr>
          <w:p w14:paraId="7247A79E" w14:textId="77777777" w:rsidR="00315667" w:rsidRDefault="00000000">
            <w:r>
              <w:t>2019</w:t>
            </w:r>
          </w:p>
        </w:tc>
        <w:tc>
          <w:tcPr>
            <w:tcW w:w="7483" w:type="dxa"/>
          </w:tcPr>
          <w:p w14:paraId="41F65262" w14:textId="77777777" w:rsidR="00315667" w:rsidRDefault="00000000">
            <w:r>
              <w:t>Alice Springs (Mparntwe) Education Declaration</w:t>
            </w:r>
          </w:p>
        </w:tc>
      </w:tr>
      <w:tr w:rsidR="00BC3E97" w14:paraId="4232C6CC" w14:textId="77777777" w:rsidTr="003D5E4E">
        <w:trPr>
          <w:cantSplit/>
        </w:trPr>
        <w:tc>
          <w:tcPr>
            <w:tcW w:w="1587" w:type="dxa"/>
          </w:tcPr>
          <w:p w14:paraId="5BBB7ADD" w14:textId="77777777" w:rsidR="00315667" w:rsidRDefault="00000000">
            <w:r>
              <w:t>2019</w:t>
            </w:r>
          </w:p>
        </w:tc>
        <w:tc>
          <w:tcPr>
            <w:tcW w:w="7483" w:type="dxa"/>
          </w:tcPr>
          <w:p w14:paraId="426545C7" w14:textId="77777777" w:rsidR="00315667" w:rsidRDefault="00000000">
            <w:r>
              <w:t>Victorian Government Self-Determination Reform Framework</w:t>
            </w:r>
          </w:p>
        </w:tc>
      </w:tr>
      <w:tr w:rsidR="00BC3E97" w14:paraId="6967E76B" w14:textId="77777777" w:rsidTr="003D5E4E">
        <w:trPr>
          <w:cantSplit/>
        </w:trPr>
        <w:tc>
          <w:tcPr>
            <w:tcW w:w="1587" w:type="dxa"/>
          </w:tcPr>
          <w:p w14:paraId="31016257" w14:textId="77777777" w:rsidR="00315667" w:rsidRDefault="00000000">
            <w:r>
              <w:t>2020</w:t>
            </w:r>
          </w:p>
        </w:tc>
        <w:tc>
          <w:tcPr>
            <w:tcW w:w="7483" w:type="dxa"/>
          </w:tcPr>
          <w:p w14:paraId="1D268278" w14:textId="77777777" w:rsidR="00315667" w:rsidRDefault="00000000">
            <w:r>
              <w:t>National Agreement on Closing the Gap</w:t>
            </w:r>
          </w:p>
        </w:tc>
      </w:tr>
      <w:tr w:rsidR="00BC3E97" w14:paraId="3C91F47E" w14:textId="77777777" w:rsidTr="003D5E4E">
        <w:trPr>
          <w:cantSplit/>
        </w:trPr>
        <w:tc>
          <w:tcPr>
            <w:tcW w:w="1587" w:type="dxa"/>
          </w:tcPr>
          <w:p w14:paraId="5225EC0E" w14:textId="77777777" w:rsidR="00315667" w:rsidRDefault="00000000">
            <w:r>
              <w:t>2021</w:t>
            </w:r>
          </w:p>
        </w:tc>
        <w:tc>
          <w:tcPr>
            <w:tcW w:w="7483" w:type="dxa"/>
          </w:tcPr>
          <w:p w14:paraId="13DDBC6A" w14:textId="77777777" w:rsidR="00315667" w:rsidRDefault="00000000">
            <w:r>
              <w:t>Yoorrook Justice Commission established</w:t>
            </w:r>
          </w:p>
        </w:tc>
      </w:tr>
      <w:tr w:rsidR="00BC3E97" w14:paraId="3EE8E79B" w14:textId="77777777" w:rsidTr="003D5E4E">
        <w:trPr>
          <w:cantSplit/>
        </w:trPr>
        <w:tc>
          <w:tcPr>
            <w:tcW w:w="1587" w:type="dxa"/>
          </w:tcPr>
          <w:p w14:paraId="465D5246" w14:textId="77777777" w:rsidR="00315667" w:rsidRDefault="00000000">
            <w:r>
              <w:t>2022</w:t>
            </w:r>
          </w:p>
        </w:tc>
        <w:tc>
          <w:tcPr>
            <w:tcW w:w="7483" w:type="dxa"/>
          </w:tcPr>
          <w:p w14:paraId="052A32BB" w14:textId="77777777" w:rsidR="00315667" w:rsidRDefault="00000000">
            <w:r>
              <w:t>Catholic Education Commission of Victoria’s Aboriginal and Torres Strait Islander Education Action Plan</w:t>
            </w:r>
          </w:p>
        </w:tc>
      </w:tr>
      <w:tr w:rsidR="00BC3E97" w14:paraId="16A04002" w14:textId="77777777" w:rsidTr="003D5E4E">
        <w:trPr>
          <w:cantSplit/>
        </w:trPr>
        <w:tc>
          <w:tcPr>
            <w:tcW w:w="1587" w:type="dxa"/>
          </w:tcPr>
          <w:p w14:paraId="0809FD94" w14:textId="77777777" w:rsidR="00315667" w:rsidRDefault="00000000">
            <w:r>
              <w:t>2022</w:t>
            </w:r>
          </w:p>
        </w:tc>
        <w:tc>
          <w:tcPr>
            <w:tcW w:w="7483" w:type="dxa"/>
          </w:tcPr>
          <w:p w14:paraId="0251C932" w14:textId="77777777" w:rsidR="00315667" w:rsidRDefault="00000000">
            <w:r>
              <w:t>Best Start, Best Life reforms</w:t>
            </w:r>
          </w:p>
        </w:tc>
      </w:tr>
      <w:tr w:rsidR="00BC3E97" w14:paraId="4AE00E72" w14:textId="77777777" w:rsidTr="003D5E4E">
        <w:trPr>
          <w:cantSplit/>
        </w:trPr>
        <w:tc>
          <w:tcPr>
            <w:tcW w:w="1587" w:type="dxa"/>
          </w:tcPr>
          <w:p w14:paraId="1CC45317" w14:textId="77777777" w:rsidR="00315667" w:rsidRDefault="00000000">
            <w:r>
              <w:t>2022</w:t>
            </w:r>
          </w:p>
        </w:tc>
        <w:tc>
          <w:tcPr>
            <w:tcW w:w="7483" w:type="dxa"/>
          </w:tcPr>
          <w:p w14:paraId="32B452FA" w14:textId="77777777" w:rsidR="00315667" w:rsidRDefault="00000000">
            <w:r>
              <w:t>Yuma Yirramboi: Victorian Aboriginal Employment and Economic Strategy</w:t>
            </w:r>
          </w:p>
        </w:tc>
      </w:tr>
      <w:tr w:rsidR="00BC3E97" w14:paraId="2D15B7DA" w14:textId="77777777" w:rsidTr="003D5E4E">
        <w:trPr>
          <w:cantSplit/>
        </w:trPr>
        <w:tc>
          <w:tcPr>
            <w:tcW w:w="1587" w:type="dxa"/>
          </w:tcPr>
          <w:p w14:paraId="10970C26" w14:textId="77777777" w:rsidR="00315667" w:rsidRDefault="00000000">
            <w:r>
              <w:t>2022</w:t>
            </w:r>
          </w:p>
        </w:tc>
        <w:tc>
          <w:tcPr>
            <w:tcW w:w="7483" w:type="dxa"/>
          </w:tcPr>
          <w:p w14:paraId="0DB9D464" w14:textId="77777777" w:rsidR="00315667" w:rsidRDefault="00000000">
            <w:r>
              <w:t>Strengthening Aboriginal Self-Determination in Education Report</w:t>
            </w:r>
          </w:p>
        </w:tc>
      </w:tr>
      <w:tr w:rsidR="00BC3E97" w14:paraId="38F59993" w14:textId="77777777" w:rsidTr="003D5E4E">
        <w:trPr>
          <w:cantSplit/>
        </w:trPr>
        <w:tc>
          <w:tcPr>
            <w:tcW w:w="1587" w:type="dxa"/>
          </w:tcPr>
          <w:p w14:paraId="353AF086" w14:textId="77777777" w:rsidR="00315667" w:rsidRDefault="00000000">
            <w:r>
              <w:t>2024</w:t>
            </w:r>
          </w:p>
        </w:tc>
        <w:tc>
          <w:tcPr>
            <w:tcW w:w="7483" w:type="dxa"/>
          </w:tcPr>
          <w:p w14:paraId="312A25B7" w14:textId="77777777" w:rsidR="00315667" w:rsidRDefault="00000000">
            <w:r>
              <w:t>Barring Djinang: Aboriginal employment strategy (public sector) 2024-2028</w:t>
            </w:r>
          </w:p>
        </w:tc>
      </w:tr>
      <w:tr w:rsidR="00BC3E97" w14:paraId="3D6F7FB4" w14:textId="77777777" w:rsidTr="003D5E4E">
        <w:trPr>
          <w:cantSplit/>
        </w:trPr>
        <w:tc>
          <w:tcPr>
            <w:tcW w:w="1587" w:type="dxa"/>
          </w:tcPr>
          <w:p w14:paraId="411169CE" w14:textId="77777777" w:rsidR="00315667" w:rsidRDefault="00000000">
            <w:r>
              <w:t>2024</w:t>
            </w:r>
          </w:p>
        </w:tc>
        <w:tc>
          <w:tcPr>
            <w:tcW w:w="7483" w:type="dxa"/>
          </w:tcPr>
          <w:p w14:paraId="5414CFAA" w14:textId="77777777" w:rsidR="00315667" w:rsidRDefault="00000000">
            <w:r>
              <w:t>Independent Schools Victoria Reconciliation Action Plan</w:t>
            </w:r>
          </w:p>
        </w:tc>
      </w:tr>
      <w:tr w:rsidR="00BC3E97" w14:paraId="17309203" w14:textId="77777777" w:rsidTr="003D5E4E">
        <w:trPr>
          <w:cantSplit/>
        </w:trPr>
        <w:tc>
          <w:tcPr>
            <w:tcW w:w="1587" w:type="dxa"/>
          </w:tcPr>
          <w:p w14:paraId="7982F926" w14:textId="77777777" w:rsidR="00315667" w:rsidRDefault="00000000">
            <w:r>
              <w:t>2025</w:t>
            </w:r>
          </w:p>
        </w:tc>
        <w:tc>
          <w:tcPr>
            <w:tcW w:w="7483" w:type="dxa"/>
          </w:tcPr>
          <w:p w14:paraId="309D2210" w14:textId="77777777" w:rsidR="00315667" w:rsidRDefault="00000000">
            <w:r>
              <w:t>Yoorrook Justice Commission, third interim and final reports</w:t>
            </w:r>
          </w:p>
        </w:tc>
      </w:tr>
      <w:tr w:rsidR="00BC3E97" w14:paraId="6A67BF2D" w14:textId="77777777" w:rsidTr="003D5E4E">
        <w:trPr>
          <w:cantSplit/>
        </w:trPr>
        <w:tc>
          <w:tcPr>
            <w:tcW w:w="1587" w:type="dxa"/>
          </w:tcPr>
          <w:p w14:paraId="3D5E3A88" w14:textId="77777777" w:rsidR="00315667" w:rsidRDefault="00000000">
            <w:r>
              <w:lastRenderedPageBreak/>
              <w:t>2025</w:t>
            </w:r>
          </w:p>
        </w:tc>
        <w:tc>
          <w:tcPr>
            <w:tcW w:w="7483" w:type="dxa"/>
          </w:tcPr>
          <w:p w14:paraId="62F84B25" w14:textId="77777777" w:rsidR="00315667" w:rsidRDefault="00000000">
            <w:r>
              <w:t>Statewide Treaty</w:t>
            </w:r>
          </w:p>
        </w:tc>
      </w:tr>
      <w:tr w:rsidR="00BC3E97" w14:paraId="49E829CD" w14:textId="77777777" w:rsidTr="003D5E4E">
        <w:trPr>
          <w:cantSplit/>
        </w:trPr>
        <w:tc>
          <w:tcPr>
            <w:tcW w:w="1587" w:type="dxa"/>
          </w:tcPr>
          <w:p w14:paraId="291E2167" w14:textId="77777777" w:rsidR="00315667" w:rsidRDefault="00000000">
            <w:r>
              <w:t>2026</w:t>
            </w:r>
          </w:p>
        </w:tc>
        <w:tc>
          <w:tcPr>
            <w:tcW w:w="7483" w:type="dxa"/>
          </w:tcPr>
          <w:p w14:paraId="03F43028" w14:textId="77777777" w:rsidR="00315667" w:rsidRDefault="00000000">
            <w:r>
              <w:t>Marrung 2026-2036 First Nations Education Strategy</w:t>
            </w:r>
          </w:p>
        </w:tc>
      </w:tr>
    </w:tbl>
    <w:p w14:paraId="6A986AF2" w14:textId="77777777" w:rsidR="00BC3E97" w:rsidRDefault="00BC3E97" w:rsidP="00BC3E97"/>
    <w:p w14:paraId="744BBF12" w14:textId="77777777" w:rsidR="00BC3E97" w:rsidRDefault="00BC3E97" w:rsidP="00BC3E97">
      <w:pPr>
        <w:pStyle w:val="Heading1"/>
      </w:pPr>
      <w:bookmarkStart w:id="186" w:name="_Toc238720497"/>
      <w:bookmarkStart w:id="187" w:name="_Toc239931082"/>
      <w:r>
        <w:t>Copyright disclaimer</w:t>
      </w:r>
      <w:bookmarkEnd w:id="186"/>
      <w:bookmarkEnd w:id="187"/>
    </w:p>
    <w:p w14:paraId="18EE0ABB" w14:textId="77777777" w:rsidR="00BC3E97" w:rsidRDefault="00BC3E97" w:rsidP="00BC3E97">
      <w:r>
        <w:t>© State of Victoria 2026</w:t>
      </w:r>
    </w:p>
    <w:p w14:paraId="7F1E5EB4" w14:textId="77777777" w:rsidR="00BC3E97" w:rsidRDefault="00BC3E97" w:rsidP="00BC3E97">
      <w:r>
        <w:t>The ‘Marrung 2026–2036, First Nations Education Strategy’ is provided under a Creative Commons Attribution 4.0 International license. You are free to re-use the work under that licence, on the condition that you credit the State of Victoria, indicate if changes were made and comply with the other licence terms, see: Creative Commons Attribution 4.0 International</w:t>
      </w:r>
    </w:p>
    <w:p w14:paraId="4B241720" w14:textId="77777777" w:rsidR="00BC3E97" w:rsidRDefault="00BC3E97" w:rsidP="00BC3E97">
      <w:r>
        <w:t>The licence does not apply to:</w:t>
      </w:r>
    </w:p>
    <w:p w14:paraId="42980AA8" w14:textId="77777777" w:rsidR="00BC3E97" w:rsidRDefault="00BC3E97" w:rsidP="00BC3E97">
      <w:pPr>
        <w:pStyle w:val="ListBullet"/>
        <w:tabs>
          <w:tab w:val="num" w:pos="360"/>
        </w:tabs>
        <w:ind w:left="360" w:hanging="360"/>
      </w:pPr>
      <w:r>
        <w:t xml:space="preserve">» </w:t>
      </w:r>
      <w:proofErr w:type="gramStart"/>
      <w:r>
        <w:t>any</w:t>
      </w:r>
      <w:proofErr w:type="gramEnd"/>
      <w:r>
        <w:t xml:space="preserve"> images, photographs, trademarks or branding, including the Victorian Government logo; and </w:t>
      </w:r>
    </w:p>
    <w:p w14:paraId="5DDD9550" w14:textId="77777777" w:rsidR="00BC3E97" w:rsidRDefault="00BC3E97" w:rsidP="00BC3E97">
      <w:pPr>
        <w:pStyle w:val="ListBullet"/>
        <w:tabs>
          <w:tab w:val="num" w:pos="360"/>
        </w:tabs>
        <w:ind w:left="360" w:hanging="360"/>
      </w:pPr>
      <w:r>
        <w:t xml:space="preserve">» </w:t>
      </w:r>
      <w:proofErr w:type="gramStart"/>
      <w:r>
        <w:t>content</w:t>
      </w:r>
      <w:proofErr w:type="gramEnd"/>
      <w:r>
        <w:t xml:space="preserve"> supplied by third parties.</w:t>
      </w:r>
    </w:p>
    <w:p w14:paraId="18B60671" w14:textId="77777777" w:rsidR="007664AC" w:rsidRPr="00D76A3A" w:rsidRDefault="00BC3E97" w:rsidP="00727DA4">
      <w:r>
        <w:t>Copyright queries may be directed to copyright@education.vic.gov.au</w:t>
      </w:r>
    </w:p>
    <w:p w14:paraId="1A21D181" w14:textId="77777777" w:rsidR="00315667" w:rsidRDefault="00000000">
      <w:r>
        <w:t>vic.gov.au/education</w:t>
      </w:r>
    </w:p>
    <w:sectPr w:rsidR="00315667" w:rsidSect="00EC2ECE">
      <w:pgSz w:w="11910" w:h="16840" w:code="9"/>
      <w:pgMar w:top="1134" w:right="1134" w:bottom="1134" w:left="1134" w:header="397" w:footer="397" w:gutter="0"/>
      <w:cols w:space="720"/>
    </w:sectPr>
  </w:body>
</w:document>
</file>

<file path=word/customizations.xml><?xml version="1.0" encoding="utf-8"?>
<wne:tcg xmlns:r="http://schemas.openxmlformats.org/officeDocument/2006/relationships" xmlns:wne="http://schemas.microsoft.com/office/word/2006/wordml">
  <wne:keymaps>
    <wne:keymap wne:kcmPrimary="020C">
      <wne:acd wne:acdName="acd2"/>
    </wne:keymap>
    <wne:keymap wne:kcmPrimary="0260">
      <wne:acd wne:acdName="acd0"/>
    </wne:keymap>
    <wne:keymap wne:kcmPrimary="0265">
      <wne:acd wne:acdName="acd1"/>
    </wne:keymap>
  </wne:keymaps>
  <wne:toolbars>
    <wne:acdManifest>
      <wne:acdEntry wne:acdName="acd0"/>
      <wne:acdEntry wne:acdName="acd1"/>
      <wne:acdEntry wne:acdName="acd2"/>
    </wne:acdManifest>
  </wne:toolbars>
  <wne:acds>
    <wne:acd wne:argValue="AQAAAAAA" wne:acdName="acd0" wne:fciIndexBasedOn="0065"/>
    <wne:acd wne:argValue="AgBCAHUAbABsAGUAdAA=" wne:acdName="acd1" wne:fciIndexBasedOn="0065"/>
    <wne:acd wne:argValue="AgBCAHUAbABsAGUAdAAgAGwAYQBzAHQ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D9DB4" w14:textId="77777777" w:rsidR="00752654" w:rsidRDefault="00752654" w:rsidP="00D76A3A">
      <w:r>
        <w:separator/>
      </w:r>
    </w:p>
  </w:endnote>
  <w:endnote w:type="continuationSeparator" w:id="0">
    <w:p w14:paraId="7DB1C1A6" w14:textId="77777777" w:rsidR="00752654" w:rsidRDefault="00752654" w:rsidP="00D76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VIC Medium Italic">
    <w:panose1 w:val="020B0604020202020204"/>
    <w:charset w:val="4D"/>
    <w:family w:val="auto"/>
    <w:pitch w:val="variable"/>
    <w:sig w:usb0="00000007" w:usb1="00000000" w:usb2="00000000" w:usb3="00000000" w:csb0="00000093" w:csb1="00000000"/>
  </w:font>
  <w:font w:name="VIC Light">
    <w:panose1 w:val="020B0604020202020204"/>
    <w:charset w:val="4D"/>
    <w:family w:val="auto"/>
    <w:pitch w:val="variable"/>
    <w:sig w:usb0="00000007" w:usb1="00000000" w:usb2="00000000" w:usb3="00000000" w:csb0="00000093"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70226" w14:textId="77777777" w:rsidR="00752654" w:rsidRDefault="00752654" w:rsidP="00D76A3A">
      <w:r>
        <w:separator/>
      </w:r>
    </w:p>
  </w:footnote>
  <w:footnote w:type="continuationSeparator" w:id="0">
    <w:p w14:paraId="39E270FE" w14:textId="77777777" w:rsidR="00752654" w:rsidRDefault="00752654" w:rsidP="00D76A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552BB0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5D71EC"/>
    <w:multiLevelType w:val="multilevel"/>
    <w:tmpl w:val="D154FEB8"/>
    <w:lvl w:ilvl="0">
      <w:start w:val="1"/>
      <w:numFmt w:val="decimal"/>
      <w:pStyle w:val="Heading1numbered"/>
      <w:lvlText w:val="%1."/>
      <w:lvlJc w:val="left"/>
      <w:pPr>
        <w:ind w:left="851" w:hanging="851"/>
      </w:pPr>
      <w:rPr>
        <w:rFonts w:ascii="Arial" w:eastAsia="Arial" w:hAnsi="Arial" w:cs="Arial" w:hint="default"/>
        <w:color w:val="383834"/>
        <w:spacing w:val="-2"/>
        <w:w w:val="103"/>
        <w:sz w:val="32"/>
        <w:szCs w:val="17"/>
      </w:rPr>
    </w:lvl>
    <w:lvl w:ilvl="1">
      <w:start w:val="1"/>
      <w:numFmt w:val="decimal"/>
      <w:pStyle w:val="Heading2numbered"/>
      <w:lvlText w:val="%1.%2."/>
      <w:lvlJc w:val="left"/>
      <w:pPr>
        <w:ind w:left="851" w:hanging="851"/>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6BE277B"/>
    <w:multiLevelType w:val="hybridMultilevel"/>
    <w:tmpl w:val="629C9750"/>
    <w:lvl w:ilvl="0" w:tplc="F66AFD0A">
      <w:start w:val="1"/>
      <w:numFmt w:val="bullet"/>
      <w:pStyle w:val="TableBullet"/>
      <w:lvlText w:val=""/>
      <w:lvlJc w:val="left"/>
      <w:pPr>
        <w:ind w:left="284" w:hanging="28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D01FA5"/>
    <w:multiLevelType w:val="hybridMultilevel"/>
    <w:tmpl w:val="474A4698"/>
    <w:lvl w:ilvl="0" w:tplc="B1EAFC90">
      <w:numFmt w:val="bullet"/>
      <w:lvlText w:val="•"/>
      <w:lvlJc w:val="left"/>
      <w:pPr>
        <w:ind w:left="415" w:hanging="272"/>
      </w:pPr>
      <w:rPr>
        <w:rFonts w:ascii="Arial" w:eastAsia="Arial" w:hAnsi="Arial" w:cs="Arial" w:hint="default"/>
        <w:color w:val="1F1546"/>
        <w:w w:val="100"/>
        <w:sz w:val="18"/>
        <w:szCs w:val="18"/>
        <w:lang w:val="en-AU" w:eastAsia="en-US" w:bidi="ar-SA"/>
      </w:rPr>
    </w:lvl>
    <w:lvl w:ilvl="1" w:tplc="E9A85DE8">
      <w:numFmt w:val="bullet"/>
      <w:lvlText w:val="•"/>
      <w:lvlJc w:val="left"/>
      <w:pPr>
        <w:ind w:left="1219" w:hanging="272"/>
      </w:pPr>
      <w:rPr>
        <w:rFonts w:hint="default"/>
        <w:lang w:val="en-AU" w:eastAsia="en-US" w:bidi="ar-SA"/>
      </w:rPr>
    </w:lvl>
    <w:lvl w:ilvl="2" w:tplc="2AF09BDC">
      <w:numFmt w:val="bullet"/>
      <w:lvlText w:val="•"/>
      <w:lvlJc w:val="left"/>
      <w:pPr>
        <w:ind w:left="2019" w:hanging="272"/>
      </w:pPr>
      <w:rPr>
        <w:rFonts w:hint="default"/>
        <w:lang w:val="en-AU" w:eastAsia="en-US" w:bidi="ar-SA"/>
      </w:rPr>
    </w:lvl>
    <w:lvl w:ilvl="3" w:tplc="CCFA2010">
      <w:numFmt w:val="bullet"/>
      <w:lvlText w:val="•"/>
      <w:lvlJc w:val="left"/>
      <w:pPr>
        <w:ind w:left="2819" w:hanging="272"/>
      </w:pPr>
      <w:rPr>
        <w:rFonts w:hint="default"/>
        <w:lang w:val="en-AU" w:eastAsia="en-US" w:bidi="ar-SA"/>
      </w:rPr>
    </w:lvl>
    <w:lvl w:ilvl="4" w:tplc="8DBA9360">
      <w:numFmt w:val="bullet"/>
      <w:lvlText w:val="•"/>
      <w:lvlJc w:val="left"/>
      <w:pPr>
        <w:ind w:left="3619" w:hanging="272"/>
      </w:pPr>
      <w:rPr>
        <w:rFonts w:hint="default"/>
        <w:lang w:val="en-AU" w:eastAsia="en-US" w:bidi="ar-SA"/>
      </w:rPr>
    </w:lvl>
    <w:lvl w:ilvl="5" w:tplc="6EC63F06">
      <w:numFmt w:val="bullet"/>
      <w:lvlText w:val="•"/>
      <w:lvlJc w:val="left"/>
      <w:pPr>
        <w:ind w:left="4419" w:hanging="272"/>
      </w:pPr>
      <w:rPr>
        <w:rFonts w:hint="default"/>
        <w:lang w:val="en-AU" w:eastAsia="en-US" w:bidi="ar-SA"/>
      </w:rPr>
    </w:lvl>
    <w:lvl w:ilvl="6" w:tplc="4A7E2034">
      <w:numFmt w:val="bullet"/>
      <w:lvlText w:val="•"/>
      <w:lvlJc w:val="left"/>
      <w:pPr>
        <w:ind w:left="5219" w:hanging="272"/>
      </w:pPr>
      <w:rPr>
        <w:rFonts w:hint="default"/>
        <w:lang w:val="en-AU" w:eastAsia="en-US" w:bidi="ar-SA"/>
      </w:rPr>
    </w:lvl>
    <w:lvl w:ilvl="7" w:tplc="F4E45AA8">
      <w:numFmt w:val="bullet"/>
      <w:lvlText w:val="•"/>
      <w:lvlJc w:val="left"/>
      <w:pPr>
        <w:ind w:left="6019" w:hanging="272"/>
      </w:pPr>
      <w:rPr>
        <w:rFonts w:hint="default"/>
        <w:lang w:val="en-AU" w:eastAsia="en-US" w:bidi="ar-SA"/>
      </w:rPr>
    </w:lvl>
    <w:lvl w:ilvl="8" w:tplc="393E4EDC">
      <w:numFmt w:val="bullet"/>
      <w:lvlText w:val="•"/>
      <w:lvlJc w:val="left"/>
      <w:pPr>
        <w:ind w:left="6819" w:hanging="272"/>
      </w:pPr>
      <w:rPr>
        <w:rFonts w:hint="default"/>
        <w:lang w:val="en-AU" w:eastAsia="en-US" w:bidi="ar-SA"/>
      </w:rPr>
    </w:lvl>
  </w:abstractNum>
  <w:abstractNum w:abstractNumId="12" w15:restartNumberingAfterBreak="0">
    <w:nsid w:val="26DA25A3"/>
    <w:multiLevelType w:val="hybridMultilevel"/>
    <w:tmpl w:val="18247A5A"/>
    <w:lvl w:ilvl="0" w:tplc="416AEDE4">
      <w:numFmt w:val="bullet"/>
      <w:lvlText w:val="•"/>
      <w:lvlJc w:val="left"/>
      <w:pPr>
        <w:ind w:left="2715" w:hanging="272"/>
      </w:pPr>
      <w:rPr>
        <w:rFonts w:ascii="Arial" w:eastAsia="Arial" w:hAnsi="Arial" w:cs="Arial" w:hint="default"/>
        <w:color w:val="686864"/>
        <w:w w:val="100"/>
        <w:sz w:val="18"/>
        <w:szCs w:val="18"/>
        <w:lang w:val="en-AU" w:eastAsia="en-US" w:bidi="ar-SA"/>
      </w:rPr>
    </w:lvl>
    <w:lvl w:ilvl="1" w:tplc="CE3EA4F0">
      <w:numFmt w:val="bullet"/>
      <w:lvlText w:val="•"/>
      <w:lvlJc w:val="left"/>
      <w:pPr>
        <w:ind w:left="3588" w:hanging="272"/>
      </w:pPr>
      <w:rPr>
        <w:rFonts w:hint="default"/>
        <w:lang w:val="en-AU" w:eastAsia="en-US" w:bidi="ar-SA"/>
      </w:rPr>
    </w:lvl>
    <w:lvl w:ilvl="2" w:tplc="2D742ED0">
      <w:numFmt w:val="bullet"/>
      <w:lvlText w:val="•"/>
      <w:lvlJc w:val="left"/>
      <w:pPr>
        <w:ind w:left="4456" w:hanging="272"/>
      </w:pPr>
      <w:rPr>
        <w:rFonts w:hint="default"/>
        <w:lang w:val="en-AU" w:eastAsia="en-US" w:bidi="ar-SA"/>
      </w:rPr>
    </w:lvl>
    <w:lvl w:ilvl="3" w:tplc="3A009672">
      <w:numFmt w:val="bullet"/>
      <w:lvlText w:val="•"/>
      <w:lvlJc w:val="left"/>
      <w:pPr>
        <w:ind w:left="5325" w:hanging="272"/>
      </w:pPr>
      <w:rPr>
        <w:rFonts w:hint="default"/>
        <w:lang w:val="en-AU" w:eastAsia="en-US" w:bidi="ar-SA"/>
      </w:rPr>
    </w:lvl>
    <w:lvl w:ilvl="4" w:tplc="3AC023AE">
      <w:numFmt w:val="bullet"/>
      <w:lvlText w:val="•"/>
      <w:lvlJc w:val="left"/>
      <w:pPr>
        <w:ind w:left="6193" w:hanging="272"/>
      </w:pPr>
      <w:rPr>
        <w:rFonts w:hint="default"/>
        <w:lang w:val="en-AU" w:eastAsia="en-US" w:bidi="ar-SA"/>
      </w:rPr>
    </w:lvl>
    <w:lvl w:ilvl="5" w:tplc="33C4315C">
      <w:numFmt w:val="bullet"/>
      <w:lvlText w:val="•"/>
      <w:lvlJc w:val="left"/>
      <w:pPr>
        <w:ind w:left="7062" w:hanging="272"/>
      </w:pPr>
      <w:rPr>
        <w:rFonts w:hint="default"/>
        <w:lang w:val="en-AU" w:eastAsia="en-US" w:bidi="ar-SA"/>
      </w:rPr>
    </w:lvl>
    <w:lvl w:ilvl="6" w:tplc="FB3EFCAE">
      <w:numFmt w:val="bullet"/>
      <w:lvlText w:val="•"/>
      <w:lvlJc w:val="left"/>
      <w:pPr>
        <w:ind w:left="7930" w:hanging="272"/>
      </w:pPr>
      <w:rPr>
        <w:rFonts w:hint="default"/>
        <w:lang w:val="en-AU" w:eastAsia="en-US" w:bidi="ar-SA"/>
      </w:rPr>
    </w:lvl>
    <w:lvl w:ilvl="7" w:tplc="260C2168">
      <w:numFmt w:val="bullet"/>
      <w:lvlText w:val="•"/>
      <w:lvlJc w:val="left"/>
      <w:pPr>
        <w:ind w:left="8798" w:hanging="272"/>
      </w:pPr>
      <w:rPr>
        <w:rFonts w:hint="default"/>
        <w:lang w:val="en-AU" w:eastAsia="en-US" w:bidi="ar-SA"/>
      </w:rPr>
    </w:lvl>
    <w:lvl w:ilvl="8" w:tplc="F76A35B2">
      <w:numFmt w:val="bullet"/>
      <w:lvlText w:val="•"/>
      <w:lvlJc w:val="left"/>
      <w:pPr>
        <w:ind w:left="9667" w:hanging="272"/>
      </w:pPr>
      <w:rPr>
        <w:rFonts w:hint="default"/>
        <w:lang w:val="en-AU" w:eastAsia="en-US" w:bidi="ar-SA"/>
      </w:rPr>
    </w:lvl>
  </w:abstractNum>
  <w:abstractNum w:abstractNumId="13" w15:restartNumberingAfterBreak="0">
    <w:nsid w:val="2775734C"/>
    <w:multiLevelType w:val="hybridMultilevel"/>
    <w:tmpl w:val="D6A05DFC"/>
    <w:lvl w:ilvl="0" w:tplc="FC143C82">
      <w:start w:val="1"/>
      <w:numFmt w:val="decimal"/>
      <w:lvlText w:val="%1."/>
      <w:lvlJc w:val="left"/>
      <w:pPr>
        <w:ind w:left="284" w:hanging="284"/>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C6211E"/>
    <w:multiLevelType w:val="hybridMultilevel"/>
    <w:tmpl w:val="56383086"/>
    <w:lvl w:ilvl="0" w:tplc="E2A44144">
      <w:numFmt w:val="bullet"/>
      <w:lvlText w:val=""/>
      <w:lvlJc w:val="left"/>
      <w:pPr>
        <w:ind w:left="2485" w:hanging="272"/>
      </w:pPr>
      <w:rPr>
        <w:rFonts w:hint="default"/>
        <w:w w:val="100"/>
        <w:lang w:val="en-AU" w:eastAsia="en-US" w:bidi="ar-SA"/>
      </w:rPr>
    </w:lvl>
    <w:lvl w:ilvl="1" w:tplc="4EF2EAE0">
      <w:numFmt w:val="bullet"/>
      <w:lvlText w:val=""/>
      <w:lvlJc w:val="left"/>
      <w:pPr>
        <w:ind w:left="3295" w:hanging="272"/>
      </w:pPr>
      <w:rPr>
        <w:rFonts w:hint="default"/>
        <w:w w:val="100"/>
        <w:lang w:val="en-AU" w:eastAsia="en-US" w:bidi="ar-SA"/>
      </w:rPr>
    </w:lvl>
    <w:lvl w:ilvl="2" w:tplc="33C6AC22">
      <w:numFmt w:val="bullet"/>
      <w:lvlText w:val="•"/>
      <w:lvlJc w:val="left"/>
      <w:pPr>
        <w:ind w:left="3265" w:hanging="272"/>
      </w:pPr>
      <w:rPr>
        <w:rFonts w:ascii="Trebuchet MS" w:eastAsia="Trebuchet MS" w:hAnsi="Trebuchet MS" w:cs="Trebuchet MS" w:hint="default"/>
        <w:color w:val="1F1546"/>
        <w:w w:val="100"/>
        <w:sz w:val="18"/>
        <w:szCs w:val="18"/>
        <w:lang w:val="en-AU" w:eastAsia="en-US" w:bidi="ar-SA"/>
      </w:rPr>
    </w:lvl>
    <w:lvl w:ilvl="3" w:tplc="14347552">
      <w:numFmt w:val="bullet"/>
      <w:lvlText w:val="•"/>
      <w:lvlJc w:val="left"/>
      <w:pPr>
        <w:ind w:left="3260" w:hanging="272"/>
      </w:pPr>
      <w:rPr>
        <w:rFonts w:hint="default"/>
        <w:lang w:val="en-AU" w:eastAsia="en-US" w:bidi="ar-SA"/>
      </w:rPr>
    </w:lvl>
    <w:lvl w:ilvl="4" w:tplc="4DFAE8CA">
      <w:numFmt w:val="bullet"/>
      <w:lvlText w:val="•"/>
      <w:lvlJc w:val="left"/>
      <w:pPr>
        <w:ind w:left="3300" w:hanging="272"/>
      </w:pPr>
      <w:rPr>
        <w:rFonts w:hint="default"/>
        <w:lang w:val="en-AU" w:eastAsia="en-US" w:bidi="ar-SA"/>
      </w:rPr>
    </w:lvl>
    <w:lvl w:ilvl="5" w:tplc="2A1E0AF6">
      <w:numFmt w:val="bullet"/>
      <w:lvlText w:val="•"/>
      <w:lvlJc w:val="left"/>
      <w:pPr>
        <w:ind w:left="4650" w:hanging="272"/>
      </w:pPr>
      <w:rPr>
        <w:rFonts w:hint="default"/>
        <w:lang w:val="en-AU" w:eastAsia="en-US" w:bidi="ar-SA"/>
      </w:rPr>
    </w:lvl>
    <w:lvl w:ilvl="6" w:tplc="C0143EB6">
      <w:numFmt w:val="bullet"/>
      <w:lvlText w:val="•"/>
      <w:lvlJc w:val="left"/>
      <w:pPr>
        <w:ind w:left="6001" w:hanging="272"/>
      </w:pPr>
      <w:rPr>
        <w:rFonts w:hint="default"/>
        <w:lang w:val="en-AU" w:eastAsia="en-US" w:bidi="ar-SA"/>
      </w:rPr>
    </w:lvl>
    <w:lvl w:ilvl="7" w:tplc="5D38BD54">
      <w:numFmt w:val="bullet"/>
      <w:lvlText w:val="•"/>
      <w:lvlJc w:val="left"/>
      <w:pPr>
        <w:ind w:left="7352" w:hanging="272"/>
      </w:pPr>
      <w:rPr>
        <w:rFonts w:hint="default"/>
        <w:lang w:val="en-AU" w:eastAsia="en-US" w:bidi="ar-SA"/>
      </w:rPr>
    </w:lvl>
    <w:lvl w:ilvl="8" w:tplc="C7E2BA30">
      <w:numFmt w:val="bullet"/>
      <w:lvlText w:val="•"/>
      <w:lvlJc w:val="left"/>
      <w:pPr>
        <w:ind w:left="8702" w:hanging="272"/>
      </w:pPr>
      <w:rPr>
        <w:rFonts w:hint="default"/>
        <w:lang w:val="en-AU" w:eastAsia="en-US" w:bidi="ar-SA"/>
      </w:rPr>
    </w:lvl>
  </w:abstractNum>
  <w:abstractNum w:abstractNumId="15" w15:restartNumberingAfterBreak="0">
    <w:nsid w:val="32CF6C8A"/>
    <w:multiLevelType w:val="hybridMultilevel"/>
    <w:tmpl w:val="646C06EE"/>
    <w:lvl w:ilvl="0" w:tplc="68A05D72">
      <w:start w:val="1"/>
      <w:numFmt w:val="decimal"/>
      <w:pStyle w:val="Heading5"/>
      <w:lvlText w:val="%1."/>
      <w:lvlJc w:val="left"/>
      <w:pPr>
        <w:ind w:left="284" w:hanging="284"/>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4C940A3"/>
    <w:multiLevelType w:val="hybridMultilevel"/>
    <w:tmpl w:val="C324F01E"/>
    <w:lvl w:ilvl="0" w:tplc="774E49E0">
      <w:numFmt w:val="bullet"/>
      <w:lvlText w:val="•"/>
      <w:lvlJc w:val="left"/>
      <w:pPr>
        <w:ind w:left="2428" w:hanging="272"/>
      </w:pPr>
      <w:rPr>
        <w:rFonts w:ascii="Arial" w:eastAsia="Arial" w:hAnsi="Arial" w:cs="Arial" w:hint="default"/>
        <w:color w:val="686864"/>
        <w:w w:val="100"/>
        <w:sz w:val="18"/>
        <w:szCs w:val="18"/>
        <w:lang w:val="en-AU" w:eastAsia="en-US" w:bidi="ar-SA"/>
      </w:rPr>
    </w:lvl>
    <w:lvl w:ilvl="1" w:tplc="8EBEAE40">
      <w:numFmt w:val="bullet"/>
      <w:lvlText w:val="•"/>
      <w:lvlJc w:val="left"/>
      <w:pPr>
        <w:ind w:left="3318" w:hanging="272"/>
      </w:pPr>
      <w:rPr>
        <w:rFonts w:hint="default"/>
        <w:lang w:val="en-AU" w:eastAsia="en-US" w:bidi="ar-SA"/>
      </w:rPr>
    </w:lvl>
    <w:lvl w:ilvl="2" w:tplc="4E963A90">
      <w:numFmt w:val="bullet"/>
      <w:lvlText w:val="•"/>
      <w:lvlJc w:val="left"/>
      <w:pPr>
        <w:ind w:left="4216" w:hanging="272"/>
      </w:pPr>
      <w:rPr>
        <w:rFonts w:hint="default"/>
        <w:lang w:val="en-AU" w:eastAsia="en-US" w:bidi="ar-SA"/>
      </w:rPr>
    </w:lvl>
    <w:lvl w:ilvl="3" w:tplc="01883DEC">
      <w:numFmt w:val="bullet"/>
      <w:lvlText w:val="•"/>
      <w:lvlJc w:val="left"/>
      <w:pPr>
        <w:ind w:left="5115" w:hanging="272"/>
      </w:pPr>
      <w:rPr>
        <w:rFonts w:hint="default"/>
        <w:lang w:val="en-AU" w:eastAsia="en-US" w:bidi="ar-SA"/>
      </w:rPr>
    </w:lvl>
    <w:lvl w:ilvl="4" w:tplc="008C3D5C">
      <w:numFmt w:val="bullet"/>
      <w:lvlText w:val="•"/>
      <w:lvlJc w:val="left"/>
      <w:pPr>
        <w:ind w:left="6013" w:hanging="272"/>
      </w:pPr>
      <w:rPr>
        <w:rFonts w:hint="default"/>
        <w:lang w:val="en-AU" w:eastAsia="en-US" w:bidi="ar-SA"/>
      </w:rPr>
    </w:lvl>
    <w:lvl w:ilvl="5" w:tplc="7942584E">
      <w:numFmt w:val="bullet"/>
      <w:lvlText w:val="•"/>
      <w:lvlJc w:val="left"/>
      <w:pPr>
        <w:ind w:left="6912" w:hanging="272"/>
      </w:pPr>
      <w:rPr>
        <w:rFonts w:hint="default"/>
        <w:lang w:val="en-AU" w:eastAsia="en-US" w:bidi="ar-SA"/>
      </w:rPr>
    </w:lvl>
    <w:lvl w:ilvl="6" w:tplc="4024390A">
      <w:numFmt w:val="bullet"/>
      <w:lvlText w:val="•"/>
      <w:lvlJc w:val="left"/>
      <w:pPr>
        <w:ind w:left="7810" w:hanging="272"/>
      </w:pPr>
      <w:rPr>
        <w:rFonts w:hint="default"/>
        <w:lang w:val="en-AU" w:eastAsia="en-US" w:bidi="ar-SA"/>
      </w:rPr>
    </w:lvl>
    <w:lvl w:ilvl="7" w:tplc="97261014">
      <w:numFmt w:val="bullet"/>
      <w:lvlText w:val="•"/>
      <w:lvlJc w:val="left"/>
      <w:pPr>
        <w:ind w:left="8708" w:hanging="272"/>
      </w:pPr>
      <w:rPr>
        <w:rFonts w:hint="default"/>
        <w:lang w:val="en-AU" w:eastAsia="en-US" w:bidi="ar-SA"/>
      </w:rPr>
    </w:lvl>
    <w:lvl w:ilvl="8" w:tplc="3C7CA9A6">
      <w:numFmt w:val="bullet"/>
      <w:lvlText w:val="•"/>
      <w:lvlJc w:val="left"/>
      <w:pPr>
        <w:ind w:left="9607" w:hanging="272"/>
      </w:pPr>
      <w:rPr>
        <w:rFonts w:hint="default"/>
        <w:lang w:val="en-AU" w:eastAsia="en-US" w:bidi="ar-SA"/>
      </w:rPr>
    </w:lvl>
  </w:abstractNum>
  <w:abstractNum w:abstractNumId="17" w15:restartNumberingAfterBreak="0">
    <w:nsid w:val="371E4441"/>
    <w:multiLevelType w:val="hybridMultilevel"/>
    <w:tmpl w:val="7C40494C"/>
    <w:lvl w:ilvl="0" w:tplc="48484FD4">
      <w:numFmt w:val="bullet"/>
      <w:lvlText w:val="•"/>
      <w:lvlJc w:val="left"/>
      <w:pPr>
        <w:ind w:left="1089" w:hanging="272"/>
      </w:pPr>
      <w:rPr>
        <w:rFonts w:ascii="Arial" w:eastAsia="Arial" w:hAnsi="Arial" w:cs="Arial" w:hint="default"/>
        <w:color w:val="005AA3"/>
        <w:w w:val="100"/>
        <w:sz w:val="18"/>
        <w:szCs w:val="18"/>
        <w:lang w:val="en-AU" w:eastAsia="en-US" w:bidi="ar-SA"/>
      </w:rPr>
    </w:lvl>
    <w:lvl w:ilvl="1" w:tplc="D0C2288A">
      <w:numFmt w:val="bullet"/>
      <w:lvlText w:val="•"/>
      <w:lvlJc w:val="left"/>
      <w:pPr>
        <w:ind w:left="1517" w:hanging="272"/>
      </w:pPr>
      <w:rPr>
        <w:rFonts w:hint="default"/>
        <w:lang w:val="en-AU" w:eastAsia="en-US" w:bidi="ar-SA"/>
      </w:rPr>
    </w:lvl>
    <w:lvl w:ilvl="2" w:tplc="7F7ADA68">
      <w:numFmt w:val="bullet"/>
      <w:lvlText w:val="•"/>
      <w:lvlJc w:val="left"/>
      <w:pPr>
        <w:ind w:left="1954" w:hanging="272"/>
      </w:pPr>
      <w:rPr>
        <w:rFonts w:hint="default"/>
        <w:lang w:val="en-AU" w:eastAsia="en-US" w:bidi="ar-SA"/>
      </w:rPr>
    </w:lvl>
    <w:lvl w:ilvl="3" w:tplc="6D76A98A">
      <w:numFmt w:val="bullet"/>
      <w:lvlText w:val="•"/>
      <w:lvlJc w:val="left"/>
      <w:pPr>
        <w:ind w:left="2391" w:hanging="272"/>
      </w:pPr>
      <w:rPr>
        <w:rFonts w:hint="default"/>
        <w:lang w:val="en-AU" w:eastAsia="en-US" w:bidi="ar-SA"/>
      </w:rPr>
    </w:lvl>
    <w:lvl w:ilvl="4" w:tplc="937A5D9E">
      <w:numFmt w:val="bullet"/>
      <w:lvlText w:val="•"/>
      <w:lvlJc w:val="left"/>
      <w:pPr>
        <w:ind w:left="2828" w:hanging="272"/>
      </w:pPr>
      <w:rPr>
        <w:rFonts w:hint="default"/>
        <w:lang w:val="en-AU" w:eastAsia="en-US" w:bidi="ar-SA"/>
      </w:rPr>
    </w:lvl>
    <w:lvl w:ilvl="5" w:tplc="F19233AE">
      <w:numFmt w:val="bullet"/>
      <w:lvlText w:val="•"/>
      <w:lvlJc w:val="left"/>
      <w:pPr>
        <w:ind w:left="3265" w:hanging="272"/>
      </w:pPr>
      <w:rPr>
        <w:rFonts w:hint="default"/>
        <w:lang w:val="en-AU" w:eastAsia="en-US" w:bidi="ar-SA"/>
      </w:rPr>
    </w:lvl>
    <w:lvl w:ilvl="6" w:tplc="08A4E250">
      <w:numFmt w:val="bullet"/>
      <w:lvlText w:val="•"/>
      <w:lvlJc w:val="left"/>
      <w:pPr>
        <w:ind w:left="3702" w:hanging="272"/>
      </w:pPr>
      <w:rPr>
        <w:rFonts w:hint="default"/>
        <w:lang w:val="en-AU" w:eastAsia="en-US" w:bidi="ar-SA"/>
      </w:rPr>
    </w:lvl>
    <w:lvl w:ilvl="7" w:tplc="C75497A4">
      <w:numFmt w:val="bullet"/>
      <w:lvlText w:val="•"/>
      <w:lvlJc w:val="left"/>
      <w:pPr>
        <w:ind w:left="4140" w:hanging="272"/>
      </w:pPr>
      <w:rPr>
        <w:rFonts w:hint="default"/>
        <w:lang w:val="en-AU" w:eastAsia="en-US" w:bidi="ar-SA"/>
      </w:rPr>
    </w:lvl>
    <w:lvl w:ilvl="8" w:tplc="D2466CEA">
      <w:numFmt w:val="bullet"/>
      <w:lvlText w:val="•"/>
      <w:lvlJc w:val="left"/>
      <w:pPr>
        <w:ind w:left="4577" w:hanging="272"/>
      </w:pPr>
      <w:rPr>
        <w:rFonts w:hint="default"/>
        <w:lang w:val="en-AU" w:eastAsia="en-US" w:bidi="ar-SA"/>
      </w:rPr>
    </w:lvl>
  </w:abstractNum>
  <w:abstractNum w:abstractNumId="18" w15:restartNumberingAfterBreak="0">
    <w:nsid w:val="3CAF35F9"/>
    <w:multiLevelType w:val="hybridMultilevel"/>
    <w:tmpl w:val="A41EBAD6"/>
    <w:lvl w:ilvl="0" w:tplc="FC143C82">
      <w:start w:val="1"/>
      <w:numFmt w:val="decimal"/>
      <w:lvlText w:val="%1."/>
      <w:lvlJc w:val="left"/>
      <w:pPr>
        <w:ind w:left="284" w:hanging="284"/>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85025"/>
    <w:multiLevelType w:val="hybridMultilevel"/>
    <w:tmpl w:val="B5180B9C"/>
    <w:lvl w:ilvl="0" w:tplc="BD62E13E">
      <w:start w:val="1"/>
      <w:numFmt w:val="decimal"/>
      <w:lvlText w:val="%1."/>
      <w:lvlJc w:val="left"/>
      <w:pPr>
        <w:ind w:left="2891" w:hanging="243"/>
      </w:pPr>
      <w:rPr>
        <w:rFonts w:ascii="Arial" w:eastAsia="Arial" w:hAnsi="Arial" w:cs="Arial" w:hint="default"/>
        <w:b/>
        <w:bCs/>
        <w:color w:val="FFFFFF"/>
        <w:w w:val="100"/>
        <w:sz w:val="22"/>
        <w:szCs w:val="22"/>
        <w:lang w:val="en-AU" w:eastAsia="en-US" w:bidi="ar-SA"/>
      </w:rPr>
    </w:lvl>
    <w:lvl w:ilvl="1" w:tplc="A406E396">
      <w:numFmt w:val="bullet"/>
      <w:lvlText w:val="•"/>
      <w:lvlJc w:val="left"/>
      <w:pPr>
        <w:ind w:left="3750" w:hanging="243"/>
      </w:pPr>
      <w:rPr>
        <w:rFonts w:hint="default"/>
        <w:lang w:val="en-AU" w:eastAsia="en-US" w:bidi="ar-SA"/>
      </w:rPr>
    </w:lvl>
    <w:lvl w:ilvl="2" w:tplc="718471C0">
      <w:numFmt w:val="bullet"/>
      <w:lvlText w:val="•"/>
      <w:lvlJc w:val="left"/>
      <w:pPr>
        <w:ind w:left="4600" w:hanging="243"/>
      </w:pPr>
      <w:rPr>
        <w:rFonts w:hint="default"/>
        <w:lang w:val="en-AU" w:eastAsia="en-US" w:bidi="ar-SA"/>
      </w:rPr>
    </w:lvl>
    <w:lvl w:ilvl="3" w:tplc="33DAB02E">
      <w:numFmt w:val="bullet"/>
      <w:lvlText w:val="•"/>
      <w:lvlJc w:val="left"/>
      <w:pPr>
        <w:ind w:left="5451" w:hanging="243"/>
      </w:pPr>
      <w:rPr>
        <w:rFonts w:hint="default"/>
        <w:lang w:val="en-AU" w:eastAsia="en-US" w:bidi="ar-SA"/>
      </w:rPr>
    </w:lvl>
    <w:lvl w:ilvl="4" w:tplc="6A221090">
      <w:numFmt w:val="bullet"/>
      <w:lvlText w:val="•"/>
      <w:lvlJc w:val="left"/>
      <w:pPr>
        <w:ind w:left="6301" w:hanging="243"/>
      </w:pPr>
      <w:rPr>
        <w:rFonts w:hint="default"/>
        <w:lang w:val="en-AU" w:eastAsia="en-US" w:bidi="ar-SA"/>
      </w:rPr>
    </w:lvl>
    <w:lvl w:ilvl="5" w:tplc="A7FA9488">
      <w:numFmt w:val="bullet"/>
      <w:lvlText w:val="•"/>
      <w:lvlJc w:val="left"/>
      <w:pPr>
        <w:ind w:left="7152" w:hanging="243"/>
      </w:pPr>
      <w:rPr>
        <w:rFonts w:hint="default"/>
        <w:lang w:val="en-AU" w:eastAsia="en-US" w:bidi="ar-SA"/>
      </w:rPr>
    </w:lvl>
    <w:lvl w:ilvl="6" w:tplc="D224524C">
      <w:numFmt w:val="bullet"/>
      <w:lvlText w:val="•"/>
      <w:lvlJc w:val="left"/>
      <w:pPr>
        <w:ind w:left="8002" w:hanging="243"/>
      </w:pPr>
      <w:rPr>
        <w:rFonts w:hint="default"/>
        <w:lang w:val="en-AU" w:eastAsia="en-US" w:bidi="ar-SA"/>
      </w:rPr>
    </w:lvl>
    <w:lvl w:ilvl="7" w:tplc="C700C658">
      <w:numFmt w:val="bullet"/>
      <w:lvlText w:val="•"/>
      <w:lvlJc w:val="left"/>
      <w:pPr>
        <w:ind w:left="8852" w:hanging="243"/>
      </w:pPr>
      <w:rPr>
        <w:rFonts w:hint="default"/>
        <w:lang w:val="en-AU" w:eastAsia="en-US" w:bidi="ar-SA"/>
      </w:rPr>
    </w:lvl>
    <w:lvl w:ilvl="8" w:tplc="C792E9C6">
      <w:numFmt w:val="bullet"/>
      <w:lvlText w:val="•"/>
      <w:lvlJc w:val="left"/>
      <w:pPr>
        <w:ind w:left="9703" w:hanging="243"/>
      </w:pPr>
      <w:rPr>
        <w:rFonts w:hint="default"/>
        <w:lang w:val="en-AU" w:eastAsia="en-US" w:bidi="ar-SA"/>
      </w:rPr>
    </w:lvl>
  </w:abstractNum>
  <w:abstractNum w:abstractNumId="20" w15:restartNumberingAfterBreak="0">
    <w:nsid w:val="44D608A2"/>
    <w:multiLevelType w:val="hybridMultilevel"/>
    <w:tmpl w:val="E0246BE6"/>
    <w:lvl w:ilvl="0" w:tplc="D9841DC0">
      <w:numFmt w:val="bullet"/>
      <w:lvlText w:val="•"/>
      <w:lvlJc w:val="left"/>
      <w:pPr>
        <w:ind w:left="415" w:hanging="272"/>
      </w:pPr>
      <w:rPr>
        <w:rFonts w:ascii="Arial" w:eastAsia="Arial" w:hAnsi="Arial" w:cs="Arial" w:hint="default"/>
        <w:color w:val="1F1546"/>
        <w:w w:val="100"/>
        <w:sz w:val="18"/>
        <w:szCs w:val="18"/>
        <w:lang w:val="en-AU" w:eastAsia="en-US" w:bidi="ar-SA"/>
      </w:rPr>
    </w:lvl>
    <w:lvl w:ilvl="1" w:tplc="C556E766">
      <w:numFmt w:val="bullet"/>
      <w:lvlText w:val="•"/>
      <w:lvlJc w:val="left"/>
      <w:pPr>
        <w:ind w:left="1219" w:hanging="272"/>
      </w:pPr>
      <w:rPr>
        <w:rFonts w:hint="default"/>
        <w:lang w:val="en-AU" w:eastAsia="en-US" w:bidi="ar-SA"/>
      </w:rPr>
    </w:lvl>
    <w:lvl w:ilvl="2" w:tplc="F9EA23B6">
      <w:numFmt w:val="bullet"/>
      <w:lvlText w:val="•"/>
      <w:lvlJc w:val="left"/>
      <w:pPr>
        <w:ind w:left="2019" w:hanging="272"/>
      </w:pPr>
      <w:rPr>
        <w:rFonts w:hint="default"/>
        <w:lang w:val="en-AU" w:eastAsia="en-US" w:bidi="ar-SA"/>
      </w:rPr>
    </w:lvl>
    <w:lvl w:ilvl="3" w:tplc="7F60F3AC">
      <w:numFmt w:val="bullet"/>
      <w:lvlText w:val="•"/>
      <w:lvlJc w:val="left"/>
      <w:pPr>
        <w:ind w:left="2819" w:hanging="272"/>
      </w:pPr>
      <w:rPr>
        <w:rFonts w:hint="default"/>
        <w:lang w:val="en-AU" w:eastAsia="en-US" w:bidi="ar-SA"/>
      </w:rPr>
    </w:lvl>
    <w:lvl w:ilvl="4" w:tplc="988CD8A6">
      <w:numFmt w:val="bullet"/>
      <w:lvlText w:val="•"/>
      <w:lvlJc w:val="left"/>
      <w:pPr>
        <w:ind w:left="3619" w:hanging="272"/>
      </w:pPr>
      <w:rPr>
        <w:rFonts w:hint="default"/>
        <w:lang w:val="en-AU" w:eastAsia="en-US" w:bidi="ar-SA"/>
      </w:rPr>
    </w:lvl>
    <w:lvl w:ilvl="5" w:tplc="F9EC7190">
      <w:numFmt w:val="bullet"/>
      <w:lvlText w:val="•"/>
      <w:lvlJc w:val="left"/>
      <w:pPr>
        <w:ind w:left="4419" w:hanging="272"/>
      </w:pPr>
      <w:rPr>
        <w:rFonts w:hint="default"/>
        <w:lang w:val="en-AU" w:eastAsia="en-US" w:bidi="ar-SA"/>
      </w:rPr>
    </w:lvl>
    <w:lvl w:ilvl="6" w:tplc="0FCC7E88">
      <w:numFmt w:val="bullet"/>
      <w:lvlText w:val="•"/>
      <w:lvlJc w:val="left"/>
      <w:pPr>
        <w:ind w:left="5219" w:hanging="272"/>
      </w:pPr>
      <w:rPr>
        <w:rFonts w:hint="default"/>
        <w:lang w:val="en-AU" w:eastAsia="en-US" w:bidi="ar-SA"/>
      </w:rPr>
    </w:lvl>
    <w:lvl w:ilvl="7" w:tplc="8AC8B5D8">
      <w:numFmt w:val="bullet"/>
      <w:lvlText w:val="•"/>
      <w:lvlJc w:val="left"/>
      <w:pPr>
        <w:ind w:left="6019" w:hanging="272"/>
      </w:pPr>
      <w:rPr>
        <w:rFonts w:hint="default"/>
        <w:lang w:val="en-AU" w:eastAsia="en-US" w:bidi="ar-SA"/>
      </w:rPr>
    </w:lvl>
    <w:lvl w:ilvl="8" w:tplc="9E243706">
      <w:numFmt w:val="bullet"/>
      <w:lvlText w:val="•"/>
      <w:lvlJc w:val="left"/>
      <w:pPr>
        <w:ind w:left="6819" w:hanging="272"/>
      </w:pPr>
      <w:rPr>
        <w:rFonts w:hint="default"/>
        <w:lang w:val="en-AU" w:eastAsia="en-US" w:bidi="ar-SA"/>
      </w:rPr>
    </w:lvl>
  </w:abstractNum>
  <w:abstractNum w:abstractNumId="21" w15:restartNumberingAfterBreak="0">
    <w:nsid w:val="49FE4E2F"/>
    <w:multiLevelType w:val="hybridMultilevel"/>
    <w:tmpl w:val="ADE24FFA"/>
    <w:lvl w:ilvl="0" w:tplc="F9C463C6">
      <w:start w:val="1"/>
      <w:numFmt w:val="decimal"/>
      <w:pStyle w:val="Tablenumbered"/>
      <w:lvlText w:val="%1."/>
      <w:lvlJc w:val="left"/>
      <w:pPr>
        <w:ind w:left="340" w:hanging="34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C42A07"/>
    <w:multiLevelType w:val="hybridMultilevel"/>
    <w:tmpl w:val="1C229F46"/>
    <w:lvl w:ilvl="0" w:tplc="5EF43A4A">
      <w:start w:val="1"/>
      <w:numFmt w:val="bullet"/>
      <w:pStyle w:val="Bullet2"/>
      <w:lvlText w:val=""/>
      <w:lvlJc w:val="left"/>
      <w:pPr>
        <w:ind w:left="567" w:hanging="283"/>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607CE3"/>
    <w:multiLevelType w:val="hybridMultilevel"/>
    <w:tmpl w:val="B1BAD7E4"/>
    <w:lvl w:ilvl="0" w:tplc="F0ACAB62">
      <w:numFmt w:val="bullet"/>
      <w:lvlText w:val="•"/>
      <w:lvlJc w:val="left"/>
      <w:pPr>
        <w:ind w:left="874" w:hanging="272"/>
      </w:pPr>
      <w:rPr>
        <w:rFonts w:hint="default"/>
        <w:w w:val="100"/>
        <w:lang w:val="en-AU" w:eastAsia="en-US" w:bidi="ar-SA"/>
      </w:rPr>
    </w:lvl>
    <w:lvl w:ilvl="1" w:tplc="6B58B07A">
      <w:numFmt w:val="bullet"/>
      <w:lvlText w:val=""/>
      <w:lvlJc w:val="left"/>
      <w:pPr>
        <w:ind w:left="2413" w:hanging="272"/>
      </w:pPr>
      <w:rPr>
        <w:rFonts w:ascii="Wingdings" w:eastAsia="Wingdings" w:hAnsi="Wingdings" w:cs="Wingdings" w:hint="default"/>
        <w:color w:val="005AA3"/>
        <w:w w:val="100"/>
        <w:sz w:val="18"/>
        <w:szCs w:val="18"/>
        <w:lang w:val="en-AU" w:eastAsia="en-US" w:bidi="ar-SA"/>
      </w:rPr>
    </w:lvl>
    <w:lvl w:ilvl="2" w:tplc="E6E0A59C">
      <w:numFmt w:val="bullet"/>
      <w:lvlText w:val="•"/>
      <w:lvlJc w:val="left"/>
      <w:pPr>
        <w:ind w:left="2719" w:hanging="272"/>
      </w:pPr>
      <w:rPr>
        <w:rFonts w:hint="default"/>
        <w:lang w:val="en-AU" w:eastAsia="en-US" w:bidi="ar-SA"/>
      </w:rPr>
    </w:lvl>
    <w:lvl w:ilvl="3" w:tplc="BABE7F0E">
      <w:numFmt w:val="bullet"/>
      <w:lvlText w:val="•"/>
      <w:lvlJc w:val="left"/>
      <w:pPr>
        <w:ind w:left="3019" w:hanging="272"/>
      </w:pPr>
      <w:rPr>
        <w:rFonts w:hint="default"/>
        <w:lang w:val="en-AU" w:eastAsia="en-US" w:bidi="ar-SA"/>
      </w:rPr>
    </w:lvl>
    <w:lvl w:ilvl="4" w:tplc="B192A520">
      <w:numFmt w:val="bullet"/>
      <w:lvlText w:val="•"/>
      <w:lvlJc w:val="left"/>
      <w:pPr>
        <w:ind w:left="3318" w:hanging="272"/>
      </w:pPr>
      <w:rPr>
        <w:rFonts w:hint="default"/>
        <w:lang w:val="en-AU" w:eastAsia="en-US" w:bidi="ar-SA"/>
      </w:rPr>
    </w:lvl>
    <w:lvl w:ilvl="5" w:tplc="37D8BDE6">
      <w:numFmt w:val="bullet"/>
      <w:lvlText w:val="•"/>
      <w:lvlJc w:val="left"/>
      <w:pPr>
        <w:ind w:left="3618" w:hanging="272"/>
      </w:pPr>
      <w:rPr>
        <w:rFonts w:hint="default"/>
        <w:lang w:val="en-AU" w:eastAsia="en-US" w:bidi="ar-SA"/>
      </w:rPr>
    </w:lvl>
    <w:lvl w:ilvl="6" w:tplc="B1F23C8A">
      <w:numFmt w:val="bullet"/>
      <w:lvlText w:val="•"/>
      <w:lvlJc w:val="left"/>
      <w:pPr>
        <w:ind w:left="3918" w:hanging="272"/>
      </w:pPr>
      <w:rPr>
        <w:rFonts w:hint="default"/>
        <w:lang w:val="en-AU" w:eastAsia="en-US" w:bidi="ar-SA"/>
      </w:rPr>
    </w:lvl>
    <w:lvl w:ilvl="7" w:tplc="FA2AD404">
      <w:numFmt w:val="bullet"/>
      <w:lvlText w:val="•"/>
      <w:lvlJc w:val="left"/>
      <w:pPr>
        <w:ind w:left="4217" w:hanging="272"/>
      </w:pPr>
      <w:rPr>
        <w:rFonts w:hint="default"/>
        <w:lang w:val="en-AU" w:eastAsia="en-US" w:bidi="ar-SA"/>
      </w:rPr>
    </w:lvl>
    <w:lvl w:ilvl="8" w:tplc="503696BE">
      <w:numFmt w:val="bullet"/>
      <w:lvlText w:val="•"/>
      <w:lvlJc w:val="left"/>
      <w:pPr>
        <w:ind w:left="4517" w:hanging="272"/>
      </w:pPr>
      <w:rPr>
        <w:rFonts w:hint="default"/>
        <w:lang w:val="en-AU" w:eastAsia="en-US" w:bidi="ar-SA"/>
      </w:rPr>
    </w:lvl>
  </w:abstractNum>
  <w:abstractNum w:abstractNumId="24" w15:restartNumberingAfterBreak="0">
    <w:nsid w:val="53D4425A"/>
    <w:multiLevelType w:val="hybridMultilevel"/>
    <w:tmpl w:val="7A883DD0"/>
    <w:lvl w:ilvl="0" w:tplc="A98AAF18">
      <w:numFmt w:val="bullet"/>
      <w:lvlText w:val="•"/>
      <w:lvlJc w:val="left"/>
      <w:pPr>
        <w:ind w:left="415" w:hanging="272"/>
      </w:pPr>
      <w:rPr>
        <w:rFonts w:ascii="Arial" w:eastAsia="Arial" w:hAnsi="Arial" w:cs="Arial" w:hint="default"/>
        <w:color w:val="1F1546"/>
        <w:w w:val="100"/>
        <w:sz w:val="18"/>
        <w:szCs w:val="18"/>
        <w:lang w:val="en-AU" w:eastAsia="en-US" w:bidi="ar-SA"/>
      </w:rPr>
    </w:lvl>
    <w:lvl w:ilvl="1" w:tplc="A9C687A4">
      <w:numFmt w:val="bullet"/>
      <w:lvlText w:val="•"/>
      <w:lvlJc w:val="left"/>
      <w:pPr>
        <w:ind w:left="1219" w:hanging="272"/>
      </w:pPr>
      <w:rPr>
        <w:rFonts w:hint="default"/>
        <w:lang w:val="en-AU" w:eastAsia="en-US" w:bidi="ar-SA"/>
      </w:rPr>
    </w:lvl>
    <w:lvl w:ilvl="2" w:tplc="34004912">
      <w:numFmt w:val="bullet"/>
      <w:lvlText w:val="•"/>
      <w:lvlJc w:val="left"/>
      <w:pPr>
        <w:ind w:left="2019" w:hanging="272"/>
      </w:pPr>
      <w:rPr>
        <w:rFonts w:hint="default"/>
        <w:lang w:val="en-AU" w:eastAsia="en-US" w:bidi="ar-SA"/>
      </w:rPr>
    </w:lvl>
    <w:lvl w:ilvl="3" w:tplc="B58C4CFA">
      <w:numFmt w:val="bullet"/>
      <w:lvlText w:val="•"/>
      <w:lvlJc w:val="left"/>
      <w:pPr>
        <w:ind w:left="2819" w:hanging="272"/>
      </w:pPr>
      <w:rPr>
        <w:rFonts w:hint="default"/>
        <w:lang w:val="en-AU" w:eastAsia="en-US" w:bidi="ar-SA"/>
      </w:rPr>
    </w:lvl>
    <w:lvl w:ilvl="4" w:tplc="6FA0AB40">
      <w:numFmt w:val="bullet"/>
      <w:lvlText w:val="•"/>
      <w:lvlJc w:val="left"/>
      <w:pPr>
        <w:ind w:left="3619" w:hanging="272"/>
      </w:pPr>
      <w:rPr>
        <w:rFonts w:hint="default"/>
        <w:lang w:val="en-AU" w:eastAsia="en-US" w:bidi="ar-SA"/>
      </w:rPr>
    </w:lvl>
    <w:lvl w:ilvl="5" w:tplc="2FFE681E">
      <w:numFmt w:val="bullet"/>
      <w:lvlText w:val="•"/>
      <w:lvlJc w:val="left"/>
      <w:pPr>
        <w:ind w:left="4419" w:hanging="272"/>
      </w:pPr>
      <w:rPr>
        <w:rFonts w:hint="default"/>
        <w:lang w:val="en-AU" w:eastAsia="en-US" w:bidi="ar-SA"/>
      </w:rPr>
    </w:lvl>
    <w:lvl w:ilvl="6" w:tplc="D2708AF8">
      <w:numFmt w:val="bullet"/>
      <w:lvlText w:val="•"/>
      <w:lvlJc w:val="left"/>
      <w:pPr>
        <w:ind w:left="5219" w:hanging="272"/>
      </w:pPr>
      <w:rPr>
        <w:rFonts w:hint="default"/>
        <w:lang w:val="en-AU" w:eastAsia="en-US" w:bidi="ar-SA"/>
      </w:rPr>
    </w:lvl>
    <w:lvl w:ilvl="7" w:tplc="C66A56EC">
      <w:numFmt w:val="bullet"/>
      <w:lvlText w:val="•"/>
      <w:lvlJc w:val="left"/>
      <w:pPr>
        <w:ind w:left="6019" w:hanging="272"/>
      </w:pPr>
      <w:rPr>
        <w:rFonts w:hint="default"/>
        <w:lang w:val="en-AU" w:eastAsia="en-US" w:bidi="ar-SA"/>
      </w:rPr>
    </w:lvl>
    <w:lvl w:ilvl="8" w:tplc="F1ACEC86">
      <w:numFmt w:val="bullet"/>
      <w:lvlText w:val="•"/>
      <w:lvlJc w:val="left"/>
      <w:pPr>
        <w:ind w:left="6819" w:hanging="272"/>
      </w:pPr>
      <w:rPr>
        <w:rFonts w:hint="default"/>
        <w:lang w:val="en-AU" w:eastAsia="en-US" w:bidi="ar-SA"/>
      </w:rPr>
    </w:lvl>
  </w:abstractNum>
  <w:abstractNum w:abstractNumId="25" w15:restartNumberingAfterBreak="0">
    <w:nsid w:val="545A401C"/>
    <w:multiLevelType w:val="hybridMultilevel"/>
    <w:tmpl w:val="6FA4622C"/>
    <w:lvl w:ilvl="0" w:tplc="C3CE3E1E">
      <w:numFmt w:val="bullet"/>
      <w:lvlText w:val="•"/>
      <w:lvlJc w:val="left"/>
      <w:pPr>
        <w:ind w:left="415" w:hanging="272"/>
      </w:pPr>
      <w:rPr>
        <w:rFonts w:ascii="Arial" w:eastAsia="Arial" w:hAnsi="Arial" w:cs="Arial" w:hint="default"/>
        <w:color w:val="1F1546"/>
        <w:w w:val="100"/>
        <w:sz w:val="18"/>
        <w:szCs w:val="18"/>
        <w:lang w:val="en-AU" w:eastAsia="en-US" w:bidi="ar-SA"/>
      </w:rPr>
    </w:lvl>
    <w:lvl w:ilvl="1" w:tplc="5DD66408">
      <w:numFmt w:val="bullet"/>
      <w:lvlText w:val="•"/>
      <w:lvlJc w:val="left"/>
      <w:pPr>
        <w:ind w:left="1219" w:hanging="272"/>
      </w:pPr>
      <w:rPr>
        <w:rFonts w:hint="default"/>
        <w:lang w:val="en-AU" w:eastAsia="en-US" w:bidi="ar-SA"/>
      </w:rPr>
    </w:lvl>
    <w:lvl w:ilvl="2" w:tplc="157CB6E4">
      <w:numFmt w:val="bullet"/>
      <w:lvlText w:val="•"/>
      <w:lvlJc w:val="left"/>
      <w:pPr>
        <w:ind w:left="2019" w:hanging="272"/>
      </w:pPr>
      <w:rPr>
        <w:rFonts w:hint="default"/>
        <w:lang w:val="en-AU" w:eastAsia="en-US" w:bidi="ar-SA"/>
      </w:rPr>
    </w:lvl>
    <w:lvl w:ilvl="3" w:tplc="EB0E014C">
      <w:numFmt w:val="bullet"/>
      <w:lvlText w:val="•"/>
      <w:lvlJc w:val="left"/>
      <w:pPr>
        <w:ind w:left="2819" w:hanging="272"/>
      </w:pPr>
      <w:rPr>
        <w:rFonts w:hint="default"/>
        <w:lang w:val="en-AU" w:eastAsia="en-US" w:bidi="ar-SA"/>
      </w:rPr>
    </w:lvl>
    <w:lvl w:ilvl="4" w:tplc="FDD8F594">
      <w:numFmt w:val="bullet"/>
      <w:lvlText w:val="•"/>
      <w:lvlJc w:val="left"/>
      <w:pPr>
        <w:ind w:left="3619" w:hanging="272"/>
      </w:pPr>
      <w:rPr>
        <w:rFonts w:hint="default"/>
        <w:lang w:val="en-AU" w:eastAsia="en-US" w:bidi="ar-SA"/>
      </w:rPr>
    </w:lvl>
    <w:lvl w:ilvl="5" w:tplc="F1341CD4">
      <w:numFmt w:val="bullet"/>
      <w:lvlText w:val="•"/>
      <w:lvlJc w:val="left"/>
      <w:pPr>
        <w:ind w:left="4419" w:hanging="272"/>
      </w:pPr>
      <w:rPr>
        <w:rFonts w:hint="default"/>
        <w:lang w:val="en-AU" w:eastAsia="en-US" w:bidi="ar-SA"/>
      </w:rPr>
    </w:lvl>
    <w:lvl w:ilvl="6" w:tplc="54D86260">
      <w:numFmt w:val="bullet"/>
      <w:lvlText w:val="•"/>
      <w:lvlJc w:val="left"/>
      <w:pPr>
        <w:ind w:left="5219" w:hanging="272"/>
      </w:pPr>
      <w:rPr>
        <w:rFonts w:hint="default"/>
        <w:lang w:val="en-AU" w:eastAsia="en-US" w:bidi="ar-SA"/>
      </w:rPr>
    </w:lvl>
    <w:lvl w:ilvl="7" w:tplc="7C00AAFE">
      <w:numFmt w:val="bullet"/>
      <w:lvlText w:val="•"/>
      <w:lvlJc w:val="left"/>
      <w:pPr>
        <w:ind w:left="6019" w:hanging="272"/>
      </w:pPr>
      <w:rPr>
        <w:rFonts w:hint="default"/>
        <w:lang w:val="en-AU" w:eastAsia="en-US" w:bidi="ar-SA"/>
      </w:rPr>
    </w:lvl>
    <w:lvl w:ilvl="8" w:tplc="71DC6D06">
      <w:numFmt w:val="bullet"/>
      <w:lvlText w:val="•"/>
      <w:lvlJc w:val="left"/>
      <w:pPr>
        <w:ind w:left="6819" w:hanging="272"/>
      </w:pPr>
      <w:rPr>
        <w:rFonts w:hint="default"/>
        <w:lang w:val="en-AU" w:eastAsia="en-US" w:bidi="ar-SA"/>
      </w:rPr>
    </w:lvl>
  </w:abstractNum>
  <w:abstractNum w:abstractNumId="26" w15:restartNumberingAfterBreak="0">
    <w:nsid w:val="54FD3F65"/>
    <w:multiLevelType w:val="hybridMultilevel"/>
    <w:tmpl w:val="9062A656"/>
    <w:lvl w:ilvl="0" w:tplc="A1105398">
      <w:numFmt w:val="bullet"/>
      <w:lvlText w:val="•"/>
      <w:lvlJc w:val="left"/>
      <w:pPr>
        <w:ind w:left="415" w:hanging="272"/>
      </w:pPr>
      <w:rPr>
        <w:rFonts w:ascii="Arial" w:eastAsia="Arial" w:hAnsi="Arial" w:cs="Arial" w:hint="default"/>
        <w:color w:val="1F1546"/>
        <w:w w:val="100"/>
        <w:sz w:val="18"/>
        <w:szCs w:val="18"/>
        <w:lang w:val="en-AU" w:eastAsia="en-US" w:bidi="ar-SA"/>
      </w:rPr>
    </w:lvl>
    <w:lvl w:ilvl="1" w:tplc="688C45D8">
      <w:numFmt w:val="bullet"/>
      <w:lvlText w:val="•"/>
      <w:lvlJc w:val="left"/>
      <w:pPr>
        <w:ind w:left="1219" w:hanging="272"/>
      </w:pPr>
      <w:rPr>
        <w:rFonts w:hint="default"/>
        <w:lang w:val="en-AU" w:eastAsia="en-US" w:bidi="ar-SA"/>
      </w:rPr>
    </w:lvl>
    <w:lvl w:ilvl="2" w:tplc="E0583126">
      <w:numFmt w:val="bullet"/>
      <w:lvlText w:val="•"/>
      <w:lvlJc w:val="left"/>
      <w:pPr>
        <w:ind w:left="2019" w:hanging="272"/>
      </w:pPr>
      <w:rPr>
        <w:rFonts w:hint="default"/>
        <w:lang w:val="en-AU" w:eastAsia="en-US" w:bidi="ar-SA"/>
      </w:rPr>
    </w:lvl>
    <w:lvl w:ilvl="3" w:tplc="CB40D88E">
      <w:numFmt w:val="bullet"/>
      <w:lvlText w:val="•"/>
      <w:lvlJc w:val="left"/>
      <w:pPr>
        <w:ind w:left="2819" w:hanging="272"/>
      </w:pPr>
      <w:rPr>
        <w:rFonts w:hint="default"/>
        <w:lang w:val="en-AU" w:eastAsia="en-US" w:bidi="ar-SA"/>
      </w:rPr>
    </w:lvl>
    <w:lvl w:ilvl="4" w:tplc="4664CBB2">
      <w:numFmt w:val="bullet"/>
      <w:lvlText w:val="•"/>
      <w:lvlJc w:val="left"/>
      <w:pPr>
        <w:ind w:left="3619" w:hanging="272"/>
      </w:pPr>
      <w:rPr>
        <w:rFonts w:hint="default"/>
        <w:lang w:val="en-AU" w:eastAsia="en-US" w:bidi="ar-SA"/>
      </w:rPr>
    </w:lvl>
    <w:lvl w:ilvl="5" w:tplc="09F67B84">
      <w:numFmt w:val="bullet"/>
      <w:lvlText w:val="•"/>
      <w:lvlJc w:val="left"/>
      <w:pPr>
        <w:ind w:left="4419" w:hanging="272"/>
      </w:pPr>
      <w:rPr>
        <w:rFonts w:hint="default"/>
        <w:lang w:val="en-AU" w:eastAsia="en-US" w:bidi="ar-SA"/>
      </w:rPr>
    </w:lvl>
    <w:lvl w:ilvl="6" w:tplc="DB12D880">
      <w:numFmt w:val="bullet"/>
      <w:lvlText w:val="•"/>
      <w:lvlJc w:val="left"/>
      <w:pPr>
        <w:ind w:left="5219" w:hanging="272"/>
      </w:pPr>
      <w:rPr>
        <w:rFonts w:hint="default"/>
        <w:lang w:val="en-AU" w:eastAsia="en-US" w:bidi="ar-SA"/>
      </w:rPr>
    </w:lvl>
    <w:lvl w:ilvl="7" w:tplc="4B927ABA">
      <w:numFmt w:val="bullet"/>
      <w:lvlText w:val="•"/>
      <w:lvlJc w:val="left"/>
      <w:pPr>
        <w:ind w:left="6019" w:hanging="272"/>
      </w:pPr>
      <w:rPr>
        <w:rFonts w:hint="default"/>
        <w:lang w:val="en-AU" w:eastAsia="en-US" w:bidi="ar-SA"/>
      </w:rPr>
    </w:lvl>
    <w:lvl w:ilvl="8" w:tplc="8E3AD61C">
      <w:numFmt w:val="bullet"/>
      <w:lvlText w:val="•"/>
      <w:lvlJc w:val="left"/>
      <w:pPr>
        <w:ind w:left="6819" w:hanging="272"/>
      </w:pPr>
      <w:rPr>
        <w:rFonts w:hint="default"/>
        <w:lang w:val="en-AU" w:eastAsia="en-US" w:bidi="ar-SA"/>
      </w:rPr>
    </w:lvl>
  </w:abstractNum>
  <w:abstractNum w:abstractNumId="27" w15:restartNumberingAfterBreak="0">
    <w:nsid w:val="57727018"/>
    <w:multiLevelType w:val="hybridMultilevel"/>
    <w:tmpl w:val="B8A4F8BA"/>
    <w:lvl w:ilvl="0" w:tplc="23607E76">
      <w:start w:val="1"/>
      <w:numFmt w:val="bullet"/>
      <w:pStyle w:val="Bullet"/>
      <w:lvlText w:val=""/>
      <w:lvlJc w:val="left"/>
      <w:pPr>
        <w:ind w:left="284" w:hanging="28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8D14F3"/>
    <w:multiLevelType w:val="hybridMultilevel"/>
    <w:tmpl w:val="D66A513C"/>
    <w:lvl w:ilvl="0" w:tplc="FACC032E">
      <w:numFmt w:val="bullet"/>
      <w:lvlText w:val=""/>
      <w:lvlJc w:val="left"/>
      <w:pPr>
        <w:ind w:left="751" w:hanging="272"/>
      </w:pPr>
      <w:rPr>
        <w:rFonts w:ascii="Wingdings" w:eastAsia="Wingdings" w:hAnsi="Wingdings" w:cs="Wingdings" w:hint="default"/>
        <w:color w:val="0077BE"/>
        <w:w w:val="100"/>
        <w:sz w:val="18"/>
        <w:szCs w:val="18"/>
        <w:lang w:val="en-AU" w:eastAsia="en-US" w:bidi="ar-SA"/>
      </w:rPr>
    </w:lvl>
    <w:lvl w:ilvl="1" w:tplc="694E5974">
      <w:numFmt w:val="bullet"/>
      <w:lvlText w:val=""/>
      <w:lvlJc w:val="left"/>
      <w:pPr>
        <w:ind w:left="1089" w:hanging="272"/>
      </w:pPr>
      <w:rPr>
        <w:rFonts w:hint="default"/>
        <w:w w:val="100"/>
        <w:lang w:val="en-AU" w:eastAsia="en-US" w:bidi="ar-SA"/>
      </w:rPr>
    </w:lvl>
    <w:lvl w:ilvl="2" w:tplc="42A2A2E0">
      <w:numFmt w:val="bullet"/>
      <w:lvlText w:val="•"/>
      <w:lvlJc w:val="left"/>
      <w:pPr>
        <w:ind w:left="1528" w:hanging="272"/>
      </w:pPr>
      <w:rPr>
        <w:rFonts w:hint="default"/>
        <w:lang w:val="en-AU" w:eastAsia="en-US" w:bidi="ar-SA"/>
      </w:rPr>
    </w:lvl>
    <w:lvl w:ilvl="3" w:tplc="1908BC8A">
      <w:numFmt w:val="bullet"/>
      <w:lvlText w:val="•"/>
      <w:lvlJc w:val="left"/>
      <w:pPr>
        <w:ind w:left="1976" w:hanging="272"/>
      </w:pPr>
      <w:rPr>
        <w:rFonts w:hint="default"/>
        <w:lang w:val="en-AU" w:eastAsia="en-US" w:bidi="ar-SA"/>
      </w:rPr>
    </w:lvl>
    <w:lvl w:ilvl="4" w:tplc="ABEE5314">
      <w:numFmt w:val="bullet"/>
      <w:lvlText w:val="•"/>
      <w:lvlJc w:val="left"/>
      <w:pPr>
        <w:ind w:left="2424" w:hanging="272"/>
      </w:pPr>
      <w:rPr>
        <w:rFonts w:hint="default"/>
        <w:lang w:val="en-AU" w:eastAsia="en-US" w:bidi="ar-SA"/>
      </w:rPr>
    </w:lvl>
    <w:lvl w:ilvl="5" w:tplc="C01C9026">
      <w:numFmt w:val="bullet"/>
      <w:lvlText w:val="•"/>
      <w:lvlJc w:val="left"/>
      <w:pPr>
        <w:ind w:left="2872" w:hanging="272"/>
      </w:pPr>
      <w:rPr>
        <w:rFonts w:hint="default"/>
        <w:lang w:val="en-AU" w:eastAsia="en-US" w:bidi="ar-SA"/>
      </w:rPr>
    </w:lvl>
    <w:lvl w:ilvl="6" w:tplc="AA82B2B2">
      <w:numFmt w:val="bullet"/>
      <w:lvlText w:val="•"/>
      <w:lvlJc w:val="left"/>
      <w:pPr>
        <w:ind w:left="3320" w:hanging="272"/>
      </w:pPr>
      <w:rPr>
        <w:rFonts w:hint="default"/>
        <w:lang w:val="en-AU" w:eastAsia="en-US" w:bidi="ar-SA"/>
      </w:rPr>
    </w:lvl>
    <w:lvl w:ilvl="7" w:tplc="F16AFFCC">
      <w:numFmt w:val="bullet"/>
      <w:lvlText w:val="•"/>
      <w:lvlJc w:val="left"/>
      <w:pPr>
        <w:ind w:left="3768" w:hanging="272"/>
      </w:pPr>
      <w:rPr>
        <w:rFonts w:hint="default"/>
        <w:lang w:val="en-AU" w:eastAsia="en-US" w:bidi="ar-SA"/>
      </w:rPr>
    </w:lvl>
    <w:lvl w:ilvl="8" w:tplc="BE8C81AA">
      <w:numFmt w:val="bullet"/>
      <w:lvlText w:val="•"/>
      <w:lvlJc w:val="left"/>
      <w:pPr>
        <w:ind w:left="4217" w:hanging="272"/>
      </w:pPr>
      <w:rPr>
        <w:rFonts w:hint="default"/>
        <w:lang w:val="en-AU" w:eastAsia="en-US" w:bidi="ar-SA"/>
      </w:rPr>
    </w:lvl>
  </w:abstractNum>
  <w:abstractNum w:abstractNumId="29" w15:restartNumberingAfterBreak="0">
    <w:nsid w:val="62D66811"/>
    <w:multiLevelType w:val="hybridMultilevel"/>
    <w:tmpl w:val="68C24814"/>
    <w:lvl w:ilvl="0" w:tplc="A5CC2D42">
      <w:start w:val="1"/>
      <w:numFmt w:val="decimal"/>
      <w:lvlText w:val="%1."/>
      <w:lvlJc w:val="left"/>
      <w:pPr>
        <w:ind w:left="2530" w:hanging="401"/>
      </w:pPr>
      <w:rPr>
        <w:rFonts w:ascii="Arial" w:eastAsia="Arial" w:hAnsi="Arial" w:cs="Arial" w:hint="default"/>
        <w:b/>
        <w:bCs/>
        <w:color w:val="0071CE"/>
        <w:w w:val="100"/>
        <w:sz w:val="36"/>
        <w:szCs w:val="36"/>
        <w:lang w:val="en-AU" w:eastAsia="en-US" w:bidi="ar-SA"/>
      </w:rPr>
    </w:lvl>
    <w:lvl w:ilvl="1" w:tplc="BA04A16C">
      <w:numFmt w:val="bullet"/>
      <w:lvlText w:val="•"/>
      <w:lvlJc w:val="left"/>
      <w:pPr>
        <w:ind w:left="2540" w:hanging="401"/>
      </w:pPr>
      <w:rPr>
        <w:rFonts w:hint="default"/>
        <w:lang w:val="en-AU" w:eastAsia="en-US" w:bidi="ar-SA"/>
      </w:rPr>
    </w:lvl>
    <w:lvl w:ilvl="2" w:tplc="5674FBC0">
      <w:numFmt w:val="bullet"/>
      <w:lvlText w:val="•"/>
      <w:lvlJc w:val="left"/>
      <w:pPr>
        <w:ind w:left="2986" w:hanging="401"/>
      </w:pPr>
      <w:rPr>
        <w:rFonts w:hint="default"/>
        <w:lang w:val="en-AU" w:eastAsia="en-US" w:bidi="ar-SA"/>
      </w:rPr>
    </w:lvl>
    <w:lvl w:ilvl="3" w:tplc="9838176A">
      <w:numFmt w:val="bullet"/>
      <w:lvlText w:val="•"/>
      <w:lvlJc w:val="left"/>
      <w:pPr>
        <w:ind w:left="3433" w:hanging="401"/>
      </w:pPr>
      <w:rPr>
        <w:rFonts w:hint="default"/>
        <w:lang w:val="en-AU" w:eastAsia="en-US" w:bidi="ar-SA"/>
      </w:rPr>
    </w:lvl>
    <w:lvl w:ilvl="4" w:tplc="AB72CBF2">
      <w:numFmt w:val="bullet"/>
      <w:lvlText w:val="•"/>
      <w:lvlJc w:val="left"/>
      <w:pPr>
        <w:ind w:left="3880" w:hanging="401"/>
      </w:pPr>
      <w:rPr>
        <w:rFonts w:hint="default"/>
        <w:lang w:val="en-AU" w:eastAsia="en-US" w:bidi="ar-SA"/>
      </w:rPr>
    </w:lvl>
    <w:lvl w:ilvl="5" w:tplc="A1280884">
      <w:numFmt w:val="bullet"/>
      <w:lvlText w:val="•"/>
      <w:lvlJc w:val="left"/>
      <w:pPr>
        <w:ind w:left="4327" w:hanging="401"/>
      </w:pPr>
      <w:rPr>
        <w:rFonts w:hint="default"/>
        <w:lang w:val="en-AU" w:eastAsia="en-US" w:bidi="ar-SA"/>
      </w:rPr>
    </w:lvl>
    <w:lvl w:ilvl="6" w:tplc="0DA00A1E">
      <w:numFmt w:val="bullet"/>
      <w:lvlText w:val="•"/>
      <w:lvlJc w:val="left"/>
      <w:pPr>
        <w:ind w:left="4774" w:hanging="401"/>
      </w:pPr>
      <w:rPr>
        <w:rFonts w:hint="default"/>
        <w:lang w:val="en-AU" w:eastAsia="en-US" w:bidi="ar-SA"/>
      </w:rPr>
    </w:lvl>
    <w:lvl w:ilvl="7" w:tplc="96CC91F4">
      <w:numFmt w:val="bullet"/>
      <w:lvlText w:val="•"/>
      <w:lvlJc w:val="left"/>
      <w:pPr>
        <w:ind w:left="5221" w:hanging="401"/>
      </w:pPr>
      <w:rPr>
        <w:rFonts w:hint="default"/>
        <w:lang w:val="en-AU" w:eastAsia="en-US" w:bidi="ar-SA"/>
      </w:rPr>
    </w:lvl>
    <w:lvl w:ilvl="8" w:tplc="D7F0D500">
      <w:numFmt w:val="bullet"/>
      <w:lvlText w:val="•"/>
      <w:lvlJc w:val="left"/>
      <w:pPr>
        <w:ind w:left="5668" w:hanging="401"/>
      </w:pPr>
      <w:rPr>
        <w:rFonts w:hint="default"/>
        <w:lang w:val="en-AU" w:eastAsia="en-US" w:bidi="ar-SA"/>
      </w:rPr>
    </w:lvl>
  </w:abstractNum>
  <w:abstractNum w:abstractNumId="30" w15:restartNumberingAfterBreak="0">
    <w:nsid w:val="6AC26655"/>
    <w:multiLevelType w:val="hybridMultilevel"/>
    <w:tmpl w:val="237A6966"/>
    <w:lvl w:ilvl="0" w:tplc="E012CC72">
      <w:start w:val="5"/>
      <w:numFmt w:val="decimal"/>
      <w:lvlText w:val="%1."/>
      <w:lvlJc w:val="left"/>
      <w:pPr>
        <w:ind w:left="2516" w:hanging="387"/>
      </w:pPr>
      <w:rPr>
        <w:rFonts w:ascii="Arial" w:eastAsia="Arial" w:hAnsi="Arial" w:cs="Arial" w:hint="default"/>
        <w:b/>
        <w:bCs/>
        <w:color w:val="0071CE"/>
        <w:w w:val="100"/>
        <w:sz w:val="36"/>
        <w:szCs w:val="36"/>
        <w:lang w:val="en-AU" w:eastAsia="en-US" w:bidi="ar-SA"/>
      </w:rPr>
    </w:lvl>
    <w:lvl w:ilvl="1" w:tplc="BD064598">
      <w:numFmt w:val="bullet"/>
      <w:lvlText w:val="•"/>
      <w:lvlJc w:val="left"/>
      <w:pPr>
        <w:ind w:left="3408" w:hanging="387"/>
      </w:pPr>
      <w:rPr>
        <w:rFonts w:hint="default"/>
        <w:lang w:val="en-AU" w:eastAsia="en-US" w:bidi="ar-SA"/>
      </w:rPr>
    </w:lvl>
    <w:lvl w:ilvl="2" w:tplc="316EA1A8">
      <w:numFmt w:val="bullet"/>
      <w:lvlText w:val="•"/>
      <w:lvlJc w:val="left"/>
      <w:pPr>
        <w:ind w:left="4296" w:hanging="387"/>
      </w:pPr>
      <w:rPr>
        <w:rFonts w:hint="default"/>
        <w:lang w:val="en-AU" w:eastAsia="en-US" w:bidi="ar-SA"/>
      </w:rPr>
    </w:lvl>
    <w:lvl w:ilvl="3" w:tplc="16BA513A">
      <w:numFmt w:val="bullet"/>
      <w:lvlText w:val="•"/>
      <w:lvlJc w:val="left"/>
      <w:pPr>
        <w:ind w:left="5185" w:hanging="387"/>
      </w:pPr>
      <w:rPr>
        <w:rFonts w:hint="default"/>
        <w:lang w:val="en-AU" w:eastAsia="en-US" w:bidi="ar-SA"/>
      </w:rPr>
    </w:lvl>
    <w:lvl w:ilvl="4" w:tplc="B1FA5AA0">
      <w:numFmt w:val="bullet"/>
      <w:lvlText w:val="•"/>
      <w:lvlJc w:val="left"/>
      <w:pPr>
        <w:ind w:left="6073" w:hanging="387"/>
      </w:pPr>
      <w:rPr>
        <w:rFonts w:hint="default"/>
        <w:lang w:val="en-AU" w:eastAsia="en-US" w:bidi="ar-SA"/>
      </w:rPr>
    </w:lvl>
    <w:lvl w:ilvl="5" w:tplc="01D0CABA">
      <w:numFmt w:val="bullet"/>
      <w:lvlText w:val="•"/>
      <w:lvlJc w:val="left"/>
      <w:pPr>
        <w:ind w:left="6962" w:hanging="387"/>
      </w:pPr>
      <w:rPr>
        <w:rFonts w:hint="default"/>
        <w:lang w:val="en-AU" w:eastAsia="en-US" w:bidi="ar-SA"/>
      </w:rPr>
    </w:lvl>
    <w:lvl w:ilvl="6" w:tplc="BC20C1A6">
      <w:numFmt w:val="bullet"/>
      <w:lvlText w:val="•"/>
      <w:lvlJc w:val="left"/>
      <w:pPr>
        <w:ind w:left="7850" w:hanging="387"/>
      </w:pPr>
      <w:rPr>
        <w:rFonts w:hint="default"/>
        <w:lang w:val="en-AU" w:eastAsia="en-US" w:bidi="ar-SA"/>
      </w:rPr>
    </w:lvl>
    <w:lvl w:ilvl="7" w:tplc="9D30B6B4">
      <w:numFmt w:val="bullet"/>
      <w:lvlText w:val="•"/>
      <w:lvlJc w:val="left"/>
      <w:pPr>
        <w:ind w:left="8738" w:hanging="387"/>
      </w:pPr>
      <w:rPr>
        <w:rFonts w:hint="default"/>
        <w:lang w:val="en-AU" w:eastAsia="en-US" w:bidi="ar-SA"/>
      </w:rPr>
    </w:lvl>
    <w:lvl w:ilvl="8" w:tplc="CE96E9EC">
      <w:numFmt w:val="bullet"/>
      <w:lvlText w:val="•"/>
      <w:lvlJc w:val="left"/>
      <w:pPr>
        <w:ind w:left="9627" w:hanging="387"/>
      </w:pPr>
      <w:rPr>
        <w:rFonts w:hint="default"/>
        <w:lang w:val="en-AU" w:eastAsia="en-US" w:bidi="ar-SA"/>
      </w:rPr>
    </w:lvl>
  </w:abstractNum>
  <w:abstractNum w:abstractNumId="31" w15:restartNumberingAfterBreak="0">
    <w:nsid w:val="71546C2F"/>
    <w:multiLevelType w:val="hybridMultilevel"/>
    <w:tmpl w:val="24C614C8"/>
    <w:lvl w:ilvl="0" w:tplc="6BA8646C">
      <w:start w:val="1"/>
      <w:numFmt w:val="decimal"/>
      <w:pStyle w:val="ListParagraph"/>
      <w:lvlText w:val="%1."/>
      <w:lvlJc w:val="left"/>
      <w:pPr>
        <w:ind w:left="369" w:hanging="369"/>
      </w:pPr>
      <w:rPr>
        <w:rFonts w:ascii="Arial" w:eastAsia="Arial" w:hAnsi="Arial" w:cs="Arial" w:hint="default"/>
        <w:color w:val="383834"/>
        <w:spacing w:val="-2"/>
        <w:w w:val="103"/>
        <w:sz w:val="20"/>
        <w:szCs w:val="20"/>
        <w:lang w:val="en-AU" w:eastAsia="en-US" w:bidi="ar-SA"/>
      </w:rPr>
    </w:lvl>
    <w:lvl w:ilvl="1" w:tplc="93AEFE8E">
      <w:numFmt w:val="bullet"/>
      <w:lvlText w:val="•"/>
      <w:lvlJc w:val="left"/>
      <w:pPr>
        <w:ind w:left="3078" w:hanging="369"/>
      </w:pPr>
      <w:rPr>
        <w:rFonts w:hint="default"/>
        <w:lang w:val="en-AU" w:eastAsia="en-US" w:bidi="ar-SA"/>
      </w:rPr>
    </w:lvl>
    <w:lvl w:ilvl="2" w:tplc="12D4977C">
      <w:numFmt w:val="bullet"/>
      <w:lvlText w:val="•"/>
      <w:lvlJc w:val="left"/>
      <w:pPr>
        <w:ind w:left="3976" w:hanging="369"/>
      </w:pPr>
      <w:rPr>
        <w:rFonts w:hint="default"/>
        <w:lang w:val="en-AU" w:eastAsia="en-US" w:bidi="ar-SA"/>
      </w:rPr>
    </w:lvl>
    <w:lvl w:ilvl="3" w:tplc="DF12600A">
      <w:numFmt w:val="bullet"/>
      <w:lvlText w:val="•"/>
      <w:lvlJc w:val="left"/>
      <w:pPr>
        <w:ind w:left="4875" w:hanging="369"/>
      </w:pPr>
      <w:rPr>
        <w:rFonts w:hint="default"/>
        <w:lang w:val="en-AU" w:eastAsia="en-US" w:bidi="ar-SA"/>
      </w:rPr>
    </w:lvl>
    <w:lvl w:ilvl="4" w:tplc="E3CA3F6E">
      <w:numFmt w:val="bullet"/>
      <w:lvlText w:val="•"/>
      <w:lvlJc w:val="left"/>
      <w:pPr>
        <w:ind w:left="5773" w:hanging="369"/>
      </w:pPr>
      <w:rPr>
        <w:rFonts w:hint="default"/>
        <w:lang w:val="en-AU" w:eastAsia="en-US" w:bidi="ar-SA"/>
      </w:rPr>
    </w:lvl>
    <w:lvl w:ilvl="5" w:tplc="CBBC68C0">
      <w:numFmt w:val="bullet"/>
      <w:lvlText w:val="•"/>
      <w:lvlJc w:val="left"/>
      <w:pPr>
        <w:ind w:left="6672" w:hanging="369"/>
      </w:pPr>
      <w:rPr>
        <w:rFonts w:hint="default"/>
        <w:lang w:val="en-AU" w:eastAsia="en-US" w:bidi="ar-SA"/>
      </w:rPr>
    </w:lvl>
    <w:lvl w:ilvl="6" w:tplc="E9A064E6">
      <w:numFmt w:val="bullet"/>
      <w:lvlText w:val="•"/>
      <w:lvlJc w:val="left"/>
      <w:pPr>
        <w:ind w:left="7570" w:hanging="369"/>
      </w:pPr>
      <w:rPr>
        <w:rFonts w:hint="default"/>
        <w:lang w:val="en-AU" w:eastAsia="en-US" w:bidi="ar-SA"/>
      </w:rPr>
    </w:lvl>
    <w:lvl w:ilvl="7" w:tplc="4A0AAF2E">
      <w:numFmt w:val="bullet"/>
      <w:lvlText w:val="•"/>
      <w:lvlJc w:val="left"/>
      <w:pPr>
        <w:ind w:left="8468" w:hanging="369"/>
      </w:pPr>
      <w:rPr>
        <w:rFonts w:hint="default"/>
        <w:lang w:val="en-AU" w:eastAsia="en-US" w:bidi="ar-SA"/>
      </w:rPr>
    </w:lvl>
    <w:lvl w:ilvl="8" w:tplc="0CD834B4">
      <w:numFmt w:val="bullet"/>
      <w:lvlText w:val="•"/>
      <w:lvlJc w:val="left"/>
      <w:pPr>
        <w:ind w:left="9367" w:hanging="369"/>
      </w:pPr>
      <w:rPr>
        <w:rFonts w:hint="default"/>
        <w:lang w:val="en-AU" w:eastAsia="en-US" w:bidi="ar-SA"/>
      </w:rPr>
    </w:lvl>
  </w:abstractNum>
  <w:abstractNum w:abstractNumId="32" w15:restartNumberingAfterBreak="0">
    <w:nsid w:val="7638104B"/>
    <w:multiLevelType w:val="hybridMultilevel"/>
    <w:tmpl w:val="7932CE24"/>
    <w:lvl w:ilvl="0" w:tplc="FA287686">
      <w:numFmt w:val="bullet"/>
      <w:lvlText w:val="•"/>
      <w:lvlJc w:val="left"/>
      <w:pPr>
        <w:ind w:left="415" w:hanging="272"/>
      </w:pPr>
      <w:rPr>
        <w:rFonts w:ascii="Arial" w:eastAsia="Arial" w:hAnsi="Arial" w:cs="Arial" w:hint="default"/>
        <w:color w:val="1F1546"/>
        <w:w w:val="100"/>
        <w:sz w:val="18"/>
        <w:szCs w:val="18"/>
        <w:lang w:val="en-AU" w:eastAsia="en-US" w:bidi="ar-SA"/>
      </w:rPr>
    </w:lvl>
    <w:lvl w:ilvl="1" w:tplc="73305D44">
      <w:numFmt w:val="bullet"/>
      <w:lvlText w:val="•"/>
      <w:lvlJc w:val="left"/>
      <w:pPr>
        <w:ind w:left="1219" w:hanging="272"/>
      </w:pPr>
      <w:rPr>
        <w:rFonts w:hint="default"/>
        <w:lang w:val="en-AU" w:eastAsia="en-US" w:bidi="ar-SA"/>
      </w:rPr>
    </w:lvl>
    <w:lvl w:ilvl="2" w:tplc="6424593C">
      <w:numFmt w:val="bullet"/>
      <w:lvlText w:val="•"/>
      <w:lvlJc w:val="left"/>
      <w:pPr>
        <w:ind w:left="2019" w:hanging="272"/>
      </w:pPr>
      <w:rPr>
        <w:rFonts w:hint="default"/>
        <w:lang w:val="en-AU" w:eastAsia="en-US" w:bidi="ar-SA"/>
      </w:rPr>
    </w:lvl>
    <w:lvl w:ilvl="3" w:tplc="D840AA54">
      <w:numFmt w:val="bullet"/>
      <w:lvlText w:val="•"/>
      <w:lvlJc w:val="left"/>
      <w:pPr>
        <w:ind w:left="2819" w:hanging="272"/>
      </w:pPr>
      <w:rPr>
        <w:rFonts w:hint="default"/>
        <w:lang w:val="en-AU" w:eastAsia="en-US" w:bidi="ar-SA"/>
      </w:rPr>
    </w:lvl>
    <w:lvl w:ilvl="4" w:tplc="FA8A1B96">
      <w:numFmt w:val="bullet"/>
      <w:lvlText w:val="•"/>
      <w:lvlJc w:val="left"/>
      <w:pPr>
        <w:ind w:left="3619" w:hanging="272"/>
      </w:pPr>
      <w:rPr>
        <w:rFonts w:hint="default"/>
        <w:lang w:val="en-AU" w:eastAsia="en-US" w:bidi="ar-SA"/>
      </w:rPr>
    </w:lvl>
    <w:lvl w:ilvl="5" w:tplc="C736D554">
      <w:numFmt w:val="bullet"/>
      <w:lvlText w:val="•"/>
      <w:lvlJc w:val="left"/>
      <w:pPr>
        <w:ind w:left="4419" w:hanging="272"/>
      </w:pPr>
      <w:rPr>
        <w:rFonts w:hint="default"/>
        <w:lang w:val="en-AU" w:eastAsia="en-US" w:bidi="ar-SA"/>
      </w:rPr>
    </w:lvl>
    <w:lvl w:ilvl="6" w:tplc="7E30860A">
      <w:numFmt w:val="bullet"/>
      <w:lvlText w:val="•"/>
      <w:lvlJc w:val="left"/>
      <w:pPr>
        <w:ind w:left="5219" w:hanging="272"/>
      </w:pPr>
      <w:rPr>
        <w:rFonts w:hint="default"/>
        <w:lang w:val="en-AU" w:eastAsia="en-US" w:bidi="ar-SA"/>
      </w:rPr>
    </w:lvl>
    <w:lvl w:ilvl="7" w:tplc="BE6EFB00">
      <w:numFmt w:val="bullet"/>
      <w:lvlText w:val="•"/>
      <w:lvlJc w:val="left"/>
      <w:pPr>
        <w:ind w:left="6019" w:hanging="272"/>
      </w:pPr>
      <w:rPr>
        <w:rFonts w:hint="default"/>
        <w:lang w:val="en-AU" w:eastAsia="en-US" w:bidi="ar-SA"/>
      </w:rPr>
    </w:lvl>
    <w:lvl w:ilvl="8" w:tplc="DA4420EA">
      <w:numFmt w:val="bullet"/>
      <w:lvlText w:val="•"/>
      <w:lvlJc w:val="left"/>
      <w:pPr>
        <w:ind w:left="6819" w:hanging="272"/>
      </w:pPr>
      <w:rPr>
        <w:rFonts w:hint="default"/>
        <w:lang w:val="en-AU" w:eastAsia="en-US" w:bidi="ar-SA"/>
      </w:rPr>
    </w:lvl>
  </w:abstractNum>
  <w:abstractNum w:abstractNumId="33" w15:restartNumberingAfterBreak="0">
    <w:nsid w:val="78E82DD5"/>
    <w:multiLevelType w:val="hybridMultilevel"/>
    <w:tmpl w:val="024EE43E"/>
    <w:lvl w:ilvl="0" w:tplc="CD0E441C">
      <w:numFmt w:val="bullet"/>
      <w:lvlText w:val="•"/>
      <w:lvlJc w:val="left"/>
      <w:pPr>
        <w:ind w:left="2920" w:hanging="272"/>
      </w:pPr>
      <w:rPr>
        <w:rFonts w:ascii="Arial" w:eastAsia="Arial" w:hAnsi="Arial" w:cs="Arial" w:hint="default"/>
        <w:color w:val="FFFFFF"/>
        <w:w w:val="100"/>
        <w:sz w:val="18"/>
        <w:szCs w:val="18"/>
        <w:lang w:val="en-AU" w:eastAsia="en-US" w:bidi="ar-SA"/>
      </w:rPr>
    </w:lvl>
    <w:lvl w:ilvl="1" w:tplc="3B2A4AE6">
      <w:numFmt w:val="bullet"/>
      <w:lvlText w:val="•"/>
      <w:lvlJc w:val="left"/>
      <w:pPr>
        <w:ind w:left="3768" w:hanging="272"/>
      </w:pPr>
      <w:rPr>
        <w:rFonts w:hint="default"/>
        <w:lang w:val="en-AU" w:eastAsia="en-US" w:bidi="ar-SA"/>
      </w:rPr>
    </w:lvl>
    <w:lvl w:ilvl="2" w:tplc="BEE05306">
      <w:numFmt w:val="bullet"/>
      <w:lvlText w:val="•"/>
      <w:lvlJc w:val="left"/>
      <w:pPr>
        <w:ind w:left="4616" w:hanging="272"/>
      </w:pPr>
      <w:rPr>
        <w:rFonts w:hint="default"/>
        <w:lang w:val="en-AU" w:eastAsia="en-US" w:bidi="ar-SA"/>
      </w:rPr>
    </w:lvl>
    <w:lvl w:ilvl="3" w:tplc="953476D6">
      <w:numFmt w:val="bullet"/>
      <w:lvlText w:val="•"/>
      <w:lvlJc w:val="left"/>
      <w:pPr>
        <w:ind w:left="5465" w:hanging="272"/>
      </w:pPr>
      <w:rPr>
        <w:rFonts w:hint="default"/>
        <w:lang w:val="en-AU" w:eastAsia="en-US" w:bidi="ar-SA"/>
      </w:rPr>
    </w:lvl>
    <w:lvl w:ilvl="4" w:tplc="75CECFD8">
      <w:numFmt w:val="bullet"/>
      <w:lvlText w:val="•"/>
      <w:lvlJc w:val="left"/>
      <w:pPr>
        <w:ind w:left="6313" w:hanging="272"/>
      </w:pPr>
      <w:rPr>
        <w:rFonts w:hint="default"/>
        <w:lang w:val="en-AU" w:eastAsia="en-US" w:bidi="ar-SA"/>
      </w:rPr>
    </w:lvl>
    <w:lvl w:ilvl="5" w:tplc="44166E70">
      <w:numFmt w:val="bullet"/>
      <w:lvlText w:val="•"/>
      <w:lvlJc w:val="left"/>
      <w:pPr>
        <w:ind w:left="7162" w:hanging="272"/>
      </w:pPr>
      <w:rPr>
        <w:rFonts w:hint="default"/>
        <w:lang w:val="en-AU" w:eastAsia="en-US" w:bidi="ar-SA"/>
      </w:rPr>
    </w:lvl>
    <w:lvl w:ilvl="6" w:tplc="45E00B26">
      <w:numFmt w:val="bullet"/>
      <w:lvlText w:val="•"/>
      <w:lvlJc w:val="left"/>
      <w:pPr>
        <w:ind w:left="8010" w:hanging="272"/>
      </w:pPr>
      <w:rPr>
        <w:rFonts w:hint="default"/>
        <w:lang w:val="en-AU" w:eastAsia="en-US" w:bidi="ar-SA"/>
      </w:rPr>
    </w:lvl>
    <w:lvl w:ilvl="7" w:tplc="1FDE0C72">
      <w:numFmt w:val="bullet"/>
      <w:lvlText w:val="•"/>
      <w:lvlJc w:val="left"/>
      <w:pPr>
        <w:ind w:left="8858" w:hanging="272"/>
      </w:pPr>
      <w:rPr>
        <w:rFonts w:hint="default"/>
        <w:lang w:val="en-AU" w:eastAsia="en-US" w:bidi="ar-SA"/>
      </w:rPr>
    </w:lvl>
    <w:lvl w:ilvl="8" w:tplc="DFF2FB04">
      <w:numFmt w:val="bullet"/>
      <w:lvlText w:val="•"/>
      <w:lvlJc w:val="left"/>
      <w:pPr>
        <w:ind w:left="9707" w:hanging="272"/>
      </w:pPr>
      <w:rPr>
        <w:rFonts w:hint="default"/>
        <w:lang w:val="en-AU" w:eastAsia="en-US" w:bidi="ar-SA"/>
      </w:rPr>
    </w:lvl>
  </w:abstractNum>
  <w:abstractNum w:abstractNumId="34" w15:restartNumberingAfterBreak="0">
    <w:nsid w:val="7B37343A"/>
    <w:multiLevelType w:val="hybridMultilevel"/>
    <w:tmpl w:val="B0C039D2"/>
    <w:lvl w:ilvl="0" w:tplc="87FE9CA4">
      <w:numFmt w:val="bullet"/>
      <w:lvlText w:val="•"/>
      <w:lvlJc w:val="left"/>
      <w:pPr>
        <w:ind w:left="415" w:hanging="272"/>
      </w:pPr>
      <w:rPr>
        <w:rFonts w:ascii="Arial" w:eastAsia="Arial" w:hAnsi="Arial" w:cs="Arial" w:hint="default"/>
        <w:color w:val="1F1546"/>
        <w:w w:val="100"/>
        <w:sz w:val="18"/>
        <w:szCs w:val="18"/>
        <w:lang w:val="en-AU" w:eastAsia="en-US" w:bidi="ar-SA"/>
      </w:rPr>
    </w:lvl>
    <w:lvl w:ilvl="1" w:tplc="DFAA1B8E">
      <w:numFmt w:val="bullet"/>
      <w:lvlText w:val="•"/>
      <w:lvlJc w:val="left"/>
      <w:pPr>
        <w:ind w:left="1219" w:hanging="272"/>
      </w:pPr>
      <w:rPr>
        <w:rFonts w:hint="default"/>
        <w:lang w:val="en-AU" w:eastAsia="en-US" w:bidi="ar-SA"/>
      </w:rPr>
    </w:lvl>
    <w:lvl w:ilvl="2" w:tplc="9220611E">
      <w:numFmt w:val="bullet"/>
      <w:lvlText w:val="•"/>
      <w:lvlJc w:val="left"/>
      <w:pPr>
        <w:ind w:left="2019" w:hanging="272"/>
      </w:pPr>
      <w:rPr>
        <w:rFonts w:hint="default"/>
        <w:lang w:val="en-AU" w:eastAsia="en-US" w:bidi="ar-SA"/>
      </w:rPr>
    </w:lvl>
    <w:lvl w:ilvl="3" w:tplc="42365F16">
      <w:numFmt w:val="bullet"/>
      <w:lvlText w:val="•"/>
      <w:lvlJc w:val="left"/>
      <w:pPr>
        <w:ind w:left="2819" w:hanging="272"/>
      </w:pPr>
      <w:rPr>
        <w:rFonts w:hint="default"/>
        <w:lang w:val="en-AU" w:eastAsia="en-US" w:bidi="ar-SA"/>
      </w:rPr>
    </w:lvl>
    <w:lvl w:ilvl="4" w:tplc="55201B26">
      <w:numFmt w:val="bullet"/>
      <w:lvlText w:val="•"/>
      <w:lvlJc w:val="left"/>
      <w:pPr>
        <w:ind w:left="3619" w:hanging="272"/>
      </w:pPr>
      <w:rPr>
        <w:rFonts w:hint="default"/>
        <w:lang w:val="en-AU" w:eastAsia="en-US" w:bidi="ar-SA"/>
      </w:rPr>
    </w:lvl>
    <w:lvl w:ilvl="5" w:tplc="F04061D2">
      <w:numFmt w:val="bullet"/>
      <w:lvlText w:val="•"/>
      <w:lvlJc w:val="left"/>
      <w:pPr>
        <w:ind w:left="4419" w:hanging="272"/>
      </w:pPr>
      <w:rPr>
        <w:rFonts w:hint="default"/>
        <w:lang w:val="en-AU" w:eastAsia="en-US" w:bidi="ar-SA"/>
      </w:rPr>
    </w:lvl>
    <w:lvl w:ilvl="6" w:tplc="288AAA90">
      <w:numFmt w:val="bullet"/>
      <w:lvlText w:val="•"/>
      <w:lvlJc w:val="left"/>
      <w:pPr>
        <w:ind w:left="5219" w:hanging="272"/>
      </w:pPr>
      <w:rPr>
        <w:rFonts w:hint="default"/>
        <w:lang w:val="en-AU" w:eastAsia="en-US" w:bidi="ar-SA"/>
      </w:rPr>
    </w:lvl>
    <w:lvl w:ilvl="7" w:tplc="CD421C48">
      <w:numFmt w:val="bullet"/>
      <w:lvlText w:val="•"/>
      <w:lvlJc w:val="left"/>
      <w:pPr>
        <w:ind w:left="6019" w:hanging="272"/>
      </w:pPr>
      <w:rPr>
        <w:rFonts w:hint="default"/>
        <w:lang w:val="en-AU" w:eastAsia="en-US" w:bidi="ar-SA"/>
      </w:rPr>
    </w:lvl>
    <w:lvl w:ilvl="8" w:tplc="53C8AF6E">
      <w:numFmt w:val="bullet"/>
      <w:lvlText w:val="•"/>
      <w:lvlJc w:val="left"/>
      <w:pPr>
        <w:ind w:left="6819" w:hanging="272"/>
      </w:pPr>
      <w:rPr>
        <w:rFonts w:hint="default"/>
        <w:lang w:val="en-AU" w:eastAsia="en-US" w:bidi="ar-SA"/>
      </w:rPr>
    </w:lvl>
  </w:abstractNum>
  <w:abstractNum w:abstractNumId="35" w15:restartNumberingAfterBreak="0">
    <w:nsid w:val="7C0525B4"/>
    <w:multiLevelType w:val="hybridMultilevel"/>
    <w:tmpl w:val="2E643198"/>
    <w:lvl w:ilvl="0" w:tplc="E2BAB55A">
      <w:numFmt w:val="bullet"/>
      <w:lvlText w:val="□"/>
      <w:lvlJc w:val="left"/>
      <w:pPr>
        <w:ind w:left="2350" w:hanging="221"/>
      </w:pPr>
      <w:rPr>
        <w:rFonts w:ascii="Arial" w:eastAsia="Arial" w:hAnsi="Arial" w:cs="Arial" w:hint="default"/>
        <w:color w:val="52555A"/>
        <w:w w:val="100"/>
        <w:sz w:val="28"/>
        <w:szCs w:val="28"/>
        <w:lang w:val="en-AU" w:eastAsia="en-US" w:bidi="ar-SA"/>
      </w:rPr>
    </w:lvl>
    <w:lvl w:ilvl="1" w:tplc="DB12D088">
      <w:numFmt w:val="bullet"/>
      <w:lvlText w:val="•"/>
      <w:lvlJc w:val="left"/>
      <w:pPr>
        <w:ind w:left="3264" w:hanging="221"/>
      </w:pPr>
      <w:rPr>
        <w:rFonts w:hint="default"/>
        <w:lang w:val="en-AU" w:eastAsia="en-US" w:bidi="ar-SA"/>
      </w:rPr>
    </w:lvl>
    <w:lvl w:ilvl="2" w:tplc="821C07F6">
      <w:numFmt w:val="bullet"/>
      <w:lvlText w:val="•"/>
      <w:lvlJc w:val="left"/>
      <w:pPr>
        <w:ind w:left="4168" w:hanging="221"/>
      </w:pPr>
      <w:rPr>
        <w:rFonts w:hint="default"/>
        <w:lang w:val="en-AU" w:eastAsia="en-US" w:bidi="ar-SA"/>
      </w:rPr>
    </w:lvl>
    <w:lvl w:ilvl="3" w:tplc="E7EE1A98">
      <w:numFmt w:val="bullet"/>
      <w:lvlText w:val="•"/>
      <w:lvlJc w:val="left"/>
      <w:pPr>
        <w:ind w:left="5073" w:hanging="221"/>
      </w:pPr>
      <w:rPr>
        <w:rFonts w:hint="default"/>
        <w:lang w:val="en-AU" w:eastAsia="en-US" w:bidi="ar-SA"/>
      </w:rPr>
    </w:lvl>
    <w:lvl w:ilvl="4" w:tplc="BFF22A26">
      <w:numFmt w:val="bullet"/>
      <w:lvlText w:val="•"/>
      <w:lvlJc w:val="left"/>
      <w:pPr>
        <w:ind w:left="5977" w:hanging="221"/>
      </w:pPr>
      <w:rPr>
        <w:rFonts w:hint="default"/>
        <w:lang w:val="en-AU" w:eastAsia="en-US" w:bidi="ar-SA"/>
      </w:rPr>
    </w:lvl>
    <w:lvl w:ilvl="5" w:tplc="7EC01482">
      <w:numFmt w:val="bullet"/>
      <w:lvlText w:val="•"/>
      <w:lvlJc w:val="left"/>
      <w:pPr>
        <w:ind w:left="6882" w:hanging="221"/>
      </w:pPr>
      <w:rPr>
        <w:rFonts w:hint="default"/>
        <w:lang w:val="en-AU" w:eastAsia="en-US" w:bidi="ar-SA"/>
      </w:rPr>
    </w:lvl>
    <w:lvl w:ilvl="6" w:tplc="2A985334">
      <w:numFmt w:val="bullet"/>
      <w:lvlText w:val="•"/>
      <w:lvlJc w:val="left"/>
      <w:pPr>
        <w:ind w:left="7786" w:hanging="221"/>
      </w:pPr>
      <w:rPr>
        <w:rFonts w:hint="default"/>
        <w:lang w:val="en-AU" w:eastAsia="en-US" w:bidi="ar-SA"/>
      </w:rPr>
    </w:lvl>
    <w:lvl w:ilvl="7" w:tplc="41445160">
      <w:numFmt w:val="bullet"/>
      <w:lvlText w:val="•"/>
      <w:lvlJc w:val="left"/>
      <w:pPr>
        <w:ind w:left="8690" w:hanging="221"/>
      </w:pPr>
      <w:rPr>
        <w:rFonts w:hint="default"/>
        <w:lang w:val="en-AU" w:eastAsia="en-US" w:bidi="ar-SA"/>
      </w:rPr>
    </w:lvl>
    <w:lvl w:ilvl="8" w:tplc="54745AC2">
      <w:numFmt w:val="bullet"/>
      <w:lvlText w:val="•"/>
      <w:lvlJc w:val="left"/>
      <w:pPr>
        <w:ind w:left="9595" w:hanging="221"/>
      </w:pPr>
      <w:rPr>
        <w:rFonts w:hint="default"/>
        <w:lang w:val="en-AU" w:eastAsia="en-US" w:bidi="ar-SA"/>
      </w:rPr>
    </w:lvl>
  </w:abstractNum>
  <w:num w:numId="1" w16cid:durableId="1962685439">
    <w:abstractNumId w:val="35"/>
  </w:num>
  <w:num w:numId="2" w16cid:durableId="1978223607">
    <w:abstractNumId w:val="12"/>
  </w:num>
  <w:num w:numId="3" w16cid:durableId="1700083398">
    <w:abstractNumId w:val="14"/>
  </w:num>
  <w:num w:numId="4" w16cid:durableId="435716033">
    <w:abstractNumId w:val="16"/>
  </w:num>
  <w:num w:numId="5" w16cid:durableId="71054130">
    <w:abstractNumId w:val="30"/>
  </w:num>
  <w:num w:numId="6" w16cid:durableId="2019381768">
    <w:abstractNumId w:val="23"/>
  </w:num>
  <w:num w:numId="7" w16cid:durableId="723408872">
    <w:abstractNumId w:val="17"/>
  </w:num>
  <w:num w:numId="8" w16cid:durableId="1125075514">
    <w:abstractNumId w:val="28"/>
  </w:num>
  <w:num w:numId="9" w16cid:durableId="1237594934">
    <w:abstractNumId w:val="29"/>
  </w:num>
  <w:num w:numId="10" w16cid:durableId="2007004750">
    <w:abstractNumId w:val="33"/>
  </w:num>
  <w:num w:numId="11" w16cid:durableId="1990279374">
    <w:abstractNumId w:val="19"/>
  </w:num>
  <w:num w:numId="12" w16cid:durableId="1828277128">
    <w:abstractNumId w:val="32"/>
  </w:num>
  <w:num w:numId="13" w16cid:durableId="2094206717">
    <w:abstractNumId w:val="11"/>
  </w:num>
  <w:num w:numId="14" w16cid:durableId="640496380">
    <w:abstractNumId w:val="26"/>
  </w:num>
  <w:num w:numId="15" w16cid:durableId="1687442249">
    <w:abstractNumId w:val="25"/>
  </w:num>
  <w:num w:numId="16" w16cid:durableId="1619919008">
    <w:abstractNumId w:val="34"/>
  </w:num>
  <w:num w:numId="17" w16cid:durableId="200751637">
    <w:abstractNumId w:val="24"/>
  </w:num>
  <w:num w:numId="18" w16cid:durableId="647441679">
    <w:abstractNumId w:val="20"/>
  </w:num>
  <w:num w:numId="19" w16cid:durableId="1717271367">
    <w:abstractNumId w:val="27"/>
  </w:num>
  <w:num w:numId="20" w16cid:durableId="1069306383">
    <w:abstractNumId w:val="22"/>
  </w:num>
  <w:num w:numId="21" w16cid:durableId="951866644">
    <w:abstractNumId w:val="27"/>
  </w:num>
  <w:num w:numId="22" w16cid:durableId="899901666">
    <w:abstractNumId w:val="9"/>
  </w:num>
  <w:num w:numId="23" w16cid:durableId="1968968344">
    <w:abstractNumId w:val="15"/>
  </w:num>
  <w:num w:numId="24" w16cid:durableId="180706914">
    <w:abstractNumId w:val="31"/>
  </w:num>
  <w:num w:numId="25" w16cid:durableId="1538466846">
    <w:abstractNumId w:val="10"/>
  </w:num>
  <w:num w:numId="26" w16cid:durableId="179122800">
    <w:abstractNumId w:val="27"/>
  </w:num>
  <w:num w:numId="27" w16cid:durableId="776826223">
    <w:abstractNumId w:val="22"/>
  </w:num>
  <w:num w:numId="28" w16cid:durableId="1517619485">
    <w:abstractNumId w:val="27"/>
  </w:num>
  <w:num w:numId="29" w16cid:durableId="1297183961">
    <w:abstractNumId w:val="9"/>
  </w:num>
  <w:num w:numId="30" w16cid:durableId="370427200">
    <w:abstractNumId w:val="15"/>
  </w:num>
  <w:num w:numId="31" w16cid:durableId="329915353">
    <w:abstractNumId w:val="31"/>
  </w:num>
  <w:num w:numId="32" w16cid:durableId="448934589">
    <w:abstractNumId w:val="10"/>
  </w:num>
  <w:num w:numId="33" w16cid:durableId="1550531463">
    <w:abstractNumId w:val="13"/>
  </w:num>
  <w:num w:numId="34" w16cid:durableId="1430658757">
    <w:abstractNumId w:val="18"/>
  </w:num>
  <w:num w:numId="35" w16cid:durableId="1020552189">
    <w:abstractNumId w:val="21"/>
  </w:num>
  <w:num w:numId="36" w16cid:durableId="988245505">
    <w:abstractNumId w:val="21"/>
    <w:lvlOverride w:ilvl="0">
      <w:startOverride w:val="1"/>
    </w:lvlOverride>
  </w:num>
  <w:num w:numId="37" w16cid:durableId="329522509">
    <w:abstractNumId w:val="21"/>
  </w:num>
  <w:num w:numId="38" w16cid:durableId="124351626">
    <w:abstractNumId w:val="21"/>
    <w:lvlOverride w:ilvl="0">
      <w:startOverride w:val="1"/>
    </w:lvlOverride>
  </w:num>
  <w:num w:numId="39" w16cid:durableId="677537311">
    <w:abstractNumId w:val="21"/>
    <w:lvlOverride w:ilvl="0">
      <w:startOverride w:val="1"/>
    </w:lvlOverride>
  </w:num>
  <w:num w:numId="40" w16cid:durableId="1054936381">
    <w:abstractNumId w:val="21"/>
    <w:lvlOverride w:ilvl="0">
      <w:startOverride w:val="1"/>
    </w:lvlOverride>
  </w:num>
  <w:num w:numId="41" w16cid:durableId="1447694651">
    <w:abstractNumId w:val="21"/>
    <w:lvlOverride w:ilvl="0">
      <w:startOverride w:val="1"/>
    </w:lvlOverride>
  </w:num>
  <w:num w:numId="42" w16cid:durableId="144788556">
    <w:abstractNumId w:val="31"/>
    <w:lvlOverride w:ilvl="0">
      <w:startOverride w:val="1"/>
    </w:lvlOverride>
  </w:num>
  <w:num w:numId="43" w16cid:durableId="903953669">
    <w:abstractNumId w:val="21"/>
    <w:lvlOverride w:ilvl="0">
      <w:startOverride w:val="1"/>
    </w:lvlOverride>
  </w:num>
  <w:num w:numId="44" w16cid:durableId="596524621">
    <w:abstractNumId w:val="21"/>
    <w:lvlOverride w:ilvl="0">
      <w:startOverride w:val="2"/>
    </w:lvlOverride>
  </w:num>
  <w:num w:numId="45" w16cid:durableId="126895893">
    <w:abstractNumId w:val="21"/>
    <w:lvlOverride w:ilvl="0">
      <w:startOverride w:val="3"/>
    </w:lvlOverride>
  </w:num>
  <w:num w:numId="46" w16cid:durableId="1220705071">
    <w:abstractNumId w:val="8"/>
  </w:num>
  <w:num w:numId="47" w16cid:durableId="365184740">
    <w:abstractNumId w:val="6"/>
  </w:num>
  <w:num w:numId="48" w16cid:durableId="718555985">
    <w:abstractNumId w:val="5"/>
  </w:num>
  <w:num w:numId="49" w16cid:durableId="544754798">
    <w:abstractNumId w:val="4"/>
  </w:num>
  <w:num w:numId="50" w16cid:durableId="1676767257">
    <w:abstractNumId w:val="7"/>
  </w:num>
  <w:num w:numId="51" w16cid:durableId="1565019291">
    <w:abstractNumId w:val="3"/>
  </w:num>
  <w:num w:numId="52" w16cid:durableId="1672222025">
    <w:abstractNumId w:val="2"/>
  </w:num>
  <w:num w:numId="53" w16cid:durableId="1511917289">
    <w:abstractNumId w:val="1"/>
  </w:num>
  <w:num w:numId="54" w16cid:durableId="149447674">
    <w:abstractNumId w:val="0"/>
  </w:num>
  <w:num w:numId="55" w16cid:durableId="1959991872">
    <w:abstractNumId w:val="7"/>
    <w:lvlOverride w:ilvl="0">
      <w:startOverride w:val="1"/>
    </w:lvlOverride>
  </w:num>
  <w:num w:numId="56" w16cid:durableId="269553117">
    <w:abstractNumId w:val="7"/>
    <w:lvlOverride w:ilvl="0">
      <w:startOverride w:val="1"/>
    </w:lvlOverride>
  </w:num>
  <w:num w:numId="57" w16cid:durableId="1886722857">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B44"/>
    <w:rsid w:val="000018DF"/>
    <w:rsid w:val="000036CE"/>
    <w:rsid w:val="000069CA"/>
    <w:rsid w:val="0002757C"/>
    <w:rsid w:val="000550C8"/>
    <w:rsid w:val="00062B44"/>
    <w:rsid w:val="00064A0F"/>
    <w:rsid w:val="00071C56"/>
    <w:rsid w:val="00090F42"/>
    <w:rsid w:val="000A7F3F"/>
    <w:rsid w:val="000E5074"/>
    <w:rsid w:val="000F580E"/>
    <w:rsid w:val="00182AFF"/>
    <w:rsid w:val="00183C9C"/>
    <w:rsid w:val="001A11BB"/>
    <w:rsid w:val="001E39D3"/>
    <w:rsid w:val="001F7045"/>
    <w:rsid w:val="00202352"/>
    <w:rsid w:val="00205F69"/>
    <w:rsid w:val="00207114"/>
    <w:rsid w:val="00214A4B"/>
    <w:rsid w:val="00227918"/>
    <w:rsid w:val="0023212C"/>
    <w:rsid w:val="002414A0"/>
    <w:rsid w:val="0028153F"/>
    <w:rsid w:val="00294D8F"/>
    <w:rsid w:val="002968A0"/>
    <w:rsid w:val="002C7A08"/>
    <w:rsid w:val="002E1A22"/>
    <w:rsid w:val="002E3334"/>
    <w:rsid w:val="002E747C"/>
    <w:rsid w:val="002F06A3"/>
    <w:rsid w:val="002F56A2"/>
    <w:rsid w:val="00300AF6"/>
    <w:rsid w:val="00303C82"/>
    <w:rsid w:val="00315667"/>
    <w:rsid w:val="00316AE4"/>
    <w:rsid w:val="0033478C"/>
    <w:rsid w:val="00336DE4"/>
    <w:rsid w:val="00356720"/>
    <w:rsid w:val="00386CD8"/>
    <w:rsid w:val="00393F51"/>
    <w:rsid w:val="003A1ADB"/>
    <w:rsid w:val="003D040B"/>
    <w:rsid w:val="003D5C57"/>
    <w:rsid w:val="003F7C95"/>
    <w:rsid w:val="00401DC1"/>
    <w:rsid w:val="00407972"/>
    <w:rsid w:val="00456AD1"/>
    <w:rsid w:val="0045759A"/>
    <w:rsid w:val="00466761"/>
    <w:rsid w:val="004842E9"/>
    <w:rsid w:val="00486FAF"/>
    <w:rsid w:val="00487B99"/>
    <w:rsid w:val="00492616"/>
    <w:rsid w:val="004A14B0"/>
    <w:rsid w:val="004A7F69"/>
    <w:rsid w:val="004B2D10"/>
    <w:rsid w:val="004C22B4"/>
    <w:rsid w:val="004D2C36"/>
    <w:rsid w:val="004E5A5B"/>
    <w:rsid w:val="004E66C8"/>
    <w:rsid w:val="004F1505"/>
    <w:rsid w:val="004F15BF"/>
    <w:rsid w:val="004F6424"/>
    <w:rsid w:val="00502F1C"/>
    <w:rsid w:val="00525365"/>
    <w:rsid w:val="00541240"/>
    <w:rsid w:val="00552204"/>
    <w:rsid w:val="00595DAA"/>
    <w:rsid w:val="005A29FF"/>
    <w:rsid w:val="005B5FDB"/>
    <w:rsid w:val="005C6F62"/>
    <w:rsid w:val="005D3914"/>
    <w:rsid w:val="005D671B"/>
    <w:rsid w:val="005E2EB9"/>
    <w:rsid w:val="005F5AAF"/>
    <w:rsid w:val="006139E0"/>
    <w:rsid w:val="006210E0"/>
    <w:rsid w:val="00625E18"/>
    <w:rsid w:val="00633EC9"/>
    <w:rsid w:val="006673BF"/>
    <w:rsid w:val="00670821"/>
    <w:rsid w:val="006A171D"/>
    <w:rsid w:val="006A35D7"/>
    <w:rsid w:val="006A7AF7"/>
    <w:rsid w:val="006B15A8"/>
    <w:rsid w:val="006C5471"/>
    <w:rsid w:val="006E6E79"/>
    <w:rsid w:val="00701E9E"/>
    <w:rsid w:val="00727DA4"/>
    <w:rsid w:val="00752654"/>
    <w:rsid w:val="00756BDA"/>
    <w:rsid w:val="007664AC"/>
    <w:rsid w:val="00787F78"/>
    <w:rsid w:val="007A18DE"/>
    <w:rsid w:val="008048FF"/>
    <w:rsid w:val="00841A29"/>
    <w:rsid w:val="00850151"/>
    <w:rsid w:val="008512D1"/>
    <w:rsid w:val="00855D2E"/>
    <w:rsid w:val="00872761"/>
    <w:rsid w:val="00895431"/>
    <w:rsid w:val="008A2018"/>
    <w:rsid w:val="008A32D1"/>
    <w:rsid w:val="008B1AB2"/>
    <w:rsid w:val="008B2723"/>
    <w:rsid w:val="008C1D43"/>
    <w:rsid w:val="008C541D"/>
    <w:rsid w:val="008D4DD8"/>
    <w:rsid w:val="0091273F"/>
    <w:rsid w:val="0092635B"/>
    <w:rsid w:val="0094262E"/>
    <w:rsid w:val="009651CD"/>
    <w:rsid w:val="00967E6D"/>
    <w:rsid w:val="009D3991"/>
    <w:rsid w:val="009F1FE4"/>
    <w:rsid w:val="009F75C8"/>
    <w:rsid w:val="00A02B5A"/>
    <w:rsid w:val="00A20267"/>
    <w:rsid w:val="00A23BF5"/>
    <w:rsid w:val="00A41F92"/>
    <w:rsid w:val="00A447CF"/>
    <w:rsid w:val="00A45DD9"/>
    <w:rsid w:val="00A46B53"/>
    <w:rsid w:val="00A70CAA"/>
    <w:rsid w:val="00A857B1"/>
    <w:rsid w:val="00AA5D4D"/>
    <w:rsid w:val="00AB1A43"/>
    <w:rsid w:val="00AD293A"/>
    <w:rsid w:val="00AD3054"/>
    <w:rsid w:val="00AF0B7F"/>
    <w:rsid w:val="00B40934"/>
    <w:rsid w:val="00B44A9B"/>
    <w:rsid w:val="00B4536F"/>
    <w:rsid w:val="00B46028"/>
    <w:rsid w:val="00B5005A"/>
    <w:rsid w:val="00B54712"/>
    <w:rsid w:val="00B6103F"/>
    <w:rsid w:val="00B73FBF"/>
    <w:rsid w:val="00B9676D"/>
    <w:rsid w:val="00BC3BA2"/>
    <w:rsid w:val="00BC3E97"/>
    <w:rsid w:val="00BC56B9"/>
    <w:rsid w:val="00BC787E"/>
    <w:rsid w:val="00BE38E6"/>
    <w:rsid w:val="00BE4A03"/>
    <w:rsid w:val="00C11A7A"/>
    <w:rsid w:val="00C16827"/>
    <w:rsid w:val="00C2326B"/>
    <w:rsid w:val="00C36773"/>
    <w:rsid w:val="00C529B6"/>
    <w:rsid w:val="00C65855"/>
    <w:rsid w:val="00C7160A"/>
    <w:rsid w:val="00C957CB"/>
    <w:rsid w:val="00CA7D02"/>
    <w:rsid w:val="00CE1C73"/>
    <w:rsid w:val="00CF1D28"/>
    <w:rsid w:val="00D1134F"/>
    <w:rsid w:val="00D33483"/>
    <w:rsid w:val="00D3733E"/>
    <w:rsid w:val="00D519D3"/>
    <w:rsid w:val="00D65776"/>
    <w:rsid w:val="00D72639"/>
    <w:rsid w:val="00D744C8"/>
    <w:rsid w:val="00D750E8"/>
    <w:rsid w:val="00D75D4A"/>
    <w:rsid w:val="00D76A3A"/>
    <w:rsid w:val="00DA4B6F"/>
    <w:rsid w:val="00DC33AB"/>
    <w:rsid w:val="00DE6BD5"/>
    <w:rsid w:val="00E06EF6"/>
    <w:rsid w:val="00E20746"/>
    <w:rsid w:val="00E24E97"/>
    <w:rsid w:val="00E27941"/>
    <w:rsid w:val="00E60705"/>
    <w:rsid w:val="00E71DAC"/>
    <w:rsid w:val="00EA3C03"/>
    <w:rsid w:val="00EC2ECE"/>
    <w:rsid w:val="00EC7BB9"/>
    <w:rsid w:val="00ED0E56"/>
    <w:rsid w:val="00F04170"/>
    <w:rsid w:val="00F13E88"/>
    <w:rsid w:val="00F85EAC"/>
    <w:rsid w:val="00F86ACD"/>
    <w:rsid w:val="00F87CE4"/>
    <w:rsid w:val="00F91170"/>
    <w:rsid w:val="00FA2062"/>
    <w:rsid w:val="00FA22A5"/>
    <w:rsid w:val="00FB6A28"/>
    <w:rsid w:val="00FB7A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2BEFD"/>
  <w15:docId w15:val="{E8A79F2F-1E72-42BA-8936-E80C96023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AAF"/>
    <w:pPr>
      <w:widowControl/>
      <w:autoSpaceDE/>
      <w:autoSpaceDN/>
      <w:spacing w:after="200" w:line="240" w:lineRule="atLeast"/>
    </w:pPr>
    <w:rPr>
      <w:rFonts w:ascii="Arial" w:eastAsia="MS Mincho" w:hAnsi="Arial" w:cs="Arial"/>
      <w:sz w:val="24"/>
      <w:szCs w:val="32"/>
      <w:lang w:val="en-AU"/>
    </w:rPr>
  </w:style>
  <w:style w:type="paragraph" w:styleId="Heading1">
    <w:name w:val="heading 1"/>
    <w:basedOn w:val="Normal"/>
    <w:next w:val="Normal"/>
    <w:link w:val="Heading1Char"/>
    <w:uiPriority w:val="9"/>
    <w:qFormat/>
    <w:rsid w:val="004842E9"/>
    <w:pPr>
      <w:keepNext/>
      <w:keepLines/>
      <w:spacing w:before="480"/>
      <w:outlineLvl w:val="0"/>
    </w:pPr>
    <w:rPr>
      <w:rFonts w:eastAsia="MS Gothic" w:cs="Times New Roman"/>
      <w:b/>
      <w:bCs/>
      <w:sz w:val="36"/>
    </w:rPr>
  </w:style>
  <w:style w:type="paragraph" w:styleId="Heading2">
    <w:name w:val="heading 2"/>
    <w:basedOn w:val="Normal"/>
    <w:next w:val="Normal"/>
    <w:link w:val="Heading2Char"/>
    <w:uiPriority w:val="9"/>
    <w:unhideWhenUsed/>
    <w:qFormat/>
    <w:rsid w:val="00393F51"/>
    <w:pPr>
      <w:keepNext/>
      <w:keepLines/>
      <w:spacing w:before="360"/>
      <w:outlineLvl w:val="1"/>
    </w:pPr>
    <w:rPr>
      <w:rFonts w:eastAsia="MS Gothic" w:cs="Times New Roman"/>
      <w:b/>
      <w:bCs/>
      <w:sz w:val="32"/>
      <w:szCs w:val="26"/>
    </w:rPr>
  </w:style>
  <w:style w:type="paragraph" w:styleId="Heading3">
    <w:name w:val="heading 3"/>
    <w:basedOn w:val="Normal"/>
    <w:next w:val="Normal"/>
    <w:link w:val="Heading3Char"/>
    <w:uiPriority w:val="9"/>
    <w:unhideWhenUsed/>
    <w:qFormat/>
    <w:rsid w:val="00393F51"/>
    <w:pPr>
      <w:keepNext/>
      <w:keepLines/>
      <w:spacing w:before="200"/>
      <w:outlineLvl w:val="2"/>
    </w:pPr>
    <w:rPr>
      <w:rFonts w:eastAsia="MS Gothic"/>
      <w:b/>
      <w:bCs/>
      <w:sz w:val="28"/>
    </w:rPr>
  </w:style>
  <w:style w:type="paragraph" w:styleId="Heading4">
    <w:name w:val="heading 4"/>
    <w:basedOn w:val="Normal"/>
    <w:next w:val="Normal"/>
    <w:link w:val="Heading4Char"/>
    <w:uiPriority w:val="9"/>
    <w:unhideWhenUsed/>
    <w:qFormat/>
    <w:rsid w:val="00393F51"/>
    <w:pPr>
      <w:keepNext/>
      <w:keepLines/>
      <w:spacing w:before="200"/>
      <w:outlineLvl w:val="3"/>
    </w:pPr>
    <w:rPr>
      <w:rFonts w:eastAsia="MS Gothic"/>
      <w:b/>
      <w:bCs/>
      <w:iCs/>
    </w:rPr>
  </w:style>
  <w:style w:type="paragraph" w:styleId="Heading5">
    <w:name w:val="heading 5"/>
    <w:basedOn w:val="Normal"/>
    <w:next w:val="Normal"/>
    <w:link w:val="Heading5Char"/>
    <w:uiPriority w:val="9"/>
    <w:unhideWhenUsed/>
    <w:qFormat/>
    <w:rsid w:val="00393F51"/>
    <w:pPr>
      <w:numPr>
        <w:numId w:val="30"/>
      </w:numPr>
      <w:spacing w:before="240" w:after="60"/>
      <w:outlineLvl w:val="4"/>
    </w:pPr>
    <w:rPr>
      <w:rFonts w:cs="Times New Roman"/>
      <w:b/>
      <w:bCs/>
      <w:iCs/>
      <w:sz w:val="22"/>
      <w:szCs w:val="26"/>
    </w:rPr>
  </w:style>
  <w:style w:type="paragraph" w:styleId="Heading6">
    <w:name w:val="heading 6"/>
    <w:basedOn w:val="Normal"/>
    <w:next w:val="Normal"/>
    <w:link w:val="Heading6Char"/>
    <w:uiPriority w:val="9"/>
    <w:unhideWhenUsed/>
    <w:qFormat/>
    <w:rsid w:val="00393F51"/>
    <w:pPr>
      <w:spacing w:before="240" w:after="60"/>
      <w:outlineLvl w:val="5"/>
    </w:pPr>
    <w:rPr>
      <w:rFonts w:eastAsia="Times New Roman" w:cs="Times New Roman"/>
      <w:b/>
      <w:bCs/>
      <w:sz w:val="18"/>
      <w:szCs w:val="22"/>
    </w:rPr>
  </w:style>
  <w:style w:type="paragraph" w:styleId="Heading7">
    <w:name w:val="heading 7"/>
    <w:basedOn w:val="Normal"/>
    <w:next w:val="Normal"/>
    <w:link w:val="Heading7Char"/>
    <w:uiPriority w:val="9"/>
    <w:semiHidden/>
    <w:unhideWhenUsed/>
    <w:qFormat/>
    <w:rsid w:val="00BC3E97"/>
    <w:pPr>
      <w:keepNext/>
      <w:keepLines/>
      <w:spacing w:before="200" w:after="0" w:line="269" w:lineRule="auto"/>
      <w:outlineLvl w:val="6"/>
    </w:pPr>
    <w:rPr>
      <w:rFonts w:asciiTheme="majorHAnsi" w:eastAsiaTheme="majorEastAsia" w:hAnsiTheme="majorHAnsi" w:cstheme="majorBidi"/>
      <w:i/>
      <w:iCs/>
      <w:color w:val="442D97" w:themeColor="text1" w:themeTint="BF"/>
      <w:sz w:val="21"/>
      <w:szCs w:val="22"/>
      <w:lang w:eastAsia="en-AU"/>
    </w:rPr>
  </w:style>
  <w:style w:type="paragraph" w:styleId="Heading8">
    <w:name w:val="heading 8"/>
    <w:basedOn w:val="Normal"/>
    <w:next w:val="Normal"/>
    <w:link w:val="Heading8Char"/>
    <w:uiPriority w:val="9"/>
    <w:semiHidden/>
    <w:unhideWhenUsed/>
    <w:qFormat/>
    <w:rsid w:val="00BC3E97"/>
    <w:pPr>
      <w:keepNext/>
      <w:keepLines/>
      <w:spacing w:before="200" w:after="0" w:line="269" w:lineRule="auto"/>
      <w:outlineLvl w:val="7"/>
    </w:pPr>
    <w:rPr>
      <w:rFonts w:asciiTheme="majorHAnsi" w:eastAsiaTheme="majorEastAsia" w:hAnsiTheme="majorHAnsi" w:cstheme="majorBidi"/>
      <w:color w:val="007B4B" w:themeColor="accent1"/>
      <w:sz w:val="20"/>
      <w:szCs w:val="20"/>
      <w:lang w:eastAsia="en-AU"/>
    </w:rPr>
  </w:style>
  <w:style w:type="paragraph" w:styleId="Heading9">
    <w:name w:val="heading 9"/>
    <w:basedOn w:val="Normal"/>
    <w:next w:val="Normal"/>
    <w:link w:val="Heading9Char"/>
    <w:uiPriority w:val="9"/>
    <w:semiHidden/>
    <w:unhideWhenUsed/>
    <w:qFormat/>
    <w:rsid w:val="00BC3E97"/>
    <w:pPr>
      <w:keepNext/>
      <w:keepLines/>
      <w:spacing w:before="200" w:after="0" w:line="269" w:lineRule="auto"/>
      <w:outlineLvl w:val="8"/>
    </w:pPr>
    <w:rPr>
      <w:rFonts w:asciiTheme="majorHAnsi" w:eastAsiaTheme="majorEastAsia" w:hAnsiTheme="majorHAnsi" w:cstheme="majorBidi"/>
      <w:i/>
      <w:iCs/>
      <w:color w:val="442D97" w:themeColor="text1" w:themeTint="BF"/>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393F51"/>
    <w:pPr>
      <w:spacing w:after="120"/>
    </w:pPr>
  </w:style>
  <w:style w:type="paragraph" w:styleId="Title">
    <w:name w:val="Title"/>
    <w:basedOn w:val="Normal"/>
    <w:next w:val="Normal"/>
    <w:link w:val="TitleChar"/>
    <w:uiPriority w:val="10"/>
    <w:qFormat/>
    <w:rsid w:val="00D76A3A"/>
    <w:pPr>
      <w:pBdr>
        <w:bottom w:val="single" w:sz="8" w:space="4" w:color="4F81BD"/>
      </w:pBdr>
      <w:spacing w:after="300"/>
    </w:pPr>
    <w:rPr>
      <w:rFonts w:eastAsia="MS Gothic"/>
      <w:b/>
      <w:spacing w:val="5"/>
      <w:kern w:val="28"/>
      <w:sz w:val="52"/>
      <w:szCs w:val="52"/>
    </w:rPr>
  </w:style>
  <w:style w:type="paragraph" w:styleId="ListParagraph">
    <w:name w:val="List Paragraph"/>
    <w:basedOn w:val="Normal"/>
    <w:uiPriority w:val="34"/>
    <w:qFormat/>
    <w:rsid w:val="00393F51"/>
    <w:pPr>
      <w:numPr>
        <w:numId w:val="42"/>
      </w:numPr>
      <w:tabs>
        <w:tab w:val="left" w:pos="2180"/>
        <w:tab w:val="left" w:pos="2181"/>
      </w:tabs>
      <w:spacing w:after="120"/>
    </w:pPr>
    <w:rPr>
      <w:rFonts w:eastAsia="Times New Roman"/>
      <w:color w:val="383834"/>
      <w:lang w:eastAsia="en-GB"/>
    </w:rPr>
  </w:style>
  <w:style w:type="paragraph" w:customStyle="1" w:styleId="TableParagraph">
    <w:name w:val="Table Paragraph"/>
    <w:basedOn w:val="Normal"/>
    <w:uiPriority w:val="1"/>
    <w:qFormat/>
    <w:rsid w:val="00393F51"/>
    <w:pPr>
      <w:spacing w:before="60" w:after="60" w:line="220" w:lineRule="atLeast"/>
    </w:pPr>
    <w:rPr>
      <w:rFonts w:eastAsia="Arial"/>
      <w:sz w:val="18"/>
      <w:szCs w:val="22"/>
      <w:lang w:eastAsia="en-GB"/>
    </w:rPr>
  </w:style>
  <w:style w:type="paragraph" w:styleId="Header">
    <w:name w:val="header"/>
    <w:basedOn w:val="Normal"/>
    <w:link w:val="HeaderChar"/>
    <w:uiPriority w:val="99"/>
    <w:unhideWhenUsed/>
    <w:rsid w:val="00393F51"/>
    <w:pPr>
      <w:tabs>
        <w:tab w:val="center" w:pos="4320"/>
        <w:tab w:val="right" w:pos="8640"/>
      </w:tabs>
    </w:pPr>
  </w:style>
  <w:style w:type="character" w:customStyle="1" w:styleId="HeaderChar">
    <w:name w:val="Header Char"/>
    <w:link w:val="Header"/>
    <w:uiPriority w:val="99"/>
    <w:rsid w:val="00393F51"/>
    <w:rPr>
      <w:rFonts w:ascii="Arial" w:eastAsia="MS Mincho" w:hAnsi="Arial" w:cs="Arial"/>
      <w:sz w:val="20"/>
      <w:szCs w:val="24"/>
      <w:lang w:val="en-AU"/>
    </w:rPr>
  </w:style>
  <w:style w:type="paragraph" w:styleId="Footer">
    <w:name w:val="footer"/>
    <w:basedOn w:val="Normal"/>
    <w:link w:val="FooterChar"/>
    <w:uiPriority w:val="99"/>
    <w:unhideWhenUsed/>
    <w:rsid w:val="00393F51"/>
    <w:pPr>
      <w:tabs>
        <w:tab w:val="center" w:pos="4320"/>
        <w:tab w:val="right" w:pos="9639"/>
      </w:tabs>
      <w:spacing w:after="0" w:line="200" w:lineRule="atLeast"/>
    </w:pPr>
    <w:rPr>
      <w:sz w:val="16"/>
    </w:rPr>
  </w:style>
  <w:style w:type="character" w:customStyle="1" w:styleId="FooterChar">
    <w:name w:val="Footer Char"/>
    <w:link w:val="Footer"/>
    <w:uiPriority w:val="99"/>
    <w:rsid w:val="00393F51"/>
    <w:rPr>
      <w:rFonts w:ascii="Arial" w:eastAsia="MS Mincho" w:hAnsi="Arial" w:cs="Arial"/>
      <w:sz w:val="16"/>
      <w:szCs w:val="24"/>
      <w:lang w:val="en-AU"/>
    </w:rPr>
  </w:style>
  <w:style w:type="paragraph" w:styleId="BalloonText">
    <w:name w:val="Balloon Text"/>
    <w:basedOn w:val="Normal"/>
    <w:link w:val="BalloonTextChar"/>
    <w:uiPriority w:val="99"/>
    <w:semiHidden/>
    <w:unhideWhenUsed/>
    <w:rsid w:val="00386CD8"/>
    <w:rPr>
      <w:rFonts w:ascii="Lucida Grande" w:hAnsi="Lucida Grande" w:cs="Lucida Grande"/>
      <w:sz w:val="18"/>
      <w:szCs w:val="18"/>
    </w:rPr>
  </w:style>
  <w:style w:type="character" w:customStyle="1" w:styleId="BalloonTextChar">
    <w:name w:val="Balloon Text Char"/>
    <w:link w:val="BalloonText"/>
    <w:uiPriority w:val="99"/>
    <w:semiHidden/>
    <w:rsid w:val="00386CD8"/>
    <w:rPr>
      <w:rFonts w:ascii="Lucida Grande" w:eastAsia="MS Mincho" w:hAnsi="Lucida Grande" w:cs="Lucida Grande"/>
      <w:sz w:val="18"/>
      <w:szCs w:val="18"/>
      <w:lang w:val="en-AU"/>
    </w:rPr>
  </w:style>
  <w:style w:type="paragraph" w:customStyle="1" w:styleId="BODY">
    <w:name w:val="BODY"/>
    <w:basedOn w:val="Normal"/>
    <w:uiPriority w:val="99"/>
    <w:rsid w:val="00386CD8"/>
    <w:pPr>
      <w:suppressAutoHyphens/>
      <w:autoSpaceDE w:val="0"/>
      <w:autoSpaceDN w:val="0"/>
      <w:adjustRightInd w:val="0"/>
      <w:spacing w:after="113"/>
      <w:textAlignment w:val="center"/>
    </w:pPr>
    <w:rPr>
      <w:rFonts w:ascii="VIC Medium Italic" w:hAnsi="VIC Medium Italic" w:cs="VIC Medium Italic"/>
      <w:color w:val="000000"/>
      <w:szCs w:val="20"/>
      <w:lang w:val="en-GB" w:eastAsia="en-GB"/>
    </w:rPr>
  </w:style>
  <w:style w:type="character" w:customStyle="1" w:styleId="BodyTextChar">
    <w:name w:val="Body Text Char"/>
    <w:link w:val="BodyText"/>
    <w:uiPriority w:val="99"/>
    <w:rsid w:val="00393F51"/>
    <w:rPr>
      <w:rFonts w:ascii="Arial" w:eastAsia="MS Mincho" w:hAnsi="Arial" w:cs="Arial"/>
      <w:sz w:val="20"/>
      <w:szCs w:val="24"/>
      <w:lang w:val="en-AU"/>
    </w:rPr>
  </w:style>
  <w:style w:type="paragraph" w:styleId="BodyTextIndent">
    <w:name w:val="Body Text Indent"/>
    <w:basedOn w:val="Normal"/>
    <w:link w:val="BodyTextIndentChar"/>
    <w:uiPriority w:val="99"/>
    <w:semiHidden/>
    <w:unhideWhenUsed/>
    <w:rsid w:val="00393F51"/>
    <w:pPr>
      <w:spacing w:after="120"/>
      <w:ind w:left="283"/>
    </w:pPr>
  </w:style>
  <w:style w:type="character" w:customStyle="1" w:styleId="BodyTextIndentChar">
    <w:name w:val="Body Text Indent Char"/>
    <w:link w:val="BodyTextIndent"/>
    <w:uiPriority w:val="99"/>
    <w:semiHidden/>
    <w:rsid w:val="00393F51"/>
    <w:rPr>
      <w:rFonts w:ascii="Arial" w:eastAsia="MS Mincho" w:hAnsi="Arial" w:cs="Arial"/>
      <w:sz w:val="20"/>
      <w:szCs w:val="24"/>
      <w:lang w:val="en-AU"/>
    </w:rPr>
  </w:style>
  <w:style w:type="character" w:styleId="BookTitle">
    <w:name w:val="Book Title"/>
    <w:uiPriority w:val="33"/>
    <w:qFormat/>
    <w:rsid w:val="00393F51"/>
    <w:rPr>
      <w:rFonts w:ascii="Arial" w:hAnsi="Arial"/>
      <w:b/>
      <w:bCs/>
      <w:i/>
      <w:iCs/>
      <w:spacing w:val="5"/>
    </w:rPr>
  </w:style>
  <w:style w:type="paragraph" w:customStyle="1" w:styleId="Bullet">
    <w:name w:val="Bullet"/>
    <w:basedOn w:val="Normal"/>
    <w:qFormat/>
    <w:rsid w:val="00393F51"/>
    <w:pPr>
      <w:numPr>
        <w:numId w:val="28"/>
      </w:numPr>
      <w:spacing w:after="120"/>
    </w:pPr>
  </w:style>
  <w:style w:type="paragraph" w:customStyle="1" w:styleId="Bullet2">
    <w:name w:val="Bullet 2"/>
    <w:basedOn w:val="Bullet"/>
    <w:qFormat/>
    <w:rsid w:val="00393F51"/>
    <w:pPr>
      <w:numPr>
        <w:numId w:val="27"/>
      </w:numPr>
    </w:pPr>
  </w:style>
  <w:style w:type="paragraph" w:customStyle="1" w:styleId="Bulletlast">
    <w:name w:val="Bullet last"/>
    <w:basedOn w:val="Bullet"/>
    <w:qFormat/>
    <w:rsid w:val="00393F51"/>
    <w:pPr>
      <w:spacing w:after="200"/>
    </w:pPr>
  </w:style>
  <w:style w:type="paragraph" w:customStyle="1" w:styleId="Default">
    <w:name w:val="Default"/>
    <w:rsid w:val="00393F51"/>
    <w:pPr>
      <w:widowControl/>
      <w:adjustRightInd w:val="0"/>
    </w:pPr>
    <w:rPr>
      <w:rFonts w:ascii="Arial" w:hAnsi="Arial" w:cs="Arial"/>
      <w:color w:val="000000"/>
      <w:sz w:val="24"/>
      <w:szCs w:val="24"/>
      <w:lang w:val="en-AU"/>
    </w:rPr>
  </w:style>
  <w:style w:type="character" w:styleId="Emphasis">
    <w:name w:val="Emphasis"/>
    <w:uiPriority w:val="20"/>
    <w:qFormat/>
    <w:rsid w:val="00393F51"/>
    <w:rPr>
      <w:rFonts w:ascii="Arial" w:hAnsi="Arial"/>
      <w:i/>
      <w:iCs/>
    </w:rPr>
  </w:style>
  <w:style w:type="character" w:styleId="FollowedHyperlink">
    <w:name w:val="FollowedHyperlink"/>
    <w:uiPriority w:val="99"/>
    <w:semiHidden/>
    <w:unhideWhenUsed/>
    <w:rsid w:val="00393F51"/>
    <w:rPr>
      <w:color w:val="800080"/>
      <w:u w:val="single"/>
    </w:rPr>
  </w:style>
  <w:style w:type="character" w:styleId="FootnoteReference">
    <w:name w:val="footnote reference"/>
    <w:uiPriority w:val="99"/>
    <w:unhideWhenUsed/>
    <w:rsid w:val="00393F51"/>
    <w:rPr>
      <w:rFonts w:ascii="Arial" w:hAnsi="Arial"/>
      <w:vertAlign w:val="superscript"/>
    </w:rPr>
  </w:style>
  <w:style w:type="paragraph" w:styleId="FootnoteText">
    <w:name w:val="footnote text"/>
    <w:basedOn w:val="Normal"/>
    <w:link w:val="FootnoteTextChar"/>
    <w:uiPriority w:val="99"/>
    <w:unhideWhenUsed/>
    <w:rsid w:val="00393F51"/>
    <w:rPr>
      <w:sz w:val="16"/>
    </w:rPr>
  </w:style>
  <w:style w:type="character" w:customStyle="1" w:styleId="FootnoteTextChar">
    <w:name w:val="Footnote Text Char"/>
    <w:link w:val="FootnoteText"/>
    <w:uiPriority w:val="99"/>
    <w:rsid w:val="00393F51"/>
    <w:rPr>
      <w:rFonts w:ascii="Arial" w:eastAsia="MS Mincho" w:hAnsi="Arial" w:cs="Arial"/>
      <w:sz w:val="16"/>
      <w:szCs w:val="24"/>
      <w:lang w:val="en-AU"/>
    </w:rPr>
  </w:style>
  <w:style w:type="character" w:customStyle="1" w:styleId="Heading1Char">
    <w:name w:val="Heading 1 Char"/>
    <w:link w:val="Heading1"/>
    <w:uiPriority w:val="9"/>
    <w:rsid w:val="004842E9"/>
    <w:rPr>
      <w:rFonts w:ascii="Arial" w:eastAsia="MS Gothic" w:hAnsi="Arial" w:cs="Times New Roman"/>
      <w:b/>
      <w:bCs/>
      <w:sz w:val="36"/>
      <w:szCs w:val="32"/>
      <w:lang w:val="en-AU"/>
    </w:rPr>
  </w:style>
  <w:style w:type="character" w:customStyle="1" w:styleId="Heading2Char">
    <w:name w:val="Heading 2 Char"/>
    <w:link w:val="Heading2"/>
    <w:uiPriority w:val="9"/>
    <w:rsid w:val="00393F51"/>
    <w:rPr>
      <w:rFonts w:ascii="Arial" w:eastAsia="MS Gothic" w:hAnsi="Arial" w:cs="Times New Roman"/>
      <w:b/>
      <w:bCs/>
      <w:sz w:val="32"/>
      <w:szCs w:val="26"/>
      <w:lang w:val="en-AU"/>
    </w:rPr>
  </w:style>
  <w:style w:type="paragraph" w:customStyle="1" w:styleId="Heading2numbered">
    <w:name w:val="Heading 2 numbered"/>
    <w:basedOn w:val="Heading2"/>
    <w:qFormat/>
    <w:rsid w:val="00393F51"/>
    <w:pPr>
      <w:numPr>
        <w:ilvl w:val="1"/>
        <w:numId w:val="29"/>
      </w:numPr>
    </w:pPr>
  </w:style>
  <w:style w:type="character" w:customStyle="1" w:styleId="Heading3Char">
    <w:name w:val="Heading 3 Char"/>
    <w:link w:val="Heading3"/>
    <w:uiPriority w:val="9"/>
    <w:rsid w:val="00393F51"/>
    <w:rPr>
      <w:rFonts w:ascii="Arial" w:eastAsia="MS Gothic" w:hAnsi="Arial" w:cs="Arial"/>
      <w:b/>
      <w:bCs/>
      <w:sz w:val="28"/>
      <w:szCs w:val="24"/>
      <w:lang w:val="en-AU"/>
    </w:rPr>
  </w:style>
  <w:style w:type="character" w:customStyle="1" w:styleId="Heading4Char">
    <w:name w:val="Heading 4 Char"/>
    <w:link w:val="Heading4"/>
    <w:uiPriority w:val="9"/>
    <w:rsid w:val="00393F51"/>
    <w:rPr>
      <w:rFonts w:ascii="Arial" w:eastAsia="MS Gothic" w:hAnsi="Arial" w:cs="Arial"/>
      <w:b/>
      <w:bCs/>
      <w:iCs/>
      <w:sz w:val="24"/>
      <w:szCs w:val="24"/>
      <w:lang w:val="en-AU"/>
    </w:rPr>
  </w:style>
  <w:style w:type="character" w:customStyle="1" w:styleId="Heading5Char">
    <w:name w:val="Heading 5 Char"/>
    <w:link w:val="Heading5"/>
    <w:uiPriority w:val="9"/>
    <w:rsid w:val="00393F51"/>
    <w:rPr>
      <w:rFonts w:ascii="Arial" w:eastAsia="MS Mincho" w:hAnsi="Arial" w:cs="Times New Roman"/>
      <w:b/>
      <w:bCs/>
      <w:iCs/>
      <w:szCs w:val="26"/>
      <w:lang w:val="en-AU"/>
    </w:rPr>
  </w:style>
  <w:style w:type="character" w:customStyle="1" w:styleId="Heading6Char">
    <w:name w:val="Heading 6 Char"/>
    <w:link w:val="Heading6"/>
    <w:uiPriority w:val="9"/>
    <w:rsid w:val="00393F51"/>
    <w:rPr>
      <w:rFonts w:ascii="Arial" w:eastAsia="Times New Roman" w:hAnsi="Arial" w:cs="Times New Roman"/>
      <w:b/>
      <w:bCs/>
      <w:sz w:val="18"/>
      <w:lang w:val="en-AU"/>
    </w:rPr>
  </w:style>
  <w:style w:type="character" w:styleId="Hyperlink">
    <w:name w:val="Hyperlink"/>
    <w:uiPriority w:val="99"/>
    <w:unhideWhenUsed/>
    <w:rsid w:val="00393F51"/>
    <w:rPr>
      <w:rFonts w:ascii="Arial" w:hAnsi="Arial"/>
      <w:color w:val="0000FF"/>
      <w:u w:val="single"/>
    </w:rPr>
  </w:style>
  <w:style w:type="character" w:styleId="IntenseEmphasis">
    <w:name w:val="Intense Emphasis"/>
    <w:uiPriority w:val="21"/>
    <w:qFormat/>
    <w:rsid w:val="00393F51"/>
    <w:rPr>
      <w:rFonts w:ascii="Arial" w:hAnsi="Arial"/>
      <w:i/>
      <w:iCs/>
      <w:color w:val="5B9BD5"/>
    </w:rPr>
  </w:style>
  <w:style w:type="character" w:styleId="IntenseReference">
    <w:name w:val="Intense Reference"/>
    <w:uiPriority w:val="32"/>
    <w:qFormat/>
    <w:rsid w:val="00393F51"/>
    <w:rPr>
      <w:rFonts w:ascii="Arial" w:hAnsi="Arial"/>
      <w:b/>
      <w:bCs/>
      <w:smallCaps/>
      <w:color w:val="5B9BD5"/>
      <w:spacing w:val="5"/>
    </w:rPr>
  </w:style>
  <w:style w:type="paragraph" w:styleId="NormalWeb">
    <w:name w:val="Normal (Web)"/>
    <w:basedOn w:val="Normal"/>
    <w:uiPriority w:val="99"/>
    <w:semiHidden/>
    <w:unhideWhenUsed/>
    <w:rsid w:val="00393F51"/>
    <w:pPr>
      <w:spacing w:before="100" w:beforeAutospacing="1" w:after="100" w:afterAutospacing="1"/>
    </w:pPr>
    <w:rPr>
      <w:rFonts w:ascii="Times New Roman" w:eastAsia="Times New Roman" w:hAnsi="Times New Roman" w:cs="Times New Roman"/>
      <w:lang w:eastAsia="en-GB"/>
    </w:rPr>
  </w:style>
  <w:style w:type="character" w:styleId="PageNumber">
    <w:name w:val="page number"/>
    <w:uiPriority w:val="99"/>
    <w:semiHidden/>
    <w:unhideWhenUsed/>
    <w:rsid w:val="00393F51"/>
  </w:style>
  <w:style w:type="character" w:styleId="Strong">
    <w:name w:val="Strong"/>
    <w:uiPriority w:val="22"/>
    <w:qFormat/>
    <w:rsid w:val="00393F51"/>
    <w:rPr>
      <w:rFonts w:ascii="Arial" w:hAnsi="Arial"/>
      <w:b/>
      <w:bCs/>
    </w:rPr>
  </w:style>
  <w:style w:type="paragraph" w:styleId="Subtitle">
    <w:name w:val="Subtitle"/>
    <w:basedOn w:val="Normal"/>
    <w:next w:val="Normal"/>
    <w:link w:val="SubtitleChar"/>
    <w:uiPriority w:val="11"/>
    <w:qFormat/>
    <w:rsid w:val="00D76A3A"/>
    <w:pPr>
      <w:spacing w:after="240"/>
      <w:outlineLvl w:val="1"/>
    </w:pPr>
    <w:rPr>
      <w:rFonts w:eastAsia="Times New Roman" w:cs="Times New Roman"/>
      <w:sz w:val="28"/>
      <w:szCs w:val="36"/>
    </w:rPr>
  </w:style>
  <w:style w:type="character" w:customStyle="1" w:styleId="SubtitleChar">
    <w:name w:val="Subtitle Char"/>
    <w:link w:val="Subtitle"/>
    <w:uiPriority w:val="11"/>
    <w:rsid w:val="00D76A3A"/>
    <w:rPr>
      <w:rFonts w:ascii="Arial" w:eastAsia="Times New Roman" w:hAnsi="Arial" w:cs="Times New Roman"/>
      <w:sz w:val="28"/>
      <w:szCs w:val="36"/>
      <w:lang w:val="en-AU"/>
    </w:rPr>
  </w:style>
  <w:style w:type="character" w:styleId="SubtleEmphasis">
    <w:name w:val="Subtle Emphasis"/>
    <w:uiPriority w:val="19"/>
    <w:qFormat/>
    <w:rsid w:val="00393F51"/>
    <w:rPr>
      <w:rFonts w:ascii="Arial" w:hAnsi="Arial"/>
      <w:i/>
      <w:iCs/>
      <w:color w:val="404040"/>
    </w:rPr>
  </w:style>
  <w:style w:type="character" w:styleId="SubtleReference">
    <w:name w:val="Subtle Reference"/>
    <w:uiPriority w:val="31"/>
    <w:qFormat/>
    <w:rsid w:val="00393F51"/>
    <w:rPr>
      <w:rFonts w:ascii="Arial" w:hAnsi="Arial"/>
      <w:smallCaps/>
      <w:color w:val="5A5A5A"/>
    </w:rPr>
  </w:style>
  <w:style w:type="paragraph" w:customStyle="1" w:styleId="TableCopy">
    <w:name w:val="Table Copy"/>
    <w:basedOn w:val="Normal"/>
    <w:qFormat/>
    <w:rsid w:val="00393F51"/>
  </w:style>
  <w:style w:type="paragraph" w:customStyle="1" w:styleId="TableBullet">
    <w:name w:val="Table Bullet"/>
    <w:basedOn w:val="TableCopy"/>
    <w:qFormat/>
    <w:rsid w:val="00336DE4"/>
    <w:pPr>
      <w:numPr>
        <w:numId w:val="32"/>
      </w:numPr>
      <w:spacing w:before="60" w:after="60" w:line="220" w:lineRule="atLeast"/>
    </w:pPr>
    <w:rPr>
      <w:szCs w:val="22"/>
    </w:rPr>
  </w:style>
  <w:style w:type="table" w:styleId="TableGrid">
    <w:name w:val="Table Grid"/>
    <w:basedOn w:val="TableNormal"/>
    <w:uiPriority w:val="39"/>
    <w:rsid w:val="00393F51"/>
    <w:pPr>
      <w:widowControl/>
      <w:autoSpaceDE/>
      <w:autoSpaceDN/>
    </w:pPr>
    <w:rPr>
      <w:rFonts w:ascii="Cambria" w:eastAsia="MS Mincho" w:hAnsi="Cambri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styleId="TableGridLight">
    <w:name w:val="Grid Table Light"/>
    <w:basedOn w:val="TableNormal"/>
    <w:uiPriority w:val="40"/>
    <w:rsid w:val="00393F51"/>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style>
  <w:style w:type="paragraph" w:customStyle="1" w:styleId="TableHeading">
    <w:name w:val="Table Heading"/>
    <w:basedOn w:val="Normal"/>
    <w:qFormat/>
    <w:rsid w:val="00393F51"/>
    <w:pPr>
      <w:keepNext/>
      <w:spacing w:before="40" w:after="40" w:line="220" w:lineRule="atLeast"/>
    </w:pPr>
    <w:rPr>
      <w:b/>
      <w:lang w:eastAsia="en-GB"/>
    </w:rPr>
  </w:style>
  <w:style w:type="character" w:customStyle="1" w:styleId="TitleChar">
    <w:name w:val="Title Char"/>
    <w:link w:val="Title"/>
    <w:uiPriority w:val="10"/>
    <w:rsid w:val="00D76A3A"/>
    <w:rPr>
      <w:rFonts w:ascii="Arial" w:eastAsia="MS Gothic" w:hAnsi="Arial" w:cs="Arial"/>
      <w:b/>
      <w:spacing w:val="5"/>
      <w:kern w:val="28"/>
      <w:sz w:val="52"/>
      <w:szCs w:val="52"/>
      <w:lang w:val="en-AU"/>
    </w:rPr>
  </w:style>
  <w:style w:type="paragraph" w:styleId="TOC1">
    <w:name w:val="toc 1"/>
    <w:basedOn w:val="Normal"/>
    <w:next w:val="Normal"/>
    <w:autoRedefine/>
    <w:uiPriority w:val="39"/>
    <w:unhideWhenUsed/>
    <w:rsid w:val="00486FAF"/>
    <w:pPr>
      <w:spacing w:before="120" w:after="0"/>
    </w:pPr>
    <w:rPr>
      <w:rFonts w:asciiTheme="minorHAnsi" w:hAnsiTheme="minorHAnsi" w:cstheme="minorHAnsi"/>
      <w:b/>
      <w:bCs/>
      <w:i/>
      <w:iCs/>
      <w:szCs w:val="24"/>
    </w:rPr>
  </w:style>
  <w:style w:type="paragraph" w:styleId="TOC2">
    <w:name w:val="toc 2"/>
    <w:basedOn w:val="Normal"/>
    <w:next w:val="Normal"/>
    <w:autoRedefine/>
    <w:uiPriority w:val="39"/>
    <w:unhideWhenUsed/>
    <w:rsid w:val="00393F51"/>
    <w:pPr>
      <w:spacing w:before="120" w:after="0"/>
      <w:ind w:left="240"/>
    </w:pPr>
    <w:rPr>
      <w:rFonts w:asciiTheme="minorHAnsi" w:hAnsiTheme="minorHAnsi" w:cstheme="minorHAnsi"/>
      <w:b/>
      <w:bCs/>
      <w:sz w:val="22"/>
      <w:szCs w:val="22"/>
    </w:rPr>
  </w:style>
  <w:style w:type="paragraph" w:styleId="TOC4">
    <w:name w:val="toc 4"/>
    <w:basedOn w:val="Normal"/>
    <w:next w:val="Normal"/>
    <w:autoRedefine/>
    <w:uiPriority w:val="39"/>
    <w:unhideWhenUsed/>
    <w:rsid w:val="00393F51"/>
    <w:pPr>
      <w:spacing w:after="0"/>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93F51"/>
    <w:pPr>
      <w:spacing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93F51"/>
    <w:pPr>
      <w:spacing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93F51"/>
    <w:pPr>
      <w:spacing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93F51"/>
    <w:pPr>
      <w:spacing w:after="0"/>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93F51"/>
    <w:pPr>
      <w:spacing w:after="0"/>
      <w:ind w:left="1920"/>
    </w:pPr>
    <w:rPr>
      <w:rFonts w:asciiTheme="minorHAnsi" w:hAnsiTheme="minorHAnsi" w:cstheme="minorHAnsi"/>
      <w:sz w:val="20"/>
      <w:szCs w:val="20"/>
    </w:rPr>
  </w:style>
  <w:style w:type="paragraph" w:styleId="TOCHeading">
    <w:name w:val="TOC Heading"/>
    <w:basedOn w:val="Heading1"/>
    <w:next w:val="Normal"/>
    <w:uiPriority w:val="39"/>
    <w:unhideWhenUsed/>
    <w:qFormat/>
    <w:rsid w:val="00ED0E56"/>
    <w:pPr>
      <w:spacing w:after="0" w:line="276" w:lineRule="auto"/>
      <w:outlineLvl w:val="9"/>
    </w:pPr>
    <w:rPr>
      <w:sz w:val="28"/>
      <w:szCs w:val="28"/>
    </w:rPr>
  </w:style>
  <w:style w:type="character" w:styleId="UnresolvedMention">
    <w:name w:val="Unresolved Mention"/>
    <w:basedOn w:val="DefaultParagraphFont"/>
    <w:uiPriority w:val="99"/>
    <w:rsid w:val="00386CD8"/>
    <w:rPr>
      <w:color w:val="605E5C"/>
      <w:shd w:val="clear" w:color="auto" w:fill="E1DFDD"/>
    </w:rPr>
  </w:style>
  <w:style w:type="paragraph" w:customStyle="1" w:styleId="Heading1numbered">
    <w:name w:val="Heading 1 numbered"/>
    <w:basedOn w:val="Heading2numbered"/>
    <w:qFormat/>
    <w:rsid w:val="00B5005A"/>
    <w:pPr>
      <w:numPr>
        <w:ilvl w:val="0"/>
      </w:numPr>
    </w:pPr>
    <w:rPr>
      <w:sz w:val="36"/>
      <w:szCs w:val="36"/>
    </w:rPr>
  </w:style>
  <w:style w:type="paragraph" w:customStyle="1" w:styleId="Openingpara">
    <w:name w:val="Opening para"/>
    <w:basedOn w:val="Normal"/>
    <w:uiPriority w:val="99"/>
    <w:rsid w:val="000018DF"/>
    <w:pPr>
      <w:tabs>
        <w:tab w:val="left" w:pos="340"/>
      </w:tabs>
      <w:suppressAutoHyphens/>
      <w:autoSpaceDE w:val="0"/>
      <w:autoSpaceDN w:val="0"/>
      <w:adjustRightInd w:val="0"/>
      <w:spacing w:after="170" w:line="360" w:lineRule="atLeast"/>
      <w:textAlignment w:val="center"/>
    </w:pPr>
    <w:rPr>
      <w:rFonts w:ascii="VIC Light" w:eastAsiaTheme="minorHAnsi" w:hAnsi="VIC Light" w:cstheme="minorBidi"/>
      <w:color w:val="333740"/>
      <w:sz w:val="30"/>
      <w:szCs w:val="30"/>
      <w:lang w:val="en-US"/>
    </w:rPr>
  </w:style>
  <w:style w:type="paragraph" w:customStyle="1" w:styleId="Body0">
    <w:name w:val="Body"/>
    <w:basedOn w:val="Normal"/>
    <w:uiPriority w:val="99"/>
    <w:rsid w:val="000018DF"/>
    <w:pPr>
      <w:tabs>
        <w:tab w:val="left" w:pos="340"/>
      </w:tabs>
      <w:suppressAutoHyphens/>
      <w:autoSpaceDE w:val="0"/>
      <w:autoSpaceDN w:val="0"/>
      <w:adjustRightInd w:val="0"/>
      <w:spacing w:after="170"/>
      <w:textAlignment w:val="center"/>
    </w:pPr>
    <w:rPr>
      <w:rFonts w:ascii="VIC Light" w:eastAsiaTheme="minorHAnsi" w:hAnsi="VIC Light" w:cstheme="minorBidi"/>
      <w:color w:val="000000"/>
      <w:sz w:val="18"/>
      <w:szCs w:val="18"/>
      <w:lang w:val="en-US"/>
    </w:rPr>
  </w:style>
  <w:style w:type="paragraph" w:customStyle="1" w:styleId="Tablenumbered">
    <w:name w:val="Table numbered"/>
    <w:basedOn w:val="TableBullet"/>
    <w:qFormat/>
    <w:rsid w:val="0094262E"/>
    <w:pPr>
      <w:numPr>
        <w:numId w:val="45"/>
      </w:numPr>
    </w:pPr>
  </w:style>
  <w:style w:type="paragraph" w:customStyle="1" w:styleId="NoParagraphStyle">
    <w:name w:val="[No Paragraph Style]"/>
    <w:rsid w:val="000A7F3F"/>
    <w:pPr>
      <w:widowControl/>
      <w:adjustRightInd w:val="0"/>
      <w:spacing w:line="288" w:lineRule="auto"/>
      <w:textAlignment w:val="center"/>
    </w:pPr>
    <w:rPr>
      <w:rFonts w:ascii="VIC Light" w:hAnsi="VIC Light"/>
      <w:color w:val="000000"/>
      <w:sz w:val="24"/>
      <w:szCs w:val="24"/>
    </w:rPr>
  </w:style>
  <w:style w:type="table" w:styleId="PlainTable2">
    <w:name w:val="Plain Table 2"/>
    <w:basedOn w:val="TableNormal"/>
    <w:uiPriority w:val="42"/>
    <w:rsid w:val="00CE1C73"/>
    <w:tblPr>
      <w:tblStyleRowBandSize w:val="1"/>
      <w:tblStyleColBandSize w:val="1"/>
      <w:tblBorders>
        <w:top w:val="single" w:sz="4" w:space="0" w:color="755CCF" w:themeColor="text1" w:themeTint="80"/>
        <w:bottom w:val="single" w:sz="4" w:space="0" w:color="755CCF" w:themeColor="text1" w:themeTint="80"/>
      </w:tblBorders>
    </w:tblPr>
    <w:tblStylePr w:type="firstRow">
      <w:rPr>
        <w:b/>
        <w:bCs/>
      </w:rPr>
      <w:tblPr/>
      <w:tcPr>
        <w:tcBorders>
          <w:bottom w:val="single" w:sz="4" w:space="0" w:color="755CCF" w:themeColor="text1" w:themeTint="80"/>
        </w:tcBorders>
      </w:tcPr>
    </w:tblStylePr>
    <w:tblStylePr w:type="lastRow">
      <w:rPr>
        <w:b/>
        <w:bCs/>
      </w:rPr>
      <w:tblPr/>
      <w:tcPr>
        <w:tcBorders>
          <w:top w:val="single" w:sz="4" w:space="0" w:color="755CCF" w:themeColor="text1" w:themeTint="80"/>
        </w:tcBorders>
      </w:tcPr>
    </w:tblStylePr>
    <w:tblStylePr w:type="firstCol">
      <w:rPr>
        <w:b/>
        <w:bCs/>
      </w:rPr>
    </w:tblStylePr>
    <w:tblStylePr w:type="lastCol">
      <w:rPr>
        <w:b/>
        <w:bCs/>
      </w:rPr>
    </w:tblStylePr>
    <w:tblStylePr w:type="band1Vert">
      <w:tblPr/>
      <w:tcPr>
        <w:tcBorders>
          <w:left w:val="single" w:sz="4" w:space="0" w:color="755CCF" w:themeColor="text1" w:themeTint="80"/>
          <w:right w:val="single" w:sz="4" w:space="0" w:color="755CCF" w:themeColor="text1" w:themeTint="80"/>
        </w:tcBorders>
      </w:tcPr>
    </w:tblStylePr>
    <w:tblStylePr w:type="band2Vert">
      <w:tblPr/>
      <w:tcPr>
        <w:tcBorders>
          <w:left w:val="single" w:sz="4" w:space="0" w:color="755CCF" w:themeColor="text1" w:themeTint="80"/>
          <w:right w:val="single" w:sz="4" w:space="0" w:color="755CCF" w:themeColor="text1" w:themeTint="80"/>
        </w:tcBorders>
      </w:tcPr>
    </w:tblStylePr>
    <w:tblStylePr w:type="band1Horz">
      <w:tblPr/>
      <w:tcPr>
        <w:tcBorders>
          <w:top w:val="single" w:sz="4" w:space="0" w:color="755CCF" w:themeColor="text1" w:themeTint="80"/>
          <w:bottom w:val="single" w:sz="4" w:space="0" w:color="755CCF" w:themeColor="text1" w:themeTint="80"/>
        </w:tcBorders>
      </w:tcPr>
    </w:tblStylePr>
  </w:style>
  <w:style w:type="character" w:customStyle="1" w:styleId="Heading7Char">
    <w:name w:val="Heading 7 Char"/>
    <w:basedOn w:val="DefaultParagraphFont"/>
    <w:link w:val="Heading7"/>
    <w:uiPriority w:val="9"/>
    <w:semiHidden/>
    <w:rsid w:val="00BC3E97"/>
    <w:rPr>
      <w:rFonts w:asciiTheme="majorHAnsi" w:eastAsiaTheme="majorEastAsia" w:hAnsiTheme="majorHAnsi" w:cstheme="majorBidi"/>
      <w:i/>
      <w:iCs/>
      <w:color w:val="442D97" w:themeColor="text1" w:themeTint="BF"/>
      <w:sz w:val="21"/>
      <w:lang w:val="en-AU" w:eastAsia="en-AU"/>
    </w:rPr>
  </w:style>
  <w:style w:type="character" w:customStyle="1" w:styleId="Heading8Char">
    <w:name w:val="Heading 8 Char"/>
    <w:basedOn w:val="DefaultParagraphFont"/>
    <w:link w:val="Heading8"/>
    <w:uiPriority w:val="9"/>
    <w:semiHidden/>
    <w:rsid w:val="00BC3E97"/>
    <w:rPr>
      <w:rFonts w:asciiTheme="majorHAnsi" w:eastAsiaTheme="majorEastAsia" w:hAnsiTheme="majorHAnsi" w:cstheme="majorBidi"/>
      <w:color w:val="007B4B" w:themeColor="accent1"/>
      <w:sz w:val="20"/>
      <w:szCs w:val="20"/>
      <w:lang w:val="en-AU" w:eastAsia="en-AU"/>
    </w:rPr>
  </w:style>
  <w:style w:type="character" w:customStyle="1" w:styleId="Heading9Char">
    <w:name w:val="Heading 9 Char"/>
    <w:basedOn w:val="DefaultParagraphFont"/>
    <w:link w:val="Heading9"/>
    <w:uiPriority w:val="9"/>
    <w:semiHidden/>
    <w:rsid w:val="00BC3E97"/>
    <w:rPr>
      <w:rFonts w:asciiTheme="majorHAnsi" w:eastAsiaTheme="majorEastAsia" w:hAnsiTheme="majorHAnsi" w:cstheme="majorBidi"/>
      <w:i/>
      <w:iCs/>
      <w:color w:val="442D97" w:themeColor="text1" w:themeTint="BF"/>
      <w:sz w:val="20"/>
      <w:szCs w:val="20"/>
      <w:lang w:val="en-AU" w:eastAsia="en-AU"/>
    </w:rPr>
  </w:style>
  <w:style w:type="paragraph" w:styleId="NoSpacing">
    <w:name w:val="No Spacing"/>
    <w:uiPriority w:val="1"/>
    <w:qFormat/>
    <w:rsid w:val="00BC3E97"/>
    <w:pPr>
      <w:widowControl/>
      <w:autoSpaceDE/>
      <w:autoSpaceDN/>
    </w:pPr>
    <w:rPr>
      <w:rFonts w:eastAsiaTheme="minorEastAsia"/>
    </w:rPr>
  </w:style>
  <w:style w:type="paragraph" w:styleId="BodyText2">
    <w:name w:val="Body Text 2"/>
    <w:basedOn w:val="Normal"/>
    <w:link w:val="BodyText2Char"/>
    <w:uiPriority w:val="99"/>
    <w:unhideWhenUsed/>
    <w:rsid w:val="00BC3E97"/>
    <w:pPr>
      <w:spacing w:after="120" w:line="480" w:lineRule="auto"/>
    </w:pPr>
    <w:rPr>
      <w:rFonts w:eastAsia="Arial" w:cstheme="minorBidi"/>
      <w:sz w:val="21"/>
      <w:szCs w:val="22"/>
      <w:lang w:eastAsia="en-AU"/>
    </w:rPr>
  </w:style>
  <w:style w:type="character" w:customStyle="1" w:styleId="BodyText2Char">
    <w:name w:val="Body Text 2 Char"/>
    <w:basedOn w:val="DefaultParagraphFont"/>
    <w:link w:val="BodyText2"/>
    <w:uiPriority w:val="99"/>
    <w:rsid w:val="00BC3E97"/>
    <w:rPr>
      <w:rFonts w:ascii="Arial" w:eastAsia="Arial" w:hAnsi="Arial"/>
      <w:sz w:val="21"/>
      <w:lang w:val="en-AU" w:eastAsia="en-AU"/>
    </w:rPr>
  </w:style>
  <w:style w:type="paragraph" w:styleId="BodyText3">
    <w:name w:val="Body Text 3"/>
    <w:basedOn w:val="Normal"/>
    <w:link w:val="BodyText3Char"/>
    <w:uiPriority w:val="99"/>
    <w:unhideWhenUsed/>
    <w:rsid w:val="00BC3E97"/>
    <w:pPr>
      <w:spacing w:after="120" w:line="269" w:lineRule="auto"/>
    </w:pPr>
    <w:rPr>
      <w:rFonts w:eastAsia="Arial" w:cstheme="minorBidi"/>
      <w:sz w:val="16"/>
      <w:szCs w:val="16"/>
      <w:lang w:eastAsia="en-AU"/>
    </w:rPr>
  </w:style>
  <w:style w:type="character" w:customStyle="1" w:styleId="BodyText3Char">
    <w:name w:val="Body Text 3 Char"/>
    <w:basedOn w:val="DefaultParagraphFont"/>
    <w:link w:val="BodyText3"/>
    <w:uiPriority w:val="99"/>
    <w:rsid w:val="00BC3E97"/>
    <w:rPr>
      <w:rFonts w:ascii="Arial" w:eastAsia="Arial" w:hAnsi="Arial"/>
      <w:sz w:val="16"/>
      <w:szCs w:val="16"/>
      <w:lang w:val="en-AU" w:eastAsia="en-AU"/>
    </w:rPr>
  </w:style>
  <w:style w:type="paragraph" w:styleId="List">
    <w:name w:val="List"/>
    <w:basedOn w:val="Normal"/>
    <w:uiPriority w:val="99"/>
    <w:unhideWhenUsed/>
    <w:rsid w:val="00BC3E97"/>
    <w:pPr>
      <w:spacing w:after="120" w:line="269" w:lineRule="auto"/>
      <w:ind w:left="360" w:hanging="360"/>
      <w:contextualSpacing/>
    </w:pPr>
    <w:rPr>
      <w:rFonts w:eastAsia="Arial" w:cstheme="minorBidi"/>
      <w:sz w:val="21"/>
      <w:szCs w:val="22"/>
      <w:lang w:eastAsia="en-AU"/>
    </w:rPr>
  </w:style>
  <w:style w:type="paragraph" w:styleId="List2">
    <w:name w:val="List 2"/>
    <w:basedOn w:val="Normal"/>
    <w:uiPriority w:val="99"/>
    <w:unhideWhenUsed/>
    <w:rsid w:val="00BC3E97"/>
    <w:pPr>
      <w:spacing w:after="120" w:line="269" w:lineRule="auto"/>
      <w:ind w:left="720" w:hanging="360"/>
      <w:contextualSpacing/>
    </w:pPr>
    <w:rPr>
      <w:rFonts w:eastAsia="Arial" w:cstheme="minorBidi"/>
      <w:sz w:val="21"/>
      <w:szCs w:val="22"/>
      <w:lang w:eastAsia="en-AU"/>
    </w:rPr>
  </w:style>
  <w:style w:type="paragraph" w:styleId="List3">
    <w:name w:val="List 3"/>
    <w:basedOn w:val="Normal"/>
    <w:uiPriority w:val="99"/>
    <w:unhideWhenUsed/>
    <w:rsid w:val="00BC3E97"/>
    <w:pPr>
      <w:spacing w:after="120" w:line="269" w:lineRule="auto"/>
      <w:ind w:left="1080" w:hanging="360"/>
      <w:contextualSpacing/>
    </w:pPr>
    <w:rPr>
      <w:rFonts w:eastAsia="Arial" w:cstheme="minorBidi"/>
      <w:sz w:val="21"/>
      <w:szCs w:val="22"/>
      <w:lang w:eastAsia="en-AU"/>
    </w:rPr>
  </w:style>
  <w:style w:type="paragraph" w:styleId="ListBullet">
    <w:name w:val="List Bullet"/>
    <w:basedOn w:val="Normal"/>
    <w:uiPriority w:val="99"/>
    <w:unhideWhenUsed/>
    <w:rsid w:val="00BC3E97"/>
    <w:pPr>
      <w:numPr>
        <w:numId w:val="46"/>
      </w:numPr>
      <w:tabs>
        <w:tab w:val="clear" w:pos="360"/>
      </w:tabs>
      <w:spacing w:after="120" w:line="269" w:lineRule="auto"/>
      <w:ind w:left="0" w:firstLine="0"/>
      <w:contextualSpacing/>
    </w:pPr>
    <w:rPr>
      <w:rFonts w:eastAsia="Arial" w:cstheme="minorBidi"/>
      <w:sz w:val="21"/>
      <w:szCs w:val="22"/>
      <w:lang w:eastAsia="en-AU"/>
    </w:rPr>
  </w:style>
  <w:style w:type="paragraph" w:styleId="ListBullet2">
    <w:name w:val="List Bullet 2"/>
    <w:basedOn w:val="Normal"/>
    <w:uiPriority w:val="99"/>
    <w:unhideWhenUsed/>
    <w:rsid w:val="00BC3E97"/>
    <w:pPr>
      <w:numPr>
        <w:numId w:val="47"/>
      </w:numPr>
      <w:tabs>
        <w:tab w:val="clear" w:pos="720"/>
      </w:tabs>
      <w:spacing w:after="120" w:line="269" w:lineRule="auto"/>
      <w:ind w:left="0" w:firstLine="0"/>
      <w:contextualSpacing/>
    </w:pPr>
    <w:rPr>
      <w:rFonts w:eastAsia="Arial" w:cstheme="minorBidi"/>
      <w:sz w:val="21"/>
      <w:szCs w:val="22"/>
      <w:lang w:eastAsia="en-AU"/>
    </w:rPr>
  </w:style>
  <w:style w:type="paragraph" w:styleId="ListBullet3">
    <w:name w:val="List Bullet 3"/>
    <w:basedOn w:val="Normal"/>
    <w:uiPriority w:val="99"/>
    <w:unhideWhenUsed/>
    <w:rsid w:val="00BC3E97"/>
    <w:pPr>
      <w:numPr>
        <w:numId w:val="48"/>
      </w:numPr>
      <w:tabs>
        <w:tab w:val="clear" w:pos="1080"/>
      </w:tabs>
      <w:spacing w:after="120" w:line="269" w:lineRule="auto"/>
      <w:ind w:left="0" w:firstLine="0"/>
      <w:contextualSpacing/>
    </w:pPr>
    <w:rPr>
      <w:rFonts w:eastAsia="Arial" w:cstheme="minorBidi"/>
      <w:sz w:val="21"/>
      <w:szCs w:val="22"/>
      <w:lang w:eastAsia="en-AU"/>
    </w:rPr>
  </w:style>
  <w:style w:type="paragraph" w:styleId="ListNumber">
    <w:name w:val="List Number"/>
    <w:basedOn w:val="Normal"/>
    <w:uiPriority w:val="99"/>
    <w:unhideWhenUsed/>
    <w:rsid w:val="00BC3E97"/>
    <w:pPr>
      <w:numPr>
        <w:numId w:val="50"/>
      </w:numPr>
      <w:tabs>
        <w:tab w:val="clear" w:pos="360"/>
      </w:tabs>
      <w:spacing w:after="120" w:line="269" w:lineRule="auto"/>
      <w:ind w:left="0" w:firstLine="0"/>
      <w:contextualSpacing/>
    </w:pPr>
    <w:rPr>
      <w:rFonts w:eastAsia="Arial" w:cstheme="minorBidi"/>
      <w:sz w:val="21"/>
      <w:szCs w:val="22"/>
      <w:lang w:eastAsia="en-AU"/>
    </w:rPr>
  </w:style>
  <w:style w:type="paragraph" w:styleId="ListNumber2">
    <w:name w:val="List Number 2"/>
    <w:basedOn w:val="Normal"/>
    <w:uiPriority w:val="99"/>
    <w:unhideWhenUsed/>
    <w:rsid w:val="00BC3E97"/>
    <w:pPr>
      <w:numPr>
        <w:numId w:val="51"/>
      </w:numPr>
      <w:tabs>
        <w:tab w:val="clear" w:pos="720"/>
      </w:tabs>
      <w:spacing w:after="120" w:line="269" w:lineRule="auto"/>
      <w:ind w:left="0" w:firstLine="0"/>
      <w:contextualSpacing/>
    </w:pPr>
    <w:rPr>
      <w:rFonts w:eastAsia="Arial" w:cstheme="minorBidi"/>
      <w:sz w:val="21"/>
      <w:szCs w:val="22"/>
      <w:lang w:eastAsia="en-AU"/>
    </w:rPr>
  </w:style>
  <w:style w:type="paragraph" w:styleId="ListNumber3">
    <w:name w:val="List Number 3"/>
    <w:basedOn w:val="Normal"/>
    <w:uiPriority w:val="99"/>
    <w:unhideWhenUsed/>
    <w:rsid w:val="00BC3E97"/>
    <w:pPr>
      <w:numPr>
        <w:numId w:val="52"/>
      </w:numPr>
      <w:tabs>
        <w:tab w:val="clear" w:pos="1080"/>
      </w:tabs>
      <w:spacing w:after="120" w:line="269" w:lineRule="auto"/>
      <w:ind w:left="0" w:firstLine="0"/>
      <w:contextualSpacing/>
    </w:pPr>
    <w:rPr>
      <w:rFonts w:eastAsia="Arial" w:cstheme="minorBidi"/>
      <w:sz w:val="21"/>
      <w:szCs w:val="22"/>
      <w:lang w:eastAsia="en-AU"/>
    </w:rPr>
  </w:style>
  <w:style w:type="paragraph" w:styleId="ListContinue">
    <w:name w:val="List Continue"/>
    <w:basedOn w:val="Normal"/>
    <w:uiPriority w:val="99"/>
    <w:unhideWhenUsed/>
    <w:rsid w:val="00BC3E97"/>
    <w:pPr>
      <w:spacing w:after="120" w:line="269" w:lineRule="auto"/>
      <w:ind w:left="360"/>
      <w:contextualSpacing/>
    </w:pPr>
    <w:rPr>
      <w:rFonts w:eastAsia="Arial" w:cstheme="minorBidi"/>
      <w:sz w:val="21"/>
      <w:szCs w:val="22"/>
      <w:lang w:eastAsia="en-AU"/>
    </w:rPr>
  </w:style>
  <w:style w:type="paragraph" w:styleId="ListContinue2">
    <w:name w:val="List Continue 2"/>
    <w:basedOn w:val="Normal"/>
    <w:uiPriority w:val="99"/>
    <w:unhideWhenUsed/>
    <w:rsid w:val="00BC3E97"/>
    <w:pPr>
      <w:spacing w:after="120" w:line="269" w:lineRule="auto"/>
      <w:ind w:left="720"/>
      <w:contextualSpacing/>
    </w:pPr>
    <w:rPr>
      <w:rFonts w:eastAsia="Arial" w:cstheme="minorBidi"/>
      <w:sz w:val="21"/>
      <w:szCs w:val="22"/>
      <w:lang w:eastAsia="en-AU"/>
    </w:rPr>
  </w:style>
  <w:style w:type="paragraph" w:styleId="ListContinue3">
    <w:name w:val="List Continue 3"/>
    <w:basedOn w:val="Normal"/>
    <w:uiPriority w:val="99"/>
    <w:unhideWhenUsed/>
    <w:rsid w:val="00BC3E97"/>
    <w:pPr>
      <w:spacing w:after="120" w:line="269" w:lineRule="auto"/>
      <w:ind w:left="1080"/>
      <w:contextualSpacing/>
    </w:pPr>
    <w:rPr>
      <w:rFonts w:eastAsia="Arial" w:cstheme="minorBidi"/>
      <w:sz w:val="21"/>
      <w:szCs w:val="22"/>
      <w:lang w:eastAsia="en-AU"/>
    </w:rPr>
  </w:style>
  <w:style w:type="paragraph" w:styleId="MacroText">
    <w:name w:val="macro"/>
    <w:link w:val="MacroTextChar"/>
    <w:uiPriority w:val="99"/>
    <w:unhideWhenUsed/>
    <w:rsid w:val="00BC3E97"/>
    <w:pPr>
      <w:widowControl/>
      <w:tabs>
        <w:tab w:val="left" w:pos="576"/>
        <w:tab w:val="left" w:pos="1152"/>
        <w:tab w:val="left" w:pos="1728"/>
        <w:tab w:val="left" w:pos="2304"/>
        <w:tab w:val="left" w:pos="2880"/>
        <w:tab w:val="left" w:pos="3456"/>
        <w:tab w:val="left" w:pos="4032"/>
      </w:tabs>
      <w:autoSpaceDE/>
      <w:autoSpaceDN/>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BC3E97"/>
    <w:rPr>
      <w:rFonts w:ascii="Courier" w:eastAsiaTheme="minorEastAsia" w:hAnsi="Courier"/>
      <w:sz w:val="20"/>
      <w:szCs w:val="20"/>
    </w:rPr>
  </w:style>
  <w:style w:type="paragraph" w:styleId="Quote">
    <w:name w:val="Quote"/>
    <w:basedOn w:val="Normal"/>
    <w:next w:val="Normal"/>
    <w:link w:val="QuoteChar"/>
    <w:uiPriority w:val="29"/>
    <w:qFormat/>
    <w:rsid w:val="00BC3E97"/>
    <w:pPr>
      <w:spacing w:after="120" w:line="269" w:lineRule="auto"/>
    </w:pPr>
    <w:rPr>
      <w:rFonts w:eastAsia="Arial" w:cstheme="minorBidi"/>
      <w:i/>
      <w:iCs/>
      <w:color w:val="201547" w:themeColor="text1"/>
      <w:sz w:val="21"/>
      <w:szCs w:val="22"/>
      <w:lang w:eastAsia="en-AU"/>
    </w:rPr>
  </w:style>
  <w:style w:type="character" w:customStyle="1" w:styleId="QuoteChar">
    <w:name w:val="Quote Char"/>
    <w:basedOn w:val="DefaultParagraphFont"/>
    <w:link w:val="Quote"/>
    <w:uiPriority w:val="29"/>
    <w:rsid w:val="00BC3E97"/>
    <w:rPr>
      <w:rFonts w:ascii="Arial" w:eastAsia="Arial" w:hAnsi="Arial"/>
      <w:i/>
      <w:iCs/>
      <w:color w:val="201547" w:themeColor="text1"/>
      <w:sz w:val="21"/>
      <w:lang w:val="en-AU" w:eastAsia="en-AU"/>
    </w:rPr>
  </w:style>
  <w:style w:type="paragraph" w:styleId="Caption">
    <w:name w:val="caption"/>
    <w:basedOn w:val="Normal"/>
    <w:next w:val="Normal"/>
    <w:uiPriority w:val="35"/>
    <w:semiHidden/>
    <w:unhideWhenUsed/>
    <w:qFormat/>
    <w:rsid w:val="00BC3E97"/>
    <w:pPr>
      <w:spacing w:after="120" w:line="240" w:lineRule="auto"/>
    </w:pPr>
    <w:rPr>
      <w:rFonts w:eastAsia="Arial" w:cstheme="minorBidi"/>
      <w:b/>
      <w:bCs/>
      <w:color w:val="007B4B" w:themeColor="accent1"/>
      <w:sz w:val="18"/>
      <w:szCs w:val="18"/>
      <w:lang w:eastAsia="en-AU"/>
    </w:rPr>
  </w:style>
  <w:style w:type="paragraph" w:styleId="IntenseQuote">
    <w:name w:val="Intense Quote"/>
    <w:basedOn w:val="Normal"/>
    <w:next w:val="Normal"/>
    <w:link w:val="IntenseQuoteChar"/>
    <w:uiPriority w:val="30"/>
    <w:qFormat/>
    <w:rsid w:val="00BC3E97"/>
    <w:pPr>
      <w:pBdr>
        <w:bottom w:val="single" w:sz="4" w:space="4" w:color="007B4B" w:themeColor="accent1"/>
      </w:pBdr>
      <w:spacing w:before="200" w:after="280" w:line="269" w:lineRule="auto"/>
      <w:ind w:left="936" w:right="936"/>
    </w:pPr>
    <w:rPr>
      <w:rFonts w:eastAsia="Arial" w:cstheme="minorBidi"/>
      <w:b/>
      <w:bCs/>
      <w:i/>
      <w:iCs/>
      <w:color w:val="007B4B" w:themeColor="accent1"/>
      <w:sz w:val="21"/>
      <w:szCs w:val="22"/>
      <w:lang w:eastAsia="en-AU"/>
    </w:rPr>
  </w:style>
  <w:style w:type="character" w:customStyle="1" w:styleId="IntenseQuoteChar">
    <w:name w:val="Intense Quote Char"/>
    <w:basedOn w:val="DefaultParagraphFont"/>
    <w:link w:val="IntenseQuote"/>
    <w:uiPriority w:val="30"/>
    <w:rsid w:val="00BC3E97"/>
    <w:rPr>
      <w:rFonts w:ascii="Arial" w:eastAsia="Arial" w:hAnsi="Arial"/>
      <w:b/>
      <w:bCs/>
      <w:i/>
      <w:iCs/>
      <w:color w:val="007B4B" w:themeColor="accent1"/>
      <w:sz w:val="21"/>
      <w:lang w:val="en-AU" w:eastAsia="en-AU"/>
    </w:rPr>
  </w:style>
  <w:style w:type="table" w:styleId="LightShading">
    <w:name w:val="Light Shading"/>
    <w:basedOn w:val="TableNormal"/>
    <w:uiPriority w:val="60"/>
    <w:rsid w:val="00BC3E97"/>
    <w:pPr>
      <w:widowControl/>
      <w:autoSpaceDE/>
      <w:autoSpaceDN/>
    </w:pPr>
    <w:rPr>
      <w:rFonts w:eastAsiaTheme="minorEastAsia"/>
      <w:color w:val="170F34" w:themeColor="text1" w:themeShade="BF"/>
    </w:rPr>
    <w:tblPr>
      <w:tblStyleRowBandSize w:val="1"/>
      <w:tblStyleColBandSize w:val="1"/>
      <w:tblBorders>
        <w:top w:val="single" w:sz="8" w:space="0" w:color="201547" w:themeColor="text1"/>
        <w:bottom w:val="single" w:sz="8" w:space="0" w:color="201547" w:themeColor="text1"/>
      </w:tblBorders>
    </w:tblPr>
    <w:tblStylePr w:type="firstRow">
      <w:pPr>
        <w:spacing w:before="0" w:after="0" w:line="240" w:lineRule="auto"/>
      </w:pPr>
      <w:rPr>
        <w:b/>
        <w:bCs/>
      </w:rPr>
      <w:tblPr/>
      <w:tcPr>
        <w:tcBorders>
          <w:top w:val="single" w:sz="8" w:space="0" w:color="201547" w:themeColor="text1"/>
          <w:left w:val="nil"/>
          <w:bottom w:val="single" w:sz="8" w:space="0" w:color="201547" w:themeColor="text1"/>
          <w:right w:val="nil"/>
          <w:insideH w:val="nil"/>
          <w:insideV w:val="nil"/>
        </w:tcBorders>
      </w:tcPr>
    </w:tblStylePr>
    <w:tblStylePr w:type="lastRow">
      <w:pPr>
        <w:spacing w:before="0" w:after="0" w:line="240" w:lineRule="auto"/>
      </w:pPr>
      <w:rPr>
        <w:b/>
        <w:bCs/>
      </w:rPr>
      <w:tblPr/>
      <w:tcPr>
        <w:tcBorders>
          <w:top w:val="single" w:sz="8" w:space="0" w:color="201547" w:themeColor="text1"/>
          <w:left w:val="nil"/>
          <w:bottom w:val="single" w:sz="8" w:space="0" w:color="201547"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text1" w:themeFillTint="3F"/>
      </w:tcPr>
    </w:tblStylePr>
    <w:tblStylePr w:type="band1Horz">
      <w:tblPr/>
      <w:tcPr>
        <w:tcBorders>
          <w:left w:val="nil"/>
          <w:right w:val="nil"/>
          <w:insideH w:val="nil"/>
          <w:insideV w:val="nil"/>
        </w:tcBorders>
        <w:shd w:val="clear" w:color="auto" w:fill="BBAFE7" w:themeFill="text1" w:themeFillTint="3F"/>
      </w:tcPr>
    </w:tblStylePr>
  </w:style>
  <w:style w:type="table" w:styleId="LightShading-Accent1">
    <w:name w:val="Light Shading Accent 1"/>
    <w:basedOn w:val="TableNormal"/>
    <w:uiPriority w:val="60"/>
    <w:rsid w:val="00BC3E97"/>
    <w:pPr>
      <w:widowControl/>
      <w:autoSpaceDE/>
      <w:autoSpaceDN/>
    </w:pPr>
    <w:rPr>
      <w:rFonts w:eastAsiaTheme="minorEastAsia"/>
      <w:color w:val="005C37" w:themeColor="accent1" w:themeShade="BF"/>
    </w:rPr>
    <w:tblPr>
      <w:tblStyleRowBandSize w:val="1"/>
      <w:tblStyleColBandSize w:val="1"/>
      <w:tblBorders>
        <w:top w:val="single" w:sz="8" w:space="0" w:color="007B4B" w:themeColor="accent1"/>
        <w:bottom w:val="single" w:sz="8" w:space="0" w:color="007B4B" w:themeColor="accent1"/>
      </w:tblBorders>
    </w:tblPr>
    <w:tblStylePr w:type="firstRow">
      <w:pPr>
        <w:spacing w:before="0" w:after="0" w:line="240" w:lineRule="auto"/>
      </w:pPr>
      <w:rPr>
        <w:b/>
        <w:bCs/>
      </w:rPr>
      <w:tblPr/>
      <w:tcPr>
        <w:tcBorders>
          <w:top w:val="single" w:sz="8" w:space="0" w:color="007B4B" w:themeColor="accent1"/>
          <w:left w:val="nil"/>
          <w:bottom w:val="single" w:sz="8" w:space="0" w:color="007B4B" w:themeColor="accent1"/>
          <w:right w:val="nil"/>
          <w:insideH w:val="nil"/>
          <w:insideV w:val="nil"/>
        </w:tcBorders>
      </w:tcPr>
    </w:tblStylePr>
    <w:tblStylePr w:type="lastRow">
      <w:pPr>
        <w:spacing w:before="0" w:after="0" w:line="240" w:lineRule="auto"/>
      </w:pPr>
      <w:rPr>
        <w:b/>
        <w:bCs/>
      </w:rPr>
      <w:tblPr/>
      <w:tcPr>
        <w:tcBorders>
          <w:top w:val="single" w:sz="8" w:space="0" w:color="007B4B" w:themeColor="accent1"/>
          <w:left w:val="nil"/>
          <w:bottom w:val="single" w:sz="8" w:space="0" w:color="007B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FFD9" w:themeFill="accent1" w:themeFillTint="3F"/>
      </w:tcPr>
    </w:tblStylePr>
    <w:tblStylePr w:type="band1Horz">
      <w:tblPr/>
      <w:tcPr>
        <w:tcBorders>
          <w:left w:val="nil"/>
          <w:right w:val="nil"/>
          <w:insideH w:val="nil"/>
          <w:insideV w:val="nil"/>
        </w:tcBorders>
        <w:shd w:val="clear" w:color="auto" w:fill="9FFFD9" w:themeFill="accent1" w:themeFillTint="3F"/>
      </w:tcPr>
    </w:tblStylePr>
  </w:style>
  <w:style w:type="table" w:styleId="LightShading-Accent2">
    <w:name w:val="Light Shading Accent 2"/>
    <w:basedOn w:val="TableNormal"/>
    <w:uiPriority w:val="60"/>
    <w:rsid w:val="00BC3E97"/>
    <w:pPr>
      <w:widowControl/>
      <w:autoSpaceDE/>
      <w:autoSpaceDN/>
    </w:pPr>
    <w:rPr>
      <w:rFonts w:eastAsiaTheme="minorEastAsia"/>
      <w:color w:val="99A400" w:themeColor="accent2" w:themeShade="BF"/>
    </w:rPr>
    <w:tblPr>
      <w:tblStyleRowBandSize w:val="1"/>
      <w:tblStyleColBandSize w:val="1"/>
      <w:tblBorders>
        <w:top w:val="single" w:sz="8" w:space="0" w:color="CEDC00" w:themeColor="accent2"/>
        <w:bottom w:val="single" w:sz="8" w:space="0" w:color="CEDC00" w:themeColor="accent2"/>
      </w:tblBorders>
    </w:tblPr>
    <w:tblStylePr w:type="firstRow">
      <w:pPr>
        <w:spacing w:before="0" w:after="0" w:line="240" w:lineRule="auto"/>
      </w:pPr>
      <w:rPr>
        <w:b/>
        <w:bCs/>
      </w:rPr>
      <w:tblPr/>
      <w:tcPr>
        <w:tcBorders>
          <w:top w:val="single" w:sz="8" w:space="0" w:color="CEDC00" w:themeColor="accent2"/>
          <w:left w:val="nil"/>
          <w:bottom w:val="single" w:sz="8" w:space="0" w:color="CEDC00" w:themeColor="accent2"/>
          <w:right w:val="nil"/>
          <w:insideH w:val="nil"/>
          <w:insideV w:val="nil"/>
        </w:tcBorders>
      </w:tcPr>
    </w:tblStylePr>
    <w:tblStylePr w:type="lastRow">
      <w:pPr>
        <w:spacing w:before="0" w:after="0" w:line="240" w:lineRule="auto"/>
      </w:pPr>
      <w:rPr>
        <w:b/>
        <w:bCs/>
      </w:rPr>
      <w:tblPr/>
      <w:tcPr>
        <w:tcBorders>
          <w:top w:val="single" w:sz="8" w:space="0" w:color="CEDC00" w:themeColor="accent2"/>
          <w:left w:val="nil"/>
          <w:bottom w:val="single" w:sz="8" w:space="0" w:color="CEDC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2" w:themeFillTint="3F"/>
      </w:tcPr>
    </w:tblStylePr>
    <w:tblStylePr w:type="band1Horz">
      <w:tblPr/>
      <w:tcPr>
        <w:tcBorders>
          <w:left w:val="nil"/>
          <w:right w:val="nil"/>
          <w:insideH w:val="nil"/>
          <w:insideV w:val="nil"/>
        </w:tcBorders>
        <w:shd w:val="clear" w:color="auto" w:fill="FAFFB7" w:themeFill="accent2" w:themeFillTint="3F"/>
      </w:tcPr>
    </w:tblStylePr>
  </w:style>
  <w:style w:type="table" w:styleId="LightShading-Accent3">
    <w:name w:val="Light Shading Accent 3"/>
    <w:basedOn w:val="TableNormal"/>
    <w:uiPriority w:val="60"/>
    <w:rsid w:val="00BC3E97"/>
    <w:pPr>
      <w:widowControl/>
      <w:autoSpaceDE/>
      <w:autoSpaceDN/>
    </w:pPr>
    <w:rPr>
      <w:rFonts w:eastAsiaTheme="minorEastAsia"/>
      <w:color w:val="B88D00" w:themeColor="accent3" w:themeShade="BF"/>
    </w:rPr>
    <w:tblPr>
      <w:tblStyleRowBandSize w:val="1"/>
      <w:tblStyleColBandSize w:val="1"/>
      <w:tblBorders>
        <w:top w:val="single" w:sz="8" w:space="0" w:color="F6BE00" w:themeColor="accent3"/>
        <w:bottom w:val="single" w:sz="8" w:space="0" w:color="F6BE00" w:themeColor="accent3"/>
      </w:tblBorders>
    </w:tblPr>
    <w:tblStylePr w:type="firstRow">
      <w:pPr>
        <w:spacing w:before="0" w:after="0" w:line="240" w:lineRule="auto"/>
      </w:pPr>
      <w:rPr>
        <w:b/>
        <w:bCs/>
      </w:rPr>
      <w:tblPr/>
      <w:tcPr>
        <w:tcBorders>
          <w:top w:val="single" w:sz="8" w:space="0" w:color="F6BE00" w:themeColor="accent3"/>
          <w:left w:val="nil"/>
          <w:bottom w:val="single" w:sz="8" w:space="0" w:color="F6BE00" w:themeColor="accent3"/>
          <w:right w:val="nil"/>
          <w:insideH w:val="nil"/>
          <w:insideV w:val="nil"/>
        </w:tcBorders>
      </w:tcPr>
    </w:tblStylePr>
    <w:tblStylePr w:type="lastRow">
      <w:pPr>
        <w:spacing w:before="0" w:after="0" w:line="240" w:lineRule="auto"/>
      </w:pPr>
      <w:rPr>
        <w:b/>
        <w:bCs/>
      </w:rPr>
      <w:tblPr/>
      <w:tcPr>
        <w:tcBorders>
          <w:top w:val="single" w:sz="8" w:space="0" w:color="F6BE00" w:themeColor="accent3"/>
          <w:left w:val="nil"/>
          <w:bottom w:val="single" w:sz="8" w:space="0" w:color="F6BE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D" w:themeFill="accent3" w:themeFillTint="3F"/>
      </w:tcPr>
    </w:tblStylePr>
    <w:tblStylePr w:type="band1Horz">
      <w:tblPr/>
      <w:tcPr>
        <w:tcBorders>
          <w:left w:val="nil"/>
          <w:right w:val="nil"/>
          <w:insideH w:val="nil"/>
          <w:insideV w:val="nil"/>
        </w:tcBorders>
        <w:shd w:val="clear" w:color="auto" w:fill="FFEFBD" w:themeFill="accent3" w:themeFillTint="3F"/>
      </w:tcPr>
    </w:tblStylePr>
  </w:style>
  <w:style w:type="table" w:styleId="LightShading-Accent4">
    <w:name w:val="Light Shading Accent 4"/>
    <w:basedOn w:val="TableNormal"/>
    <w:uiPriority w:val="60"/>
    <w:rsid w:val="00BC3E97"/>
    <w:pPr>
      <w:widowControl/>
      <w:autoSpaceDE/>
      <w:autoSpaceDN/>
    </w:pPr>
    <w:rPr>
      <w:rFonts w:eastAsiaTheme="minorEastAsia"/>
      <w:color w:val="AB5400" w:themeColor="accent4" w:themeShade="BF"/>
    </w:rPr>
    <w:tblPr>
      <w:tblStyleRowBandSize w:val="1"/>
      <w:tblStyleColBandSize w:val="1"/>
      <w:tblBorders>
        <w:top w:val="single" w:sz="8" w:space="0" w:color="E57200" w:themeColor="accent4"/>
        <w:bottom w:val="single" w:sz="8" w:space="0" w:color="E57200" w:themeColor="accent4"/>
      </w:tblBorders>
    </w:tblPr>
    <w:tblStylePr w:type="firstRow">
      <w:pPr>
        <w:spacing w:before="0" w:after="0" w:line="240" w:lineRule="auto"/>
      </w:pPr>
      <w:rPr>
        <w:b/>
        <w:bCs/>
      </w:rPr>
      <w:tblPr/>
      <w:tcPr>
        <w:tcBorders>
          <w:top w:val="single" w:sz="8" w:space="0" w:color="E57200" w:themeColor="accent4"/>
          <w:left w:val="nil"/>
          <w:bottom w:val="single" w:sz="8" w:space="0" w:color="E57200" w:themeColor="accent4"/>
          <w:right w:val="nil"/>
          <w:insideH w:val="nil"/>
          <w:insideV w:val="nil"/>
        </w:tcBorders>
      </w:tcPr>
    </w:tblStylePr>
    <w:tblStylePr w:type="lastRow">
      <w:pPr>
        <w:spacing w:before="0" w:after="0" w:line="240" w:lineRule="auto"/>
      </w:pPr>
      <w:rPr>
        <w:b/>
        <w:bCs/>
      </w:rPr>
      <w:tblPr/>
      <w:tcPr>
        <w:tcBorders>
          <w:top w:val="single" w:sz="8" w:space="0" w:color="E57200" w:themeColor="accent4"/>
          <w:left w:val="nil"/>
          <w:bottom w:val="single" w:sz="8" w:space="0" w:color="E572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BB9" w:themeFill="accent4" w:themeFillTint="3F"/>
      </w:tcPr>
    </w:tblStylePr>
    <w:tblStylePr w:type="band1Horz">
      <w:tblPr/>
      <w:tcPr>
        <w:tcBorders>
          <w:left w:val="nil"/>
          <w:right w:val="nil"/>
          <w:insideH w:val="nil"/>
          <w:insideV w:val="nil"/>
        </w:tcBorders>
        <w:shd w:val="clear" w:color="auto" w:fill="FFDBB9" w:themeFill="accent4" w:themeFillTint="3F"/>
      </w:tcPr>
    </w:tblStylePr>
  </w:style>
  <w:style w:type="table" w:styleId="LightShading-Accent5">
    <w:name w:val="Light Shading Accent 5"/>
    <w:basedOn w:val="TableNormal"/>
    <w:uiPriority w:val="60"/>
    <w:rsid w:val="00BC3E97"/>
    <w:pPr>
      <w:widowControl/>
      <w:autoSpaceDE/>
      <w:autoSpaceDN/>
    </w:pPr>
    <w:rPr>
      <w:rFonts w:eastAsiaTheme="minorEastAsia"/>
      <w:color w:val="821D23" w:themeColor="accent5" w:themeShade="BF"/>
    </w:rPr>
    <w:tblPr>
      <w:tblStyleRowBandSize w:val="1"/>
      <w:tblStyleColBandSize w:val="1"/>
      <w:tblBorders>
        <w:top w:val="single" w:sz="8" w:space="0" w:color="AF272F" w:themeColor="accent5"/>
        <w:bottom w:val="single" w:sz="8" w:space="0" w:color="AF272F" w:themeColor="accent5"/>
      </w:tblBorders>
    </w:tblPr>
    <w:tblStylePr w:type="firstRow">
      <w:pPr>
        <w:spacing w:before="0" w:after="0" w:line="240" w:lineRule="auto"/>
      </w:pPr>
      <w:rPr>
        <w:b/>
        <w:bCs/>
      </w:rPr>
      <w:tblPr/>
      <w:tcPr>
        <w:tcBorders>
          <w:top w:val="single" w:sz="8" w:space="0" w:color="AF272F" w:themeColor="accent5"/>
          <w:left w:val="nil"/>
          <w:bottom w:val="single" w:sz="8" w:space="0" w:color="AF272F" w:themeColor="accent5"/>
          <w:right w:val="nil"/>
          <w:insideH w:val="nil"/>
          <w:insideV w:val="nil"/>
        </w:tcBorders>
      </w:tcPr>
    </w:tblStylePr>
    <w:tblStylePr w:type="lastRow">
      <w:pPr>
        <w:spacing w:before="0" w:after="0" w:line="240" w:lineRule="auto"/>
      </w:pPr>
      <w:rPr>
        <w:b/>
        <w:bCs/>
      </w:rPr>
      <w:tblPr/>
      <w:tcPr>
        <w:tcBorders>
          <w:top w:val="single" w:sz="8" w:space="0" w:color="AF272F" w:themeColor="accent5"/>
          <w:left w:val="nil"/>
          <w:bottom w:val="single" w:sz="8" w:space="0" w:color="AF272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3C5" w:themeFill="accent5" w:themeFillTint="3F"/>
      </w:tcPr>
    </w:tblStylePr>
    <w:tblStylePr w:type="band1Horz">
      <w:tblPr/>
      <w:tcPr>
        <w:tcBorders>
          <w:left w:val="nil"/>
          <w:right w:val="nil"/>
          <w:insideH w:val="nil"/>
          <w:insideV w:val="nil"/>
        </w:tcBorders>
        <w:shd w:val="clear" w:color="auto" w:fill="F1C3C5" w:themeFill="accent5" w:themeFillTint="3F"/>
      </w:tcPr>
    </w:tblStylePr>
  </w:style>
  <w:style w:type="table" w:styleId="LightShading-Accent6">
    <w:name w:val="Light Shading Accent 6"/>
    <w:basedOn w:val="TableNormal"/>
    <w:uiPriority w:val="60"/>
    <w:rsid w:val="00BC3E97"/>
    <w:pPr>
      <w:widowControl/>
      <w:autoSpaceDE/>
      <w:autoSpaceDN/>
    </w:pPr>
    <w:rPr>
      <w:rFonts w:eastAsiaTheme="minorEastAsia"/>
      <w:color w:val="4A1C4C" w:themeColor="accent6" w:themeShade="BF"/>
    </w:rPr>
    <w:tblPr>
      <w:tblStyleRowBandSize w:val="1"/>
      <w:tblStyleColBandSize w:val="1"/>
      <w:tblBorders>
        <w:top w:val="single" w:sz="8" w:space="0" w:color="642667" w:themeColor="accent6"/>
        <w:bottom w:val="single" w:sz="8" w:space="0" w:color="642667" w:themeColor="accent6"/>
      </w:tblBorders>
    </w:tblPr>
    <w:tblStylePr w:type="firstRow">
      <w:pPr>
        <w:spacing w:before="0" w:after="0" w:line="240" w:lineRule="auto"/>
      </w:pPr>
      <w:rPr>
        <w:b/>
        <w:bCs/>
      </w:rPr>
      <w:tblPr/>
      <w:tcPr>
        <w:tcBorders>
          <w:top w:val="single" w:sz="8" w:space="0" w:color="642667" w:themeColor="accent6"/>
          <w:left w:val="nil"/>
          <w:bottom w:val="single" w:sz="8" w:space="0" w:color="642667" w:themeColor="accent6"/>
          <w:right w:val="nil"/>
          <w:insideH w:val="nil"/>
          <w:insideV w:val="nil"/>
        </w:tcBorders>
      </w:tcPr>
    </w:tblStylePr>
    <w:tblStylePr w:type="lastRow">
      <w:pPr>
        <w:spacing w:before="0" w:after="0" w:line="240" w:lineRule="auto"/>
      </w:pPr>
      <w:rPr>
        <w:b/>
        <w:bCs/>
      </w:rPr>
      <w:tblPr/>
      <w:tcPr>
        <w:tcBorders>
          <w:top w:val="single" w:sz="8" w:space="0" w:color="642667" w:themeColor="accent6"/>
          <w:left w:val="nil"/>
          <w:bottom w:val="single" w:sz="8" w:space="0" w:color="64266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CE6" w:themeFill="accent6" w:themeFillTint="3F"/>
      </w:tcPr>
    </w:tblStylePr>
    <w:tblStylePr w:type="band1Horz">
      <w:tblPr/>
      <w:tcPr>
        <w:tcBorders>
          <w:left w:val="nil"/>
          <w:right w:val="nil"/>
          <w:insideH w:val="nil"/>
          <w:insideV w:val="nil"/>
        </w:tcBorders>
        <w:shd w:val="clear" w:color="auto" w:fill="E4BCE6" w:themeFill="accent6" w:themeFillTint="3F"/>
      </w:tcPr>
    </w:tblStylePr>
  </w:style>
  <w:style w:type="table" w:styleId="LightList">
    <w:name w:val="Light List"/>
    <w:basedOn w:val="TableNormal"/>
    <w:uiPriority w:val="61"/>
    <w:rsid w:val="00BC3E97"/>
    <w:pPr>
      <w:widowControl/>
      <w:autoSpaceDE/>
      <w:autoSpaceDN/>
    </w:pPr>
    <w:rPr>
      <w:rFonts w:eastAsiaTheme="minorEastAsia"/>
    </w:rPr>
    <w:tblPr>
      <w:tblStyleRowBandSize w:val="1"/>
      <w:tblStyleColBandSize w:val="1"/>
      <w:tblBorders>
        <w:top w:val="single" w:sz="8" w:space="0" w:color="201547" w:themeColor="text1"/>
        <w:left w:val="single" w:sz="8" w:space="0" w:color="201547" w:themeColor="text1"/>
        <w:bottom w:val="single" w:sz="8" w:space="0" w:color="201547" w:themeColor="text1"/>
        <w:right w:val="single" w:sz="8" w:space="0" w:color="201547" w:themeColor="text1"/>
      </w:tblBorders>
    </w:tblPr>
    <w:tblStylePr w:type="firstRow">
      <w:pPr>
        <w:spacing w:before="0" w:after="0" w:line="240" w:lineRule="auto"/>
      </w:pPr>
      <w:rPr>
        <w:b/>
        <w:bCs/>
        <w:color w:val="004C97" w:themeColor="background1"/>
      </w:rPr>
      <w:tblPr/>
      <w:tcPr>
        <w:shd w:val="clear" w:color="auto" w:fill="201547" w:themeFill="text1"/>
      </w:tcPr>
    </w:tblStylePr>
    <w:tblStylePr w:type="lastRow">
      <w:pPr>
        <w:spacing w:before="0" w:after="0" w:line="240" w:lineRule="auto"/>
      </w:pPr>
      <w:rPr>
        <w:b/>
        <w:bCs/>
      </w:rPr>
      <w:tblPr/>
      <w:tcPr>
        <w:tcBorders>
          <w:top w:val="double" w:sz="6" w:space="0" w:color="201547" w:themeColor="text1"/>
          <w:left w:val="single" w:sz="8" w:space="0" w:color="201547" w:themeColor="text1"/>
          <w:bottom w:val="single" w:sz="8" w:space="0" w:color="201547" w:themeColor="text1"/>
          <w:right w:val="single" w:sz="8" w:space="0" w:color="201547" w:themeColor="text1"/>
        </w:tcBorders>
      </w:tcPr>
    </w:tblStylePr>
    <w:tblStylePr w:type="firstCol">
      <w:rPr>
        <w:b/>
        <w:bCs/>
      </w:rPr>
    </w:tblStylePr>
    <w:tblStylePr w:type="lastCol">
      <w:rPr>
        <w:b/>
        <w:bCs/>
      </w:rPr>
    </w:tblStylePr>
    <w:tblStylePr w:type="band1Vert">
      <w:tblPr/>
      <w:tcPr>
        <w:tcBorders>
          <w:top w:val="single" w:sz="8" w:space="0" w:color="201547" w:themeColor="text1"/>
          <w:left w:val="single" w:sz="8" w:space="0" w:color="201547" w:themeColor="text1"/>
          <w:bottom w:val="single" w:sz="8" w:space="0" w:color="201547" w:themeColor="text1"/>
          <w:right w:val="single" w:sz="8" w:space="0" w:color="201547" w:themeColor="text1"/>
        </w:tcBorders>
      </w:tcPr>
    </w:tblStylePr>
    <w:tblStylePr w:type="band1Horz">
      <w:tblPr/>
      <w:tcPr>
        <w:tcBorders>
          <w:top w:val="single" w:sz="8" w:space="0" w:color="201547" w:themeColor="text1"/>
          <w:left w:val="single" w:sz="8" w:space="0" w:color="201547" w:themeColor="text1"/>
          <w:bottom w:val="single" w:sz="8" w:space="0" w:color="201547" w:themeColor="text1"/>
          <w:right w:val="single" w:sz="8" w:space="0" w:color="201547" w:themeColor="text1"/>
        </w:tcBorders>
      </w:tcPr>
    </w:tblStylePr>
  </w:style>
  <w:style w:type="table" w:styleId="LightList-Accent1">
    <w:name w:val="Light List Accent 1"/>
    <w:basedOn w:val="TableNormal"/>
    <w:uiPriority w:val="61"/>
    <w:rsid w:val="00BC3E97"/>
    <w:pPr>
      <w:widowControl/>
      <w:autoSpaceDE/>
      <w:autoSpaceDN/>
    </w:pPr>
    <w:rPr>
      <w:rFonts w:eastAsiaTheme="minorEastAsia"/>
    </w:rPr>
    <w:tblPr>
      <w:tblStyleRowBandSize w:val="1"/>
      <w:tblStyleColBandSize w:val="1"/>
      <w:tblBorders>
        <w:top w:val="single" w:sz="8" w:space="0" w:color="007B4B" w:themeColor="accent1"/>
        <w:left w:val="single" w:sz="8" w:space="0" w:color="007B4B" w:themeColor="accent1"/>
        <w:bottom w:val="single" w:sz="8" w:space="0" w:color="007B4B" w:themeColor="accent1"/>
        <w:right w:val="single" w:sz="8" w:space="0" w:color="007B4B" w:themeColor="accent1"/>
      </w:tblBorders>
    </w:tblPr>
    <w:tblStylePr w:type="firstRow">
      <w:pPr>
        <w:spacing w:before="0" w:after="0" w:line="240" w:lineRule="auto"/>
      </w:pPr>
      <w:rPr>
        <w:b/>
        <w:bCs/>
        <w:color w:val="004C97" w:themeColor="background1"/>
      </w:rPr>
      <w:tblPr/>
      <w:tcPr>
        <w:shd w:val="clear" w:color="auto" w:fill="007B4B" w:themeFill="accent1"/>
      </w:tcPr>
    </w:tblStylePr>
    <w:tblStylePr w:type="lastRow">
      <w:pPr>
        <w:spacing w:before="0" w:after="0" w:line="240" w:lineRule="auto"/>
      </w:pPr>
      <w:rPr>
        <w:b/>
        <w:bCs/>
      </w:rPr>
      <w:tblPr/>
      <w:tcPr>
        <w:tcBorders>
          <w:top w:val="double" w:sz="6" w:space="0" w:color="007B4B" w:themeColor="accent1"/>
          <w:left w:val="single" w:sz="8" w:space="0" w:color="007B4B" w:themeColor="accent1"/>
          <w:bottom w:val="single" w:sz="8" w:space="0" w:color="007B4B" w:themeColor="accent1"/>
          <w:right w:val="single" w:sz="8" w:space="0" w:color="007B4B" w:themeColor="accent1"/>
        </w:tcBorders>
      </w:tcPr>
    </w:tblStylePr>
    <w:tblStylePr w:type="firstCol">
      <w:rPr>
        <w:b/>
        <w:bCs/>
      </w:rPr>
    </w:tblStylePr>
    <w:tblStylePr w:type="lastCol">
      <w:rPr>
        <w:b/>
        <w:bCs/>
      </w:rPr>
    </w:tblStylePr>
    <w:tblStylePr w:type="band1Vert">
      <w:tblPr/>
      <w:tcPr>
        <w:tcBorders>
          <w:top w:val="single" w:sz="8" w:space="0" w:color="007B4B" w:themeColor="accent1"/>
          <w:left w:val="single" w:sz="8" w:space="0" w:color="007B4B" w:themeColor="accent1"/>
          <w:bottom w:val="single" w:sz="8" w:space="0" w:color="007B4B" w:themeColor="accent1"/>
          <w:right w:val="single" w:sz="8" w:space="0" w:color="007B4B" w:themeColor="accent1"/>
        </w:tcBorders>
      </w:tcPr>
    </w:tblStylePr>
    <w:tblStylePr w:type="band1Horz">
      <w:tblPr/>
      <w:tcPr>
        <w:tcBorders>
          <w:top w:val="single" w:sz="8" w:space="0" w:color="007B4B" w:themeColor="accent1"/>
          <w:left w:val="single" w:sz="8" w:space="0" w:color="007B4B" w:themeColor="accent1"/>
          <w:bottom w:val="single" w:sz="8" w:space="0" w:color="007B4B" w:themeColor="accent1"/>
          <w:right w:val="single" w:sz="8" w:space="0" w:color="007B4B" w:themeColor="accent1"/>
        </w:tcBorders>
      </w:tcPr>
    </w:tblStylePr>
  </w:style>
  <w:style w:type="table" w:styleId="LightList-Accent2">
    <w:name w:val="Light List Accent 2"/>
    <w:basedOn w:val="TableNormal"/>
    <w:uiPriority w:val="61"/>
    <w:rsid w:val="00BC3E97"/>
    <w:pPr>
      <w:widowControl/>
      <w:autoSpaceDE/>
      <w:autoSpaceDN/>
    </w:pPr>
    <w:rPr>
      <w:rFonts w:eastAsiaTheme="minorEastAsia"/>
    </w:rPr>
    <w:tblPr>
      <w:tblStyleRowBandSize w:val="1"/>
      <w:tblStyleColBandSize w:val="1"/>
      <w:tblBorders>
        <w:top w:val="single" w:sz="8" w:space="0" w:color="CEDC00" w:themeColor="accent2"/>
        <w:left w:val="single" w:sz="8" w:space="0" w:color="CEDC00" w:themeColor="accent2"/>
        <w:bottom w:val="single" w:sz="8" w:space="0" w:color="CEDC00" w:themeColor="accent2"/>
        <w:right w:val="single" w:sz="8" w:space="0" w:color="CEDC00" w:themeColor="accent2"/>
      </w:tblBorders>
    </w:tblPr>
    <w:tblStylePr w:type="firstRow">
      <w:pPr>
        <w:spacing w:before="0" w:after="0" w:line="240" w:lineRule="auto"/>
      </w:pPr>
      <w:rPr>
        <w:b/>
        <w:bCs/>
        <w:color w:val="004C97" w:themeColor="background1"/>
      </w:rPr>
      <w:tblPr/>
      <w:tcPr>
        <w:shd w:val="clear" w:color="auto" w:fill="CEDC00" w:themeFill="accent2"/>
      </w:tcPr>
    </w:tblStylePr>
    <w:tblStylePr w:type="lastRow">
      <w:pPr>
        <w:spacing w:before="0" w:after="0" w:line="240" w:lineRule="auto"/>
      </w:pPr>
      <w:rPr>
        <w:b/>
        <w:bCs/>
      </w:rPr>
      <w:tblPr/>
      <w:tcPr>
        <w:tcBorders>
          <w:top w:val="double" w:sz="6" w:space="0" w:color="CEDC00" w:themeColor="accent2"/>
          <w:left w:val="single" w:sz="8" w:space="0" w:color="CEDC00" w:themeColor="accent2"/>
          <w:bottom w:val="single" w:sz="8" w:space="0" w:color="CEDC00" w:themeColor="accent2"/>
          <w:right w:val="single" w:sz="8" w:space="0" w:color="CEDC00" w:themeColor="accent2"/>
        </w:tcBorders>
      </w:tcPr>
    </w:tblStylePr>
    <w:tblStylePr w:type="firstCol">
      <w:rPr>
        <w:b/>
        <w:bCs/>
      </w:rPr>
    </w:tblStylePr>
    <w:tblStylePr w:type="lastCol">
      <w:rPr>
        <w:b/>
        <w:bCs/>
      </w:rPr>
    </w:tblStylePr>
    <w:tblStylePr w:type="band1Vert">
      <w:tblPr/>
      <w:tcPr>
        <w:tcBorders>
          <w:top w:val="single" w:sz="8" w:space="0" w:color="CEDC00" w:themeColor="accent2"/>
          <w:left w:val="single" w:sz="8" w:space="0" w:color="CEDC00" w:themeColor="accent2"/>
          <w:bottom w:val="single" w:sz="8" w:space="0" w:color="CEDC00" w:themeColor="accent2"/>
          <w:right w:val="single" w:sz="8" w:space="0" w:color="CEDC00" w:themeColor="accent2"/>
        </w:tcBorders>
      </w:tcPr>
    </w:tblStylePr>
    <w:tblStylePr w:type="band1Horz">
      <w:tblPr/>
      <w:tcPr>
        <w:tcBorders>
          <w:top w:val="single" w:sz="8" w:space="0" w:color="CEDC00" w:themeColor="accent2"/>
          <w:left w:val="single" w:sz="8" w:space="0" w:color="CEDC00" w:themeColor="accent2"/>
          <w:bottom w:val="single" w:sz="8" w:space="0" w:color="CEDC00" w:themeColor="accent2"/>
          <w:right w:val="single" w:sz="8" w:space="0" w:color="CEDC00" w:themeColor="accent2"/>
        </w:tcBorders>
      </w:tcPr>
    </w:tblStylePr>
  </w:style>
  <w:style w:type="table" w:styleId="LightList-Accent3">
    <w:name w:val="Light List Accent 3"/>
    <w:basedOn w:val="TableNormal"/>
    <w:uiPriority w:val="61"/>
    <w:rsid w:val="00BC3E97"/>
    <w:pPr>
      <w:widowControl/>
      <w:autoSpaceDE/>
      <w:autoSpaceDN/>
    </w:pPr>
    <w:rPr>
      <w:rFonts w:eastAsiaTheme="minorEastAsia"/>
    </w:rPr>
    <w:tblPr>
      <w:tblStyleRowBandSize w:val="1"/>
      <w:tblStyleColBandSize w:val="1"/>
      <w:tblBorders>
        <w:top w:val="single" w:sz="8" w:space="0" w:color="F6BE00" w:themeColor="accent3"/>
        <w:left w:val="single" w:sz="8" w:space="0" w:color="F6BE00" w:themeColor="accent3"/>
        <w:bottom w:val="single" w:sz="8" w:space="0" w:color="F6BE00" w:themeColor="accent3"/>
        <w:right w:val="single" w:sz="8" w:space="0" w:color="F6BE00" w:themeColor="accent3"/>
      </w:tblBorders>
    </w:tblPr>
    <w:tblStylePr w:type="firstRow">
      <w:pPr>
        <w:spacing w:before="0" w:after="0" w:line="240" w:lineRule="auto"/>
      </w:pPr>
      <w:rPr>
        <w:b/>
        <w:bCs/>
        <w:color w:val="004C97" w:themeColor="background1"/>
      </w:rPr>
      <w:tblPr/>
      <w:tcPr>
        <w:shd w:val="clear" w:color="auto" w:fill="F6BE00" w:themeFill="accent3"/>
      </w:tcPr>
    </w:tblStylePr>
    <w:tblStylePr w:type="lastRow">
      <w:pPr>
        <w:spacing w:before="0" w:after="0" w:line="240" w:lineRule="auto"/>
      </w:pPr>
      <w:rPr>
        <w:b/>
        <w:bCs/>
      </w:rPr>
      <w:tblPr/>
      <w:tcPr>
        <w:tcBorders>
          <w:top w:val="double" w:sz="6" w:space="0" w:color="F6BE00" w:themeColor="accent3"/>
          <w:left w:val="single" w:sz="8" w:space="0" w:color="F6BE00" w:themeColor="accent3"/>
          <w:bottom w:val="single" w:sz="8" w:space="0" w:color="F6BE00" w:themeColor="accent3"/>
          <w:right w:val="single" w:sz="8" w:space="0" w:color="F6BE00" w:themeColor="accent3"/>
        </w:tcBorders>
      </w:tcPr>
    </w:tblStylePr>
    <w:tblStylePr w:type="firstCol">
      <w:rPr>
        <w:b/>
        <w:bCs/>
      </w:rPr>
    </w:tblStylePr>
    <w:tblStylePr w:type="lastCol">
      <w:rPr>
        <w:b/>
        <w:bCs/>
      </w:rPr>
    </w:tblStylePr>
    <w:tblStylePr w:type="band1Vert">
      <w:tblPr/>
      <w:tcPr>
        <w:tcBorders>
          <w:top w:val="single" w:sz="8" w:space="0" w:color="F6BE00" w:themeColor="accent3"/>
          <w:left w:val="single" w:sz="8" w:space="0" w:color="F6BE00" w:themeColor="accent3"/>
          <w:bottom w:val="single" w:sz="8" w:space="0" w:color="F6BE00" w:themeColor="accent3"/>
          <w:right w:val="single" w:sz="8" w:space="0" w:color="F6BE00" w:themeColor="accent3"/>
        </w:tcBorders>
      </w:tcPr>
    </w:tblStylePr>
    <w:tblStylePr w:type="band1Horz">
      <w:tblPr/>
      <w:tcPr>
        <w:tcBorders>
          <w:top w:val="single" w:sz="8" w:space="0" w:color="F6BE00" w:themeColor="accent3"/>
          <w:left w:val="single" w:sz="8" w:space="0" w:color="F6BE00" w:themeColor="accent3"/>
          <w:bottom w:val="single" w:sz="8" w:space="0" w:color="F6BE00" w:themeColor="accent3"/>
          <w:right w:val="single" w:sz="8" w:space="0" w:color="F6BE00" w:themeColor="accent3"/>
        </w:tcBorders>
      </w:tcPr>
    </w:tblStylePr>
  </w:style>
  <w:style w:type="table" w:styleId="LightList-Accent4">
    <w:name w:val="Light List Accent 4"/>
    <w:basedOn w:val="TableNormal"/>
    <w:uiPriority w:val="61"/>
    <w:rsid w:val="00BC3E97"/>
    <w:pPr>
      <w:widowControl/>
      <w:autoSpaceDE/>
      <w:autoSpaceDN/>
    </w:pPr>
    <w:rPr>
      <w:rFonts w:eastAsiaTheme="minorEastAsia"/>
    </w:rPr>
    <w:tblPr>
      <w:tblStyleRowBandSize w:val="1"/>
      <w:tblStyleColBandSize w:val="1"/>
      <w:tblBorders>
        <w:top w:val="single" w:sz="8" w:space="0" w:color="E57200" w:themeColor="accent4"/>
        <w:left w:val="single" w:sz="8" w:space="0" w:color="E57200" w:themeColor="accent4"/>
        <w:bottom w:val="single" w:sz="8" w:space="0" w:color="E57200" w:themeColor="accent4"/>
        <w:right w:val="single" w:sz="8" w:space="0" w:color="E57200" w:themeColor="accent4"/>
      </w:tblBorders>
    </w:tblPr>
    <w:tblStylePr w:type="firstRow">
      <w:pPr>
        <w:spacing w:before="0" w:after="0" w:line="240" w:lineRule="auto"/>
      </w:pPr>
      <w:rPr>
        <w:b/>
        <w:bCs/>
        <w:color w:val="004C97" w:themeColor="background1"/>
      </w:rPr>
      <w:tblPr/>
      <w:tcPr>
        <w:shd w:val="clear" w:color="auto" w:fill="E57200" w:themeFill="accent4"/>
      </w:tcPr>
    </w:tblStylePr>
    <w:tblStylePr w:type="lastRow">
      <w:pPr>
        <w:spacing w:before="0" w:after="0" w:line="240" w:lineRule="auto"/>
      </w:pPr>
      <w:rPr>
        <w:b/>
        <w:bCs/>
      </w:rPr>
      <w:tblPr/>
      <w:tcPr>
        <w:tcBorders>
          <w:top w:val="double" w:sz="6" w:space="0" w:color="E57200" w:themeColor="accent4"/>
          <w:left w:val="single" w:sz="8" w:space="0" w:color="E57200" w:themeColor="accent4"/>
          <w:bottom w:val="single" w:sz="8" w:space="0" w:color="E57200" w:themeColor="accent4"/>
          <w:right w:val="single" w:sz="8" w:space="0" w:color="E57200" w:themeColor="accent4"/>
        </w:tcBorders>
      </w:tcPr>
    </w:tblStylePr>
    <w:tblStylePr w:type="firstCol">
      <w:rPr>
        <w:b/>
        <w:bCs/>
      </w:rPr>
    </w:tblStylePr>
    <w:tblStylePr w:type="lastCol">
      <w:rPr>
        <w:b/>
        <w:bCs/>
      </w:rPr>
    </w:tblStylePr>
    <w:tblStylePr w:type="band1Vert">
      <w:tblPr/>
      <w:tcPr>
        <w:tcBorders>
          <w:top w:val="single" w:sz="8" w:space="0" w:color="E57200" w:themeColor="accent4"/>
          <w:left w:val="single" w:sz="8" w:space="0" w:color="E57200" w:themeColor="accent4"/>
          <w:bottom w:val="single" w:sz="8" w:space="0" w:color="E57200" w:themeColor="accent4"/>
          <w:right w:val="single" w:sz="8" w:space="0" w:color="E57200" w:themeColor="accent4"/>
        </w:tcBorders>
      </w:tcPr>
    </w:tblStylePr>
    <w:tblStylePr w:type="band1Horz">
      <w:tblPr/>
      <w:tcPr>
        <w:tcBorders>
          <w:top w:val="single" w:sz="8" w:space="0" w:color="E57200" w:themeColor="accent4"/>
          <w:left w:val="single" w:sz="8" w:space="0" w:color="E57200" w:themeColor="accent4"/>
          <w:bottom w:val="single" w:sz="8" w:space="0" w:color="E57200" w:themeColor="accent4"/>
          <w:right w:val="single" w:sz="8" w:space="0" w:color="E57200" w:themeColor="accent4"/>
        </w:tcBorders>
      </w:tcPr>
    </w:tblStylePr>
  </w:style>
  <w:style w:type="table" w:styleId="LightList-Accent5">
    <w:name w:val="Light List Accent 5"/>
    <w:basedOn w:val="TableNormal"/>
    <w:uiPriority w:val="61"/>
    <w:rsid w:val="00BC3E97"/>
    <w:pPr>
      <w:widowControl/>
      <w:autoSpaceDE/>
      <w:autoSpaceDN/>
    </w:pPr>
    <w:rPr>
      <w:rFonts w:eastAsiaTheme="minorEastAsia"/>
    </w:rPr>
    <w:tblPr>
      <w:tblStyleRowBandSize w:val="1"/>
      <w:tblStyleColBandSize w:val="1"/>
      <w:tblBorders>
        <w:top w:val="single" w:sz="8" w:space="0" w:color="AF272F" w:themeColor="accent5"/>
        <w:left w:val="single" w:sz="8" w:space="0" w:color="AF272F" w:themeColor="accent5"/>
        <w:bottom w:val="single" w:sz="8" w:space="0" w:color="AF272F" w:themeColor="accent5"/>
        <w:right w:val="single" w:sz="8" w:space="0" w:color="AF272F" w:themeColor="accent5"/>
      </w:tblBorders>
    </w:tblPr>
    <w:tblStylePr w:type="firstRow">
      <w:pPr>
        <w:spacing w:before="0" w:after="0" w:line="240" w:lineRule="auto"/>
      </w:pPr>
      <w:rPr>
        <w:b/>
        <w:bCs/>
        <w:color w:val="004C97" w:themeColor="background1"/>
      </w:rPr>
      <w:tblPr/>
      <w:tcPr>
        <w:shd w:val="clear" w:color="auto" w:fill="AF272F" w:themeFill="accent5"/>
      </w:tcPr>
    </w:tblStylePr>
    <w:tblStylePr w:type="lastRow">
      <w:pPr>
        <w:spacing w:before="0" w:after="0" w:line="240" w:lineRule="auto"/>
      </w:pPr>
      <w:rPr>
        <w:b/>
        <w:bCs/>
      </w:rPr>
      <w:tblPr/>
      <w:tcPr>
        <w:tcBorders>
          <w:top w:val="double" w:sz="6" w:space="0" w:color="AF272F" w:themeColor="accent5"/>
          <w:left w:val="single" w:sz="8" w:space="0" w:color="AF272F" w:themeColor="accent5"/>
          <w:bottom w:val="single" w:sz="8" w:space="0" w:color="AF272F" w:themeColor="accent5"/>
          <w:right w:val="single" w:sz="8" w:space="0" w:color="AF272F" w:themeColor="accent5"/>
        </w:tcBorders>
      </w:tcPr>
    </w:tblStylePr>
    <w:tblStylePr w:type="firstCol">
      <w:rPr>
        <w:b/>
        <w:bCs/>
      </w:rPr>
    </w:tblStylePr>
    <w:tblStylePr w:type="lastCol">
      <w:rPr>
        <w:b/>
        <w:bCs/>
      </w:rPr>
    </w:tblStylePr>
    <w:tblStylePr w:type="band1Vert">
      <w:tblPr/>
      <w:tcPr>
        <w:tcBorders>
          <w:top w:val="single" w:sz="8" w:space="0" w:color="AF272F" w:themeColor="accent5"/>
          <w:left w:val="single" w:sz="8" w:space="0" w:color="AF272F" w:themeColor="accent5"/>
          <w:bottom w:val="single" w:sz="8" w:space="0" w:color="AF272F" w:themeColor="accent5"/>
          <w:right w:val="single" w:sz="8" w:space="0" w:color="AF272F" w:themeColor="accent5"/>
        </w:tcBorders>
      </w:tcPr>
    </w:tblStylePr>
    <w:tblStylePr w:type="band1Horz">
      <w:tblPr/>
      <w:tcPr>
        <w:tcBorders>
          <w:top w:val="single" w:sz="8" w:space="0" w:color="AF272F" w:themeColor="accent5"/>
          <w:left w:val="single" w:sz="8" w:space="0" w:color="AF272F" w:themeColor="accent5"/>
          <w:bottom w:val="single" w:sz="8" w:space="0" w:color="AF272F" w:themeColor="accent5"/>
          <w:right w:val="single" w:sz="8" w:space="0" w:color="AF272F" w:themeColor="accent5"/>
        </w:tcBorders>
      </w:tcPr>
    </w:tblStylePr>
  </w:style>
  <w:style w:type="table" w:styleId="LightList-Accent6">
    <w:name w:val="Light List Accent 6"/>
    <w:basedOn w:val="TableNormal"/>
    <w:uiPriority w:val="61"/>
    <w:rsid w:val="00BC3E97"/>
    <w:pPr>
      <w:widowControl/>
      <w:autoSpaceDE/>
      <w:autoSpaceDN/>
    </w:pPr>
    <w:rPr>
      <w:rFonts w:eastAsiaTheme="minorEastAsia"/>
    </w:rPr>
    <w:tblPr>
      <w:tblStyleRowBandSize w:val="1"/>
      <w:tblStyleColBandSize w:val="1"/>
      <w:tblBorders>
        <w:top w:val="single" w:sz="8" w:space="0" w:color="642667" w:themeColor="accent6"/>
        <w:left w:val="single" w:sz="8" w:space="0" w:color="642667" w:themeColor="accent6"/>
        <w:bottom w:val="single" w:sz="8" w:space="0" w:color="642667" w:themeColor="accent6"/>
        <w:right w:val="single" w:sz="8" w:space="0" w:color="642667" w:themeColor="accent6"/>
      </w:tblBorders>
    </w:tblPr>
    <w:tblStylePr w:type="firstRow">
      <w:pPr>
        <w:spacing w:before="0" w:after="0" w:line="240" w:lineRule="auto"/>
      </w:pPr>
      <w:rPr>
        <w:b/>
        <w:bCs/>
        <w:color w:val="004C97" w:themeColor="background1"/>
      </w:rPr>
      <w:tblPr/>
      <w:tcPr>
        <w:shd w:val="clear" w:color="auto" w:fill="642667" w:themeFill="accent6"/>
      </w:tcPr>
    </w:tblStylePr>
    <w:tblStylePr w:type="lastRow">
      <w:pPr>
        <w:spacing w:before="0" w:after="0" w:line="240" w:lineRule="auto"/>
      </w:pPr>
      <w:rPr>
        <w:b/>
        <w:bCs/>
      </w:rPr>
      <w:tblPr/>
      <w:tcPr>
        <w:tcBorders>
          <w:top w:val="double" w:sz="6" w:space="0" w:color="642667" w:themeColor="accent6"/>
          <w:left w:val="single" w:sz="8" w:space="0" w:color="642667" w:themeColor="accent6"/>
          <w:bottom w:val="single" w:sz="8" w:space="0" w:color="642667" w:themeColor="accent6"/>
          <w:right w:val="single" w:sz="8" w:space="0" w:color="642667" w:themeColor="accent6"/>
        </w:tcBorders>
      </w:tcPr>
    </w:tblStylePr>
    <w:tblStylePr w:type="firstCol">
      <w:rPr>
        <w:b/>
        <w:bCs/>
      </w:rPr>
    </w:tblStylePr>
    <w:tblStylePr w:type="lastCol">
      <w:rPr>
        <w:b/>
        <w:bCs/>
      </w:rPr>
    </w:tblStylePr>
    <w:tblStylePr w:type="band1Vert">
      <w:tblPr/>
      <w:tcPr>
        <w:tcBorders>
          <w:top w:val="single" w:sz="8" w:space="0" w:color="642667" w:themeColor="accent6"/>
          <w:left w:val="single" w:sz="8" w:space="0" w:color="642667" w:themeColor="accent6"/>
          <w:bottom w:val="single" w:sz="8" w:space="0" w:color="642667" w:themeColor="accent6"/>
          <w:right w:val="single" w:sz="8" w:space="0" w:color="642667" w:themeColor="accent6"/>
        </w:tcBorders>
      </w:tcPr>
    </w:tblStylePr>
    <w:tblStylePr w:type="band1Horz">
      <w:tblPr/>
      <w:tcPr>
        <w:tcBorders>
          <w:top w:val="single" w:sz="8" w:space="0" w:color="642667" w:themeColor="accent6"/>
          <w:left w:val="single" w:sz="8" w:space="0" w:color="642667" w:themeColor="accent6"/>
          <w:bottom w:val="single" w:sz="8" w:space="0" w:color="642667" w:themeColor="accent6"/>
          <w:right w:val="single" w:sz="8" w:space="0" w:color="642667" w:themeColor="accent6"/>
        </w:tcBorders>
      </w:tcPr>
    </w:tblStylePr>
  </w:style>
  <w:style w:type="table" w:styleId="LightGrid">
    <w:name w:val="Light Grid"/>
    <w:basedOn w:val="TableNormal"/>
    <w:uiPriority w:val="62"/>
    <w:rsid w:val="00BC3E97"/>
    <w:pPr>
      <w:widowControl/>
      <w:autoSpaceDE/>
      <w:autoSpaceDN/>
    </w:pPr>
    <w:rPr>
      <w:rFonts w:eastAsiaTheme="minorEastAsia"/>
    </w:rPr>
    <w:tblPr>
      <w:tblStyleRowBandSize w:val="1"/>
      <w:tblStyleColBandSize w:val="1"/>
      <w:tblBorders>
        <w:top w:val="single" w:sz="8" w:space="0" w:color="201547" w:themeColor="text1"/>
        <w:left w:val="single" w:sz="8" w:space="0" w:color="201547" w:themeColor="text1"/>
        <w:bottom w:val="single" w:sz="8" w:space="0" w:color="201547" w:themeColor="text1"/>
        <w:right w:val="single" w:sz="8" w:space="0" w:color="201547" w:themeColor="text1"/>
        <w:insideH w:val="single" w:sz="8" w:space="0" w:color="201547" w:themeColor="text1"/>
        <w:insideV w:val="single" w:sz="8" w:space="0" w:color="201547"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text1"/>
          <w:left w:val="single" w:sz="8" w:space="0" w:color="201547" w:themeColor="text1"/>
          <w:bottom w:val="single" w:sz="18" w:space="0" w:color="201547" w:themeColor="text1"/>
          <w:right w:val="single" w:sz="8" w:space="0" w:color="201547" w:themeColor="text1"/>
          <w:insideH w:val="nil"/>
          <w:insideV w:val="single" w:sz="8" w:space="0" w:color="201547"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text1"/>
          <w:left w:val="single" w:sz="8" w:space="0" w:color="201547" w:themeColor="text1"/>
          <w:bottom w:val="single" w:sz="8" w:space="0" w:color="201547" w:themeColor="text1"/>
          <w:right w:val="single" w:sz="8" w:space="0" w:color="201547" w:themeColor="text1"/>
          <w:insideH w:val="nil"/>
          <w:insideV w:val="single" w:sz="8" w:space="0" w:color="201547"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text1"/>
          <w:left w:val="single" w:sz="8" w:space="0" w:color="201547" w:themeColor="text1"/>
          <w:bottom w:val="single" w:sz="8" w:space="0" w:color="201547" w:themeColor="text1"/>
          <w:right w:val="single" w:sz="8" w:space="0" w:color="201547" w:themeColor="text1"/>
        </w:tcBorders>
      </w:tcPr>
    </w:tblStylePr>
    <w:tblStylePr w:type="band1Vert">
      <w:tblPr/>
      <w:tcPr>
        <w:tcBorders>
          <w:top w:val="single" w:sz="8" w:space="0" w:color="201547" w:themeColor="text1"/>
          <w:left w:val="single" w:sz="8" w:space="0" w:color="201547" w:themeColor="text1"/>
          <w:bottom w:val="single" w:sz="8" w:space="0" w:color="201547" w:themeColor="text1"/>
          <w:right w:val="single" w:sz="8" w:space="0" w:color="201547" w:themeColor="text1"/>
        </w:tcBorders>
        <w:shd w:val="clear" w:color="auto" w:fill="BBAFE7" w:themeFill="text1" w:themeFillTint="3F"/>
      </w:tcPr>
    </w:tblStylePr>
    <w:tblStylePr w:type="band1Horz">
      <w:tblPr/>
      <w:tcPr>
        <w:tcBorders>
          <w:top w:val="single" w:sz="8" w:space="0" w:color="201547" w:themeColor="text1"/>
          <w:left w:val="single" w:sz="8" w:space="0" w:color="201547" w:themeColor="text1"/>
          <w:bottom w:val="single" w:sz="8" w:space="0" w:color="201547" w:themeColor="text1"/>
          <w:right w:val="single" w:sz="8" w:space="0" w:color="201547" w:themeColor="text1"/>
          <w:insideV w:val="single" w:sz="8" w:space="0" w:color="201547" w:themeColor="text1"/>
        </w:tcBorders>
        <w:shd w:val="clear" w:color="auto" w:fill="BBAFE7" w:themeFill="text1" w:themeFillTint="3F"/>
      </w:tcPr>
    </w:tblStylePr>
    <w:tblStylePr w:type="band2Horz">
      <w:tblPr/>
      <w:tcPr>
        <w:tcBorders>
          <w:top w:val="single" w:sz="8" w:space="0" w:color="201547" w:themeColor="text1"/>
          <w:left w:val="single" w:sz="8" w:space="0" w:color="201547" w:themeColor="text1"/>
          <w:bottom w:val="single" w:sz="8" w:space="0" w:color="201547" w:themeColor="text1"/>
          <w:right w:val="single" w:sz="8" w:space="0" w:color="201547" w:themeColor="text1"/>
          <w:insideV w:val="single" w:sz="8" w:space="0" w:color="201547" w:themeColor="text1"/>
        </w:tcBorders>
      </w:tcPr>
    </w:tblStylePr>
  </w:style>
  <w:style w:type="table" w:styleId="LightGrid-Accent1">
    <w:name w:val="Light Grid Accent 1"/>
    <w:basedOn w:val="TableNormal"/>
    <w:uiPriority w:val="62"/>
    <w:rsid w:val="00BC3E97"/>
    <w:pPr>
      <w:widowControl/>
      <w:autoSpaceDE/>
      <w:autoSpaceDN/>
    </w:pPr>
    <w:rPr>
      <w:rFonts w:eastAsiaTheme="minorEastAsia"/>
    </w:rPr>
    <w:tblPr>
      <w:tblStyleRowBandSize w:val="1"/>
      <w:tblStyleColBandSize w:val="1"/>
      <w:tblBorders>
        <w:top w:val="single" w:sz="8" w:space="0" w:color="007B4B" w:themeColor="accent1"/>
        <w:left w:val="single" w:sz="8" w:space="0" w:color="007B4B" w:themeColor="accent1"/>
        <w:bottom w:val="single" w:sz="8" w:space="0" w:color="007B4B" w:themeColor="accent1"/>
        <w:right w:val="single" w:sz="8" w:space="0" w:color="007B4B" w:themeColor="accent1"/>
        <w:insideH w:val="single" w:sz="8" w:space="0" w:color="007B4B" w:themeColor="accent1"/>
        <w:insideV w:val="single" w:sz="8" w:space="0" w:color="007B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B4B" w:themeColor="accent1"/>
          <w:left w:val="single" w:sz="8" w:space="0" w:color="007B4B" w:themeColor="accent1"/>
          <w:bottom w:val="single" w:sz="18" w:space="0" w:color="007B4B" w:themeColor="accent1"/>
          <w:right w:val="single" w:sz="8" w:space="0" w:color="007B4B" w:themeColor="accent1"/>
          <w:insideH w:val="nil"/>
          <w:insideV w:val="single" w:sz="8" w:space="0" w:color="007B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B4B" w:themeColor="accent1"/>
          <w:left w:val="single" w:sz="8" w:space="0" w:color="007B4B" w:themeColor="accent1"/>
          <w:bottom w:val="single" w:sz="8" w:space="0" w:color="007B4B" w:themeColor="accent1"/>
          <w:right w:val="single" w:sz="8" w:space="0" w:color="007B4B" w:themeColor="accent1"/>
          <w:insideH w:val="nil"/>
          <w:insideV w:val="single" w:sz="8" w:space="0" w:color="007B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B4B" w:themeColor="accent1"/>
          <w:left w:val="single" w:sz="8" w:space="0" w:color="007B4B" w:themeColor="accent1"/>
          <w:bottom w:val="single" w:sz="8" w:space="0" w:color="007B4B" w:themeColor="accent1"/>
          <w:right w:val="single" w:sz="8" w:space="0" w:color="007B4B" w:themeColor="accent1"/>
        </w:tcBorders>
      </w:tcPr>
    </w:tblStylePr>
    <w:tblStylePr w:type="band1Vert">
      <w:tblPr/>
      <w:tcPr>
        <w:tcBorders>
          <w:top w:val="single" w:sz="8" w:space="0" w:color="007B4B" w:themeColor="accent1"/>
          <w:left w:val="single" w:sz="8" w:space="0" w:color="007B4B" w:themeColor="accent1"/>
          <w:bottom w:val="single" w:sz="8" w:space="0" w:color="007B4B" w:themeColor="accent1"/>
          <w:right w:val="single" w:sz="8" w:space="0" w:color="007B4B" w:themeColor="accent1"/>
        </w:tcBorders>
        <w:shd w:val="clear" w:color="auto" w:fill="9FFFD9" w:themeFill="accent1" w:themeFillTint="3F"/>
      </w:tcPr>
    </w:tblStylePr>
    <w:tblStylePr w:type="band1Horz">
      <w:tblPr/>
      <w:tcPr>
        <w:tcBorders>
          <w:top w:val="single" w:sz="8" w:space="0" w:color="007B4B" w:themeColor="accent1"/>
          <w:left w:val="single" w:sz="8" w:space="0" w:color="007B4B" w:themeColor="accent1"/>
          <w:bottom w:val="single" w:sz="8" w:space="0" w:color="007B4B" w:themeColor="accent1"/>
          <w:right w:val="single" w:sz="8" w:space="0" w:color="007B4B" w:themeColor="accent1"/>
          <w:insideV w:val="single" w:sz="8" w:space="0" w:color="007B4B" w:themeColor="accent1"/>
        </w:tcBorders>
        <w:shd w:val="clear" w:color="auto" w:fill="9FFFD9" w:themeFill="accent1" w:themeFillTint="3F"/>
      </w:tcPr>
    </w:tblStylePr>
    <w:tblStylePr w:type="band2Horz">
      <w:tblPr/>
      <w:tcPr>
        <w:tcBorders>
          <w:top w:val="single" w:sz="8" w:space="0" w:color="007B4B" w:themeColor="accent1"/>
          <w:left w:val="single" w:sz="8" w:space="0" w:color="007B4B" w:themeColor="accent1"/>
          <w:bottom w:val="single" w:sz="8" w:space="0" w:color="007B4B" w:themeColor="accent1"/>
          <w:right w:val="single" w:sz="8" w:space="0" w:color="007B4B" w:themeColor="accent1"/>
          <w:insideV w:val="single" w:sz="8" w:space="0" w:color="007B4B" w:themeColor="accent1"/>
        </w:tcBorders>
      </w:tcPr>
    </w:tblStylePr>
  </w:style>
  <w:style w:type="table" w:styleId="LightGrid-Accent2">
    <w:name w:val="Light Grid Accent 2"/>
    <w:basedOn w:val="TableNormal"/>
    <w:uiPriority w:val="62"/>
    <w:rsid w:val="00BC3E97"/>
    <w:pPr>
      <w:widowControl/>
      <w:autoSpaceDE/>
      <w:autoSpaceDN/>
    </w:pPr>
    <w:rPr>
      <w:rFonts w:eastAsiaTheme="minorEastAsia"/>
    </w:rPr>
    <w:tblPr>
      <w:tblStyleRowBandSize w:val="1"/>
      <w:tblStyleColBandSize w:val="1"/>
      <w:tblBorders>
        <w:top w:val="single" w:sz="8" w:space="0" w:color="CEDC00" w:themeColor="accent2"/>
        <w:left w:val="single" w:sz="8" w:space="0" w:color="CEDC00" w:themeColor="accent2"/>
        <w:bottom w:val="single" w:sz="8" w:space="0" w:color="CEDC00" w:themeColor="accent2"/>
        <w:right w:val="single" w:sz="8" w:space="0" w:color="CEDC00" w:themeColor="accent2"/>
        <w:insideH w:val="single" w:sz="8" w:space="0" w:color="CEDC00" w:themeColor="accent2"/>
        <w:insideV w:val="single" w:sz="8" w:space="0" w:color="CEDC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2"/>
          <w:left w:val="single" w:sz="8" w:space="0" w:color="CEDC00" w:themeColor="accent2"/>
          <w:bottom w:val="single" w:sz="18" w:space="0" w:color="CEDC00" w:themeColor="accent2"/>
          <w:right w:val="single" w:sz="8" w:space="0" w:color="CEDC00" w:themeColor="accent2"/>
          <w:insideH w:val="nil"/>
          <w:insideV w:val="single" w:sz="8" w:space="0" w:color="CEDC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2"/>
          <w:left w:val="single" w:sz="8" w:space="0" w:color="CEDC00" w:themeColor="accent2"/>
          <w:bottom w:val="single" w:sz="8" w:space="0" w:color="CEDC00" w:themeColor="accent2"/>
          <w:right w:val="single" w:sz="8" w:space="0" w:color="CEDC00" w:themeColor="accent2"/>
          <w:insideH w:val="nil"/>
          <w:insideV w:val="single" w:sz="8" w:space="0" w:color="CEDC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2"/>
          <w:left w:val="single" w:sz="8" w:space="0" w:color="CEDC00" w:themeColor="accent2"/>
          <w:bottom w:val="single" w:sz="8" w:space="0" w:color="CEDC00" w:themeColor="accent2"/>
          <w:right w:val="single" w:sz="8" w:space="0" w:color="CEDC00" w:themeColor="accent2"/>
        </w:tcBorders>
      </w:tcPr>
    </w:tblStylePr>
    <w:tblStylePr w:type="band1Vert">
      <w:tblPr/>
      <w:tcPr>
        <w:tcBorders>
          <w:top w:val="single" w:sz="8" w:space="0" w:color="CEDC00" w:themeColor="accent2"/>
          <w:left w:val="single" w:sz="8" w:space="0" w:color="CEDC00" w:themeColor="accent2"/>
          <w:bottom w:val="single" w:sz="8" w:space="0" w:color="CEDC00" w:themeColor="accent2"/>
          <w:right w:val="single" w:sz="8" w:space="0" w:color="CEDC00" w:themeColor="accent2"/>
        </w:tcBorders>
        <w:shd w:val="clear" w:color="auto" w:fill="FAFFB7" w:themeFill="accent2" w:themeFillTint="3F"/>
      </w:tcPr>
    </w:tblStylePr>
    <w:tblStylePr w:type="band1Horz">
      <w:tblPr/>
      <w:tcPr>
        <w:tcBorders>
          <w:top w:val="single" w:sz="8" w:space="0" w:color="CEDC00" w:themeColor="accent2"/>
          <w:left w:val="single" w:sz="8" w:space="0" w:color="CEDC00" w:themeColor="accent2"/>
          <w:bottom w:val="single" w:sz="8" w:space="0" w:color="CEDC00" w:themeColor="accent2"/>
          <w:right w:val="single" w:sz="8" w:space="0" w:color="CEDC00" w:themeColor="accent2"/>
          <w:insideV w:val="single" w:sz="8" w:space="0" w:color="CEDC00" w:themeColor="accent2"/>
        </w:tcBorders>
        <w:shd w:val="clear" w:color="auto" w:fill="FAFFB7" w:themeFill="accent2" w:themeFillTint="3F"/>
      </w:tcPr>
    </w:tblStylePr>
    <w:tblStylePr w:type="band2Horz">
      <w:tblPr/>
      <w:tcPr>
        <w:tcBorders>
          <w:top w:val="single" w:sz="8" w:space="0" w:color="CEDC00" w:themeColor="accent2"/>
          <w:left w:val="single" w:sz="8" w:space="0" w:color="CEDC00" w:themeColor="accent2"/>
          <w:bottom w:val="single" w:sz="8" w:space="0" w:color="CEDC00" w:themeColor="accent2"/>
          <w:right w:val="single" w:sz="8" w:space="0" w:color="CEDC00" w:themeColor="accent2"/>
          <w:insideV w:val="single" w:sz="8" w:space="0" w:color="CEDC00" w:themeColor="accent2"/>
        </w:tcBorders>
      </w:tcPr>
    </w:tblStylePr>
  </w:style>
  <w:style w:type="table" w:styleId="LightGrid-Accent3">
    <w:name w:val="Light Grid Accent 3"/>
    <w:basedOn w:val="TableNormal"/>
    <w:uiPriority w:val="62"/>
    <w:rsid w:val="00BC3E97"/>
    <w:pPr>
      <w:widowControl/>
      <w:autoSpaceDE/>
      <w:autoSpaceDN/>
    </w:pPr>
    <w:rPr>
      <w:rFonts w:eastAsiaTheme="minorEastAsia"/>
    </w:rPr>
    <w:tblPr>
      <w:tblStyleRowBandSize w:val="1"/>
      <w:tblStyleColBandSize w:val="1"/>
      <w:tblBorders>
        <w:top w:val="single" w:sz="8" w:space="0" w:color="F6BE00" w:themeColor="accent3"/>
        <w:left w:val="single" w:sz="8" w:space="0" w:color="F6BE00" w:themeColor="accent3"/>
        <w:bottom w:val="single" w:sz="8" w:space="0" w:color="F6BE00" w:themeColor="accent3"/>
        <w:right w:val="single" w:sz="8" w:space="0" w:color="F6BE00" w:themeColor="accent3"/>
        <w:insideH w:val="single" w:sz="8" w:space="0" w:color="F6BE00" w:themeColor="accent3"/>
        <w:insideV w:val="single" w:sz="8" w:space="0" w:color="F6BE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BE00" w:themeColor="accent3"/>
          <w:left w:val="single" w:sz="8" w:space="0" w:color="F6BE00" w:themeColor="accent3"/>
          <w:bottom w:val="single" w:sz="18" w:space="0" w:color="F6BE00" w:themeColor="accent3"/>
          <w:right w:val="single" w:sz="8" w:space="0" w:color="F6BE00" w:themeColor="accent3"/>
          <w:insideH w:val="nil"/>
          <w:insideV w:val="single" w:sz="8" w:space="0" w:color="F6BE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BE00" w:themeColor="accent3"/>
          <w:left w:val="single" w:sz="8" w:space="0" w:color="F6BE00" w:themeColor="accent3"/>
          <w:bottom w:val="single" w:sz="8" w:space="0" w:color="F6BE00" w:themeColor="accent3"/>
          <w:right w:val="single" w:sz="8" w:space="0" w:color="F6BE00" w:themeColor="accent3"/>
          <w:insideH w:val="nil"/>
          <w:insideV w:val="single" w:sz="8" w:space="0" w:color="F6BE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BE00" w:themeColor="accent3"/>
          <w:left w:val="single" w:sz="8" w:space="0" w:color="F6BE00" w:themeColor="accent3"/>
          <w:bottom w:val="single" w:sz="8" w:space="0" w:color="F6BE00" w:themeColor="accent3"/>
          <w:right w:val="single" w:sz="8" w:space="0" w:color="F6BE00" w:themeColor="accent3"/>
        </w:tcBorders>
      </w:tcPr>
    </w:tblStylePr>
    <w:tblStylePr w:type="band1Vert">
      <w:tblPr/>
      <w:tcPr>
        <w:tcBorders>
          <w:top w:val="single" w:sz="8" w:space="0" w:color="F6BE00" w:themeColor="accent3"/>
          <w:left w:val="single" w:sz="8" w:space="0" w:color="F6BE00" w:themeColor="accent3"/>
          <w:bottom w:val="single" w:sz="8" w:space="0" w:color="F6BE00" w:themeColor="accent3"/>
          <w:right w:val="single" w:sz="8" w:space="0" w:color="F6BE00" w:themeColor="accent3"/>
        </w:tcBorders>
        <w:shd w:val="clear" w:color="auto" w:fill="FFEFBD" w:themeFill="accent3" w:themeFillTint="3F"/>
      </w:tcPr>
    </w:tblStylePr>
    <w:tblStylePr w:type="band1Horz">
      <w:tblPr/>
      <w:tcPr>
        <w:tcBorders>
          <w:top w:val="single" w:sz="8" w:space="0" w:color="F6BE00" w:themeColor="accent3"/>
          <w:left w:val="single" w:sz="8" w:space="0" w:color="F6BE00" w:themeColor="accent3"/>
          <w:bottom w:val="single" w:sz="8" w:space="0" w:color="F6BE00" w:themeColor="accent3"/>
          <w:right w:val="single" w:sz="8" w:space="0" w:color="F6BE00" w:themeColor="accent3"/>
          <w:insideV w:val="single" w:sz="8" w:space="0" w:color="F6BE00" w:themeColor="accent3"/>
        </w:tcBorders>
        <w:shd w:val="clear" w:color="auto" w:fill="FFEFBD" w:themeFill="accent3" w:themeFillTint="3F"/>
      </w:tcPr>
    </w:tblStylePr>
    <w:tblStylePr w:type="band2Horz">
      <w:tblPr/>
      <w:tcPr>
        <w:tcBorders>
          <w:top w:val="single" w:sz="8" w:space="0" w:color="F6BE00" w:themeColor="accent3"/>
          <w:left w:val="single" w:sz="8" w:space="0" w:color="F6BE00" w:themeColor="accent3"/>
          <w:bottom w:val="single" w:sz="8" w:space="0" w:color="F6BE00" w:themeColor="accent3"/>
          <w:right w:val="single" w:sz="8" w:space="0" w:color="F6BE00" w:themeColor="accent3"/>
          <w:insideV w:val="single" w:sz="8" w:space="0" w:color="F6BE00" w:themeColor="accent3"/>
        </w:tcBorders>
      </w:tcPr>
    </w:tblStylePr>
  </w:style>
  <w:style w:type="table" w:styleId="LightGrid-Accent4">
    <w:name w:val="Light Grid Accent 4"/>
    <w:basedOn w:val="TableNormal"/>
    <w:uiPriority w:val="62"/>
    <w:rsid w:val="00BC3E97"/>
    <w:pPr>
      <w:widowControl/>
      <w:autoSpaceDE/>
      <w:autoSpaceDN/>
    </w:pPr>
    <w:rPr>
      <w:rFonts w:eastAsiaTheme="minorEastAsia"/>
    </w:rPr>
    <w:tblPr>
      <w:tblStyleRowBandSize w:val="1"/>
      <w:tblStyleColBandSize w:val="1"/>
      <w:tblBorders>
        <w:top w:val="single" w:sz="8" w:space="0" w:color="E57200" w:themeColor="accent4"/>
        <w:left w:val="single" w:sz="8" w:space="0" w:color="E57200" w:themeColor="accent4"/>
        <w:bottom w:val="single" w:sz="8" w:space="0" w:color="E57200" w:themeColor="accent4"/>
        <w:right w:val="single" w:sz="8" w:space="0" w:color="E57200" w:themeColor="accent4"/>
        <w:insideH w:val="single" w:sz="8" w:space="0" w:color="E57200" w:themeColor="accent4"/>
        <w:insideV w:val="single" w:sz="8" w:space="0" w:color="E572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7200" w:themeColor="accent4"/>
          <w:left w:val="single" w:sz="8" w:space="0" w:color="E57200" w:themeColor="accent4"/>
          <w:bottom w:val="single" w:sz="18" w:space="0" w:color="E57200" w:themeColor="accent4"/>
          <w:right w:val="single" w:sz="8" w:space="0" w:color="E57200" w:themeColor="accent4"/>
          <w:insideH w:val="nil"/>
          <w:insideV w:val="single" w:sz="8" w:space="0" w:color="E572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7200" w:themeColor="accent4"/>
          <w:left w:val="single" w:sz="8" w:space="0" w:color="E57200" w:themeColor="accent4"/>
          <w:bottom w:val="single" w:sz="8" w:space="0" w:color="E57200" w:themeColor="accent4"/>
          <w:right w:val="single" w:sz="8" w:space="0" w:color="E57200" w:themeColor="accent4"/>
          <w:insideH w:val="nil"/>
          <w:insideV w:val="single" w:sz="8" w:space="0" w:color="E572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7200" w:themeColor="accent4"/>
          <w:left w:val="single" w:sz="8" w:space="0" w:color="E57200" w:themeColor="accent4"/>
          <w:bottom w:val="single" w:sz="8" w:space="0" w:color="E57200" w:themeColor="accent4"/>
          <w:right w:val="single" w:sz="8" w:space="0" w:color="E57200" w:themeColor="accent4"/>
        </w:tcBorders>
      </w:tcPr>
    </w:tblStylePr>
    <w:tblStylePr w:type="band1Vert">
      <w:tblPr/>
      <w:tcPr>
        <w:tcBorders>
          <w:top w:val="single" w:sz="8" w:space="0" w:color="E57200" w:themeColor="accent4"/>
          <w:left w:val="single" w:sz="8" w:space="0" w:color="E57200" w:themeColor="accent4"/>
          <w:bottom w:val="single" w:sz="8" w:space="0" w:color="E57200" w:themeColor="accent4"/>
          <w:right w:val="single" w:sz="8" w:space="0" w:color="E57200" w:themeColor="accent4"/>
        </w:tcBorders>
        <w:shd w:val="clear" w:color="auto" w:fill="FFDBB9" w:themeFill="accent4" w:themeFillTint="3F"/>
      </w:tcPr>
    </w:tblStylePr>
    <w:tblStylePr w:type="band1Horz">
      <w:tblPr/>
      <w:tcPr>
        <w:tcBorders>
          <w:top w:val="single" w:sz="8" w:space="0" w:color="E57200" w:themeColor="accent4"/>
          <w:left w:val="single" w:sz="8" w:space="0" w:color="E57200" w:themeColor="accent4"/>
          <w:bottom w:val="single" w:sz="8" w:space="0" w:color="E57200" w:themeColor="accent4"/>
          <w:right w:val="single" w:sz="8" w:space="0" w:color="E57200" w:themeColor="accent4"/>
          <w:insideV w:val="single" w:sz="8" w:space="0" w:color="E57200" w:themeColor="accent4"/>
        </w:tcBorders>
        <w:shd w:val="clear" w:color="auto" w:fill="FFDBB9" w:themeFill="accent4" w:themeFillTint="3F"/>
      </w:tcPr>
    </w:tblStylePr>
    <w:tblStylePr w:type="band2Horz">
      <w:tblPr/>
      <w:tcPr>
        <w:tcBorders>
          <w:top w:val="single" w:sz="8" w:space="0" w:color="E57200" w:themeColor="accent4"/>
          <w:left w:val="single" w:sz="8" w:space="0" w:color="E57200" w:themeColor="accent4"/>
          <w:bottom w:val="single" w:sz="8" w:space="0" w:color="E57200" w:themeColor="accent4"/>
          <w:right w:val="single" w:sz="8" w:space="0" w:color="E57200" w:themeColor="accent4"/>
          <w:insideV w:val="single" w:sz="8" w:space="0" w:color="E57200" w:themeColor="accent4"/>
        </w:tcBorders>
      </w:tcPr>
    </w:tblStylePr>
  </w:style>
  <w:style w:type="table" w:styleId="LightGrid-Accent5">
    <w:name w:val="Light Grid Accent 5"/>
    <w:basedOn w:val="TableNormal"/>
    <w:uiPriority w:val="62"/>
    <w:rsid w:val="00BC3E97"/>
    <w:pPr>
      <w:widowControl/>
      <w:autoSpaceDE/>
      <w:autoSpaceDN/>
    </w:pPr>
    <w:rPr>
      <w:rFonts w:eastAsiaTheme="minorEastAsia"/>
    </w:rPr>
    <w:tblPr>
      <w:tblStyleRowBandSize w:val="1"/>
      <w:tblStyleColBandSize w:val="1"/>
      <w:tblBorders>
        <w:top w:val="single" w:sz="8" w:space="0" w:color="AF272F" w:themeColor="accent5"/>
        <w:left w:val="single" w:sz="8" w:space="0" w:color="AF272F" w:themeColor="accent5"/>
        <w:bottom w:val="single" w:sz="8" w:space="0" w:color="AF272F" w:themeColor="accent5"/>
        <w:right w:val="single" w:sz="8" w:space="0" w:color="AF272F" w:themeColor="accent5"/>
        <w:insideH w:val="single" w:sz="8" w:space="0" w:color="AF272F" w:themeColor="accent5"/>
        <w:insideV w:val="single" w:sz="8" w:space="0" w:color="AF272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272F" w:themeColor="accent5"/>
          <w:left w:val="single" w:sz="8" w:space="0" w:color="AF272F" w:themeColor="accent5"/>
          <w:bottom w:val="single" w:sz="18" w:space="0" w:color="AF272F" w:themeColor="accent5"/>
          <w:right w:val="single" w:sz="8" w:space="0" w:color="AF272F" w:themeColor="accent5"/>
          <w:insideH w:val="nil"/>
          <w:insideV w:val="single" w:sz="8" w:space="0" w:color="AF272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272F" w:themeColor="accent5"/>
          <w:left w:val="single" w:sz="8" w:space="0" w:color="AF272F" w:themeColor="accent5"/>
          <w:bottom w:val="single" w:sz="8" w:space="0" w:color="AF272F" w:themeColor="accent5"/>
          <w:right w:val="single" w:sz="8" w:space="0" w:color="AF272F" w:themeColor="accent5"/>
          <w:insideH w:val="nil"/>
          <w:insideV w:val="single" w:sz="8" w:space="0" w:color="AF272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272F" w:themeColor="accent5"/>
          <w:left w:val="single" w:sz="8" w:space="0" w:color="AF272F" w:themeColor="accent5"/>
          <w:bottom w:val="single" w:sz="8" w:space="0" w:color="AF272F" w:themeColor="accent5"/>
          <w:right w:val="single" w:sz="8" w:space="0" w:color="AF272F" w:themeColor="accent5"/>
        </w:tcBorders>
      </w:tcPr>
    </w:tblStylePr>
    <w:tblStylePr w:type="band1Vert">
      <w:tblPr/>
      <w:tcPr>
        <w:tcBorders>
          <w:top w:val="single" w:sz="8" w:space="0" w:color="AF272F" w:themeColor="accent5"/>
          <w:left w:val="single" w:sz="8" w:space="0" w:color="AF272F" w:themeColor="accent5"/>
          <w:bottom w:val="single" w:sz="8" w:space="0" w:color="AF272F" w:themeColor="accent5"/>
          <w:right w:val="single" w:sz="8" w:space="0" w:color="AF272F" w:themeColor="accent5"/>
        </w:tcBorders>
        <w:shd w:val="clear" w:color="auto" w:fill="F1C3C5" w:themeFill="accent5" w:themeFillTint="3F"/>
      </w:tcPr>
    </w:tblStylePr>
    <w:tblStylePr w:type="band1Horz">
      <w:tblPr/>
      <w:tcPr>
        <w:tcBorders>
          <w:top w:val="single" w:sz="8" w:space="0" w:color="AF272F" w:themeColor="accent5"/>
          <w:left w:val="single" w:sz="8" w:space="0" w:color="AF272F" w:themeColor="accent5"/>
          <w:bottom w:val="single" w:sz="8" w:space="0" w:color="AF272F" w:themeColor="accent5"/>
          <w:right w:val="single" w:sz="8" w:space="0" w:color="AF272F" w:themeColor="accent5"/>
          <w:insideV w:val="single" w:sz="8" w:space="0" w:color="AF272F" w:themeColor="accent5"/>
        </w:tcBorders>
        <w:shd w:val="clear" w:color="auto" w:fill="F1C3C5" w:themeFill="accent5" w:themeFillTint="3F"/>
      </w:tcPr>
    </w:tblStylePr>
    <w:tblStylePr w:type="band2Horz">
      <w:tblPr/>
      <w:tcPr>
        <w:tcBorders>
          <w:top w:val="single" w:sz="8" w:space="0" w:color="AF272F" w:themeColor="accent5"/>
          <w:left w:val="single" w:sz="8" w:space="0" w:color="AF272F" w:themeColor="accent5"/>
          <w:bottom w:val="single" w:sz="8" w:space="0" w:color="AF272F" w:themeColor="accent5"/>
          <w:right w:val="single" w:sz="8" w:space="0" w:color="AF272F" w:themeColor="accent5"/>
          <w:insideV w:val="single" w:sz="8" w:space="0" w:color="AF272F" w:themeColor="accent5"/>
        </w:tcBorders>
      </w:tcPr>
    </w:tblStylePr>
  </w:style>
  <w:style w:type="table" w:styleId="LightGrid-Accent6">
    <w:name w:val="Light Grid Accent 6"/>
    <w:basedOn w:val="TableNormal"/>
    <w:uiPriority w:val="62"/>
    <w:rsid w:val="00BC3E97"/>
    <w:pPr>
      <w:widowControl/>
      <w:autoSpaceDE/>
      <w:autoSpaceDN/>
    </w:pPr>
    <w:rPr>
      <w:rFonts w:eastAsiaTheme="minorEastAsia"/>
    </w:rPr>
    <w:tblPr>
      <w:tblStyleRowBandSize w:val="1"/>
      <w:tblStyleColBandSize w:val="1"/>
      <w:tblBorders>
        <w:top w:val="single" w:sz="8" w:space="0" w:color="642667" w:themeColor="accent6"/>
        <w:left w:val="single" w:sz="8" w:space="0" w:color="642667" w:themeColor="accent6"/>
        <w:bottom w:val="single" w:sz="8" w:space="0" w:color="642667" w:themeColor="accent6"/>
        <w:right w:val="single" w:sz="8" w:space="0" w:color="642667" w:themeColor="accent6"/>
        <w:insideH w:val="single" w:sz="8" w:space="0" w:color="642667" w:themeColor="accent6"/>
        <w:insideV w:val="single" w:sz="8" w:space="0" w:color="64266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2667" w:themeColor="accent6"/>
          <w:left w:val="single" w:sz="8" w:space="0" w:color="642667" w:themeColor="accent6"/>
          <w:bottom w:val="single" w:sz="18" w:space="0" w:color="642667" w:themeColor="accent6"/>
          <w:right w:val="single" w:sz="8" w:space="0" w:color="642667" w:themeColor="accent6"/>
          <w:insideH w:val="nil"/>
          <w:insideV w:val="single" w:sz="8" w:space="0" w:color="64266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2667" w:themeColor="accent6"/>
          <w:left w:val="single" w:sz="8" w:space="0" w:color="642667" w:themeColor="accent6"/>
          <w:bottom w:val="single" w:sz="8" w:space="0" w:color="642667" w:themeColor="accent6"/>
          <w:right w:val="single" w:sz="8" w:space="0" w:color="642667" w:themeColor="accent6"/>
          <w:insideH w:val="nil"/>
          <w:insideV w:val="single" w:sz="8" w:space="0" w:color="64266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2667" w:themeColor="accent6"/>
          <w:left w:val="single" w:sz="8" w:space="0" w:color="642667" w:themeColor="accent6"/>
          <w:bottom w:val="single" w:sz="8" w:space="0" w:color="642667" w:themeColor="accent6"/>
          <w:right w:val="single" w:sz="8" w:space="0" w:color="642667" w:themeColor="accent6"/>
        </w:tcBorders>
      </w:tcPr>
    </w:tblStylePr>
    <w:tblStylePr w:type="band1Vert">
      <w:tblPr/>
      <w:tcPr>
        <w:tcBorders>
          <w:top w:val="single" w:sz="8" w:space="0" w:color="642667" w:themeColor="accent6"/>
          <w:left w:val="single" w:sz="8" w:space="0" w:color="642667" w:themeColor="accent6"/>
          <w:bottom w:val="single" w:sz="8" w:space="0" w:color="642667" w:themeColor="accent6"/>
          <w:right w:val="single" w:sz="8" w:space="0" w:color="642667" w:themeColor="accent6"/>
        </w:tcBorders>
        <w:shd w:val="clear" w:color="auto" w:fill="E4BCE6" w:themeFill="accent6" w:themeFillTint="3F"/>
      </w:tcPr>
    </w:tblStylePr>
    <w:tblStylePr w:type="band1Horz">
      <w:tblPr/>
      <w:tcPr>
        <w:tcBorders>
          <w:top w:val="single" w:sz="8" w:space="0" w:color="642667" w:themeColor="accent6"/>
          <w:left w:val="single" w:sz="8" w:space="0" w:color="642667" w:themeColor="accent6"/>
          <w:bottom w:val="single" w:sz="8" w:space="0" w:color="642667" w:themeColor="accent6"/>
          <w:right w:val="single" w:sz="8" w:space="0" w:color="642667" w:themeColor="accent6"/>
          <w:insideV w:val="single" w:sz="8" w:space="0" w:color="642667" w:themeColor="accent6"/>
        </w:tcBorders>
        <w:shd w:val="clear" w:color="auto" w:fill="E4BCE6" w:themeFill="accent6" w:themeFillTint="3F"/>
      </w:tcPr>
    </w:tblStylePr>
    <w:tblStylePr w:type="band2Horz">
      <w:tblPr/>
      <w:tcPr>
        <w:tcBorders>
          <w:top w:val="single" w:sz="8" w:space="0" w:color="642667" w:themeColor="accent6"/>
          <w:left w:val="single" w:sz="8" w:space="0" w:color="642667" w:themeColor="accent6"/>
          <w:bottom w:val="single" w:sz="8" w:space="0" w:color="642667" w:themeColor="accent6"/>
          <w:right w:val="single" w:sz="8" w:space="0" w:color="642667" w:themeColor="accent6"/>
          <w:insideV w:val="single" w:sz="8" w:space="0" w:color="642667" w:themeColor="accent6"/>
        </w:tcBorders>
      </w:tcPr>
    </w:tblStylePr>
  </w:style>
  <w:style w:type="table" w:styleId="MediumShading1">
    <w:name w:val="Medium Shading 1"/>
    <w:basedOn w:val="TableNormal"/>
    <w:uiPriority w:val="63"/>
    <w:rsid w:val="00BC3E97"/>
    <w:pPr>
      <w:widowControl/>
      <w:autoSpaceDE/>
      <w:autoSpaceDN/>
    </w:pPr>
    <w:rPr>
      <w:rFonts w:eastAsiaTheme="minorEastAsia"/>
    </w:rPr>
    <w:tblPr>
      <w:tblStyleRowBandSize w:val="1"/>
      <w:tblStyleColBandSize w:val="1"/>
      <w:tblBorders>
        <w:top w:val="single" w:sz="8" w:space="0" w:color="442D97" w:themeColor="text1" w:themeTint="BF"/>
        <w:left w:val="single" w:sz="8" w:space="0" w:color="442D97" w:themeColor="text1" w:themeTint="BF"/>
        <w:bottom w:val="single" w:sz="8" w:space="0" w:color="442D97" w:themeColor="text1" w:themeTint="BF"/>
        <w:right w:val="single" w:sz="8" w:space="0" w:color="442D97" w:themeColor="text1" w:themeTint="BF"/>
        <w:insideH w:val="single" w:sz="8" w:space="0" w:color="442D97" w:themeColor="text1" w:themeTint="BF"/>
      </w:tblBorders>
    </w:tblPr>
    <w:tblStylePr w:type="firstRow">
      <w:pPr>
        <w:spacing w:before="0" w:after="0" w:line="240" w:lineRule="auto"/>
      </w:pPr>
      <w:rPr>
        <w:b/>
        <w:bCs/>
        <w:color w:val="004C97" w:themeColor="background1"/>
      </w:rPr>
      <w:tblPr/>
      <w:tcPr>
        <w:tcBorders>
          <w:top w:val="single" w:sz="8" w:space="0" w:color="442D97" w:themeColor="text1" w:themeTint="BF"/>
          <w:left w:val="single" w:sz="8" w:space="0" w:color="442D97" w:themeColor="text1" w:themeTint="BF"/>
          <w:bottom w:val="single" w:sz="8" w:space="0" w:color="442D97" w:themeColor="text1" w:themeTint="BF"/>
          <w:right w:val="single" w:sz="8" w:space="0" w:color="442D97" w:themeColor="text1" w:themeTint="BF"/>
          <w:insideH w:val="nil"/>
          <w:insideV w:val="nil"/>
        </w:tcBorders>
        <w:shd w:val="clear" w:color="auto" w:fill="201547" w:themeFill="text1"/>
      </w:tcPr>
    </w:tblStylePr>
    <w:tblStylePr w:type="lastRow">
      <w:pPr>
        <w:spacing w:before="0" w:after="0" w:line="240" w:lineRule="auto"/>
      </w:pPr>
      <w:rPr>
        <w:b/>
        <w:bCs/>
      </w:rPr>
      <w:tblPr/>
      <w:tcPr>
        <w:tcBorders>
          <w:top w:val="double" w:sz="6" w:space="0" w:color="442D97" w:themeColor="text1" w:themeTint="BF"/>
          <w:left w:val="single" w:sz="8" w:space="0" w:color="442D97" w:themeColor="text1" w:themeTint="BF"/>
          <w:bottom w:val="single" w:sz="8" w:space="0" w:color="442D97" w:themeColor="text1" w:themeTint="BF"/>
          <w:right w:val="single" w:sz="8" w:space="0" w:color="442D97" w:themeColor="text1" w:themeTint="BF"/>
          <w:insideH w:val="nil"/>
          <w:insideV w:val="nil"/>
        </w:tcBorders>
      </w:tcPr>
    </w:tblStylePr>
    <w:tblStylePr w:type="firstCol">
      <w:rPr>
        <w:b/>
        <w:bCs/>
      </w:rPr>
    </w:tblStylePr>
    <w:tblStylePr w:type="lastCol">
      <w:rPr>
        <w:b/>
        <w:bCs/>
      </w:rPr>
    </w:tblStylePr>
    <w:tblStylePr w:type="band1Vert">
      <w:tblPr/>
      <w:tcPr>
        <w:shd w:val="clear" w:color="auto" w:fill="BBAFE7" w:themeFill="text1" w:themeFillTint="3F"/>
      </w:tcPr>
    </w:tblStylePr>
    <w:tblStylePr w:type="band1Horz">
      <w:tblPr/>
      <w:tcPr>
        <w:tcBorders>
          <w:insideH w:val="nil"/>
          <w:insideV w:val="nil"/>
        </w:tcBorders>
        <w:shd w:val="clear" w:color="auto" w:fill="BBAFE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C3E97"/>
    <w:pPr>
      <w:widowControl/>
      <w:autoSpaceDE/>
      <w:autoSpaceDN/>
    </w:pPr>
    <w:rPr>
      <w:rFonts w:eastAsiaTheme="minorEastAsia"/>
    </w:rPr>
    <w:tblPr>
      <w:tblStyleRowBandSize w:val="1"/>
      <w:tblStyleColBandSize w:val="1"/>
      <w:tblBorders>
        <w:top w:val="single" w:sz="8" w:space="0" w:color="00DC85" w:themeColor="accent1" w:themeTint="BF"/>
        <w:left w:val="single" w:sz="8" w:space="0" w:color="00DC85" w:themeColor="accent1" w:themeTint="BF"/>
        <w:bottom w:val="single" w:sz="8" w:space="0" w:color="00DC85" w:themeColor="accent1" w:themeTint="BF"/>
        <w:right w:val="single" w:sz="8" w:space="0" w:color="00DC85" w:themeColor="accent1" w:themeTint="BF"/>
        <w:insideH w:val="single" w:sz="8" w:space="0" w:color="00DC85" w:themeColor="accent1" w:themeTint="BF"/>
      </w:tblBorders>
    </w:tblPr>
    <w:tblStylePr w:type="firstRow">
      <w:pPr>
        <w:spacing w:before="0" w:after="0" w:line="240" w:lineRule="auto"/>
      </w:pPr>
      <w:rPr>
        <w:b/>
        <w:bCs/>
        <w:color w:val="004C97" w:themeColor="background1"/>
      </w:rPr>
      <w:tblPr/>
      <w:tcPr>
        <w:tcBorders>
          <w:top w:val="single" w:sz="8" w:space="0" w:color="00DC85" w:themeColor="accent1" w:themeTint="BF"/>
          <w:left w:val="single" w:sz="8" w:space="0" w:color="00DC85" w:themeColor="accent1" w:themeTint="BF"/>
          <w:bottom w:val="single" w:sz="8" w:space="0" w:color="00DC85" w:themeColor="accent1" w:themeTint="BF"/>
          <w:right w:val="single" w:sz="8" w:space="0" w:color="00DC85" w:themeColor="accent1" w:themeTint="BF"/>
          <w:insideH w:val="nil"/>
          <w:insideV w:val="nil"/>
        </w:tcBorders>
        <w:shd w:val="clear" w:color="auto" w:fill="007B4B" w:themeFill="accent1"/>
      </w:tcPr>
    </w:tblStylePr>
    <w:tblStylePr w:type="lastRow">
      <w:pPr>
        <w:spacing w:before="0" w:after="0" w:line="240" w:lineRule="auto"/>
      </w:pPr>
      <w:rPr>
        <w:b/>
        <w:bCs/>
      </w:rPr>
      <w:tblPr/>
      <w:tcPr>
        <w:tcBorders>
          <w:top w:val="double" w:sz="6" w:space="0" w:color="00DC85" w:themeColor="accent1" w:themeTint="BF"/>
          <w:left w:val="single" w:sz="8" w:space="0" w:color="00DC85" w:themeColor="accent1" w:themeTint="BF"/>
          <w:bottom w:val="single" w:sz="8" w:space="0" w:color="00DC85" w:themeColor="accent1" w:themeTint="BF"/>
          <w:right w:val="single" w:sz="8" w:space="0" w:color="00DC85" w:themeColor="accent1" w:themeTint="BF"/>
          <w:insideH w:val="nil"/>
          <w:insideV w:val="nil"/>
        </w:tcBorders>
      </w:tcPr>
    </w:tblStylePr>
    <w:tblStylePr w:type="firstCol">
      <w:rPr>
        <w:b/>
        <w:bCs/>
      </w:rPr>
    </w:tblStylePr>
    <w:tblStylePr w:type="lastCol">
      <w:rPr>
        <w:b/>
        <w:bCs/>
      </w:rPr>
    </w:tblStylePr>
    <w:tblStylePr w:type="band1Vert">
      <w:tblPr/>
      <w:tcPr>
        <w:shd w:val="clear" w:color="auto" w:fill="9FFFD9" w:themeFill="accent1" w:themeFillTint="3F"/>
      </w:tcPr>
    </w:tblStylePr>
    <w:tblStylePr w:type="band1Horz">
      <w:tblPr/>
      <w:tcPr>
        <w:tcBorders>
          <w:insideH w:val="nil"/>
          <w:insideV w:val="nil"/>
        </w:tcBorders>
        <w:shd w:val="clear" w:color="auto" w:fill="9FFFD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C3E97"/>
    <w:pPr>
      <w:widowControl/>
      <w:autoSpaceDE/>
      <w:autoSpaceDN/>
    </w:pPr>
    <w:rPr>
      <w:rFonts w:eastAsiaTheme="minorEastAsia"/>
    </w:rPr>
    <w:tblPr>
      <w:tblStyleRowBandSize w:val="1"/>
      <w:tblStyleColBandSize w:val="1"/>
      <w:tblBorders>
        <w:top w:val="single" w:sz="8" w:space="0" w:color="F0FF25" w:themeColor="accent2" w:themeTint="BF"/>
        <w:left w:val="single" w:sz="8" w:space="0" w:color="F0FF25" w:themeColor="accent2" w:themeTint="BF"/>
        <w:bottom w:val="single" w:sz="8" w:space="0" w:color="F0FF25" w:themeColor="accent2" w:themeTint="BF"/>
        <w:right w:val="single" w:sz="8" w:space="0" w:color="F0FF25" w:themeColor="accent2" w:themeTint="BF"/>
        <w:insideH w:val="single" w:sz="8" w:space="0" w:color="F0FF25" w:themeColor="accent2" w:themeTint="BF"/>
      </w:tblBorders>
    </w:tblPr>
    <w:tblStylePr w:type="firstRow">
      <w:pPr>
        <w:spacing w:before="0" w:after="0" w:line="240" w:lineRule="auto"/>
      </w:pPr>
      <w:rPr>
        <w:b/>
        <w:bCs/>
        <w:color w:val="004C97" w:themeColor="background1"/>
      </w:rPr>
      <w:tblPr/>
      <w:tcPr>
        <w:tcBorders>
          <w:top w:val="single" w:sz="8" w:space="0" w:color="F0FF25" w:themeColor="accent2" w:themeTint="BF"/>
          <w:left w:val="single" w:sz="8" w:space="0" w:color="F0FF25" w:themeColor="accent2" w:themeTint="BF"/>
          <w:bottom w:val="single" w:sz="8" w:space="0" w:color="F0FF25" w:themeColor="accent2" w:themeTint="BF"/>
          <w:right w:val="single" w:sz="8" w:space="0" w:color="F0FF25" w:themeColor="accent2" w:themeTint="BF"/>
          <w:insideH w:val="nil"/>
          <w:insideV w:val="nil"/>
        </w:tcBorders>
        <w:shd w:val="clear" w:color="auto" w:fill="CEDC00" w:themeFill="accent2"/>
      </w:tcPr>
    </w:tblStylePr>
    <w:tblStylePr w:type="lastRow">
      <w:pPr>
        <w:spacing w:before="0" w:after="0" w:line="240" w:lineRule="auto"/>
      </w:pPr>
      <w:rPr>
        <w:b/>
        <w:bCs/>
      </w:rPr>
      <w:tblPr/>
      <w:tcPr>
        <w:tcBorders>
          <w:top w:val="double" w:sz="6" w:space="0" w:color="F0FF25" w:themeColor="accent2" w:themeTint="BF"/>
          <w:left w:val="single" w:sz="8" w:space="0" w:color="F0FF25" w:themeColor="accent2" w:themeTint="BF"/>
          <w:bottom w:val="single" w:sz="8" w:space="0" w:color="F0FF25" w:themeColor="accent2" w:themeTint="BF"/>
          <w:right w:val="single" w:sz="8" w:space="0" w:color="F0FF2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2" w:themeFillTint="3F"/>
      </w:tcPr>
    </w:tblStylePr>
    <w:tblStylePr w:type="band1Horz">
      <w:tblPr/>
      <w:tcPr>
        <w:tcBorders>
          <w:insideH w:val="nil"/>
          <w:insideV w:val="nil"/>
        </w:tcBorders>
        <w:shd w:val="clear" w:color="auto" w:fill="FAFFB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C3E97"/>
    <w:pPr>
      <w:widowControl/>
      <w:autoSpaceDE/>
      <w:autoSpaceDN/>
    </w:pPr>
    <w:rPr>
      <w:rFonts w:eastAsiaTheme="minorEastAsia"/>
    </w:rPr>
    <w:tblPr>
      <w:tblStyleRowBandSize w:val="1"/>
      <w:tblStyleColBandSize w:val="1"/>
      <w:tblBorders>
        <w:top w:val="single" w:sz="8" w:space="0" w:color="FFD139" w:themeColor="accent3" w:themeTint="BF"/>
        <w:left w:val="single" w:sz="8" w:space="0" w:color="FFD139" w:themeColor="accent3" w:themeTint="BF"/>
        <w:bottom w:val="single" w:sz="8" w:space="0" w:color="FFD139" w:themeColor="accent3" w:themeTint="BF"/>
        <w:right w:val="single" w:sz="8" w:space="0" w:color="FFD139" w:themeColor="accent3" w:themeTint="BF"/>
        <w:insideH w:val="single" w:sz="8" w:space="0" w:color="FFD139" w:themeColor="accent3" w:themeTint="BF"/>
      </w:tblBorders>
    </w:tblPr>
    <w:tblStylePr w:type="firstRow">
      <w:pPr>
        <w:spacing w:before="0" w:after="0" w:line="240" w:lineRule="auto"/>
      </w:pPr>
      <w:rPr>
        <w:b/>
        <w:bCs/>
        <w:color w:val="004C97" w:themeColor="background1"/>
      </w:rPr>
      <w:tblPr/>
      <w:tcPr>
        <w:tcBorders>
          <w:top w:val="single" w:sz="8" w:space="0" w:color="FFD139" w:themeColor="accent3" w:themeTint="BF"/>
          <w:left w:val="single" w:sz="8" w:space="0" w:color="FFD139" w:themeColor="accent3" w:themeTint="BF"/>
          <w:bottom w:val="single" w:sz="8" w:space="0" w:color="FFD139" w:themeColor="accent3" w:themeTint="BF"/>
          <w:right w:val="single" w:sz="8" w:space="0" w:color="FFD139" w:themeColor="accent3" w:themeTint="BF"/>
          <w:insideH w:val="nil"/>
          <w:insideV w:val="nil"/>
        </w:tcBorders>
        <w:shd w:val="clear" w:color="auto" w:fill="F6BE00" w:themeFill="accent3"/>
      </w:tcPr>
    </w:tblStylePr>
    <w:tblStylePr w:type="lastRow">
      <w:pPr>
        <w:spacing w:before="0" w:after="0" w:line="240" w:lineRule="auto"/>
      </w:pPr>
      <w:rPr>
        <w:b/>
        <w:bCs/>
      </w:rPr>
      <w:tblPr/>
      <w:tcPr>
        <w:tcBorders>
          <w:top w:val="double" w:sz="6" w:space="0" w:color="FFD139" w:themeColor="accent3" w:themeTint="BF"/>
          <w:left w:val="single" w:sz="8" w:space="0" w:color="FFD139" w:themeColor="accent3" w:themeTint="BF"/>
          <w:bottom w:val="single" w:sz="8" w:space="0" w:color="FFD139" w:themeColor="accent3" w:themeTint="BF"/>
          <w:right w:val="single" w:sz="8" w:space="0" w:color="FFD13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BD" w:themeFill="accent3" w:themeFillTint="3F"/>
      </w:tcPr>
    </w:tblStylePr>
    <w:tblStylePr w:type="band1Horz">
      <w:tblPr/>
      <w:tcPr>
        <w:tcBorders>
          <w:insideH w:val="nil"/>
          <w:insideV w:val="nil"/>
        </w:tcBorders>
        <w:shd w:val="clear" w:color="auto" w:fill="FFEFB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C3E97"/>
    <w:pPr>
      <w:widowControl/>
      <w:autoSpaceDE/>
      <w:autoSpaceDN/>
    </w:pPr>
    <w:rPr>
      <w:rFonts w:eastAsiaTheme="minorEastAsia"/>
    </w:rPr>
    <w:tblPr>
      <w:tblStyleRowBandSize w:val="1"/>
      <w:tblStyleColBandSize w:val="1"/>
      <w:tblBorders>
        <w:top w:val="single" w:sz="8" w:space="0" w:color="FF942C" w:themeColor="accent4" w:themeTint="BF"/>
        <w:left w:val="single" w:sz="8" w:space="0" w:color="FF942C" w:themeColor="accent4" w:themeTint="BF"/>
        <w:bottom w:val="single" w:sz="8" w:space="0" w:color="FF942C" w:themeColor="accent4" w:themeTint="BF"/>
        <w:right w:val="single" w:sz="8" w:space="0" w:color="FF942C" w:themeColor="accent4" w:themeTint="BF"/>
        <w:insideH w:val="single" w:sz="8" w:space="0" w:color="FF942C" w:themeColor="accent4" w:themeTint="BF"/>
      </w:tblBorders>
    </w:tblPr>
    <w:tblStylePr w:type="firstRow">
      <w:pPr>
        <w:spacing w:before="0" w:after="0" w:line="240" w:lineRule="auto"/>
      </w:pPr>
      <w:rPr>
        <w:b/>
        <w:bCs/>
        <w:color w:val="004C97" w:themeColor="background1"/>
      </w:rPr>
      <w:tblPr/>
      <w:tcPr>
        <w:tcBorders>
          <w:top w:val="single" w:sz="8" w:space="0" w:color="FF942C" w:themeColor="accent4" w:themeTint="BF"/>
          <w:left w:val="single" w:sz="8" w:space="0" w:color="FF942C" w:themeColor="accent4" w:themeTint="BF"/>
          <w:bottom w:val="single" w:sz="8" w:space="0" w:color="FF942C" w:themeColor="accent4" w:themeTint="BF"/>
          <w:right w:val="single" w:sz="8" w:space="0" w:color="FF942C" w:themeColor="accent4" w:themeTint="BF"/>
          <w:insideH w:val="nil"/>
          <w:insideV w:val="nil"/>
        </w:tcBorders>
        <w:shd w:val="clear" w:color="auto" w:fill="E57200" w:themeFill="accent4"/>
      </w:tcPr>
    </w:tblStylePr>
    <w:tblStylePr w:type="lastRow">
      <w:pPr>
        <w:spacing w:before="0" w:after="0" w:line="240" w:lineRule="auto"/>
      </w:pPr>
      <w:rPr>
        <w:b/>
        <w:bCs/>
      </w:rPr>
      <w:tblPr/>
      <w:tcPr>
        <w:tcBorders>
          <w:top w:val="double" w:sz="6" w:space="0" w:color="FF942C" w:themeColor="accent4" w:themeTint="BF"/>
          <w:left w:val="single" w:sz="8" w:space="0" w:color="FF942C" w:themeColor="accent4" w:themeTint="BF"/>
          <w:bottom w:val="single" w:sz="8" w:space="0" w:color="FF942C" w:themeColor="accent4" w:themeTint="BF"/>
          <w:right w:val="single" w:sz="8" w:space="0" w:color="FF942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BB9" w:themeFill="accent4" w:themeFillTint="3F"/>
      </w:tcPr>
    </w:tblStylePr>
    <w:tblStylePr w:type="band1Horz">
      <w:tblPr/>
      <w:tcPr>
        <w:tcBorders>
          <w:insideH w:val="nil"/>
          <w:insideV w:val="nil"/>
        </w:tcBorders>
        <w:shd w:val="clear" w:color="auto" w:fill="FFDBB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C3E97"/>
    <w:pPr>
      <w:widowControl/>
      <w:autoSpaceDE/>
      <w:autoSpaceDN/>
    </w:pPr>
    <w:rPr>
      <w:rFonts w:eastAsiaTheme="minorEastAsia"/>
    </w:rPr>
    <w:tblPr>
      <w:tblStyleRowBandSize w:val="1"/>
      <w:tblStyleColBandSize w:val="1"/>
      <w:tblBorders>
        <w:top w:val="single" w:sz="8" w:space="0" w:color="D64951" w:themeColor="accent5" w:themeTint="BF"/>
        <w:left w:val="single" w:sz="8" w:space="0" w:color="D64951" w:themeColor="accent5" w:themeTint="BF"/>
        <w:bottom w:val="single" w:sz="8" w:space="0" w:color="D64951" w:themeColor="accent5" w:themeTint="BF"/>
        <w:right w:val="single" w:sz="8" w:space="0" w:color="D64951" w:themeColor="accent5" w:themeTint="BF"/>
        <w:insideH w:val="single" w:sz="8" w:space="0" w:color="D64951" w:themeColor="accent5" w:themeTint="BF"/>
      </w:tblBorders>
    </w:tblPr>
    <w:tblStylePr w:type="firstRow">
      <w:pPr>
        <w:spacing w:before="0" w:after="0" w:line="240" w:lineRule="auto"/>
      </w:pPr>
      <w:rPr>
        <w:b/>
        <w:bCs/>
        <w:color w:val="004C97" w:themeColor="background1"/>
      </w:rPr>
      <w:tblPr/>
      <w:tcPr>
        <w:tcBorders>
          <w:top w:val="single" w:sz="8" w:space="0" w:color="D64951" w:themeColor="accent5" w:themeTint="BF"/>
          <w:left w:val="single" w:sz="8" w:space="0" w:color="D64951" w:themeColor="accent5" w:themeTint="BF"/>
          <w:bottom w:val="single" w:sz="8" w:space="0" w:color="D64951" w:themeColor="accent5" w:themeTint="BF"/>
          <w:right w:val="single" w:sz="8" w:space="0" w:color="D64951" w:themeColor="accent5" w:themeTint="BF"/>
          <w:insideH w:val="nil"/>
          <w:insideV w:val="nil"/>
        </w:tcBorders>
        <w:shd w:val="clear" w:color="auto" w:fill="AF272F" w:themeFill="accent5"/>
      </w:tcPr>
    </w:tblStylePr>
    <w:tblStylePr w:type="lastRow">
      <w:pPr>
        <w:spacing w:before="0" w:after="0" w:line="240" w:lineRule="auto"/>
      </w:pPr>
      <w:rPr>
        <w:b/>
        <w:bCs/>
      </w:rPr>
      <w:tblPr/>
      <w:tcPr>
        <w:tcBorders>
          <w:top w:val="double" w:sz="6" w:space="0" w:color="D64951" w:themeColor="accent5" w:themeTint="BF"/>
          <w:left w:val="single" w:sz="8" w:space="0" w:color="D64951" w:themeColor="accent5" w:themeTint="BF"/>
          <w:bottom w:val="single" w:sz="8" w:space="0" w:color="D64951" w:themeColor="accent5" w:themeTint="BF"/>
          <w:right w:val="single" w:sz="8" w:space="0" w:color="D64951"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C3C5" w:themeFill="accent5" w:themeFillTint="3F"/>
      </w:tcPr>
    </w:tblStylePr>
    <w:tblStylePr w:type="band1Horz">
      <w:tblPr/>
      <w:tcPr>
        <w:tcBorders>
          <w:insideH w:val="nil"/>
          <w:insideV w:val="nil"/>
        </w:tcBorders>
        <w:shd w:val="clear" w:color="auto" w:fill="F1C3C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C3E97"/>
    <w:pPr>
      <w:widowControl/>
      <w:autoSpaceDE/>
      <w:autoSpaceDN/>
    </w:pPr>
    <w:rPr>
      <w:rFonts w:eastAsiaTheme="minorEastAsia"/>
    </w:rPr>
    <w:tblPr>
      <w:tblStyleRowBandSize w:val="1"/>
      <w:tblStyleColBandSize w:val="1"/>
      <w:tblBorders>
        <w:top w:val="single" w:sz="8" w:space="0" w:color="A53FAA" w:themeColor="accent6" w:themeTint="BF"/>
        <w:left w:val="single" w:sz="8" w:space="0" w:color="A53FAA" w:themeColor="accent6" w:themeTint="BF"/>
        <w:bottom w:val="single" w:sz="8" w:space="0" w:color="A53FAA" w:themeColor="accent6" w:themeTint="BF"/>
        <w:right w:val="single" w:sz="8" w:space="0" w:color="A53FAA" w:themeColor="accent6" w:themeTint="BF"/>
        <w:insideH w:val="single" w:sz="8" w:space="0" w:color="A53FAA" w:themeColor="accent6" w:themeTint="BF"/>
      </w:tblBorders>
    </w:tblPr>
    <w:tblStylePr w:type="firstRow">
      <w:pPr>
        <w:spacing w:before="0" w:after="0" w:line="240" w:lineRule="auto"/>
      </w:pPr>
      <w:rPr>
        <w:b/>
        <w:bCs/>
        <w:color w:val="004C97" w:themeColor="background1"/>
      </w:rPr>
      <w:tblPr/>
      <w:tcPr>
        <w:tcBorders>
          <w:top w:val="single" w:sz="8" w:space="0" w:color="A53FAA" w:themeColor="accent6" w:themeTint="BF"/>
          <w:left w:val="single" w:sz="8" w:space="0" w:color="A53FAA" w:themeColor="accent6" w:themeTint="BF"/>
          <w:bottom w:val="single" w:sz="8" w:space="0" w:color="A53FAA" w:themeColor="accent6" w:themeTint="BF"/>
          <w:right w:val="single" w:sz="8" w:space="0" w:color="A53FAA" w:themeColor="accent6" w:themeTint="BF"/>
          <w:insideH w:val="nil"/>
          <w:insideV w:val="nil"/>
        </w:tcBorders>
        <w:shd w:val="clear" w:color="auto" w:fill="642667" w:themeFill="accent6"/>
      </w:tcPr>
    </w:tblStylePr>
    <w:tblStylePr w:type="lastRow">
      <w:pPr>
        <w:spacing w:before="0" w:after="0" w:line="240" w:lineRule="auto"/>
      </w:pPr>
      <w:rPr>
        <w:b/>
        <w:bCs/>
      </w:rPr>
      <w:tblPr/>
      <w:tcPr>
        <w:tcBorders>
          <w:top w:val="double" w:sz="6" w:space="0" w:color="A53FAA" w:themeColor="accent6" w:themeTint="BF"/>
          <w:left w:val="single" w:sz="8" w:space="0" w:color="A53FAA" w:themeColor="accent6" w:themeTint="BF"/>
          <w:bottom w:val="single" w:sz="8" w:space="0" w:color="A53FAA" w:themeColor="accent6" w:themeTint="BF"/>
          <w:right w:val="single" w:sz="8" w:space="0" w:color="A53FAA"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BCE6" w:themeFill="accent6" w:themeFillTint="3F"/>
      </w:tcPr>
    </w:tblStylePr>
    <w:tblStylePr w:type="band1Horz">
      <w:tblPr/>
      <w:tcPr>
        <w:tcBorders>
          <w:insideH w:val="nil"/>
          <w:insideV w:val="nil"/>
        </w:tcBorders>
        <w:shd w:val="clear" w:color="auto" w:fill="E4BCE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BC3E97"/>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4C97" w:themeColor="background1"/>
      </w:rPr>
      <w:tblPr/>
      <w:tcPr>
        <w:tcBorders>
          <w:top w:val="single" w:sz="18" w:space="0" w:color="auto"/>
          <w:left w:val="nil"/>
          <w:bottom w:val="single" w:sz="18" w:space="0" w:color="auto"/>
          <w:right w:val="nil"/>
          <w:insideH w:val="nil"/>
          <w:insideV w:val="nil"/>
        </w:tcBorders>
        <w:shd w:val="clear" w:color="auto" w:fill="201547"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4C97" w:themeFill="background1"/>
      </w:tcPr>
    </w:tblStylePr>
    <w:tblStylePr w:type="firstCol">
      <w:rPr>
        <w:b/>
        <w:bCs/>
        <w:color w:val="004C97" w:themeColor="background1"/>
      </w:rPr>
      <w:tblPr/>
      <w:tcPr>
        <w:tcBorders>
          <w:top w:val="nil"/>
          <w:left w:val="nil"/>
          <w:bottom w:val="single" w:sz="18" w:space="0" w:color="auto"/>
          <w:right w:val="nil"/>
          <w:insideH w:val="nil"/>
          <w:insideV w:val="nil"/>
        </w:tcBorders>
        <w:shd w:val="clear" w:color="auto" w:fill="201547" w:themeFill="text1"/>
      </w:tcPr>
    </w:tblStylePr>
    <w:tblStylePr w:type="lastCol">
      <w:rPr>
        <w:b/>
        <w:bCs/>
        <w:color w:val="004C97" w:themeColor="background1"/>
      </w:rPr>
      <w:tblPr/>
      <w:tcPr>
        <w:tcBorders>
          <w:left w:val="nil"/>
          <w:right w:val="nil"/>
          <w:insideH w:val="nil"/>
          <w:insideV w:val="nil"/>
        </w:tcBorders>
        <w:shd w:val="clear" w:color="auto" w:fill="201547" w:themeFill="text1"/>
      </w:tcPr>
    </w:tblStylePr>
    <w:tblStylePr w:type="band1Vert">
      <w:tblPr/>
      <w:tcPr>
        <w:tcBorders>
          <w:left w:val="nil"/>
          <w:right w:val="nil"/>
          <w:insideH w:val="nil"/>
          <w:insideV w:val="nil"/>
        </w:tcBorders>
        <w:shd w:val="clear" w:color="auto" w:fill="00407F" w:themeFill="background1" w:themeFillShade="D8"/>
      </w:tcPr>
    </w:tblStylePr>
    <w:tblStylePr w:type="band1Horz">
      <w:tblPr/>
      <w:tcPr>
        <w:shd w:val="clear" w:color="auto" w:fill="00407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4C9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C3E97"/>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4C97" w:themeColor="background1"/>
      </w:rPr>
      <w:tblPr/>
      <w:tcPr>
        <w:tcBorders>
          <w:top w:val="single" w:sz="18" w:space="0" w:color="auto"/>
          <w:left w:val="nil"/>
          <w:bottom w:val="single" w:sz="18" w:space="0" w:color="auto"/>
          <w:right w:val="nil"/>
          <w:insideH w:val="nil"/>
          <w:insideV w:val="nil"/>
        </w:tcBorders>
        <w:shd w:val="clear" w:color="auto" w:fill="007B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4C97" w:themeFill="background1"/>
      </w:tcPr>
    </w:tblStylePr>
    <w:tblStylePr w:type="firstCol">
      <w:rPr>
        <w:b/>
        <w:bCs/>
        <w:color w:val="004C97" w:themeColor="background1"/>
      </w:rPr>
      <w:tblPr/>
      <w:tcPr>
        <w:tcBorders>
          <w:top w:val="nil"/>
          <w:left w:val="nil"/>
          <w:bottom w:val="single" w:sz="18" w:space="0" w:color="auto"/>
          <w:right w:val="nil"/>
          <w:insideH w:val="nil"/>
          <w:insideV w:val="nil"/>
        </w:tcBorders>
        <w:shd w:val="clear" w:color="auto" w:fill="007B4B" w:themeFill="accent1"/>
      </w:tcPr>
    </w:tblStylePr>
    <w:tblStylePr w:type="lastCol">
      <w:rPr>
        <w:b/>
        <w:bCs/>
        <w:color w:val="004C97" w:themeColor="background1"/>
      </w:rPr>
      <w:tblPr/>
      <w:tcPr>
        <w:tcBorders>
          <w:left w:val="nil"/>
          <w:right w:val="nil"/>
          <w:insideH w:val="nil"/>
          <w:insideV w:val="nil"/>
        </w:tcBorders>
        <w:shd w:val="clear" w:color="auto" w:fill="007B4B" w:themeFill="accent1"/>
      </w:tcPr>
    </w:tblStylePr>
    <w:tblStylePr w:type="band1Vert">
      <w:tblPr/>
      <w:tcPr>
        <w:tcBorders>
          <w:left w:val="nil"/>
          <w:right w:val="nil"/>
          <w:insideH w:val="nil"/>
          <w:insideV w:val="nil"/>
        </w:tcBorders>
        <w:shd w:val="clear" w:color="auto" w:fill="00407F" w:themeFill="background1" w:themeFillShade="D8"/>
      </w:tcPr>
    </w:tblStylePr>
    <w:tblStylePr w:type="band1Horz">
      <w:tblPr/>
      <w:tcPr>
        <w:shd w:val="clear" w:color="auto" w:fill="00407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4C9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C3E97"/>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4C97" w:themeColor="background1"/>
      </w:rPr>
      <w:tblPr/>
      <w:tcPr>
        <w:tcBorders>
          <w:top w:val="single" w:sz="18" w:space="0" w:color="auto"/>
          <w:left w:val="nil"/>
          <w:bottom w:val="single" w:sz="18" w:space="0" w:color="auto"/>
          <w:right w:val="nil"/>
          <w:insideH w:val="nil"/>
          <w:insideV w:val="nil"/>
        </w:tcBorders>
        <w:shd w:val="clear" w:color="auto" w:fill="CEDC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4C97" w:themeFill="background1"/>
      </w:tcPr>
    </w:tblStylePr>
    <w:tblStylePr w:type="firstCol">
      <w:rPr>
        <w:b/>
        <w:bCs/>
        <w:color w:val="004C97" w:themeColor="background1"/>
      </w:rPr>
      <w:tblPr/>
      <w:tcPr>
        <w:tcBorders>
          <w:top w:val="nil"/>
          <w:left w:val="nil"/>
          <w:bottom w:val="single" w:sz="18" w:space="0" w:color="auto"/>
          <w:right w:val="nil"/>
          <w:insideH w:val="nil"/>
          <w:insideV w:val="nil"/>
        </w:tcBorders>
        <w:shd w:val="clear" w:color="auto" w:fill="CEDC00" w:themeFill="accent2"/>
      </w:tcPr>
    </w:tblStylePr>
    <w:tblStylePr w:type="lastCol">
      <w:rPr>
        <w:b/>
        <w:bCs/>
        <w:color w:val="004C97" w:themeColor="background1"/>
      </w:rPr>
      <w:tblPr/>
      <w:tcPr>
        <w:tcBorders>
          <w:left w:val="nil"/>
          <w:right w:val="nil"/>
          <w:insideH w:val="nil"/>
          <w:insideV w:val="nil"/>
        </w:tcBorders>
        <w:shd w:val="clear" w:color="auto" w:fill="CEDC00" w:themeFill="accent2"/>
      </w:tcPr>
    </w:tblStylePr>
    <w:tblStylePr w:type="band1Vert">
      <w:tblPr/>
      <w:tcPr>
        <w:tcBorders>
          <w:left w:val="nil"/>
          <w:right w:val="nil"/>
          <w:insideH w:val="nil"/>
          <w:insideV w:val="nil"/>
        </w:tcBorders>
        <w:shd w:val="clear" w:color="auto" w:fill="00407F" w:themeFill="background1" w:themeFillShade="D8"/>
      </w:tcPr>
    </w:tblStylePr>
    <w:tblStylePr w:type="band1Horz">
      <w:tblPr/>
      <w:tcPr>
        <w:shd w:val="clear" w:color="auto" w:fill="00407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4C9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C3E97"/>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4C97" w:themeColor="background1"/>
      </w:rPr>
      <w:tblPr/>
      <w:tcPr>
        <w:tcBorders>
          <w:top w:val="single" w:sz="18" w:space="0" w:color="auto"/>
          <w:left w:val="nil"/>
          <w:bottom w:val="single" w:sz="18" w:space="0" w:color="auto"/>
          <w:right w:val="nil"/>
          <w:insideH w:val="nil"/>
          <w:insideV w:val="nil"/>
        </w:tcBorders>
        <w:shd w:val="clear" w:color="auto" w:fill="F6BE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4C97" w:themeFill="background1"/>
      </w:tcPr>
    </w:tblStylePr>
    <w:tblStylePr w:type="firstCol">
      <w:rPr>
        <w:b/>
        <w:bCs/>
        <w:color w:val="004C97" w:themeColor="background1"/>
      </w:rPr>
      <w:tblPr/>
      <w:tcPr>
        <w:tcBorders>
          <w:top w:val="nil"/>
          <w:left w:val="nil"/>
          <w:bottom w:val="single" w:sz="18" w:space="0" w:color="auto"/>
          <w:right w:val="nil"/>
          <w:insideH w:val="nil"/>
          <w:insideV w:val="nil"/>
        </w:tcBorders>
        <w:shd w:val="clear" w:color="auto" w:fill="F6BE00" w:themeFill="accent3"/>
      </w:tcPr>
    </w:tblStylePr>
    <w:tblStylePr w:type="lastCol">
      <w:rPr>
        <w:b/>
        <w:bCs/>
        <w:color w:val="004C97" w:themeColor="background1"/>
      </w:rPr>
      <w:tblPr/>
      <w:tcPr>
        <w:tcBorders>
          <w:left w:val="nil"/>
          <w:right w:val="nil"/>
          <w:insideH w:val="nil"/>
          <w:insideV w:val="nil"/>
        </w:tcBorders>
        <w:shd w:val="clear" w:color="auto" w:fill="F6BE00" w:themeFill="accent3"/>
      </w:tcPr>
    </w:tblStylePr>
    <w:tblStylePr w:type="band1Vert">
      <w:tblPr/>
      <w:tcPr>
        <w:tcBorders>
          <w:left w:val="nil"/>
          <w:right w:val="nil"/>
          <w:insideH w:val="nil"/>
          <w:insideV w:val="nil"/>
        </w:tcBorders>
        <w:shd w:val="clear" w:color="auto" w:fill="00407F" w:themeFill="background1" w:themeFillShade="D8"/>
      </w:tcPr>
    </w:tblStylePr>
    <w:tblStylePr w:type="band1Horz">
      <w:tblPr/>
      <w:tcPr>
        <w:shd w:val="clear" w:color="auto" w:fill="00407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4C9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C3E97"/>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4C97" w:themeColor="background1"/>
      </w:rPr>
      <w:tblPr/>
      <w:tcPr>
        <w:tcBorders>
          <w:top w:val="single" w:sz="18" w:space="0" w:color="auto"/>
          <w:left w:val="nil"/>
          <w:bottom w:val="single" w:sz="18" w:space="0" w:color="auto"/>
          <w:right w:val="nil"/>
          <w:insideH w:val="nil"/>
          <w:insideV w:val="nil"/>
        </w:tcBorders>
        <w:shd w:val="clear" w:color="auto" w:fill="E572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4C97" w:themeFill="background1"/>
      </w:tcPr>
    </w:tblStylePr>
    <w:tblStylePr w:type="firstCol">
      <w:rPr>
        <w:b/>
        <w:bCs/>
        <w:color w:val="004C97" w:themeColor="background1"/>
      </w:rPr>
      <w:tblPr/>
      <w:tcPr>
        <w:tcBorders>
          <w:top w:val="nil"/>
          <w:left w:val="nil"/>
          <w:bottom w:val="single" w:sz="18" w:space="0" w:color="auto"/>
          <w:right w:val="nil"/>
          <w:insideH w:val="nil"/>
          <w:insideV w:val="nil"/>
        </w:tcBorders>
        <w:shd w:val="clear" w:color="auto" w:fill="E57200" w:themeFill="accent4"/>
      </w:tcPr>
    </w:tblStylePr>
    <w:tblStylePr w:type="lastCol">
      <w:rPr>
        <w:b/>
        <w:bCs/>
        <w:color w:val="004C97" w:themeColor="background1"/>
      </w:rPr>
      <w:tblPr/>
      <w:tcPr>
        <w:tcBorders>
          <w:left w:val="nil"/>
          <w:right w:val="nil"/>
          <w:insideH w:val="nil"/>
          <w:insideV w:val="nil"/>
        </w:tcBorders>
        <w:shd w:val="clear" w:color="auto" w:fill="E57200" w:themeFill="accent4"/>
      </w:tcPr>
    </w:tblStylePr>
    <w:tblStylePr w:type="band1Vert">
      <w:tblPr/>
      <w:tcPr>
        <w:tcBorders>
          <w:left w:val="nil"/>
          <w:right w:val="nil"/>
          <w:insideH w:val="nil"/>
          <w:insideV w:val="nil"/>
        </w:tcBorders>
        <w:shd w:val="clear" w:color="auto" w:fill="00407F" w:themeFill="background1" w:themeFillShade="D8"/>
      </w:tcPr>
    </w:tblStylePr>
    <w:tblStylePr w:type="band1Horz">
      <w:tblPr/>
      <w:tcPr>
        <w:shd w:val="clear" w:color="auto" w:fill="00407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4C9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C3E97"/>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4C97" w:themeColor="background1"/>
      </w:rPr>
      <w:tblPr/>
      <w:tcPr>
        <w:tcBorders>
          <w:top w:val="single" w:sz="18" w:space="0" w:color="auto"/>
          <w:left w:val="nil"/>
          <w:bottom w:val="single" w:sz="18" w:space="0" w:color="auto"/>
          <w:right w:val="nil"/>
          <w:insideH w:val="nil"/>
          <w:insideV w:val="nil"/>
        </w:tcBorders>
        <w:shd w:val="clear" w:color="auto" w:fill="AF272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4C97" w:themeFill="background1"/>
      </w:tcPr>
    </w:tblStylePr>
    <w:tblStylePr w:type="firstCol">
      <w:rPr>
        <w:b/>
        <w:bCs/>
        <w:color w:val="004C97" w:themeColor="background1"/>
      </w:rPr>
      <w:tblPr/>
      <w:tcPr>
        <w:tcBorders>
          <w:top w:val="nil"/>
          <w:left w:val="nil"/>
          <w:bottom w:val="single" w:sz="18" w:space="0" w:color="auto"/>
          <w:right w:val="nil"/>
          <w:insideH w:val="nil"/>
          <w:insideV w:val="nil"/>
        </w:tcBorders>
        <w:shd w:val="clear" w:color="auto" w:fill="AF272F" w:themeFill="accent5"/>
      </w:tcPr>
    </w:tblStylePr>
    <w:tblStylePr w:type="lastCol">
      <w:rPr>
        <w:b/>
        <w:bCs/>
        <w:color w:val="004C97" w:themeColor="background1"/>
      </w:rPr>
      <w:tblPr/>
      <w:tcPr>
        <w:tcBorders>
          <w:left w:val="nil"/>
          <w:right w:val="nil"/>
          <w:insideH w:val="nil"/>
          <w:insideV w:val="nil"/>
        </w:tcBorders>
        <w:shd w:val="clear" w:color="auto" w:fill="AF272F" w:themeFill="accent5"/>
      </w:tcPr>
    </w:tblStylePr>
    <w:tblStylePr w:type="band1Vert">
      <w:tblPr/>
      <w:tcPr>
        <w:tcBorders>
          <w:left w:val="nil"/>
          <w:right w:val="nil"/>
          <w:insideH w:val="nil"/>
          <w:insideV w:val="nil"/>
        </w:tcBorders>
        <w:shd w:val="clear" w:color="auto" w:fill="00407F" w:themeFill="background1" w:themeFillShade="D8"/>
      </w:tcPr>
    </w:tblStylePr>
    <w:tblStylePr w:type="band1Horz">
      <w:tblPr/>
      <w:tcPr>
        <w:shd w:val="clear" w:color="auto" w:fill="00407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4C9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C3E97"/>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4C97" w:themeColor="background1"/>
      </w:rPr>
      <w:tblPr/>
      <w:tcPr>
        <w:tcBorders>
          <w:top w:val="single" w:sz="18" w:space="0" w:color="auto"/>
          <w:left w:val="nil"/>
          <w:bottom w:val="single" w:sz="18" w:space="0" w:color="auto"/>
          <w:right w:val="nil"/>
          <w:insideH w:val="nil"/>
          <w:insideV w:val="nil"/>
        </w:tcBorders>
        <w:shd w:val="clear" w:color="auto" w:fill="64266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4C97" w:themeFill="background1"/>
      </w:tcPr>
    </w:tblStylePr>
    <w:tblStylePr w:type="firstCol">
      <w:rPr>
        <w:b/>
        <w:bCs/>
        <w:color w:val="004C97" w:themeColor="background1"/>
      </w:rPr>
      <w:tblPr/>
      <w:tcPr>
        <w:tcBorders>
          <w:top w:val="nil"/>
          <w:left w:val="nil"/>
          <w:bottom w:val="single" w:sz="18" w:space="0" w:color="auto"/>
          <w:right w:val="nil"/>
          <w:insideH w:val="nil"/>
          <w:insideV w:val="nil"/>
        </w:tcBorders>
        <w:shd w:val="clear" w:color="auto" w:fill="642667" w:themeFill="accent6"/>
      </w:tcPr>
    </w:tblStylePr>
    <w:tblStylePr w:type="lastCol">
      <w:rPr>
        <w:b/>
        <w:bCs/>
        <w:color w:val="004C97" w:themeColor="background1"/>
      </w:rPr>
      <w:tblPr/>
      <w:tcPr>
        <w:tcBorders>
          <w:left w:val="nil"/>
          <w:right w:val="nil"/>
          <w:insideH w:val="nil"/>
          <w:insideV w:val="nil"/>
        </w:tcBorders>
        <w:shd w:val="clear" w:color="auto" w:fill="642667" w:themeFill="accent6"/>
      </w:tcPr>
    </w:tblStylePr>
    <w:tblStylePr w:type="band1Vert">
      <w:tblPr/>
      <w:tcPr>
        <w:tcBorders>
          <w:left w:val="nil"/>
          <w:right w:val="nil"/>
          <w:insideH w:val="nil"/>
          <w:insideV w:val="nil"/>
        </w:tcBorders>
        <w:shd w:val="clear" w:color="auto" w:fill="00407F" w:themeFill="background1" w:themeFillShade="D8"/>
      </w:tcPr>
    </w:tblStylePr>
    <w:tblStylePr w:type="band1Horz">
      <w:tblPr/>
      <w:tcPr>
        <w:shd w:val="clear" w:color="auto" w:fill="00407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4C97"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BC3E97"/>
    <w:pPr>
      <w:widowControl/>
      <w:autoSpaceDE/>
      <w:autoSpaceDN/>
    </w:pPr>
    <w:rPr>
      <w:rFonts w:eastAsiaTheme="minorEastAsia"/>
      <w:color w:val="201547" w:themeColor="text1"/>
    </w:rPr>
    <w:tblPr>
      <w:tblStyleRowBandSize w:val="1"/>
      <w:tblStyleColBandSize w:val="1"/>
      <w:tblBorders>
        <w:top w:val="single" w:sz="8" w:space="0" w:color="201547" w:themeColor="text1"/>
        <w:bottom w:val="single" w:sz="8" w:space="0" w:color="201547" w:themeColor="text1"/>
      </w:tblBorders>
    </w:tblPr>
    <w:tblStylePr w:type="firstRow">
      <w:rPr>
        <w:rFonts w:asciiTheme="majorHAnsi" w:eastAsiaTheme="majorEastAsia" w:hAnsiTheme="majorHAnsi" w:cstheme="majorBidi"/>
      </w:rPr>
      <w:tblPr/>
      <w:tcPr>
        <w:tcBorders>
          <w:top w:val="nil"/>
          <w:bottom w:val="single" w:sz="8" w:space="0" w:color="201547" w:themeColor="text1"/>
        </w:tcBorders>
      </w:tcPr>
    </w:tblStylePr>
    <w:tblStylePr w:type="lastRow">
      <w:rPr>
        <w:b/>
        <w:bCs/>
        <w:color w:val="00A9E0" w:themeColor="text2"/>
      </w:rPr>
      <w:tblPr/>
      <w:tcPr>
        <w:tcBorders>
          <w:top w:val="single" w:sz="8" w:space="0" w:color="201547" w:themeColor="text1"/>
          <w:bottom w:val="single" w:sz="8" w:space="0" w:color="201547" w:themeColor="text1"/>
        </w:tcBorders>
      </w:tcPr>
    </w:tblStylePr>
    <w:tblStylePr w:type="firstCol">
      <w:rPr>
        <w:b/>
        <w:bCs/>
      </w:rPr>
    </w:tblStylePr>
    <w:tblStylePr w:type="lastCol">
      <w:rPr>
        <w:b/>
        <w:bCs/>
      </w:rPr>
      <w:tblPr/>
      <w:tcPr>
        <w:tcBorders>
          <w:top w:val="single" w:sz="8" w:space="0" w:color="201547" w:themeColor="text1"/>
          <w:bottom w:val="single" w:sz="8" w:space="0" w:color="201547" w:themeColor="text1"/>
        </w:tcBorders>
      </w:tcPr>
    </w:tblStylePr>
    <w:tblStylePr w:type="band1Vert">
      <w:tblPr/>
      <w:tcPr>
        <w:shd w:val="clear" w:color="auto" w:fill="BBAFE7" w:themeFill="text1" w:themeFillTint="3F"/>
      </w:tcPr>
    </w:tblStylePr>
    <w:tblStylePr w:type="band1Horz">
      <w:tblPr/>
      <w:tcPr>
        <w:shd w:val="clear" w:color="auto" w:fill="BBAFE7" w:themeFill="text1" w:themeFillTint="3F"/>
      </w:tcPr>
    </w:tblStylePr>
  </w:style>
  <w:style w:type="table" w:styleId="MediumList1-Accent1">
    <w:name w:val="Medium List 1 Accent 1"/>
    <w:basedOn w:val="TableNormal"/>
    <w:uiPriority w:val="65"/>
    <w:rsid w:val="00BC3E97"/>
    <w:pPr>
      <w:widowControl/>
      <w:autoSpaceDE/>
      <w:autoSpaceDN/>
    </w:pPr>
    <w:rPr>
      <w:rFonts w:eastAsiaTheme="minorEastAsia"/>
      <w:color w:val="201547" w:themeColor="text1"/>
    </w:rPr>
    <w:tblPr>
      <w:tblStyleRowBandSize w:val="1"/>
      <w:tblStyleColBandSize w:val="1"/>
      <w:tblBorders>
        <w:top w:val="single" w:sz="8" w:space="0" w:color="007B4B" w:themeColor="accent1"/>
        <w:bottom w:val="single" w:sz="8" w:space="0" w:color="007B4B" w:themeColor="accent1"/>
      </w:tblBorders>
    </w:tblPr>
    <w:tblStylePr w:type="firstRow">
      <w:rPr>
        <w:rFonts w:asciiTheme="majorHAnsi" w:eastAsiaTheme="majorEastAsia" w:hAnsiTheme="majorHAnsi" w:cstheme="majorBidi"/>
      </w:rPr>
      <w:tblPr/>
      <w:tcPr>
        <w:tcBorders>
          <w:top w:val="nil"/>
          <w:bottom w:val="single" w:sz="8" w:space="0" w:color="007B4B" w:themeColor="accent1"/>
        </w:tcBorders>
      </w:tcPr>
    </w:tblStylePr>
    <w:tblStylePr w:type="lastRow">
      <w:rPr>
        <w:b/>
        <w:bCs/>
        <w:color w:val="00A9E0" w:themeColor="text2"/>
      </w:rPr>
      <w:tblPr/>
      <w:tcPr>
        <w:tcBorders>
          <w:top w:val="single" w:sz="8" w:space="0" w:color="007B4B" w:themeColor="accent1"/>
          <w:bottom w:val="single" w:sz="8" w:space="0" w:color="007B4B" w:themeColor="accent1"/>
        </w:tcBorders>
      </w:tcPr>
    </w:tblStylePr>
    <w:tblStylePr w:type="firstCol">
      <w:rPr>
        <w:b/>
        <w:bCs/>
      </w:rPr>
    </w:tblStylePr>
    <w:tblStylePr w:type="lastCol">
      <w:rPr>
        <w:b/>
        <w:bCs/>
      </w:rPr>
      <w:tblPr/>
      <w:tcPr>
        <w:tcBorders>
          <w:top w:val="single" w:sz="8" w:space="0" w:color="007B4B" w:themeColor="accent1"/>
          <w:bottom w:val="single" w:sz="8" w:space="0" w:color="007B4B" w:themeColor="accent1"/>
        </w:tcBorders>
      </w:tcPr>
    </w:tblStylePr>
    <w:tblStylePr w:type="band1Vert">
      <w:tblPr/>
      <w:tcPr>
        <w:shd w:val="clear" w:color="auto" w:fill="9FFFD9" w:themeFill="accent1" w:themeFillTint="3F"/>
      </w:tcPr>
    </w:tblStylePr>
    <w:tblStylePr w:type="band1Horz">
      <w:tblPr/>
      <w:tcPr>
        <w:shd w:val="clear" w:color="auto" w:fill="9FFFD9" w:themeFill="accent1" w:themeFillTint="3F"/>
      </w:tcPr>
    </w:tblStylePr>
  </w:style>
  <w:style w:type="table" w:styleId="MediumList1-Accent2">
    <w:name w:val="Medium List 1 Accent 2"/>
    <w:basedOn w:val="TableNormal"/>
    <w:uiPriority w:val="65"/>
    <w:rsid w:val="00BC3E97"/>
    <w:pPr>
      <w:widowControl/>
      <w:autoSpaceDE/>
      <w:autoSpaceDN/>
    </w:pPr>
    <w:rPr>
      <w:rFonts w:eastAsiaTheme="minorEastAsia"/>
      <w:color w:val="201547" w:themeColor="text1"/>
    </w:rPr>
    <w:tblPr>
      <w:tblStyleRowBandSize w:val="1"/>
      <w:tblStyleColBandSize w:val="1"/>
      <w:tblBorders>
        <w:top w:val="single" w:sz="8" w:space="0" w:color="CEDC00" w:themeColor="accent2"/>
        <w:bottom w:val="single" w:sz="8" w:space="0" w:color="CEDC00" w:themeColor="accent2"/>
      </w:tblBorders>
    </w:tblPr>
    <w:tblStylePr w:type="firstRow">
      <w:rPr>
        <w:rFonts w:asciiTheme="majorHAnsi" w:eastAsiaTheme="majorEastAsia" w:hAnsiTheme="majorHAnsi" w:cstheme="majorBidi"/>
      </w:rPr>
      <w:tblPr/>
      <w:tcPr>
        <w:tcBorders>
          <w:top w:val="nil"/>
          <w:bottom w:val="single" w:sz="8" w:space="0" w:color="CEDC00" w:themeColor="accent2"/>
        </w:tcBorders>
      </w:tcPr>
    </w:tblStylePr>
    <w:tblStylePr w:type="lastRow">
      <w:rPr>
        <w:b/>
        <w:bCs/>
        <w:color w:val="00A9E0" w:themeColor="text2"/>
      </w:rPr>
      <w:tblPr/>
      <w:tcPr>
        <w:tcBorders>
          <w:top w:val="single" w:sz="8" w:space="0" w:color="CEDC00" w:themeColor="accent2"/>
          <w:bottom w:val="single" w:sz="8" w:space="0" w:color="CEDC00" w:themeColor="accent2"/>
        </w:tcBorders>
      </w:tcPr>
    </w:tblStylePr>
    <w:tblStylePr w:type="firstCol">
      <w:rPr>
        <w:b/>
        <w:bCs/>
      </w:rPr>
    </w:tblStylePr>
    <w:tblStylePr w:type="lastCol">
      <w:rPr>
        <w:b/>
        <w:bCs/>
      </w:rPr>
      <w:tblPr/>
      <w:tcPr>
        <w:tcBorders>
          <w:top w:val="single" w:sz="8" w:space="0" w:color="CEDC00" w:themeColor="accent2"/>
          <w:bottom w:val="single" w:sz="8" w:space="0" w:color="CEDC00" w:themeColor="accent2"/>
        </w:tcBorders>
      </w:tcPr>
    </w:tblStylePr>
    <w:tblStylePr w:type="band1Vert">
      <w:tblPr/>
      <w:tcPr>
        <w:shd w:val="clear" w:color="auto" w:fill="FAFFB7" w:themeFill="accent2" w:themeFillTint="3F"/>
      </w:tcPr>
    </w:tblStylePr>
    <w:tblStylePr w:type="band1Horz">
      <w:tblPr/>
      <w:tcPr>
        <w:shd w:val="clear" w:color="auto" w:fill="FAFFB7" w:themeFill="accent2" w:themeFillTint="3F"/>
      </w:tcPr>
    </w:tblStylePr>
  </w:style>
  <w:style w:type="table" w:styleId="MediumList1-Accent3">
    <w:name w:val="Medium List 1 Accent 3"/>
    <w:basedOn w:val="TableNormal"/>
    <w:uiPriority w:val="65"/>
    <w:rsid w:val="00BC3E97"/>
    <w:pPr>
      <w:widowControl/>
      <w:autoSpaceDE/>
      <w:autoSpaceDN/>
    </w:pPr>
    <w:rPr>
      <w:rFonts w:eastAsiaTheme="minorEastAsia"/>
      <w:color w:val="201547" w:themeColor="text1"/>
    </w:rPr>
    <w:tblPr>
      <w:tblStyleRowBandSize w:val="1"/>
      <w:tblStyleColBandSize w:val="1"/>
      <w:tblBorders>
        <w:top w:val="single" w:sz="8" w:space="0" w:color="F6BE00" w:themeColor="accent3"/>
        <w:bottom w:val="single" w:sz="8" w:space="0" w:color="F6BE00" w:themeColor="accent3"/>
      </w:tblBorders>
    </w:tblPr>
    <w:tblStylePr w:type="firstRow">
      <w:rPr>
        <w:rFonts w:asciiTheme="majorHAnsi" w:eastAsiaTheme="majorEastAsia" w:hAnsiTheme="majorHAnsi" w:cstheme="majorBidi"/>
      </w:rPr>
      <w:tblPr/>
      <w:tcPr>
        <w:tcBorders>
          <w:top w:val="nil"/>
          <w:bottom w:val="single" w:sz="8" w:space="0" w:color="F6BE00" w:themeColor="accent3"/>
        </w:tcBorders>
      </w:tcPr>
    </w:tblStylePr>
    <w:tblStylePr w:type="lastRow">
      <w:rPr>
        <w:b/>
        <w:bCs/>
        <w:color w:val="00A9E0" w:themeColor="text2"/>
      </w:rPr>
      <w:tblPr/>
      <w:tcPr>
        <w:tcBorders>
          <w:top w:val="single" w:sz="8" w:space="0" w:color="F6BE00" w:themeColor="accent3"/>
          <w:bottom w:val="single" w:sz="8" w:space="0" w:color="F6BE00" w:themeColor="accent3"/>
        </w:tcBorders>
      </w:tcPr>
    </w:tblStylePr>
    <w:tblStylePr w:type="firstCol">
      <w:rPr>
        <w:b/>
        <w:bCs/>
      </w:rPr>
    </w:tblStylePr>
    <w:tblStylePr w:type="lastCol">
      <w:rPr>
        <w:b/>
        <w:bCs/>
      </w:rPr>
      <w:tblPr/>
      <w:tcPr>
        <w:tcBorders>
          <w:top w:val="single" w:sz="8" w:space="0" w:color="F6BE00" w:themeColor="accent3"/>
          <w:bottom w:val="single" w:sz="8" w:space="0" w:color="F6BE00" w:themeColor="accent3"/>
        </w:tcBorders>
      </w:tcPr>
    </w:tblStylePr>
    <w:tblStylePr w:type="band1Vert">
      <w:tblPr/>
      <w:tcPr>
        <w:shd w:val="clear" w:color="auto" w:fill="FFEFBD" w:themeFill="accent3" w:themeFillTint="3F"/>
      </w:tcPr>
    </w:tblStylePr>
    <w:tblStylePr w:type="band1Horz">
      <w:tblPr/>
      <w:tcPr>
        <w:shd w:val="clear" w:color="auto" w:fill="FFEFBD" w:themeFill="accent3" w:themeFillTint="3F"/>
      </w:tcPr>
    </w:tblStylePr>
  </w:style>
  <w:style w:type="table" w:styleId="MediumList1-Accent4">
    <w:name w:val="Medium List 1 Accent 4"/>
    <w:basedOn w:val="TableNormal"/>
    <w:uiPriority w:val="65"/>
    <w:rsid w:val="00BC3E97"/>
    <w:pPr>
      <w:widowControl/>
      <w:autoSpaceDE/>
      <w:autoSpaceDN/>
    </w:pPr>
    <w:rPr>
      <w:rFonts w:eastAsiaTheme="minorEastAsia"/>
      <w:color w:val="201547" w:themeColor="text1"/>
    </w:rPr>
    <w:tblPr>
      <w:tblStyleRowBandSize w:val="1"/>
      <w:tblStyleColBandSize w:val="1"/>
      <w:tblBorders>
        <w:top w:val="single" w:sz="8" w:space="0" w:color="E57200" w:themeColor="accent4"/>
        <w:bottom w:val="single" w:sz="8" w:space="0" w:color="E57200" w:themeColor="accent4"/>
      </w:tblBorders>
    </w:tblPr>
    <w:tblStylePr w:type="firstRow">
      <w:rPr>
        <w:rFonts w:asciiTheme="majorHAnsi" w:eastAsiaTheme="majorEastAsia" w:hAnsiTheme="majorHAnsi" w:cstheme="majorBidi"/>
      </w:rPr>
      <w:tblPr/>
      <w:tcPr>
        <w:tcBorders>
          <w:top w:val="nil"/>
          <w:bottom w:val="single" w:sz="8" w:space="0" w:color="E57200" w:themeColor="accent4"/>
        </w:tcBorders>
      </w:tcPr>
    </w:tblStylePr>
    <w:tblStylePr w:type="lastRow">
      <w:rPr>
        <w:b/>
        <w:bCs/>
        <w:color w:val="00A9E0" w:themeColor="text2"/>
      </w:rPr>
      <w:tblPr/>
      <w:tcPr>
        <w:tcBorders>
          <w:top w:val="single" w:sz="8" w:space="0" w:color="E57200" w:themeColor="accent4"/>
          <w:bottom w:val="single" w:sz="8" w:space="0" w:color="E57200" w:themeColor="accent4"/>
        </w:tcBorders>
      </w:tcPr>
    </w:tblStylePr>
    <w:tblStylePr w:type="firstCol">
      <w:rPr>
        <w:b/>
        <w:bCs/>
      </w:rPr>
    </w:tblStylePr>
    <w:tblStylePr w:type="lastCol">
      <w:rPr>
        <w:b/>
        <w:bCs/>
      </w:rPr>
      <w:tblPr/>
      <w:tcPr>
        <w:tcBorders>
          <w:top w:val="single" w:sz="8" w:space="0" w:color="E57200" w:themeColor="accent4"/>
          <w:bottom w:val="single" w:sz="8" w:space="0" w:color="E57200" w:themeColor="accent4"/>
        </w:tcBorders>
      </w:tcPr>
    </w:tblStylePr>
    <w:tblStylePr w:type="band1Vert">
      <w:tblPr/>
      <w:tcPr>
        <w:shd w:val="clear" w:color="auto" w:fill="FFDBB9" w:themeFill="accent4" w:themeFillTint="3F"/>
      </w:tcPr>
    </w:tblStylePr>
    <w:tblStylePr w:type="band1Horz">
      <w:tblPr/>
      <w:tcPr>
        <w:shd w:val="clear" w:color="auto" w:fill="FFDBB9" w:themeFill="accent4" w:themeFillTint="3F"/>
      </w:tcPr>
    </w:tblStylePr>
  </w:style>
  <w:style w:type="table" w:styleId="MediumList1-Accent5">
    <w:name w:val="Medium List 1 Accent 5"/>
    <w:basedOn w:val="TableNormal"/>
    <w:uiPriority w:val="65"/>
    <w:rsid w:val="00BC3E97"/>
    <w:pPr>
      <w:widowControl/>
      <w:autoSpaceDE/>
      <w:autoSpaceDN/>
    </w:pPr>
    <w:rPr>
      <w:rFonts w:eastAsiaTheme="minorEastAsia"/>
      <w:color w:val="201547" w:themeColor="text1"/>
    </w:rPr>
    <w:tblPr>
      <w:tblStyleRowBandSize w:val="1"/>
      <w:tblStyleColBandSize w:val="1"/>
      <w:tblBorders>
        <w:top w:val="single" w:sz="8" w:space="0" w:color="AF272F" w:themeColor="accent5"/>
        <w:bottom w:val="single" w:sz="8" w:space="0" w:color="AF272F" w:themeColor="accent5"/>
      </w:tblBorders>
    </w:tblPr>
    <w:tblStylePr w:type="firstRow">
      <w:rPr>
        <w:rFonts w:asciiTheme="majorHAnsi" w:eastAsiaTheme="majorEastAsia" w:hAnsiTheme="majorHAnsi" w:cstheme="majorBidi"/>
      </w:rPr>
      <w:tblPr/>
      <w:tcPr>
        <w:tcBorders>
          <w:top w:val="nil"/>
          <w:bottom w:val="single" w:sz="8" w:space="0" w:color="AF272F" w:themeColor="accent5"/>
        </w:tcBorders>
      </w:tcPr>
    </w:tblStylePr>
    <w:tblStylePr w:type="lastRow">
      <w:rPr>
        <w:b/>
        <w:bCs/>
        <w:color w:val="00A9E0" w:themeColor="text2"/>
      </w:rPr>
      <w:tblPr/>
      <w:tcPr>
        <w:tcBorders>
          <w:top w:val="single" w:sz="8" w:space="0" w:color="AF272F" w:themeColor="accent5"/>
          <w:bottom w:val="single" w:sz="8" w:space="0" w:color="AF272F" w:themeColor="accent5"/>
        </w:tcBorders>
      </w:tcPr>
    </w:tblStylePr>
    <w:tblStylePr w:type="firstCol">
      <w:rPr>
        <w:b/>
        <w:bCs/>
      </w:rPr>
    </w:tblStylePr>
    <w:tblStylePr w:type="lastCol">
      <w:rPr>
        <w:b/>
        <w:bCs/>
      </w:rPr>
      <w:tblPr/>
      <w:tcPr>
        <w:tcBorders>
          <w:top w:val="single" w:sz="8" w:space="0" w:color="AF272F" w:themeColor="accent5"/>
          <w:bottom w:val="single" w:sz="8" w:space="0" w:color="AF272F" w:themeColor="accent5"/>
        </w:tcBorders>
      </w:tcPr>
    </w:tblStylePr>
    <w:tblStylePr w:type="band1Vert">
      <w:tblPr/>
      <w:tcPr>
        <w:shd w:val="clear" w:color="auto" w:fill="F1C3C5" w:themeFill="accent5" w:themeFillTint="3F"/>
      </w:tcPr>
    </w:tblStylePr>
    <w:tblStylePr w:type="band1Horz">
      <w:tblPr/>
      <w:tcPr>
        <w:shd w:val="clear" w:color="auto" w:fill="F1C3C5" w:themeFill="accent5" w:themeFillTint="3F"/>
      </w:tcPr>
    </w:tblStylePr>
  </w:style>
  <w:style w:type="table" w:styleId="MediumList1-Accent6">
    <w:name w:val="Medium List 1 Accent 6"/>
    <w:basedOn w:val="TableNormal"/>
    <w:uiPriority w:val="65"/>
    <w:rsid w:val="00BC3E97"/>
    <w:pPr>
      <w:widowControl/>
      <w:autoSpaceDE/>
      <w:autoSpaceDN/>
    </w:pPr>
    <w:rPr>
      <w:rFonts w:eastAsiaTheme="minorEastAsia"/>
      <w:color w:val="201547" w:themeColor="text1"/>
    </w:rPr>
    <w:tblPr>
      <w:tblStyleRowBandSize w:val="1"/>
      <w:tblStyleColBandSize w:val="1"/>
      <w:tblBorders>
        <w:top w:val="single" w:sz="8" w:space="0" w:color="642667" w:themeColor="accent6"/>
        <w:bottom w:val="single" w:sz="8" w:space="0" w:color="642667" w:themeColor="accent6"/>
      </w:tblBorders>
    </w:tblPr>
    <w:tblStylePr w:type="firstRow">
      <w:rPr>
        <w:rFonts w:asciiTheme="majorHAnsi" w:eastAsiaTheme="majorEastAsia" w:hAnsiTheme="majorHAnsi" w:cstheme="majorBidi"/>
      </w:rPr>
      <w:tblPr/>
      <w:tcPr>
        <w:tcBorders>
          <w:top w:val="nil"/>
          <w:bottom w:val="single" w:sz="8" w:space="0" w:color="642667" w:themeColor="accent6"/>
        </w:tcBorders>
      </w:tcPr>
    </w:tblStylePr>
    <w:tblStylePr w:type="lastRow">
      <w:rPr>
        <w:b/>
        <w:bCs/>
        <w:color w:val="00A9E0" w:themeColor="text2"/>
      </w:rPr>
      <w:tblPr/>
      <w:tcPr>
        <w:tcBorders>
          <w:top w:val="single" w:sz="8" w:space="0" w:color="642667" w:themeColor="accent6"/>
          <w:bottom w:val="single" w:sz="8" w:space="0" w:color="642667" w:themeColor="accent6"/>
        </w:tcBorders>
      </w:tcPr>
    </w:tblStylePr>
    <w:tblStylePr w:type="firstCol">
      <w:rPr>
        <w:b/>
        <w:bCs/>
      </w:rPr>
    </w:tblStylePr>
    <w:tblStylePr w:type="lastCol">
      <w:rPr>
        <w:b/>
        <w:bCs/>
      </w:rPr>
      <w:tblPr/>
      <w:tcPr>
        <w:tcBorders>
          <w:top w:val="single" w:sz="8" w:space="0" w:color="642667" w:themeColor="accent6"/>
          <w:bottom w:val="single" w:sz="8" w:space="0" w:color="642667" w:themeColor="accent6"/>
        </w:tcBorders>
      </w:tcPr>
    </w:tblStylePr>
    <w:tblStylePr w:type="band1Vert">
      <w:tblPr/>
      <w:tcPr>
        <w:shd w:val="clear" w:color="auto" w:fill="E4BCE6" w:themeFill="accent6" w:themeFillTint="3F"/>
      </w:tcPr>
    </w:tblStylePr>
    <w:tblStylePr w:type="band1Horz">
      <w:tblPr/>
      <w:tcPr>
        <w:shd w:val="clear" w:color="auto" w:fill="E4BCE6" w:themeFill="accent6" w:themeFillTint="3F"/>
      </w:tcPr>
    </w:tblStylePr>
  </w:style>
  <w:style w:type="table" w:styleId="MediumList2">
    <w:name w:val="Medium List 2"/>
    <w:basedOn w:val="TableNormal"/>
    <w:uiPriority w:val="66"/>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201547" w:themeColor="text1"/>
        <w:left w:val="single" w:sz="8" w:space="0" w:color="201547" w:themeColor="text1"/>
        <w:bottom w:val="single" w:sz="8" w:space="0" w:color="201547" w:themeColor="text1"/>
        <w:right w:val="single" w:sz="8" w:space="0" w:color="201547" w:themeColor="text1"/>
      </w:tblBorders>
    </w:tblPr>
    <w:tblStylePr w:type="firstRow">
      <w:rPr>
        <w:sz w:val="24"/>
        <w:szCs w:val="24"/>
      </w:rPr>
      <w:tblPr/>
      <w:tcPr>
        <w:tcBorders>
          <w:top w:val="nil"/>
          <w:left w:val="nil"/>
          <w:bottom w:val="single" w:sz="24" w:space="0" w:color="201547" w:themeColor="text1"/>
          <w:right w:val="nil"/>
          <w:insideH w:val="nil"/>
          <w:insideV w:val="nil"/>
        </w:tcBorders>
        <w:shd w:val="clear" w:color="auto" w:fill="004C97" w:themeFill="background1"/>
      </w:tcPr>
    </w:tblStylePr>
    <w:tblStylePr w:type="lastRow">
      <w:tblPr/>
      <w:tcPr>
        <w:tcBorders>
          <w:top w:val="single" w:sz="8" w:space="0" w:color="201547" w:themeColor="text1"/>
          <w:left w:val="nil"/>
          <w:bottom w:val="nil"/>
          <w:right w:val="nil"/>
          <w:insideH w:val="nil"/>
          <w:insideV w:val="nil"/>
        </w:tcBorders>
        <w:shd w:val="clear" w:color="auto" w:fill="004C97" w:themeFill="background1"/>
      </w:tcPr>
    </w:tblStylePr>
    <w:tblStylePr w:type="firstCol">
      <w:tblPr/>
      <w:tcPr>
        <w:tcBorders>
          <w:top w:val="nil"/>
          <w:left w:val="nil"/>
          <w:bottom w:val="nil"/>
          <w:right w:val="single" w:sz="8" w:space="0" w:color="201547" w:themeColor="text1"/>
          <w:insideH w:val="nil"/>
          <w:insideV w:val="nil"/>
        </w:tcBorders>
        <w:shd w:val="clear" w:color="auto" w:fill="004C97" w:themeFill="background1"/>
      </w:tcPr>
    </w:tblStylePr>
    <w:tblStylePr w:type="lastCol">
      <w:tblPr/>
      <w:tcPr>
        <w:tcBorders>
          <w:top w:val="nil"/>
          <w:left w:val="single" w:sz="8" w:space="0" w:color="201547" w:themeColor="text1"/>
          <w:bottom w:val="nil"/>
          <w:right w:val="nil"/>
          <w:insideH w:val="nil"/>
          <w:insideV w:val="nil"/>
        </w:tcBorders>
        <w:shd w:val="clear" w:color="auto" w:fill="004C97" w:themeFill="background1"/>
      </w:tcPr>
    </w:tblStylePr>
    <w:tblStylePr w:type="band1Vert">
      <w:tblPr/>
      <w:tcPr>
        <w:tcBorders>
          <w:left w:val="nil"/>
          <w:right w:val="nil"/>
          <w:insideH w:val="nil"/>
          <w:insideV w:val="nil"/>
        </w:tcBorders>
        <w:shd w:val="clear" w:color="auto" w:fill="BBAFE7" w:themeFill="text1" w:themeFillTint="3F"/>
      </w:tcPr>
    </w:tblStylePr>
    <w:tblStylePr w:type="band1Horz">
      <w:tblPr/>
      <w:tcPr>
        <w:tcBorders>
          <w:top w:val="nil"/>
          <w:bottom w:val="nil"/>
          <w:insideH w:val="nil"/>
          <w:insideV w:val="nil"/>
        </w:tcBorders>
        <w:shd w:val="clear" w:color="auto" w:fill="BBAFE7" w:themeFill="text1" w:themeFillTint="3F"/>
      </w:tcPr>
    </w:tblStylePr>
    <w:tblStylePr w:type="nwCell">
      <w:tblPr/>
      <w:tcPr>
        <w:shd w:val="clear" w:color="auto" w:fill="004C97" w:themeFill="background1"/>
      </w:tcPr>
    </w:tblStylePr>
    <w:tblStylePr w:type="swCell">
      <w:tblPr/>
      <w:tcPr>
        <w:tcBorders>
          <w:top w:val="nil"/>
        </w:tcBorders>
      </w:tcPr>
    </w:tblStylePr>
  </w:style>
  <w:style w:type="table" w:styleId="MediumList2-Accent1">
    <w:name w:val="Medium List 2 Accent 1"/>
    <w:basedOn w:val="TableNormal"/>
    <w:uiPriority w:val="66"/>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007B4B" w:themeColor="accent1"/>
        <w:left w:val="single" w:sz="8" w:space="0" w:color="007B4B" w:themeColor="accent1"/>
        <w:bottom w:val="single" w:sz="8" w:space="0" w:color="007B4B" w:themeColor="accent1"/>
        <w:right w:val="single" w:sz="8" w:space="0" w:color="007B4B" w:themeColor="accent1"/>
      </w:tblBorders>
    </w:tblPr>
    <w:tblStylePr w:type="firstRow">
      <w:rPr>
        <w:sz w:val="24"/>
        <w:szCs w:val="24"/>
      </w:rPr>
      <w:tblPr/>
      <w:tcPr>
        <w:tcBorders>
          <w:top w:val="nil"/>
          <w:left w:val="nil"/>
          <w:bottom w:val="single" w:sz="24" w:space="0" w:color="007B4B" w:themeColor="accent1"/>
          <w:right w:val="nil"/>
          <w:insideH w:val="nil"/>
          <w:insideV w:val="nil"/>
        </w:tcBorders>
        <w:shd w:val="clear" w:color="auto" w:fill="004C97" w:themeFill="background1"/>
      </w:tcPr>
    </w:tblStylePr>
    <w:tblStylePr w:type="lastRow">
      <w:tblPr/>
      <w:tcPr>
        <w:tcBorders>
          <w:top w:val="single" w:sz="8" w:space="0" w:color="007B4B" w:themeColor="accent1"/>
          <w:left w:val="nil"/>
          <w:bottom w:val="nil"/>
          <w:right w:val="nil"/>
          <w:insideH w:val="nil"/>
          <w:insideV w:val="nil"/>
        </w:tcBorders>
        <w:shd w:val="clear" w:color="auto" w:fill="004C97" w:themeFill="background1"/>
      </w:tcPr>
    </w:tblStylePr>
    <w:tblStylePr w:type="firstCol">
      <w:tblPr/>
      <w:tcPr>
        <w:tcBorders>
          <w:top w:val="nil"/>
          <w:left w:val="nil"/>
          <w:bottom w:val="nil"/>
          <w:right w:val="single" w:sz="8" w:space="0" w:color="007B4B" w:themeColor="accent1"/>
          <w:insideH w:val="nil"/>
          <w:insideV w:val="nil"/>
        </w:tcBorders>
        <w:shd w:val="clear" w:color="auto" w:fill="004C97" w:themeFill="background1"/>
      </w:tcPr>
    </w:tblStylePr>
    <w:tblStylePr w:type="lastCol">
      <w:tblPr/>
      <w:tcPr>
        <w:tcBorders>
          <w:top w:val="nil"/>
          <w:left w:val="single" w:sz="8" w:space="0" w:color="007B4B" w:themeColor="accent1"/>
          <w:bottom w:val="nil"/>
          <w:right w:val="nil"/>
          <w:insideH w:val="nil"/>
          <w:insideV w:val="nil"/>
        </w:tcBorders>
        <w:shd w:val="clear" w:color="auto" w:fill="004C97" w:themeFill="background1"/>
      </w:tcPr>
    </w:tblStylePr>
    <w:tblStylePr w:type="band1Vert">
      <w:tblPr/>
      <w:tcPr>
        <w:tcBorders>
          <w:left w:val="nil"/>
          <w:right w:val="nil"/>
          <w:insideH w:val="nil"/>
          <w:insideV w:val="nil"/>
        </w:tcBorders>
        <w:shd w:val="clear" w:color="auto" w:fill="9FFFD9" w:themeFill="accent1" w:themeFillTint="3F"/>
      </w:tcPr>
    </w:tblStylePr>
    <w:tblStylePr w:type="band1Horz">
      <w:tblPr/>
      <w:tcPr>
        <w:tcBorders>
          <w:top w:val="nil"/>
          <w:bottom w:val="nil"/>
          <w:insideH w:val="nil"/>
          <w:insideV w:val="nil"/>
        </w:tcBorders>
        <w:shd w:val="clear" w:color="auto" w:fill="9FFFD9" w:themeFill="accent1" w:themeFillTint="3F"/>
      </w:tcPr>
    </w:tblStylePr>
    <w:tblStylePr w:type="nwCell">
      <w:tblPr/>
      <w:tcPr>
        <w:shd w:val="clear" w:color="auto" w:fill="004C97" w:themeFill="background1"/>
      </w:tcPr>
    </w:tblStylePr>
    <w:tblStylePr w:type="swCell">
      <w:tblPr/>
      <w:tcPr>
        <w:tcBorders>
          <w:top w:val="nil"/>
        </w:tcBorders>
      </w:tcPr>
    </w:tblStylePr>
  </w:style>
  <w:style w:type="table" w:styleId="MediumList2-Accent2">
    <w:name w:val="Medium List 2 Accent 2"/>
    <w:basedOn w:val="TableNormal"/>
    <w:uiPriority w:val="66"/>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CEDC00" w:themeColor="accent2"/>
        <w:left w:val="single" w:sz="8" w:space="0" w:color="CEDC00" w:themeColor="accent2"/>
        <w:bottom w:val="single" w:sz="8" w:space="0" w:color="CEDC00" w:themeColor="accent2"/>
        <w:right w:val="single" w:sz="8" w:space="0" w:color="CEDC00" w:themeColor="accent2"/>
      </w:tblBorders>
    </w:tblPr>
    <w:tblStylePr w:type="firstRow">
      <w:rPr>
        <w:sz w:val="24"/>
        <w:szCs w:val="24"/>
      </w:rPr>
      <w:tblPr/>
      <w:tcPr>
        <w:tcBorders>
          <w:top w:val="nil"/>
          <w:left w:val="nil"/>
          <w:bottom w:val="single" w:sz="24" w:space="0" w:color="CEDC00" w:themeColor="accent2"/>
          <w:right w:val="nil"/>
          <w:insideH w:val="nil"/>
          <w:insideV w:val="nil"/>
        </w:tcBorders>
        <w:shd w:val="clear" w:color="auto" w:fill="004C97" w:themeFill="background1"/>
      </w:tcPr>
    </w:tblStylePr>
    <w:tblStylePr w:type="lastRow">
      <w:tblPr/>
      <w:tcPr>
        <w:tcBorders>
          <w:top w:val="single" w:sz="8" w:space="0" w:color="CEDC00" w:themeColor="accent2"/>
          <w:left w:val="nil"/>
          <w:bottom w:val="nil"/>
          <w:right w:val="nil"/>
          <w:insideH w:val="nil"/>
          <w:insideV w:val="nil"/>
        </w:tcBorders>
        <w:shd w:val="clear" w:color="auto" w:fill="004C97" w:themeFill="background1"/>
      </w:tcPr>
    </w:tblStylePr>
    <w:tblStylePr w:type="firstCol">
      <w:tblPr/>
      <w:tcPr>
        <w:tcBorders>
          <w:top w:val="nil"/>
          <w:left w:val="nil"/>
          <w:bottom w:val="nil"/>
          <w:right w:val="single" w:sz="8" w:space="0" w:color="CEDC00" w:themeColor="accent2"/>
          <w:insideH w:val="nil"/>
          <w:insideV w:val="nil"/>
        </w:tcBorders>
        <w:shd w:val="clear" w:color="auto" w:fill="004C97" w:themeFill="background1"/>
      </w:tcPr>
    </w:tblStylePr>
    <w:tblStylePr w:type="lastCol">
      <w:tblPr/>
      <w:tcPr>
        <w:tcBorders>
          <w:top w:val="nil"/>
          <w:left w:val="single" w:sz="8" w:space="0" w:color="CEDC00" w:themeColor="accent2"/>
          <w:bottom w:val="nil"/>
          <w:right w:val="nil"/>
          <w:insideH w:val="nil"/>
          <w:insideV w:val="nil"/>
        </w:tcBorders>
        <w:shd w:val="clear" w:color="auto" w:fill="004C97" w:themeFill="background1"/>
      </w:tcPr>
    </w:tblStylePr>
    <w:tblStylePr w:type="band1Vert">
      <w:tblPr/>
      <w:tcPr>
        <w:tcBorders>
          <w:left w:val="nil"/>
          <w:right w:val="nil"/>
          <w:insideH w:val="nil"/>
          <w:insideV w:val="nil"/>
        </w:tcBorders>
        <w:shd w:val="clear" w:color="auto" w:fill="FAFFB7" w:themeFill="accent2" w:themeFillTint="3F"/>
      </w:tcPr>
    </w:tblStylePr>
    <w:tblStylePr w:type="band1Horz">
      <w:tblPr/>
      <w:tcPr>
        <w:tcBorders>
          <w:top w:val="nil"/>
          <w:bottom w:val="nil"/>
          <w:insideH w:val="nil"/>
          <w:insideV w:val="nil"/>
        </w:tcBorders>
        <w:shd w:val="clear" w:color="auto" w:fill="FAFFB7" w:themeFill="accent2" w:themeFillTint="3F"/>
      </w:tcPr>
    </w:tblStylePr>
    <w:tblStylePr w:type="nwCell">
      <w:tblPr/>
      <w:tcPr>
        <w:shd w:val="clear" w:color="auto" w:fill="004C97" w:themeFill="background1"/>
      </w:tcPr>
    </w:tblStylePr>
    <w:tblStylePr w:type="swCell">
      <w:tblPr/>
      <w:tcPr>
        <w:tcBorders>
          <w:top w:val="nil"/>
        </w:tcBorders>
      </w:tcPr>
    </w:tblStylePr>
  </w:style>
  <w:style w:type="table" w:styleId="MediumList2-Accent3">
    <w:name w:val="Medium List 2 Accent 3"/>
    <w:basedOn w:val="TableNormal"/>
    <w:uiPriority w:val="66"/>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F6BE00" w:themeColor="accent3"/>
        <w:left w:val="single" w:sz="8" w:space="0" w:color="F6BE00" w:themeColor="accent3"/>
        <w:bottom w:val="single" w:sz="8" w:space="0" w:color="F6BE00" w:themeColor="accent3"/>
        <w:right w:val="single" w:sz="8" w:space="0" w:color="F6BE00" w:themeColor="accent3"/>
      </w:tblBorders>
    </w:tblPr>
    <w:tblStylePr w:type="firstRow">
      <w:rPr>
        <w:sz w:val="24"/>
        <w:szCs w:val="24"/>
      </w:rPr>
      <w:tblPr/>
      <w:tcPr>
        <w:tcBorders>
          <w:top w:val="nil"/>
          <w:left w:val="nil"/>
          <w:bottom w:val="single" w:sz="24" w:space="0" w:color="F6BE00" w:themeColor="accent3"/>
          <w:right w:val="nil"/>
          <w:insideH w:val="nil"/>
          <w:insideV w:val="nil"/>
        </w:tcBorders>
        <w:shd w:val="clear" w:color="auto" w:fill="004C97" w:themeFill="background1"/>
      </w:tcPr>
    </w:tblStylePr>
    <w:tblStylePr w:type="lastRow">
      <w:tblPr/>
      <w:tcPr>
        <w:tcBorders>
          <w:top w:val="single" w:sz="8" w:space="0" w:color="F6BE00" w:themeColor="accent3"/>
          <w:left w:val="nil"/>
          <w:bottom w:val="nil"/>
          <w:right w:val="nil"/>
          <w:insideH w:val="nil"/>
          <w:insideV w:val="nil"/>
        </w:tcBorders>
        <w:shd w:val="clear" w:color="auto" w:fill="004C97" w:themeFill="background1"/>
      </w:tcPr>
    </w:tblStylePr>
    <w:tblStylePr w:type="firstCol">
      <w:tblPr/>
      <w:tcPr>
        <w:tcBorders>
          <w:top w:val="nil"/>
          <w:left w:val="nil"/>
          <w:bottom w:val="nil"/>
          <w:right w:val="single" w:sz="8" w:space="0" w:color="F6BE00" w:themeColor="accent3"/>
          <w:insideH w:val="nil"/>
          <w:insideV w:val="nil"/>
        </w:tcBorders>
        <w:shd w:val="clear" w:color="auto" w:fill="004C97" w:themeFill="background1"/>
      </w:tcPr>
    </w:tblStylePr>
    <w:tblStylePr w:type="lastCol">
      <w:tblPr/>
      <w:tcPr>
        <w:tcBorders>
          <w:top w:val="nil"/>
          <w:left w:val="single" w:sz="8" w:space="0" w:color="F6BE00" w:themeColor="accent3"/>
          <w:bottom w:val="nil"/>
          <w:right w:val="nil"/>
          <w:insideH w:val="nil"/>
          <w:insideV w:val="nil"/>
        </w:tcBorders>
        <w:shd w:val="clear" w:color="auto" w:fill="004C97" w:themeFill="background1"/>
      </w:tcPr>
    </w:tblStylePr>
    <w:tblStylePr w:type="band1Vert">
      <w:tblPr/>
      <w:tcPr>
        <w:tcBorders>
          <w:left w:val="nil"/>
          <w:right w:val="nil"/>
          <w:insideH w:val="nil"/>
          <w:insideV w:val="nil"/>
        </w:tcBorders>
        <w:shd w:val="clear" w:color="auto" w:fill="FFEFBD" w:themeFill="accent3" w:themeFillTint="3F"/>
      </w:tcPr>
    </w:tblStylePr>
    <w:tblStylePr w:type="band1Horz">
      <w:tblPr/>
      <w:tcPr>
        <w:tcBorders>
          <w:top w:val="nil"/>
          <w:bottom w:val="nil"/>
          <w:insideH w:val="nil"/>
          <w:insideV w:val="nil"/>
        </w:tcBorders>
        <w:shd w:val="clear" w:color="auto" w:fill="FFEFBD" w:themeFill="accent3" w:themeFillTint="3F"/>
      </w:tcPr>
    </w:tblStylePr>
    <w:tblStylePr w:type="nwCell">
      <w:tblPr/>
      <w:tcPr>
        <w:shd w:val="clear" w:color="auto" w:fill="004C97" w:themeFill="background1"/>
      </w:tcPr>
    </w:tblStylePr>
    <w:tblStylePr w:type="swCell">
      <w:tblPr/>
      <w:tcPr>
        <w:tcBorders>
          <w:top w:val="nil"/>
        </w:tcBorders>
      </w:tcPr>
    </w:tblStylePr>
  </w:style>
  <w:style w:type="table" w:styleId="MediumList2-Accent4">
    <w:name w:val="Medium List 2 Accent 4"/>
    <w:basedOn w:val="TableNormal"/>
    <w:uiPriority w:val="66"/>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E57200" w:themeColor="accent4"/>
        <w:left w:val="single" w:sz="8" w:space="0" w:color="E57200" w:themeColor="accent4"/>
        <w:bottom w:val="single" w:sz="8" w:space="0" w:color="E57200" w:themeColor="accent4"/>
        <w:right w:val="single" w:sz="8" w:space="0" w:color="E57200" w:themeColor="accent4"/>
      </w:tblBorders>
    </w:tblPr>
    <w:tblStylePr w:type="firstRow">
      <w:rPr>
        <w:sz w:val="24"/>
        <w:szCs w:val="24"/>
      </w:rPr>
      <w:tblPr/>
      <w:tcPr>
        <w:tcBorders>
          <w:top w:val="nil"/>
          <w:left w:val="nil"/>
          <w:bottom w:val="single" w:sz="24" w:space="0" w:color="E57200" w:themeColor="accent4"/>
          <w:right w:val="nil"/>
          <w:insideH w:val="nil"/>
          <w:insideV w:val="nil"/>
        </w:tcBorders>
        <w:shd w:val="clear" w:color="auto" w:fill="004C97" w:themeFill="background1"/>
      </w:tcPr>
    </w:tblStylePr>
    <w:tblStylePr w:type="lastRow">
      <w:tblPr/>
      <w:tcPr>
        <w:tcBorders>
          <w:top w:val="single" w:sz="8" w:space="0" w:color="E57200" w:themeColor="accent4"/>
          <w:left w:val="nil"/>
          <w:bottom w:val="nil"/>
          <w:right w:val="nil"/>
          <w:insideH w:val="nil"/>
          <w:insideV w:val="nil"/>
        </w:tcBorders>
        <w:shd w:val="clear" w:color="auto" w:fill="004C97" w:themeFill="background1"/>
      </w:tcPr>
    </w:tblStylePr>
    <w:tblStylePr w:type="firstCol">
      <w:tblPr/>
      <w:tcPr>
        <w:tcBorders>
          <w:top w:val="nil"/>
          <w:left w:val="nil"/>
          <w:bottom w:val="nil"/>
          <w:right w:val="single" w:sz="8" w:space="0" w:color="E57200" w:themeColor="accent4"/>
          <w:insideH w:val="nil"/>
          <w:insideV w:val="nil"/>
        </w:tcBorders>
        <w:shd w:val="clear" w:color="auto" w:fill="004C97" w:themeFill="background1"/>
      </w:tcPr>
    </w:tblStylePr>
    <w:tblStylePr w:type="lastCol">
      <w:tblPr/>
      <w:tcPr>
        <w:tcBorders>
          <w:top w:val="nil"/>
          <w:left w:val="single" w:sz="8" w:space="0" w:color="E57200" w:themeColor="accent4"/>
          <w:bottom w:val="nil"/>
          <w:right w:val="nil"/>
          <w:insideH w:val="nil"/>
          <w:insideV w:val="nil"/>
        </w:tcBorders>
        <w:shd w:val="clear" w:color="auto" w:fill="004C97" w:themeFill="background1"/>
      </w:tcPr>
    </w:tblStylePr>
    <w:tblStylePr w:type="band1Vert">
      <w:tblPr/>
      <w:tcPr>
        <w:tcBorders>
          <w:left w:val="nil"/>
          <w:right w:val="nil"/>
          <w:insideH w:val="nil"/>
          <w:insideV w:val="nil"/>
        </w:tcBorders>
        <w:shd w:val="clear" w:color="auto" w:fill="FFDBB9" w:themeFill="accent4" w:themeFillTint="3F"/>
      </w:tcPr>
    </w:tblStylePr>
    <w:tblStylePr w:type="band1Horz">
      <w:tblPr/>
      <w:tcPr>
        <w:tcBorders>
          <w:top w:val="nil"/>
          <w:bottom w:val="nil"/>
          <w:insideH w:val="nil"/>
          <w:insideV w:val="nil"/>
        </w:tcBorders>
        <w:shd w:val="clear" w:color="auto" w:fill="FFDBB9" w:themeFill="accent4" w:themeFillTint="3F"/>
      </w:tcPr>
    </w:tblStylePr>
    <w:tblStylePr w:type="nwCell">
      <w:tblPr/>
      <w:tcPr>
        <w:shd w:val="clear" w:color="auto" w:fill="004C97" w:themeFill="background1"/>
      </w:tcPr>
    </w:tblStylePr>
    <w:tblStylePr w:type="swCell">
      <w:tblPr/>
      <w:tcPr>
        <w:tcBorders>
          <w:top w:val="nil"/>
        </w:tcBorders>
      </w:tcPr>
    </w:tblStylePr>
  </w:style>
  <w:style w:type="table" w:styleId="MediumList2-Accent5">
    <w:name w:val="Medium List 2 Accent 5"/>
    <w:basedOn w:val="TableNormal"/>
    <w:uiPriority w:val="66"/>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AF272F" w:themeColor="accent5"/>
        <w:left w:val="single" w:sz="8" w:space="0" w:color="AF272F" w:themeColor="accent5"/>
        <w:bottom w:val="single" w:sz="8" w:space="0" w:color="AF272F" w:themeColor="accent5"/>
        <w:right w:val="single" w:sz="8" w:space="0" w:color="AF272F" w:themeColor="accent5"/>
      </w:tblBorders>
    </w:tblPr>
    <w:tblStylePr w:type="firstRow">
      <w:rPr>
        <w:sz w:val="24"/>
        <w:szCs w:val="24"/>
      </w:rPr>
      <w:tblPr/>
      <w:tcPr>
        <w:tcBorders>
          <w:top w:val="nil"/>
          <w:left w:val="nil"/>
          <w:bottom w:val="single" w:sz="24" w:space="0" w:color="AF272F" w:themeColor="accent5"/>
          <w:right w:val="nil"/>
          <w:insideH w:val="nil"/>
          <w:insideV w:val="nil"/>
        </w:tcBorders>
        <w:shd w:val="clear" w:color="auto" w:fill="004C97" w:themeFill="background1"/>
      </w:tcPr>
    </w:tblStylePr>
    <w:tblStylePr w:type="lastRow">
      <w:tblPr/>
      <w:tcPr>
        <w:tcBorders>
          <w:top w:val="single" w:sz="8" w:space="0" w:color="AF272F" w:themeColor="accent5"/>
          <w:left w:val="nil"/>
          <w:bottom w:val="nil"/>
          <w:right w:val="nil"/>
          <w:insideH w:val="nil"/>
          <w:insideV w:val="nil"/>
        </w:tcBorders>
        <w:shd w:val="clear" w:color="auto" w:fill="004C97" w:themeFill="background1"/>
      </w:tcPr>
    </w:tblStylePr>
    <w:tblStylePr w:type="firstCol">
      <w:tblPr/>
      <w:tcPr>
        <w:tcBorders>
          <w:top w:val="nil"/>
          <w:left w:val="nil"/>
          <w:bottom w:val="nil"/>
          <w:right w:val="single" w:sz="8" w:space="0" w:color="AF272F" w:themeColor="accent5"/>
          <w:insideH w:val="nil"/>
          <w:insideV w:val="nil"/>
        </w:tcBorders>
        <w:shd w:val="clear" w:color="auto" w:fill="004C97" w:themeFill="background1"/>
      </w:tcPr>
    </w:tblStylePr>
    <w:tblStylePr w:type="lastCol">
      <w:tblPr/>
      <w:tcPr>
        <w:tcBorders>
          <w:top w:val="nil"/>
          <w:left w:val="single" w:sz="8" w:space="0" w:color="AF272F" w:themeColor="accent5"/>
          <w:bottom w:val="nil"/>
          <w:right w:val="nil"/>
          <w:insideH w:val="nil"/>
          <w:insideV w:val="nil"/>
        </w:tcBorders>
        <w:shd w:val="clear" w:color="auto" w:fill="004C97" w:themeFill="background1"/>
      </w:tcPr>
    </w:tblStylePr>
    <w:tblStylePr w:type="band1Vert">
      <w:tblPr/>
      <w:tcPr>
        <w:tcBorders>
          <w:left w:val="nil"/>
          <w:right w:val="nil"/>
          <w:insideH w:val="nil"/>
          <w:insideV w:val="nil"/>
        </w:tcBorders>
        <w:shd w:val="clear" w:color="auto" w:fill="F1C3C5" w:themeFill="accent5" w:themeFillTint="3F"/>
      </w:tcPr>
    </w:tblStylePr>
    <w:tblStylePr w:type="band1Horz">
      <w:tblPr/>
      <w:tcPr>
        <w:tcBorders>
          <w:top w:val="nil"/>
          <w:bottom w:val="nil"/>
          <w:insideH w:val="nil"/>
          <w:insideV w:val="nil"/>
        </w:tcBorders>
        <w:shd w:val="clear" w:color="auto" w:fill="F1C3C5" w:themeFill="accent5" w:themeFillTint="3F"/>
      </w:tcPr>
    </w:tblStylePr>
    <w:tblStylePr w:type="nwCell">
      <w:tblPr/>
      <w:tcPr>
        <w:shd w:val="clear" w:color="auto" w:fill="004C97" w:themeFill="background1"/>
      </w:tcPr>
    </w:tblStylePr>
    <w:tblStylePr w:type="swCell">
      <w:tblPr/>
      <w:tcPr>
        <w:tcBorders>
          <w:top w:val="nil"/>
        </w:tcBorders>
      </w:tcPr>
    </w:tblStylePr>
  </w:style>
  <w:style w:type="table" w:styleId="MediumList2-Accent6">
    <w:name w:val="Medium List 2 Accent 6"/>
    <w:basedOn w:val="TableNormal"/>
    <w:uiPriority w:val="66"/>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642667" w:themeColor="accent6"/>
        <w:left w:val="single" w:sz="8" w:space="0" w:color="642667" w:themeColor="accent6"/>
        <w:bottom w:val="single" w:sz="8" w:space="0" w:color="642667" w:themeColor="accent6"/>
        <w:right w:val="single" w:sz="8" w:space="0" w:color="642667" w:themeColor="accent6"/>
      </w:tblBorders>
    </w:tblPr>
    <w:tblStylePr w:type="firstRow">
      <w:rPr>
        <w:sz w:val="24"/>
        <w:szCs w:val="24"/>
      </w:rPr>
      <w:tblPr/>
      <w:tcPr>
        <w:tcBorders>
          <w:top w:val="nil"/>
          <w:left w:val="nil"/>
          <w:bottom w:val="single" w:sz="24" w:space="0" w:color="642667" w:themeColor="accent6"/>
          <w:right w:val="nil"/>
          <w:insideH w:val="nil"/>
          <w:insideV w:val="nil"/>
        </w:tcBorders>
        <w:shd w:val="clear" w:color="auto" w:fill="004C97" w:themeFill="background1"/>
      </w:tcPr>
    </w:tblStylePr>
    <w:tblStylePr w:type="lastRow">
      <w:tblPr/>
      <w:tcPr>
        <w:tcBorders>
          <w:top w:val="single" w:sz="8" w:space="0" w:color="642667" w:themeColor="accent6"/>
          <w:left w:val="nil"/>
          <w:bottom w:val="nil"/>
          <w:right w:val="nil"/>
          <w:insideH w:val="nil"/>
          <w:insideV w:val="nil"/>
        </w:tcBorders>
        <w:shd w:val="clear" w:color="auto" w:fill="004C97" w:themeFill="background1"/>
      </w:tcPr>
    </w:tblStylePr>
    <w:tblStylePr w:type="firstCol">
      <w:tblPr/>
      <w:tcPr>
        <w:tcBorders>
          <w:top w:val="nil"/>
          <w:left w:val="nil"/>
          <w:bottom w:val="nil"/>
          <w:right w:val="single" w:sz="8" w:space="0" w:color="642667" w:themeColor="accent6"/>
          <w:insideH w:val="nil"/>
          <w:insideV w:val="nil"/>
        </w:tcBorders>
        <w:shd w:val="clear" w:color="auto" w:fill="004C97" w:themeFill="background1"/>
      </w:tcPr>
    </w:tblStylePr>
    <w:tblStylePr w:type="lastCol">
      <w:tblPr/>
      <w:tcPr>
        <w:tcBorders>
          <w:top w:val="nil"/>
          <w:left w:val="single" w:sz="8" w:space="0" w:color="642667" w:themeColor="accent6"/>
          <w:bottom w:val="nil"/>
          <w:right w:val="nil"/>
          <w:insideH w:val="nil"/>
          <w:insideV w:val="nil"/>
        </w:tcBorders>
        <w:shd w:val="clear" w:color="auto" w:fill="004C97" w:themeFill="background1"/>
      </w:tcPr>
    </w:tblStylePr>
    <w:tblStylePr w:type="band1Vert">
      <w:tblPr/>
      <w:tcPr>
        <w:tcBorders>
          <w:left w:val="nil"/>
          <w:right w:val="nil"/>
          <w:insideH w:val="nil"/>
          <w:insideV w:val="nil"/>
        </w:tcBorders>
        <w:shd w:val="clear" w:color="auto" w:fill="E4BCE6" w:themeFill="accent6" w:themeFillTint="3F"/>
      </w:tcPr>
    </w:tblStylePr>
    <w:tblStylePr w:type="band1Horz">
      <w:tblPr/>
      <w:tcPr>
        <w:tcBorders>
          <w:top w:val="nil"/>
          <w:bottom w:val="nil"/>
          <w:insideH w:val="nil"/>
          <w:insideV w:val="nil"/>
        </w:tcBorders>
        <w:shd w:val="clear" w:color="auto" w:fill="E4BCE6" w:themeFill="accent6" w:themeFillTint="3F"/>
      </w:tcPr>
    </w:tblStylePr>
    <w:tblStylePr w:type="nwCell">
      <w:tblPr/>
      <w:tcPr>
        <w:shd w:val="clear" w:color="auto" w:fill="004C97" w:themeFill="background1"/>
      </w:tcPr>
    </w:tblStylePr>
    <w:tblStylePr w:type="swCell">
      <w:tblPr/>
      <w:tcPr>
        <w:tcBorders>
          <w:top w:val="nil"/>
        </w:tcBorders>
      </w:tcPr>
    </w:tblStylePr>
  </w:style>
  <w:style w:type="table" w:styleId="MediumGrid1">
    <w:name w:val="Medium Grid 1"/>
    <w:basedOn w:val="TableNormal"/>
    <w:uiPriority w:val="67"/>
    <w:rsid w:val="00BC3E97"/>
    <w:pPr>
      <w:widowControl/>
      <w:autoSpaceDE/>
      <w:autoSpaceDN/>
    </w:pPr>
    <w:rPr>
      <w:rFonts w:eastAsiaTheme="minorEastAsia"/>
    </w:rPr>
    <w:tblPr>
      <w:tblStyleRowBandSize w:val="1"/>
      <w:tblStyleColBandSize w:val="1"/>
      <w:tblBorders>
        <w:top w:val="single" w:sz="8" w:space="0" w:color="442D97" w:themeColor="text1" w:themeTint="BF"/>
        <w:left w:val="single" w:sz="8" w:space="0" w:color="442D97" w:themeColor="text1" w:themeTint="BF"/>
        <w:bottom w:val="single" w:sz="8" w:space="0" w:color="442D97" w:themeColor="text1" w:themeTint="BF"/>
        <w:right w:val="single" w:sz="8" w:space="0" w:color="442D97" w:themeColor="text1" w:themeTint="BF"/>
        <w:insideH w:val="single" w:sz="8" w:space="0" w:color="442D97" w:themeColor="text1" w:themeTint="BF"/>
        <w:insideV w:val="single" w:sz="8" w:space="0" w:color="442D97" w:themeColor="text1" w:themeTint="BF"/>
      </w:tblBorders>
    </w:tblPr>
    <w:tcPr>
      <w:shd w:val="clear" w:color="auto" w:fill="BBAFE7" w:themeFill="text1" w:themeFillTint="3F"/>
    </w:tcPr>
    <w:tblStylePr w:type="firstRow">
      <w:rPr>
        <w:b/>
        <w:bCs/>
      </w:rPr>
    </w:tblStylePr>
    <w:tblStylePr w:type="lastRow">
      <w:rPr>
        <w:b/>
        <w:bCs/>
      </w:rPr>
      <w:tblPr/>
      <w:tcPr>
        <w:tcBorders>
          <w:top w:val="single" w:sz="18" w:space="0" w:color="442D97" w:themeColor="text1" w:themeTint="BF"/>
        </w:tcBorders>
      </w:tcPr>
    </w:tblStylePr>
    <w:tblStylePr w:type="firstCol">
      <w:rPr>
        <w:b/>
        <w:bCs/>
      </w:rPr>
    </w:tblStylePr>
    <w:tblStylePr w:type="lastCol">
      <w:rPr>
        <w:b/>
        <w:bCs/>
      </w:rPr>
    </w:tblStylePr>
    <w:tblStylePr w:type="band1Vert">
      <w:tblPr/>
      <w:tcPr>
        <w:shd w:val="clear" w:color="auto" w:fill="775ECF" w:themeFill="text1" w:themeFillTint="7F"/>
      </w:tcPr>
    </w:tblStylePr>
    <w:tblStylePr w:type="band1Horz">
      <w:tblPr/>
      <w:tcPr>
        <w:shd w:val="clear" w:color="auto" w:fill="775ECF" w:themeFill="text1" w:themeFillTint="7F"/>
      </w:tcPr>
    </w:tblStylePr>
  </w:style>
  <w:style w:type="table" w:styleId="MediumGrid1-Accent1">
    <w:name w:val="Medium Grid 1 Accent 1"/>
    <w:basedOn w:val="TableNormal"/>
    <w:uiPriority w:val="67"/>
    <w:rsid w:val="00BC3E97"/>
    <w:pPr>
      <w:widowControl/>
      <w:autoSpaceDE/>
      <w:autoSpaceDN/>
    </w:pPr>
    <w:rPr>
      <w:rFonts w:eastAsiaTheme="minorEastAsia"/>
    </w:rPr>
    <w:tblPr>
      <w:tblStyleRowBandSize w:val="1"/>
      <w:tblStyleColBandSize w:val="1"/>
      <w:tblBorders>
        <w:top w:val="single" w:sz="8" w:space="0" w:color="00DC85" w:themeColor="accent1" w:themeTint="BF"/>
        <w:left w:val="single" w:sz="8" w:space="0" w:color="00DC85" w:themeColor="accent1" w:themeTint="BF"/>
        <w:bottom w:val="single" w:sz="8" w:space="0" w:color="00DC85" w:themeColor="accent1" w:themeTint="BF"/>
        <w:right w:val="single" w:sz="8" w:space="0" w:color="00DC85" w:themeColor="accent1" w:themeTint="BF"/>
        <w:insideH w:val="single" w:sz="8" w:space="0" w:color="00DC85" w:themeColor="accent1" w:themeTint="BF"/>
        <w:insideV w:val="single" w:sz="8" w:space="0" w:color="00DC85" w:themeColor="accent1" w:themeTint="BF"/>
      </w:tblBorders>
    </w:tblPr>
    <w:tcPr>
      <w:shd w:val="clear" w:color="auto" w:fill="9FFFD9" w:themeFill="accent1" w:themeFillTint="3F"/>
    </w:tcPr>
    <w:tblStylePr w:type="firstRow">
      <w:rPr>
        <w:b/>
        <w:bCs/>
      </w:rPr>
    </w:tblStylePr>
    <w:tblStylePr w:type="lastRow">
      <w:rPr>
        <w:b/>
        <w:bCs/>
      </w:rPr>
      <w:tblPr/>
      <w:tcPr>
        <w:tcBorders>
          <w:top w:val="single" w:sz="18" w:space="0" w:color="00DC85" w:themeColor="accent1" w:themeTint="BF"/>
        </w:tcBorders>
      </w:tcPr>
    </w:tblStylePr>
    <w:tblStylePr w:type="firstCol">
      <w:rPr>
        <w:b/>
        <w:bCs/>
      </w:rPr>
    </w:tblStylePr>
    <w:tblStylePr w:type="lastCol">
      <w:rPr>
        <w:b/>
        <w:bCs/>
      </w:rPr>
    </w:tblStylePr>
    <w:tblStylePr w:type="band1Vert">
      <w:tblPr/>
      <w:tcPr>
        <w:shd w:val="clear" w:color="auto" w:fill="3EFFB3" w:themeFill="accent1" w:themeFillTint="7F"/>
      </w:tcPr>
    </w:tblStylePr>
    <w:tblStylePr w:type="band1Horz">
      <w:tblPr/>
      <w:tcPr>
        <w:shd w:val="clear" w:color="auto" w:fill="3EFFB3" w:themeFill="accent1" w:themeFillTint="7F"/>
      </w:tcPr>
    </w:tblStylePr>
  </w:style>
  <w:style w:type="table" w:styleId="MediumGrid1-Accent2">
    <w:name w:val="Medium Grid 1 Accent 2"/>
    <w:basedOn w:val="TableNormal"/>
    <w:uiPriority w:val="67"/>
    <w:rsid w:val="00BC3E97"/>
    <w:pPr>
      <w:widowControl/>
      <w:autoSpaceDE/>
      <w:autoSpaceDN/>
    </w:pPr>
    <w:rPr>
      <w:rFonts w:eastAsiaTheme="minorEastAsia"/>
    </w:rPr>
    <w:tblPr>
      <w:tblStyleRowBandSize w:val="1"/>
      <w:tblStyleColBandSize w:val="1"/>
      <w:tblBorders>
        <w:top w:val="single" w:sz="8" w:space="0" w:color="F0FF25" w:themeColor="accent2" w:themeTint="BF"/>
        <w:left w:val="single" w:sz="8" w:space="0" w:color="F0FF25" w:themeColor="accent2" w:themeTint="BF"/>
        <w:bottom w:val="single" w:sz="8" w:space="0" w:color="F0FF25" w:themeColor="accent2" w:themeTint="BF"/>
        <w:right w:val="single" w:sz="8" w:space="0" w:color="F0FF25" w:themeColor="accent2" w:themeTint="BF"/>
        <w:insideH w:val="single" w:sz="8" w:space="0" w:color="F0FF25" w:themeColor="accent2" w:themeTint="BF"/>
        <w:insideV w:val="single" w:sz="8" w:space="0" w:color="F0FF25" w:themeColor="accent2" w:themeTint="BF"/>
      </w:tblBorders>
    </w:tblPr>
    <w:tcPr>
      <w:shd w:val="clear" w:color="auto" w:fill="FAFFB7" w:themeFill="accent2" w:themeFillTint="3F"/>
    </w:tcPr>
    <w:tblStylePr w:type="firstRow">
      <w:rPr>
        <w:b/>
        <w:bCs/>
      </w:rPr>
    </w:tblStylePr>
    <w:tblStylePr w:type="lastRow">
      <w:rPr>
        <w:b/>
        <w:bCs/>
      </w:rPr>
      <w:tblPr/>
      <w:tcPr>
        <w:tcBorders>
          <w:top w:val="single" w:sz="18" w:space="0" w:color="F0FF25" w:themeColor="accent2" w:themeTint="BF"/>
        </w:tcBorders>
      </w:tcPr>
    </w:tblStylePr>
    <w:tblStylePr w:type="firstCol">
      <w:rPr>
        <w:b/>
        <w:bCs/>
      </w:rPr>
    </w:tblStylePr>
    <w:tblStylePr w:type="lastCol">
      <w:rPr>
        <w:b/>
        <w:bCs/>
      </w:rPr>
    </w:tblStylePr>
    <w:tblStylePr w:type="band1Vert">
      <w:tblPr/>
      <w:tcPr>
        <w:shd w:val="clear" w:color="auto" w:fill="F5FF6E" w:themeFill="accent2" w:themeFillTint="7F"/>
      </w:tcPr>
    </w:tblStylePr>
    <w:tblStylePr w:type="band1Horz">
      <w:tblPr/>
      <w:tcPr>
        <w:shd w:val="clear" w:color="auto" w:fill="F5FF6E" w:themeFill="accent2" w:themeFillTint="7F"/>
      </w:tcPr>
    </w:tblStylePr>
  </w:style>
  <w:style w:type="table" w:styleId="MediumGrid1-Accent3">
    <w:name w:val="Medium Grid 1 Accent 3"/>
    <w:basedOn w:val="TableNormal"/>
    <w:uiPriority w:val="67"/>
    <w:rsid w:val="00BC3E97"/>
    <w:pPr>
      <w:widowControl/>
      <w:autoSpaceDE/>
      <w:autoSpaceDN/>
    </w:pPr>
    <w:rPr>
      <w:rFonts w:eastAsiaTheme="minorEastAsia"/>
    </w:rPr>
    <w:tblPr>
      <w:tblStyleRowBandSize w:val="1"/>
      <w:tblStyleColBandSize w:val="1"/>
      <w:tblBorders>
        <w:top w:val="single" w:sz="8" w:space="0" w:color="FFD139" w:themeColor="accent3" w:themeTint="BF"/>
        <w:left w:val="single" w:sz="8" w:space="0" w:color="FFD139" w:themeColor="accent3" w:themeTint="BF"/>
        <w:bottom w:val="single" w:sz="8" w:space="0" w:color="FFD139" w:themeColor="accent3" w:themeTint="BF"/>
        <w:right w:val="single" w:sz="8" w:space="0" w:color="FFD139" w:themeColor="accent3" w:themeTint="BF"/>
        <w:insideH w:val="single" w:sz="8" w:space="0" w:color="FFD139" w:themeColor="accent3" w:themeTint="BF"/>
        <w:insideV w:val="single" w:sz="8" w:space="0" w:color="FFD139" w:themeColor="accent3" w:themeTint="BF"/>
      </w:tblBorders>
    </w:tblPr>
    <w:tcPr>
      <w:shd w:val="clear" w:color="auto" w:fill="FFEFBD" w:themeFill="accent3" w:themeFillTint="3F"/>
    </w:tcPr>
    <w:tblStylePr w:type="firstRow">
      <w:rPr>
        <w:b/>
        <w:bCs/>
      </w:rPr>
    </w:tblStylePr>
    <w:tblStylePr w:type="lastRow">
      <w:rPr>
        <w:b/>
        <w:bCs/>
      </w:rPr>
      <w:tblPr/>
      <w:tcPr>
        <w:tcBorders>
          <w:top w:val="single" w:sz="18" w:space="0" w:color="FFD139" w:themeColor="accent3" w:themeTint="BF"/>
        </w:tcBorders>
      </w:tcPr>
    </w:tblStylePr>
    <w:tblStylePr w:type="firstCol">
      <w:rPr>
        <w:b/>
        <w:bCs/>
      </w:rPr>
    </w:tblStylePr>
    <w:tblStylePr w:type="lastCol">
      <w:rPr>
        <w:b/>
        <w:bCs/>
      </w:rPr>
    </w:tblStylePr>
    <w:tblStylePr w:type="band1Vert">
      <w:tblPr/>
      <w:tcPr>
        <w:shd w:val="clear" w:color="auto" w:fill="FFE07B" w:themeFill="accent3" w:themeFillTint="7F"/>
      </w:tcPr>
    </w:tblStylePr>
    <w:tblStylePr w:type="band1Horz">
      <w:tblPr/>
      <w:tcPr>
        <w:shd w:val="clear" w:color="auto" w:fill="FFE07B" w:themeFill="accent3" w:themeFillTint="7F"/>
      </w:tcPr>
    </w:tblStylePr>
  </w:style>
  <w:style w:type="table" w:styleId="MediumGrid1-Accent4">
    <w:name w:val="Medium Grid 1 Accent 4"/>
    <w:basedOn w:val="TableNormal"/>
    <w:uiPriority w:val="67"/>
    <w:rsid w:val="00BC3E97"/>
    <w:pPr>
      <w:widowControl/>
      <w:autoSpaceDE/>
      <w:autoSpaceDN/>
    </w:pPr>
    <w:rPr>
      <w:rFonts w:eastAsiaTheme="minorEastAsia"/>
    </w:rPr>
    <w:tblPr>
      <w:tblStyleRowBandSize w:val="1"/>
      <w:tblStyleColBandSize w:val="1"/>
      <w:tblBorders>
        <w:top w:val="single" w:sz="8" w:space="0" w:color="FF942C" w:themeColor="accent4" w:themeTint="BF"/>
        <w:left w:val="single" w:sz="8" w:space="0" w:color="FF942C" w:themeColor="accent4" w:themeTint="BF"/>
        <w:bottom w:val="single" w:sz="8" w:space="0" w:color="FF942C" w:themeColor="accent4" w:themeTint="BF"/>
        <w:right w:val="single" w:sz="8" w:space="0" w:color="FF942C" w:themeColor="accent4" w:themeTint="BF"/>
        <w:insideH w:val="single" w:sz="8" w:space="0" w:color="FF942C" w:themeColor="accent4" w:themeTint="BF"/>
        <w:insideV w:val="single" w:sz="8" w:space="0" w:color="FF942C" w:themeColor="accent4" w:themeTint="BF"/>
      </w:tblBorders>
    </w:tblPr>
    <w:tcPr>
      <w:shd w:val="clear" w:color="auto" w:fill="FFDBB9" w:themeFill="accent4" w:themeFillTint="3F"/>
    </w:tcPr>
    <w:tblStylePr w:type="firstRow">
      <w:rPr>
        <w:b/>
        <w:bCs/>
      </w:rPr>
    </w:tblStylePr>
    <w:tblStylePr w:type="lastRow">
      <w:rPr>
        <w:b/>
        <w:bCs/>
      </w:rPr>
      <w:tblPr/>
      <w:tcPr>
        <w:tcBorders>
          <w:top w:val="single" w:sz="18" w:space="0" w:color="FF942C" w:themeColor="accent4" w:themeTint="BF"/>
        </w:tcBorders>
      </w:tcPr>
    </w:tblStylePr>
    <w:tblStylePr w:type="firstCol">
      <w:rPr>
        <w:b/>
        <w:bCs/>
      </w:rPr>
    </w:tblStylePr>
    <w:tblStylePr w:type="lastCol">
      <w:rPr>
        <w:b/>
        <w:bCs/>
      </w:rPr>
    </w:tblStylePr>
    <w:tblStylePr w:type="band1Vert">
      <w:tblPr/>
      <w:tcPr>
        <w:shd w:val="clear" w:color="auto" w:fill="FFB873" w:themeFill="accent4" w:themeFillTint="7F"/>
      </w:tcPr>
    </w:tblStylePr>
    <w:tblStylePr w:type="band1Horz">
      <w:tblPr/>
      <w:tcPr>
        <w:shd w:val="clear" w:color="auto" w:fill="FFB873" w:themeFill="accent4" w:themeFillTint="7F"/>
      </w:tcPr>
    </w:tblStylePr>
  </w:style>
  <w:style w:type="table" w:styleId="MediumGrid1-Accent5">
    <w:name w:val="Medium Grid 1 Accent 5"/>
    <w:basedOn w:val="TableNormal"/>
    <w:uiPriority w:val="67"/>
    <w:rsid w:val="00BC3E97"/>
    <w:pPr>
      <w:widowControl/>
      <w:autoSpaceDE/>
      <w:autoSpaceDN/>
    </w:pPr>
    <w:rPr>
      <w:rFonts w:eastAsiaTheme="minorEastAsia"/>
    </w:rPr>
    <w:tblPr>
      <w:tblStyleRowBandSize w:val="1"/>
      <w:tblStyleColBandSize w:val="1"/>
      <w:tblBorders>
        <w:top w:val="single" w:sz="8" w:space="0" w:color="D64951" w:themeColor="accent5" w:themeTint="BF"/>
        <w:left w:val="single" w:sz="8" w:space="0" w:color="D64951" w:themeColor="accent5" w:themeTint="BF"/>
        <w:bottom w:val="single" w:sz="8" w:space="0" w:color="D64951" w:themeColor="accent5" w:themeTint="BF"/>
        <w:right w:val="single" w:sz="8" w:space="0" w:color="D64951" w:themeColor="accent5" w:themeTint="BF"/>
        <w:insideH w:val="single" w:sz="8" w:space="0" w:color="D64951" w:themeColor="accent5" w:themeTint="BF"/>
        <w:insideV w:val="single" w:sz="8" w:space="0" w:color="D64951" w:themeColor="accent5" w:themeTint="BF"/>
      </w:tblBorders>
    </w:tblPr>
    <w:tcPr>
      <w:shd w:val="clear" w:color="auto" w:fill="F1C3C5" w:themeFill="accent5" w:themeFillTint="3F"/>
    </w:tcPr>
    <w:tblStylePr w:type="firstRow">
      <w:rPr>
        <w:b/>
        <w:bCs/>
      </w:rPr>
    </w:tblStylePr>
    <w:tblStylePr w:type="lastRow">
      <w:rPr>
        <w:b/>
        <w:bCs/>
      </w:rPr>
      <w:tblPr/>
      <w:tcPr>
        <w:tcBorders>
          <w:top w:val="single" w:sz="18" w:space="0" w:color="D64951" w:themeColor="accent5" w:themeTint="BF"/>
        </w:tcBorders>
      </w:tcPr>
    </w:tblStylePr>
    <w:tblStylePr w:type="firstCol">
      <w:rPr>
        <w:b/>
        <w:bCs/>
      </w:rPr>
    </w:tblStylePr>
    <w:tblStylePr w:type="lastCol">
      <w:rPr>
        <w:b/>
        <w:bCs/>
      </w:rPr>
    </w:tblStylePr>
    <w:tblStylePr w:type="band1Vert">
      <w:tblPr/>
      <w:tcPr>
        <w:shd w:val="clear" w:color="auto" w:fill="E4868B" w:themeFill="accent5" w:themeFillTint="7F"/>
      </w:tcPr>
    </w:tblStylePr>
    <w:tblStylePr w:type="band1Horz">
      <w:tblPr/>
      <w:tcPr>
        <w:shd w:val="clear" w:color="auto" w:fill="E4868B" w:themeFill="accent5" w:themeFillTint="7F"/>
      </w:tcPr>
    </w:tblStylePr>
  </w:style>
  <w:style w:type="table" w:styleId="MediumGrid1-Accent6">
    <w:name w:val="Medium Grid 1 Accent 6"/>
    <w:basedOn w:val="TableNormal"/>
    <w:uiPriority w:val="67"/>
    <w:rsid w:val="00BC3E97"/>
    <w:pPr>
      <w:widowControl/>
      <w:autoSpaceDE/>
      <w:autoSpaceDN/>
    </w:pPr>
    <w:rPr>
      <w:rFonts w:eastAsiaTheme="minorEastAsia"/>
    </w:rPr>
    <w:tblPr>
      <w:tblStyleRowBandSize w:val="1"/>
      <w:tblStyleColBandSize w:val="1"/>
      <w:tblBorders>
        <w:top w:val="single" w:sz="8" w:space="0" w:color="A53FAA" w:themeColor="accent6" w:themeTint="BF"/>
        <w:left w:val="single" w:sz="8" w:space="0" w:color="A53FAA" w:themeColor="accent6" w:themeTint="BF"/>
        <w:bottom w:val="single" w:sz="8" w:space="0" w:color="A53FAA" w:themeColor="accent6" w:themeTint="BF"/>
        <w:right w:val="single" w:sz="8" w:space="0" w:color="A53FAA" w:themeColor="accent6" w:themeTint="BF"/>
        <w:insideH w:val="single" w:sz="8" w:space="0" w:color="A53FAA" w:themeColor="accent6" w:themeTint="BF"/>
        <w:insideV w:val="single" w:sz="8" w:space="0" w:color="A53FAA" w:themeColor="accent6" w:themeTint="BF"/>
      </w:tblBorders>
    </w:tblPr>
    <w:tcPr>
      <w:shd w:val="clear" w:color="auto" w:fill="E4BCE6" w:themeFill="accent6" w:themeFillTint="3F"/>
    </w:tcPr>
    <w:tblStylePr w:type="firstRow">
      <w:rPr>
        <w:b/>
        <w:bCs/>
      </w:rPr>
    </w:tblStylePr>
    <w:tblStylePr w:type="lastRow">
      <w:rPr>
        <w:b/>
        <w:bCs/>
      </w:rPr>
      <w:tblPr/>
      <w:tcPr>
        <w:tcBorders>
          <w:top w:val="single" w:sz="18" w:space="0" w:color="A53FAA" w:themeColor="accent6" w:themeTint="BF"/>
        </w:tcBorders>
      </w:tcPr>
    </w:tblStylePr>
    <w:tblStylePr w:type="firstCol">
      <w:rPr>
        <w:b/>
        <w:bCs/>
      </w:rPr>
    </w:tblStylePr>
    <w:tblStylePr w:type="lastCol">
      <w:rPr>
        <w:b/>
        <w:bCs/>
      </w:rPr>
    </w:tblStylePr>
    <w:tblStylePr w:type="band1Vert">
      <w:tblPr/>
      <w:tcPr>
        <w:shd w:val="clear" w:color="auto" w:fill="C978CD" w:themeFill="accent6" w:themeFillTint="7F"/>
      </w:tcPr>
    </w:tblStylePr>
    <w:tblStylePr w:type="band1Horz">
      <w:tblPr/>
      <w:tcPr>
        <w:shd w:val="clear" w:color="auto" w:fill="C978CD" w:themeFill="accent6" w:themeFillTint="7F"/>
      </w:tcPr>
    </w:tblStylePr>
  </w:style>
  <w:style w:type="table" w:styleId="MediumGrid2">
    <w:name w:val="Medium Grid 2"/>
    <w:basedOn w:val="TableNormal"/>
    <w:uiPriority w:val="68"/>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201547" w:themeColor="text1"/>
        <w:left w:val="single" w:sz="8" w:space="0" w:color="201547" w:themeColor="text1"/>
        <w:bottom w:val="single" w:sz="8" w:space="0" w:color="201547" w:themeColor="text1"/>
        <w:right w:val="single" w:sz="8" w:space="0" w:color="201547" w:themeColor="text1"/>
        <w:insideH w:val="single" w:sz="8" w:space="0" w:color="201547" w:themeColor="text1"/>
        <w:insideV w:val="single" w:sz="8" w:space="0" w:color="201547" w:themeColor="text1"/>
      </w:tblBorders>
    </w:tblPr>
    <w:tcPr>
      <w:shd w:val="clear" w:color="auto" w:fill="BBAFE7" w:themeFill="text1" w:themeFillTint="3F"/>
    </w:tcPr>
    <w:tblStylePr w:type="firstRow">
      <w:rPr>
        <w:b/>
        <w:bCs/>
        <w:color w:val="201547" w:themeColor="text1"/>
      </w:rPr>
      <w:tblPr/>
      <w:tcPr>
        <w:shd w:val="clear" w:color="auto" w:fill="E4DFF5" w:themeFill="text1" w:themeFillTint="19"/>
      </w:tcPr>
    </w:tblStylePr>
    <w:tblStylePr w:type="lastRow">
      <w:rPr>
        <w:b/>
        <w:bCs/>
        <w:color w:val="201547" w:themeColor="text1"/>
      </w:rPr>
      <w:tblPr/>
      <w:tcPr>
        <w:tcBorders>
          <w:top w:val="single" w:sz="12" w:space="0" w:color="201547" w:themeColor="text1"/>
          <w:left w:val="nil"/>
          <w:bottom w:val="nil"/>
          <w:right w:val="nil"/>
          <w:insideH w:val="nil"/>
          <w:insideV w:val="nil"/>
        </w:tcBorders>
        <w:shd w:val="clear" w:color="auto" w:fill="004C97" w:themeFill="background1"/>
      </w:tcPr>
    </w:tblStylePr>
    <w:tblStylePr w:type="firstCol">
      <w:rPr>
        <w:b/>
        <w:bCs/>
        <w:color w:val="201547" w:themeColor="text1"/>
      </w:rPr>
      <w:tblPr/>
      <w:tcPr>
        <w:tcBorders>
          <w:top w:val="nil"/>
          <w:left w:val="nil"/>
          <w:bottom w:val="nil"/>
          <w:right w:val="nil"/>
          <w:insideH w:val="nil"/>
          <w:insideV w:val="nil"/>
        </w:tcBorders>
        <w:shd w:val="clear" w:color="auto" w:fill="004C97" w:themeFill="background1"/>
      </w:tcPr>
    </w:tblStylePr>
    <w:tblStylePr w:type="lastCol">
      <w:rPr>
        <w:b w:val="0"/>
        <w:bCs w:val="0"/>
        <w:color w:val="201547" w:themeColor="text1"/>
      </w:rPr>
      <w:tblPr/>
      <w:tcPr>
        <w:tcBorders>
          <w:top w:val="nil"/>
          <w:left w:val="nil"/>
          <w:bottom w:val="nil"/>
          <w:right w:val="nil"/>
          <w:insideH w:val="nil"/>
          <w:insideV w:val="nil"/>
        </w:tcBorders>
        <w:shd w:val="clear" w:color="auto" w:fill="C8BEEC" w:themeFill="text1" w:themeFillTint="33"/>
      </w:tcPr>
    </w:tblStylePr>
    <w:tblStylePr w:type="band1Vert">
      <w:tblPr/>
      <w:tcPr>
        <w:shd w:val="clear" w:color="auto" w:fill="775ECF" w:themeFill="text1" w:themeFillTint="7F"/>
      </w:tcPr>
    </w:tblStylePr>
    <w:tblStylePr w:type="band1Horz">
      <w:tblPr/>
      <w:tcPr>
        <w:tcBorders>
          <w:insideH w:val="single" w:sz="6" w:space="0" w:color="201547" w:themeColor="text1"/>
          <w:insideV w:val="single" w:sz="6" w:space="0" w:color="201547" w:themeColor="text1"/>
        </w:tcBorders>
        <w:shd w:val="clear" w:color="auto" w:fill="775ECF" w:themeFill="text1" w:themeFillTint="7F"/>
      </w:tcPr>
    </w:tblStylePr>
    <w:tblStylePr w:type="nwCell">
      <w:tblPr/>
      <w:tcPr>
        <w:shd w:val="clear" w:color="auto" w:fill="004C97" w:themeFill="background1"/>
      </w:tcPr>
    </w:tblStylePr>
  </w:style>
  <w:style w:type="table" w:styleId="MediumGrid2-Accent1">
    <w:name w:val="Medium Grid 2 Accent 1"/>
    <w:basedOn w:val="TableNormal"/>
    <w:uiPriority w:val="68"/>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007B4B" w:themeColor="accent1"/>
        <w:left w:val="single" w:sz="8" w:space="0" w:color="007B4B" w:themeColor="accent1"/>
        <w:bottom w:val="single" w:sz="8" w:space="0" w:color="007B4B" w:themeColor="accent1"/>
        <w:right w:val="single" w:sz="8" w:space="0" w:color="007B4B" w:themeColor="accent1"/>
        <w:insideH w:val="single" w:sz="8" w:space="0" w:color="007B4B" w:themeColor="accent1"/>
        <w:insideV w:val="single" w:sz="8" w:space="0" w:color="007B4B" w:themeColor="accent1"/>
      </w:tblBorders>
    </w:tblPr>
    <w:tcPr>
      <w:shd w:val="clear" w:color="auto" w:fill="9FFFD9" w:themeFill="accent1" w:themeFillTint="3F"/>
    </w:tcPr>
    <w:tblStylePr w:type="firstRow">
      <w:rPr>
        <w:b/>
        <w:bCs/>
        <w:color w:val="201547" w:themeColor="text1"/>
      </w:rPr>
      <w:tblPr/>
      <w:tcPr>
        <w:shd w:val="clear" w:color="auto" w:fill="D9FFF0" w:themeFill="accent1" w:themeFillTint="19"/>
      </w:tcPr>
    </w:tblStylePr>
    <w:tblStylePr w:type="lastRow">
      <w:rPr>
        <w:b/>
        <w:bCs/>
        <w:color w:val="201547" w:themeColor="text1"/>
      </w:rPr>
      <w:tblPr/>
      <w:tcPr>
        <w:tcBorders>
          <w:top w:val="single" w:sz="12" w:space="0" w:color="201547" w:themeColor="text1"/>
          <w:left w:val="nil"/>
          <w:bottom w:val="nil"/>
          <w:right w:val="nil"/>
          <w:insideH w:val="nil"/>
          <w:insideV w:val="nil"/>
        </w:tcBorders>
        <w:shd w:val="clear" w:color="auto" w:fill="004C97" w:themeFill="background1"/>
      </w:tcPr>
    </w:tblStylePr>
    <w:tblStylePr w:type="firstCol">
      <w:rPr>
        <w:b/>
        <w:bCs/>
        <w:color w:val="201547" w:themeColor="text1"/>
      </w:rPr>
      <w:tblPr/>
      <w:tcPr>
        <w:tcBorders>
          <w:top w:val="nil"/>
          <w:left w:val="nil"/>
          <w:bottom w:val="nil"/>
          <w:right w:val="nil"/>
          <w:insideH w:val="nil"/>
          <w:insideV w:val="nil"/>
        </w:tcBorders>
        <w:shd w:val="clear" w:color="auto" w:fill="004C97" w:themeFill="background1"/>
      </w:tcPr>
    </w:tblStylePr>
    <w:tblStylePr w:type="lastCol">
      <w:rPr>
        <w:b w:val="0"/>
        <w:bCs w:val="0"/>
        <w:color w:val="201547" w:themeColor="text1"/>
      </w:rPr>
      <w:tblPr/>
      <w:tcPr>
        <w:tcBorders>
          <w:top w:val="nil"/>
          <w:left w:val="nil"/>
          <w:bottom w:val="nil"/>
          <w:right w:val="nil"/>
          <w:insideH w:val="nil"/>
          <w:insideV w:val="nil"/>
        </w:tcBorders>
        <w:shd w:val="clear" w:color="auto" w:fill="B1FFE0" w:themeFill="accent1" w:themeFillTint="33"/>
      </w:tcPr>
    </w:tblStylePr>
    <w:tblStylePr w:type="band1Vert">
      <w:tblPr/>
      <w:tcPr>
        <w:shd w:val="clear" w:color="auto" w:fill="3EFFB3" w:themeFill="accent1" w:themeFillTint="7F"/>
      </w:tcPr>
    </w:tblStylePr>
    <w:tblStylePr w:type="band1Horz">
      <w:tblPr/>
      <w:tcPr>
        <w:tcBorders>
          <w:insideH w:val="single" w:sz="6" w:space="0" w:color="007B4B" w:themeColor="accent1"/>
          <w:insideV w:val="single" w:sz="6" w:space="0" w:color="007B4B" w:themeColor="accent1"/>
        </w:tcBorders>
        <w:shd w:val="clear" w:color="auto" w:fill="3EFFB3" w:themeFill="accent1" w:themeFillTint="7F"/>
      </w:tcPr>
    </w:tblStylePr>
    <w:tblStylePr w:type="nwCell">
      <w:tblPr/>
      <w:tcPr>
        <w:shd w:val="clear" w:color="auto" w:fill="004C97" w:themeFill="background1"/>
      </w:tcPr>
    </w:tblStylePr>
  </w:style>
  <w:style w:type="table" w:styleId="MediumGrid2-Accent2">
    <w:name w:val="Medium Grid 2 Accent 2"/>
    <w:basedOn w:val="TableNormal"/>
    <w:uiPriority w:val="68"/>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CEDC00" w:themeColor="accent2"/>
        <w:left w:val="single" w:sz="8" w:space="0" w:color="CEDC00" w:themeColor="accent2"/>
        <w:bottom w:val="single" w:sz="8" w:space="0" w:color="CEDC00" w:themeColor="accent2"/>
        <w:right w:val="single" w:sz="8" w:space="0" w:color="CEDC00" w:themeColor="accent2"/>
        <w:insideH w:val="single" w:sz="8" w:space="0" w:color="CEDC00" w:themeColor="accent2"/>
        <w:insideV w:val="single" w:sz="8" w:space="0" w:color="CEDC00" w:themeColor="accent2"/>
      </w:tblBorders>
    </w:tblPr>
    <w:tcPr>
      <w:shd w:val="clear" w:color="auto" w:fill="FAFFB7" w:themeFill="accent2" w:themeFillTint="3F"/>
    </w:tcPr>
    <w:tblStylePr w:type="firstRow">
      <w:rPr>
        <w:b/>
        <w:bCs/>
        <w:color w:val="201547" w:themeColor="text1"/>
      </w:rPr>
      <w:tblPr/>
      <w:tcPr>
        <w:shd w:val="clear" w:color="auto" w:fill="FDFFE2" w:themeFill="accent2" w:themeFillTint="19"/>
      </w:tcPr>
    </w:tblStylePr>
    <w:tblStylePr w:type="lastRow">
      <w:rPr>
        <w:b/>
        <w:bCs/>
        <w:color w:val="201547" w:themeColor="text1"/>
      </w:rPr>
      <w:tblPr/>
      <w:tcPr>
        <w:tcBorders>
          <w:top w:val="single" w:sz="12" w:space="0" w:color="201547" w:themeColor="text1"/>
          <w:left w:val="nil"/>
          <w:bottom w:val="nil"/>
          <w:right w:val="nil"/>
          <w:insideH w:val="nil"/>
          <w:insideV w:val="nil"/>
        </w:tcBorders>
        <w:shd w:val="clear" w:color="auto" w:fill="004C97" w:themeFill="background1"/>
      </w:tcPr>
    </w:tblStylePr>
    <w:tblStylePr w:type="firstCol">
      <w:rPr>
        <w:b/>
        <w:bCs/>
        <w:color w:val="201547" w:themeColor="text1"/>
      </w:rPr>
      <w:tblPr/>
      <w:tcPr>
        <w:tcBorders>
          <w:top w:val="nil"/>
          <w:left w:val="nil"/>
          <w:bottom w:val="nil"/>
          <w:right w:val="nil"/>
          <w:insideH w:val="nil"/>
          <w:insideV w:val="nil"/>
        </w:tcBorders>
        <w:shd w:val="clear" w:color="auto" w:fill="004C97" w:themeFill="background1"/>
      </w:tcPr>
    </w:tblStylePr>
    <w:tblStylePr w:type="lastCol">
      <w:rPr>
        <w:b w:val="0"/>
        <w:bCs w:val="0"/>
        <w:color w:val="201547" w:themeColor="text1"/>
      </w:rPr>
      <w:tblPr/>
      <w:tcPr>
        <w:tcBorders>
          <w:top w:val="nil"/>
          <w:left w:val="nil"/>
          <w:bottom w:val="nil"/>
          <w:right w:val="nil"/>
          <w:insideH w:val="nil"/>
          <w:insideV w:val="nil"/>
        </w:tcBorders>
        <w:shd w:val="clear" w:color="auto" w:fill="FBFFC5" w:themeFill="accent2" w:themeFillTint="33"/>
      </w:tcPr>
    </w:tblStylePr>
    <w:tblStylePr w:type="band1Vert">
      <w:tblPr/>
      <w:tcPr>
        <w:shd w:val="clear" w:color="auto" w:fill="F5FF6E" w:themeFill="accent2" w:themeFillTint="7F"/>
      </w:tcPr>
    </w:tblStylePr>
    <w:tblStylePr w:type="band1Horz">
      <w:tblPr/>
      <w:tcPr>
        <w:tcBorders>
          <w:insideH w:val="single" w:sz="6" w:space="0" w:color="CEDC00" w:themeColor="accent2"/>
          <w:insideV w:val="single" w:sz="6" w:space="0" w:color="CEDC00" w:themeColor="accent2"/>
        </w:tcBorders>
        <w:shd w:val="clear" w:color="auto" w:fill="F5FF6E" w:themeFill="accent2" w:themeFillTint="7F"/>
      </w:tcPr>
    </w:tblStylePr>
    <w:tblStylePr w:type="nwCell">
      <w:tblPr/>
      <w:tcPr>
        <w:shd w:val="clear" w:color="auto" w:fill="004C97" w:themeFill="background1"/>
      </w:tcPr>
    </w:tblStylePr>
  </w:style>
  <w:style w:type="table" w:styleId="MediumGrid2-Accent3">
    <w:name w:val="Medium Grid 2 Accent 3"/>
    <w:basedOn w:val="TableNormal"/>
    <w:uiPriority w:val="68"/>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F6BE00" w:themeColor="accent3"/>
        <w:left w:val="single" w:sz="8" w:space="0" w:color="F6BE00" w:themeColor="accent3"/>
        <w:bottom w:val="single" w:sz="8" w:space="0" w:color="F6BE00" w:themeColor="accent3"/>
        <w:right w:val="single" w:sz="8" w:space="0" w:color="F6BE00" w:themeColor="accent3"/>
        <w:insideH w:val="single" w:sz="8" w:space="0" w:color="F6BE00" w:themeColor="accent3"/>
        <w:insideV w:val="single" w:sz="8" w:space="0" w:color="F6BE00" w:themeColor="accent3"/>
      </w:tblBorders>
    </w:tblPr>
    <w:tcPr>
      <w:shd w:val="clear" w:color="auto" w:fill="FFEFBD" w:themeFill="accent3" w:themeFillTint="3F"/>
    </w:tcPr>
    <w:tblStylePr w:type="firstRow">
      <w:rPr>
        <w:b/>
        <w:bCs/>
        <w:color w:val="201547" w:themeColor="text1"/>
      </w:rPr>
      <w:tblPr/>
      <w:tcPr>
        <w:shd w:val="clear" w:color="auto" w:fill="FFF8E5" w:themeFill="accent3" w:themeFillTint="19"/>
      </w:tcPr>
    </w:tblStylePr>
    <w:tblStylePr w:type="lastRow">
      <w:rPr>
        <w:b/>
        <w:bCs/>
        <w:color w:val="201547" w:themeColor="text1"/>
      </w:rPr>
      <w:tblPr/>
      <w:tcPr>
        <w:tcBorders>
          <w:top w:val="single" w:sz="12" w:space="0" w:color="201547" w:themeColor="text1"/>
          <w:left w:val="nil"/>
          <w:bottom w:val="nil"/>
          <w:right w:val="nil"/>
          <w:insideH w:val="nil"/>
          <w:insideV w:val="nil"/>
        </w:tcBorders>
        <w:shd w:val="clear" w:color="auto" w:fill="004C97" w:themeFill="background1"/>
      </w:tcPr>
    </w:tblStylePr>
    <w:tblStylePr w:type="firstCol">
      <w:rPr>
        <w:b/>
        <w:bCs/>
        <w:color w:val="201547" w:themeColor="text1"/>
      </w:rPr>
      <w:tblPr/>
      <w:tcPr>
        <w:tcBorders>
          <w:top w:val="nil"/>
          <w:left w:val="nil"/>
          <w:bottom w:val="nil"/>
          <w:right w:val="nil"/>
          <w:insideH w:val="nil"/>
          <w:insideV w:val="nil"/>
        </w:tcBorders>
        <w:shd w:val="clear" w:color="auto" w:fill="004C97" w:themeFill="background1"/>
      </w:tcPr>
    </w:tblStylePr>
    <w:tblStylePr w:type="lastCol">
      <w:rPr>
        <w:b w:val="0"/>
        <w:bCs w:val="0"/>
        <w:color w:val="201547" w:themeColor="text1"/>
      </w:rPr>
      <w:tblPr/>
      <w:tcPr>
        <w:tcBorders>
          <w:top w:val="nil"/>
          <w:left w:val="nil"/>
          <w:bottom w:val="nil"/>
          <w:right w:val="nil"/>
          <w:insideH w:val="nil"/>
          <w:insideV w:val="nil"/>
        </w:tcBorders>
        <w:shd w:val="clear" w:color="auto" w:fill="FFF2CA" w:themeFill="accent3" w:themeFillTint="33"/>
      </w:tcPr>
    </w:tblStylePr>
    <w:tblStylePr w:type="band1Vert">
      <w:tblPr/>
      <w:tcPr>
        <w:shd w:val="clear" w:color="auto" w:fill="FFE07B" w:themeFill="accent3" w:themeFillTint="7F"/>
      </w:tcPr>
    </w:tblStylePr>
    <w:tblStylePr w:type="band1Horz">
      <w:tblPr/>
      <w:tcPr>
        <w:tcBorders>
          <w:insideH w:val="single" w:sz="6" w:space="0" w:color="F6BE00" w:themeColor="accent3"/>
          <w:insideV w:val="single" w:sz="6" w:space="0" w:color="F6BE00" w:themeColor="accent3"/>
        </w:tcBorders>
        <w:shd w:val="clear" w:color="auto" w:fill="FFE07B" w:themeFill="accent3" w:themeFillTint="7F"/>
      </w:tcPr>
    </w:tblStylePr>
    <w:tblStylePr w:type="nwCell">
      <w:tblPr/>
      <w:tcPr>
        <w:shd w:val="clear" w:color="auto" w:fill="004C97" w:themeFill="background1"/>
      </w:tcPr>
    </w:tblStylePr>
  </w:style>
  <w:style w:type="table" w:styleId="MediumGrid2-Accent4">
    <w:name w:val="Medium Grid 2 Accent 4"/>
    <w:basedOn w:val="TableNormal"/>
    <w:uiPriority w:val="68"/>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E57200" w:themeColor="accent4"/>
        <w:left w:val="single" w:sz="8" w:space="0" w:color="E57200" w:themeColor="accent4"/>
        <w:bottom w:val="single" w:sz="8" w:space="0" w:color="E57200" w:themeColor="accent4"/>
        <w:right w:val="single" w:sz="8" w:space="0" w:color="E57200" w:themeColor="accent4"/>
        <w:insideH w:val="single" w:sz="8" w:space="0" w:color="E57200" w:themeColor="accent4"/>
        <w:insideV w:val="single" w:sz="8" w:space="0" w:color="E57200" w:themeColor="accent4"/>
      </w:tblBorders>
    </w:tblPr>
    <w:tcPr>
      <w:shd w:val="clear" w:color="auto" w:fill="FFDBB9" w:themeFill="accent4" w:themeFillTint="3F"/>
    </w:tcPr>
    <w:tblStylePr w:type="firstRow">
      <w:rPr>
        <w:b/>
        <w:bCs/>
        <w:color w:val="201547" w:themeColor="text1"/>
      </w:rPr>
      <w:tblPr/>
      <w:tcPr>
        <w:shd w:val="clear" w:color="auto" w:fill="FFF1E3" w:themeFill="accent4" w:themeFillTint="19"/>
      </w:tcPr>
    </w:tblStylePr>
    <w:tblStylePr w:type="lastRow">
      <w:rPr>
        <w:b/>
        <w:bCs/>
        <w:color w:val="201547" w:themeColor="text1"/>
      </w:rPr>
      <w:tblPr/>
      <w:tcPr>
        <w:tcBorders>
          <w:top w:val="single" w:sz="12" w:space="0" w:color="201547" w:themeColor="text1"/>
          <w:left w:val="nil"/>
          <w:bottom w:val="nil"/>
          <w:right w:val="nil"/>
          <w:insideH w:val="nil"/>
          <w:insideV w:val="nil"/>
        </w:tcBorders>
        <w:shd w:val="clear" w:color="auto" w:fill="004C97" w:themeFill="background1"/>
      </w:tcPr>
    </w:tblStylePr>
    <w:tblStylePr w:type="firstCol">
      <w:rPr>
        <w:b/>
        <w:bCs/>
        <w:color w:val="201547" w:themeColor="text1"/>
      </w:rPr>
      <w:tblPr/>
      <w:tcPr>
        <w:tcBorders>
          <w:top w:val="nil"/>
          <w:left w:val="nil"/>
          <w:bottom w:val="nil"/>
          <w:right w:val="nil"/>
          <w:insideH w:val="nil"/>
          <w:insideV w:val="nil"/>
        </w:tcBorders>
        <w:shd w:val="clear" w:color="auto" w:fill="004C97" w:themeFill="background1"/>
      </w:tcPr>
    </w:tblStylePr>
    <w:tblStylePr w:type="lastCol">
      <w:rPr>
        <w:b w:val="0"/>
        <w:bCs w:val="0"/>
        <w:color w:val="201547" w:themeColor="text1"/>
      </w:rPr>
      <w:tblPr/>
      <w:tcPr>
        <w:tcBorders>
          <w:top w:val="nil"/>
          <w:left w:val="nil"/>
          <w:bottom w:val="nil"/>
          <w:right w:val="nil"/>
          <w:insideH w:val="nil"/>
          <w:insideV w:val="nil"/>
        </w:tcBorders>
        <w:shd w:val="clear" w:color="auto" w:fill="FFE2C6" w:themeFill="accent4" w:themeFillTint="33"/>
      </w:tcPr>
    </w:tblStylePr>
    <w:tblStylePr w:type="band1Vert">
      <w:tblPr/>
      <w:tcPr>
        <w:shd w:val="clear" w:color="auto" w:fill="FFB873" w:themeFill="accent4" w:themeFillTint="7F"/>
      </w:tcPr>
    </w:tblStylePr>
    <w:tblStylePr w:type="band1Horz">
      <w:tblPr/>
      <w:tcPr>
        <w:tcBorders>
          <w:insideH w:val="single" w:sz="6" w:space="0" w:color="E57200" w:themeColor="accent4"/>
          <w:insideV w:val="single" w:sz="6" w:space="0" w:color="E57200" w:themeColor="accent4"/>
        </w:tcBorders>
        <w:shd w:val="clear" w:color="auto" w:fill="FFB873" w:themeFill="accent4" w:themeFillTint="7F"/>
      </w:tcPr>
    </w:tblStylePr>
    <w:tblStylePr w:type="nwCell">
      <w:tblPr/>
      <w:tcPr>
        <w:shd w:val="clear" w:color="auto" w:fill="004C97" w:themeFill="background1"/>
      </w:tcPr>
    </w:tblStylePr>
  </w:style>
  <w:style w:type="table" w:styleId="MediumGrid2-Accent5">
    <w:name w:val="Medium Grid 2 Accent 5"/>
    <w:basedOn w:val="TableNormal"/>
    <w:uiPriority w:val="68"/>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AF272F" w:themeColor="accent5"/>
        <w:left w:val="single" w:sz="8" w:space="0" w:color="AF272F" w:themeColor="accent5"/>
        <w:bottom w:val="single" w:sz="8" w:space="0" w:color="AF272F" w:themeColor="accent5"/>
        <w:right w:val="single" w:sz="8" w:space="0" w:color="AF272F" w:themeColor="accent5"/>
        <w:insideH w:val="single" w:sz="8" w:space="0" w:color="AF272F" w:themeColor="accent5"/>
        <w:insideV w:val="single" w:sz="8" w:space="0" w:color="AF272F" w:themeColor="accent5"/>
      </w:tblBorders>
    </w:tblPr>
    <w:tcPr>
      <w:shd w:val="clear" w:color="auto" w:fill="F1C3C5" w:themeFill="accent5" w:themeFillTint="3F"/>
    </w:tcPr>
    <w:tblStylePr w:type="firstRow">
      <w:rPr>
        <w:b/>
        <w:bCs/>
        <w:color w:val="201547" w:themeColor="text1"/>
      </w:rPr>
      <w:tblPr/>
      <w:tcPr>
        <w:shd w:val="clear" w:color="auto" w:fill="F9E7E8" w:themeFill="accent5" w:themeFillTint="19"/>
      </w:tcPr>
    </w:tblStylePr>
    <w:tblStylePr w:type="lastRow">
      <w:rPr>
        <w:b/>
        <w:bCs/>
        <w:color w:val="201547" w:themeColor="text1"/>
      </w:rPr>
      <w:tblPr/>
      <w:tcPr>
        <w:tcBorders>
          <w:top w:val="single" w:sz="12" w:space="0" w:color="201547" w:themeColor="text1"/>
          <w:left w:val="nil"/>
          <w:bottom w:val="nil"/>
          <w:right w:val="nil"/>
          <w:insideH w:val="nil"/>
          <w:insideV w:val="nil"/>
        </w:tcBorders>
        <w:shd w:val="clear" w:color="auto" w:fill="004C97" w:themeFill="background1"/>
      </w:tcPr>
    </w:tblStylePr>
    <w:tblStylePr w:type="firstCol">
      <w:rPr>
        <w:b/>
        <w:bCs/>
        <w:color w:val="201547" w:themeColor="text1"/>
      </w:rPr>
      <w:tblPr/>
      <w:tcPr>
        <w:tcBorders>
          <w:top w:val="nil"/>
          <w:left w:val="nil"/>
          <w:bottom w:val="nil"/>
          <w:right w:val="nil"/>
          <w:insideH w:val="nil"/>
          <w:insideV w:val="nil"/>
        </w:tcBorders>
        <w:shd w:val="clear" w:color="auto" w:fill="004C97" w:themeFill="background1"/>
      </w:tcPr>
    </w:tblStylePr>
    <w:tblStylePr w:type="lastCol">
      <w:rPr>
        <w:b w:val="0"/>
        <w:bCs w:val="0"/>
        <w:color w:val="201547" w:themeColor="text1"/>
      </w:rPr>
      <w:tblPr/>
      <w:tcPr>
        <w:tcBorders>
          <w:top w:val="nil"/>
          <w:left w:val="nil"/>
          <w:bottom w:val="nil"/>
          <w:right w:val="nil"/>
          <w:insideH w:val="nil"/>
          <w:insideV w:val="nil"/>
        </w:tcBorders>
        <w:shd w:val="clear" w:color="auto" w:fill="F4CED0" w:themeFill="accent5" w:themeFillTint="33"/>
      </w:tcPr>
    </w:tblStylePr>
    <w:tblStylePr w:type="band1Vert">
      <w:tblPr/>
      <w:tcPr>
        <w:shd w:val="clear" w:color="auto" w:fill="E4868B" w:themeFill="accent5" w:themeFillTint="7F"/>
      </w:tcPr>
    </w:tblStylePr>
    <w:tblStylePr w:type="band1Horz">
      <w:tblPr/>
      <w:tcPr>
        <w:tcBorders>
          <w:insideH w:val="single" w:sz="6" w:space="0" w:color="AF272F" w:themeColor="accent5"/>
          <w:insideV w:val="single" w:sz="6" w:space="0" w:color="AF272F" w:themeColor="accent5"/>
        </w:tcBorders>
        <w:shd w:val="clear" w:color="auto" w:fill="E4868B" w:themeFill="accent5" w:themeFillTint="7F"/>
      </w:tcPr>
    </w:tblStylePr>
    <w:tblStylePr w:type="nwCell">
      <w:tblPr/>
      <w:tcPr>
        <w:shd w:val="clear" w:color="auto" w:fill="004C97" w:themeFill="background1"/>
      </w:tcPr>
    </w:tblStylePr>
  </w:style>
  <w:style w:type="table" w:styleId="MediumGrid2-Accent6">
    <w:name w:val="Medium Grid 2 Accent 6"/>
    <w:basedOn w:val="TableNormal"/>
    <w:uiPriority w:val="68"/>
    <w:rsid w:val="00BC3E97"/>
    <w:pPr>
      <w:widowControl/>
      <w:autoSpaceDE/>
      <w:autoSpaceDN/>
    </w:pPr>
    <w:rPr>
      <w:rFonts w:asciiTheme="majorHAnsi" w:eastAsiaTheme="majorEastAsia" w:hAnsiTheme="majorHAnsi" w:cstheme="majorBidi"/>
      <w:color w:val="201547" w:themeColor="text1"/>
    </w:rPr>
    <w:tblPr>
      <w:tblStyleRowBandSize w:val="1"/>
      <w:tblStyleColBandSize w:val="1"/>
      <w:tblBorders>
        <w:top w:val="single" w:sz="8" w:space="0" w:color="642667" w:themeColor="accent6"/>
        <w:left w:val="single" w:sz="8" w:space="0" w:color="642667" w:themeColor="accent6"/>
        <w:bottom w:val="single" w:sz="8" w:space="0" w:color="642667" w:themeColor="accent6"/>
        <w:right w:val="single" w:sz="8" w:space="0" w:color="642667" w:themeColor="accent6"/>
        <w:insideH w:val="single" w:sz="8" w:space="0" w:color="642667" w:themeColor="accent6"/>
        <w:insideV w:val="single" w:sz="8" w:space="0" w:color="642667" w:themeColor="accent6"/>
      </w:tblBorders>
    </w:tblPr>
    <w:tcPr>
      <w:shd w:val="clear" w:color="auto" w:fill="E4BCE6" w:themeFill="accent6" w:themeFillTint="3F"/>
    </w:tcPr>
    <w:tblStylePr w:type="firstRow">
      <w:rPr>
        <w:b/>
        <w:bCs/>
        <w:color w:val="201547" w:themeColor="text1"/>
      </w:rPr>
      <w:tblPr/>
      <w:tcPr>
        <w:shd w:val="clear" w:color="auto" w:fill="F4E4F5" w:themeFill="accent6" w:themeFillTint="19"/>
      </w:tcPr>
    </w:tblStylePr>
    <w:tblStylePr w:type="lastRow">
      <w:rPr>
        <w:b/>
        <w:bCs/>
        <w:color w:val="201547" w:themeColor="text1"/>
      </w:rPr>
      <w:tblPr/>
      <w:tcPr>
        <w:tcBorders>
          <w:top w:val="single" w:sz="12" w:space="0" w:color="201547" w:themeColor="text1"/>
          <w:left w:val="nil"/>
          <w:bottom w:val="nil"/>
          <w:right w:val="nil"/>
          <w:insideH w:val="nil"/>
          <w:insideV w:val="nil"/>
        </w:tcBorders>
        <w:shd w:val="clear" w:color="auto" w:fill="004C97" w:themeFill="background1"/>
      </w:tcPr>
    </w:tblStylePr>
    <w:tblStylePr w:type="firstCol">
      <w:rPr>
        <w:b/>
        <w:bCs/>
        <w:color w:val="201547" w:themeColor="text1"/>
      </w:rPr>
      <w:tblPr/>
      <w:tcPr>
        <w:tcBorders>
          <w:top w:val="nil"/>
          <w:left w:val="nil"/>
          <w:bottom w:val="nil"/>
          <w:right w:val="nil"/>
          <w:insideH w:val="nil"/>
          <w:insideV w:val="nil"/>
        </w:tcBorders>
        <w:shd w:val="clear" w:color="auto" w:fill="004C97" w:themeFill="background1"/>
      </w:tcPr>
    </w:tblStylePr>
    <w:tblStylePr w:type="lastCol">
      <w:rPr>
        <w:b w:val="0"/>
        <w:bCs w:val="0"/>
        <w:color w:val="201547" w:themeColor="text1"/>
      </w:rPr>
      <w:tblPr/>
      <w:tcPr>
        <w:tcBorders>
          <w:top w:val="nil"/>
          <w:left w:val="nil"/>
          <w:bottom w:val="nil"/>
          <w:right w:val="nil"/>
          <w:insideH w:val="nil"/>
          <w:insideV w:val="nil"/>
        </w:tcBorders>
        <w:shd w:val="clear" w:color="auto" w:fill="E9C8EB" w:themeFill="accent6" w:themeFillTint="33"/>
      </w:tcPr>
    </w:tblStylePr>
    <w:tblStylePr w:type="band1Vert">
      <w:tblPr/>
      <w:tcPr>
        <w:shd w:val="clear" w:color="auto" w:fill="C978CD" w:themeFill="accent6" w:themeFillTint="7F"/>
      </w:tcPr>
    </w:tblStylePr>
    <w:tblStylePr w:type="band1Horz">
      <w:tblPr/>
      <w:tcPr>
        <w:tcBorders>
          <w:insideH w:val="single" w:sz="6" w:space="0" w:color="642667" w:themeColor="accent6"/>
          <w:insideV w:val="single" w:sz="6" w:space="0" w:color="642667" w:themeColor="accent6"/>
        </w:tcBorders>
        <w:shd w:val="clear" w:color="auto" w:fill="C978CD" w:themeFill="accent6" w:themeFillTint="7F"/>
      </w:tcPr>
    </w:tblStylePr>
    <w:tblStylePr w:type="nwCell">
      <w:tblPr/>
      <w:tcPr>
        <w:shd w:val="clear" w:color="auto" w:fill="004C97" w:themeFill="background1"/>
      </w:tcPr>
    </w:tblStylePr>
  </w:style>
  <w:style w:type="table" w:styleId="MediumGrid3">
    <w:name w:val="Medium Grid 3"/>
    <w:basedOn w:val="TableNormal"/>
    <w:uiPriority w:val="69"/>
    <w:rsid w:val="00BC3E97"/>
    <w:pPr>
      <w:widowControl/>
      <w:autoSpaceDE/>
      <w:autoSpaceDN/>
    </w:pPr>
    <w:rPr>
      <w:rFonts w:eastAsiaTheme="minorEastAsia"/>
    </w:rPr>
    <w:tblPr>
      <w:tblStyleRowBandSize w:val="1"/>
      <w:tblStyleColBandSize w:val="1"/>
      <w:tbl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6" w:space="0" w:color="004C97" w:themeColor="background1"/>
        <w:insideV w:val="single" w:sz="6" w:space="0" w:color="004C97" w:themeColor="background1"/>
      </w:tblBorders>
    </w:tblPr>
    <w:tcPr>
      <w:shd w:val="clear" w:color="auto" w:fill="BBAFE7" w:themeFill="text1" w:themeFillTint="3F"/>
    </w:tcPr>
    <w:tblStylePr w:type="firstRow">
      <w:rPr>
        <w:b/>
        <w:bCs/>
        <w:i w:val="0"/>
        <w:iCs w:val="0"/>
        <w:color w:val="004C97" w:themeColor="background1"/>
      </w:rPr>
      <w:tblPr/>
      <w:tcPr>
        <w:tcBorders>
          <w:top w:val="single" w:sz="8" w:space="0" w:color="004C97" w:themeColor="background1"/>
          <w:left w:val="single" w:sz="8" w:space="0" w:color="004C97" w:themeColor="background1"/>
          <w:bottom w:val="single" w:sz="24" w:space="0" w:color="004C97" w:themeColor="background1"/>
          <w:right w:val="single" w:sz="8" w:space="0" w:color="004C97" w:themeColor="background1"/>
          <w:insideH w:val="nil"/>
          <w:insideV w:val="single" w:sz="8" w:space="0" w:color="004C97" w:themeColor="background1"/>
        </w:tcBorders>
        <w:shd w:val="clear" w:color="auto" w:fill="201547" w:themeFill="text1"/>
      </w:tcPr>
    </w:tblStylePr>
    <w:tblStylePr w:type="lastRow">
      <w:rPr>
        <w:b/>
        <w:bCs/>
        <w:i w:val="0"/>
        <w:iCs w:val="0"/>
        <w:color w:val="004C97" w:themeColor="background1"/>
      </w:rPr>
      <w:tblPr/>
      <w:tcPr>
        <w:tcBorders>
          <w:top w:val="single" w:sz="24" w:space="0" w:color="004C97" w:themeColor="background1"/>
          <w:left w:val="single" w:sz="8" w:space="0" w:color="004C97" w:themeColor="background1"/>
          <w:bottom w:val="single" w:sz="8" w:space="0" w:color="004C97" w:themeColor="background1"/>
          <w:right w:val="single" w:sz="8" w:space="0" w:color="004C97" w:themeColor="background1"/>
          <w:insideH w:val="nil"/>
          <w:insideV w:val="single" w:sz="8" w:space="0" w:color="004C97" w:themeColor="background1"/>
        </w:tcBorders>
        <w:shd w:val="clear" w:color="auto" w:fill="201547" w:themeFill="text1"/>
      </w:tcPr>
    </w:tblStylePr>
    <w:tblStylePr w:type="firstCol">
      <w:rPr>
        <w:b/>
        <w:bCs/>
        <w:i w:val="0"/>
        <w:iCs w:val="0"/>
        <w:color w:val="004C97" w:themeColor="background1"/>
      </w:rPr>
      <w:tblPr/>
      <w:tcPr>
        <w:tcBorders>
          <w:left w:val="single" w:sz="8" w:space="0" w:color="004C97" w:themeColor="background1"/>
          <w:right w:val="single" w:sz="24" w:space="0" w:color="004C97" w:themeColor="background1"/>
          <w:insideH w:val="nil"/>
          <w:insideV w:val="nil"/>
        </w:tcBorders>
        <w:shd w:val="clear" w:color="auto" w:fill="201547" w:themeFill="text1"/>
      </w:tcPr>
    </w:tblStylePr>
    <w:tblStylePr w:type="lastCol">
      <w:rPr>
        <w:b/>
        <w:bCs/>
        <w:i w:val="0"/>
        <w:iCs w:val="0"/>
        <w:color w:val="004C97" w:themeColor="background1"/>
      </w:rPr>
      <w:tblPr/>
      <w:tcPr>
        <w:tcBorders>
          <w:top w:val="nil"/>
          <w:left w:val="single" w:sz="24" w:space="0" w:color="004C97" w:themeColor="background1"/>
          <w:bottom w:val="nil"/>
          <w:right w:val="nil"/>
          <w:insideH w:val="nil"/>
          <w:insideV w:val="nil"/>
        </w:tcBorders>
        <w:shd w:val="clear" w:color="auto" w:fill="201547" w:themeFill="text1"/>
      </w:tcPr>
    </w:tblStylePr>
    <w:tblStylePr w:type="band1Vert">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nil"/>
          <w:insideV w:val="nil"/>
        </w:tcBorders>
        <w:shd w:val="clear" w:color="auto" w:fill="775ECF" w:themeFill="text1" w:themeFillTint="7F"/>
      </w:tcPr>
    </w:tblStylePr>
    <w:tblStylePr w:type="band1Horz">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8" w:space="0" w:color="004C97" w:themeColor="background1"/>
          <w:insideV w:val="single" w:sz="8" w:space="0" w:color="004C97" w:themeColor="background1"/>
        </w:tcBorders>
        <w:shd w:val="clear" w:color="auto" w:fill="775ECF" w:themeFill="text1" w:themeFillTint="7F"/>
      </w:tcPr>
    </w:tblStylePr>
  </w:style>
  <w:style w:type="table" w:styleId="MediumGrid3-Accent1">
    <w:name w:val="Medium Grid 3 Accent 1"/>
    <w:basedOn w:val="TableNormal"/>
    <w:uiPriority w:val="69"/>
    <w:rsid w:val="00BC3E97"/>
    <w:pPr>
      <w:widowControl/>
      <w:autoSpaceDE/>
      <w:autoSpaceDN/>
    </w:pPr>
    <w:rPr>
      <w:rFonts w:eastAsiaTheme="minorEastAsia"/>
    </w:rPr>
    <w:tblPr>
      <w:tblStyleRowBandSize w:val="1"/>
      <w:tblStyleColBandSize w:val="1"/>
      <w:tbl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6" w:space="0" w:color="004C97" w:themeColor="background1"/>
        <w:insideV w:val="single" w:sz="6" w:space="0" w:color="004C97" w:themeColor="background1"/>
      </w:tblBorders>
    </w:tblPr>
    <w:tcPr>
      <w:shd w:val="clear" w:color="auto" w:fill="9FFFD9" w:themeFill="accent1" w:themeFillTint="3F"/>
    </w:tcPr>
    <w:tblStylePr w:type="firstRow">
      <w:rPr>
        <w:b/>
        <w:bCs/>
        <w:i w:val="0"/>
        <w:iCs w:val="0"/>
        <w:color w:val="004C97" w:themeColor="background1"/>
      </w:rPr>
      <w:tblPr/>
      <w:tcPr>
        <w:tcBorders>
          <w:top w:val="single" w:sz="8" w:space="0" w:color="004C97" w:themeColor="background1"/>
          <w:left w:val="single" w:sz="8" w:space="0" w:color="004C97" w:themeColor="background1"/>
          <w:bottom w:val="single" w:sz="24" w:space="0" w:color="004C97" w:themeColor="background1"/>
          <w:right w:val="single" w:sz="8" w:space="0" w:color="004C97" w:themeColor="background1"/>
          <w:insideH w:val="nil"/>
          <w:insideV w:val="single" w:sz="8" w:space="0" w:color="004C97" w:themeColor="background1"/>
        </w:tcBorders>
        <w:shd w:val="clear" w:color="auto" w:fill="007B4B" w:themeFill="accent1"/>
      </w:tcPr>
    </w:tblStylePr>
    <w:tblStylePr w:type="lastRow">
      <w:rPr>
        <w:b/>
        <w:bCs/>
        <w:i w:val="0"/>
        <w:iCs w:val="0"/>
        <w:color w:val="004C97" w:themeColor="background1"/>
      </w:rPr>
      <w:tblPr/>
      <w:tcPr>
        <w:tcBorders>
          <w:top w:val="single" w:sz="24" w:space="0" w:color="004C97" w:themeColor="background1"/>
          <w:left w:val="single" w:sz="8" w:space="0" w:color="004C97" w:themeColor="background1"/>
          <w:bottom w:val="single" w:sz="8" w:space="0" w:color="004C97" w:themeColor="background1"/>
          <w:right w:val="single" w:sz="8" w:space="0" w:color="004C97" w:themeColor="background1"/>
          <w:insideH w:val="nil"/>
          <w:insideV w:val="single" w:sz="8" w:space="0" w:color="004C97" w:themeColor="background1"/>
        </w:tcBorders>
        <w:shd w:val="clear" w:color="auto" w:fill="007B4B" w:themeFill="accent1"/>
      </w:tcPr>
    </w:tblStylePr>
    <w:tblStylePr w:type="firstCol">
      <w:rPr>
        <w:b/>
        <w:bCs/>
        <w:i w:val="0"/>
        <w:iCs w:val="0"/>
        <w:color w:val="004C97" w:themeColor="background1"/>
      </w:rPr>
      <w:tblPr/>
      <w:tcPr>
        <w:tcBorders>
          <w:left w:val="single" w:sz="8" w:space="0" w:color="004C97" w:themeColor="background1"/>
          <w:right w:val="single" w:sz="24" w:space="0" w:color="004C97" w:themeColor="background1"/>
          <w:insideH w:val="nil"/>
          <w:insideV w:val="nil"/>
        </w:tcBorders>
        <w:shd w:val="clear" w:color="auto" w:fill="007B4B" w:themeFill="accent1"/>
      </w:tcPr>
    </w:tblStylePr>
    <w:tblStylePr w:type="lastCol">
      <w:rPr>
        <w:b/>
        <w:bCs/>
        <w:i w:val="0"/>
        <w:iCs w:val="0"/>
        <w:color w:val="004C97" w:themeColor="background1"/>
      </w:rPr>
      <w:tblPr/>
      <w:tcPr>
        <w:tcBorders>
          <w:top w:val="nil"/>
          <w:left w:val="single" w:sz="24" w:space="0" w:color="004C97" w:themeColor="background1"/>
          <w:bottom w:val="nil"/>
          <w:right w:val="nil"/>
          <w:insideH w:val="nil"/>
          <w:insideV w:val="nil"/>
        </w:tcBorders>
        <w:shd w:val="clear" w:color="auto" w:fill="007B4B" w:themeFill="accent1"/>
      </w:tcPr>
    </w:tblStylePr>
    <w:tblStylePr w:type="band1Vert">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nil"/>
          <w:insideV w:val="nil"/>
        </w:tcBorders>
        <w:shd w:val="clear" w:color="auto" w:fill="3EFFB3" w:themeFill="accent1" w:themeFillTint="7F"/>
      </w:tcPr>
    </w:tblStylePr>
    <w:tblStylePr w:type="band1Horz">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8" w:space="0" w:color="004C97" w:themeColor="background1"/>
          <w:insideV w:val="single" w:sz="8" w:space="0" w:color="004C97" w:themeColor="background1"/>
        </w:tcBorders>
        <w:shd w:val="clear" w:color="auto" w:fill="3EFFB3" w:themeFill="accent1" w:themeFillTint="7F"/>
      </w:tcPr>
    </w:tblStylePr>
  </w:style>
  <w:style w:type="table" w:styleId="MediumGrid3-Accent2">
    <w:name w:val="Medium Grid 3 Accent 2"/>
    <w:basedOn w:val="TableNormal"/>
    <w:uiPriority w:val="69"/>
    <w:rsid w:val="00BC3E97"/>
    <w:pPr>
      <w:widowControl/>
      <w:autoSpaceDE/>
      <w:autoSpaceDN/>
    </w:pPr>
    <w:rPr>
      <w:rFonts w:eastAsiaTheme="minorEastAsia"/>
    </w:rPr>
    <w:tblPr>
      <w:tblStyleRowBandSize w:val="1"/>
      <w:tblStyleColBandSize w:val="1"/>
      <w:tbl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6" w:space="0" w:color="004C97" w:themeColor="background1"/>
        <w:insideV w:val="single" w:sz="6" w:space="0" w:color="004C97" w:themeColor="background1"/>
      </w:tblBorders>
    </w:tblPr>
    <w:tcPr>
      <w:shd w:val="clear" w:color="auto" w:fill="FAFFB7" w:themeFill="accent2" w:themeFillTint="3F"/>
    </w:tcPr>
    <w:tblStylePr w:type="firstRow">
      <w:rPr>
        <w:b/>
        <w:bCs/>
        <w:i w:val="0"/>
        <w:iCs w:val="0"/>
        <w:color w:val="004C97" w:themeColor="background1"/>
      </w:rPr>
      <w:tblPr/>
      <w:tcPr>
        <w:tcBorders>
          <w:top w:val="single" w:sz="8" w:space="0" w:color="004C97" w:themeColor="background1"/>
          <w:left w:val="single" w:sz="8" w:space="0" w:color="004C97" w:themeColor="background1"/>
          <w:bottom w:val="single" w:sz="24" w:space="0" w:color="004C97" w:themeColor="background1"/>
          <w:right w:val="single" w:sz="8" w:space="0" w:color="004C97" w:themeColor="background1"/>
          <w:insideH w:val="nil"/>
          <w:insideV w:val="single" w:sz="8" w:space="0" w:color="004C97" w:themeColor="background1"/>
        </w:tcBorders>
        <w:shd w:val="clear" w:color="auto" w:fill="CEDC00" w:themeFill="accent2"/>
      </w:tcPr>
    </w:tblStylePr>
    <w:tblStylePr w:type="lastRow">
      <w:rPr>
        <w:b/>
        <w:bCs/>
        <w:i w:val="0"/>
        <w:iCs w:val="0"/>
        <w:color w:val="004C97" w:themeColor="background1"/>
      </w:rPr>
      <w:tblPr/>
      <w:tcPr>
        <w:tcBorders>
          <w:top w:val="single" w:sz="24" w:space="0" w:color="004C97" w:themeColor="background1"/>
          <w:left w:val="single" w:sz="8" w:space="0" w:color="004C97" w:themeColor="background1"/>
          <w:bottom w:val="single" w:sz="8" w:space="0" w:color="004C97" w:themeColor="background1"/>
          <w:right w:val="single" w:sz="8" w:space="0" w:color="004C97" w:themeColor="background1"/>
          <w:insideH w:val="nil"/>
          <w:insideV w:val="single" w:sz="8" w:space="0" w:color="004C97" w:themeColor="background1"/>
        </w:tcBorders>
        <w:shd w:val="clear" w:color="auto" w:fill="CEDC00" w:themeFill="accent2"/>
      </w:tcPr>
    </w:tblStylePr>
    <w:tblStylePr w:type="firstCol">
      <w:rPr>
        <w:b/>
        <w:bCs/>
        <w:i w:val="0"/>
        <w:iCs w:val="0"/>
        <w:color w:val="004C97" w:themeColor="background1"/>
      </w:rPr>
      <w:tblPr/>
      <w:tcPr>
        <w:tcBorders>
          <w:left w:val="single" w:sz="8" w:space="0" w:color="004C97" w:themeColor="background1"/>
          <w:right w:val="single" w:sz="24" w:space="0" w:color="004C97" w:themeColor="background1"/>
          <w:insideH w:val="nil"/>
          <w:insideV w:val="nil"/>
        </w:tcBorders>
        <w:shd w:val="clear" w:color="auto" w:fill="CEDC00" w:themeFill="accent2"/>
      </w:tcPr>
    </w:tblStylePr>
    <w:tblStylePr w:type="lastCol">
      <w:rPr>
        <w:b/>
        <w:bCs/>
        <w:i w:val="0"/>
        <w:iCs w:val="0"/>
        <w:color w:val="004C97" w:themeColor="background1"/>
      </w:rPr>
      <w:tblPr/>
      <w:tcPr>
        <w:tcBorders>
          <w:top w:val="nil"/>
          <w:left w:val="single" w:sz="24" w:space="0" w:color="004C97" w:themeColor="background1"/>
          <w:bottom w:val="nil"/>
          <w:right w:val="nil"/>
          <w:insideH w:val="nil"/>
          <w:insideV w:val="nil"/>
        </w:tcBorders>
        <w:shd w:val="clear" w:color="auto" w:fill="CEDC00" w:themeFill="accent2"/>
      </w:tcPr>
    </w:tblStylePr>
    <w:tblStylePr w:type="band1Vert">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nil"/>
          <w:insideV w:val="nil"/>
        </w:tcBorders>
        <w:shd w:val="clear" w:color="auto" w:fill="F5FF6E" w:themeFill="accent2" w:themeFillTint="7F"/>
      </w:tcPr>
    </w:tblStylePr>
    <w:tblStylePr w:type="band1Horz">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8" w:space="0" w:color="004C97" w:themeColor="background1"/>
          <w:insideV w:val="single" w:sz="8" w:space="0" w:color="004C97" w:themeColor="background1"/>
        </w:tcBorders>
        <w:shd w:val="clear" w:color="auto" w:fill="F5FF6E" w:themeFill="accent2" w:themeFillTint="7F"/>
      </w:tcPr>
    </w:tblStylePr>
  </w:style>
  <w:style w:type="table" w:styleId="MediumGrid3-Accent3">
    <w:name w:val="Medium Grid 3 Accent 3"/>
    <w:basedOn w:val="TableNormal"/>
    <w:uiPriority w:val="69"/>
    <w:rsid w:val="00BC3E97"/>
    <w:pPr>
      <w:widowControl/>
      <w:autoSpaceDE/>
      <w:autoSpaceDN/>
    </w:pPr>
    <w:rPr>
      <w:rFonts w:eastAsiaTheme="minorEastAsia"/>
    </w:rPr>
    <w:tblPr>
      <w:tblStyleRowBandSize w:val="1"/>
      <w:tblStyleColBandSize w:val="1"/>
      <w:tbl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6" w:space="0" w:color="004C97" w:themeColor="background1"/>
        <w:insideV w:val="single" w:sz="6" w:space="0" w:color="004C97" w:themeColor="background1"/>
      </w:tblBorders>
    </w:tblPr>
    <w:tcPr>
      <w:shd w:val="clear" w:color="auto" w:fill="FFEFBD" w:themeFill="accent3" w:themeFillTint="3F"/>
    </w:tcPr>
    <w:tblStylePr w:type="firstRow">
      <w:rPr>
        <w:b/>
        <w:bCs/>
        <w:i w:val="0"/>
        <w:iCs w:val="0"/>
        <w:color w:val="004C97" w:themeColor="background1"/>
      </w:rPr>
      <w:tblPr/>
      <w:tcPr>
        <w:tcBorders>
          <w:top w:val="single" w:sz="8" w:space="0" w:color="004C97" w:themeColor="background1"/>
          <w:left w:val="single" w:sz="8" w:space="0" w:color="004C97" w:themeColor="background1"/>
          <w:bottom w:val="single" w:sz="24" w:space="0" w:color="004C97" w:themeColor="background1"/>
          <w:right w:val="single" w:sz="8" w:space="0" w:color="004C97" w:themeColor="background1"/>
          <w:insideH w:val="nil"/>
          <w:insideV w:val="single" w:sz="8" w:space="0" w:color="004C97" w:themeColor="background1"/>
        </w:tcBorders>
        <w:shd w:val="clear" w:color="auto" w:fill="F6BE00" w:themeFill="accent3"/>
      </w:tcPr>
    </w:tblStylePr>
    <w:tblStylePr w:type="lastRow">
      <w:rPr>
        <w:b/>
        <w:bCs/>
        <w:i w:val="0"/>
        <w:iCs w:val="0"/>
        <w:color w:val="004C97" w:themeColor="background1"/>
      </w:rPr>
      <w:tblPr/>
      <w:tcPr>
        <w:tcBorders>
          <w:top w:val="single" w:sz="24" w:space="0" w:color="004C97" w:themeColor="background1"/>
          <w:left w:val="single" w:sz="8" w:space="0" w:color="004C97" w:themeColor="background1"/>
          <w:bottom w:val="single" w:sz="8" w:space="0" w:color="004C97" w:themeColor="background1"/>
          <w:right w:val="single" w:sz="8" w:space="0" w:color="004C97" w:themeColor="background1"/>
          <w:insideH w:val="nil"/>
          <w:insideV w:val="single" w:sz="8" w:space="0" w:color="004C97" w:themeColor="background1"/>
        </w:tcBorders>
        <w:shd w:val="clear" w:color="auto" w:fill="F6BE00" w:themeFill="accent3"/>
      </w:tcPr>
    </w:tblStylePr>
    <w:tblStylePr w:type="firstCol">
      <w:rPr>
        <w:b/>
        <w:bCs/>
        <w:i w:val="0"/>
        <w:iCs w:val="0"/>
        <w:color w:val="004C97" w:themeColor="background1"/>
      </w:rPr>
      <w:tblPr/>
      <w:tcPr>
        <w:tcBorders>
          <w:left w:val="single" w:sz="8" w:space="0" w:color="004C97" w:themeColor="background1"/>
          <w:right w:val="single" w:sz="24" w:space="0" w:color="004C97" w:themeColor="background1"/>
          <w:insideH w:val="nil"/>
          <w:insideV w:val="nil"/>
        </w:tcBorders>
        <w:shd w:val="clear" w:color="auto" w:fill="F6BE00" w:themeFill="accent3"/>
      </w:tcPr>
    </w:tblStylePr>
    <w:tblStylePr w:type="lastCol">
      <w:rPr>
        <w:b/>
        <w:bCs/>
        <w:i w:val="0"/>
        <w:iCs w:val="0"/>
        <w:color w:val="004C97" w:themeColor="background1"/>
      </w:rPr>
      <w:tblPr/>
      <w:tcPr>
        <w:tcBorders>
          <w:top w:val="nil"/>
          <w:left w:val="single" w:sz="24" w:space="0" w:color="004C97" w:themeColor="background1"/>
          <w:bottom w:val="nil"/>
          <w:right w:val="nil"/>
          <w:insideH w:val="nil"/>
          <w:insideV w:val="nil"/>
        </w:tcBorders>
        <w:shd w:val="clear" w:color="auto" w:fill="F6BE00" w:themeFill="accent3"/>
      </w:tcPr>
    </w:tblStylePr>
    <w:tblStylePr w:type="band1Vert">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nil"/>
          <w:insideV w:val="nil"/>
        </w:tcBorders>
        <w:shd w:val="clear" w:color="auto" w:fill="FFE07B" w:themeFill="accent3" w:themeFillTint="7F"/>
      </w:tcPr>
    </w:tblStylePr>
    <w:tblStylePr w:type="band1Horz">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8" w:space="0" w:color="004C97" w:themeColor="background1"/>
          <w:insideV w:val="single" w:sz="8" w:space="0" w:color="004C97" w:themeColor="background1"/>
        </w:tcBorders>
        <w:shd w:val="clear" w:color="auto" w:fill="FFE07B" w:themeFill="accent3" w:themeFillTint="7F"/>
      </w:tcPr>
    </w:tblStylePr>
  </w:style>
  <w:style w:type="table" w:styleId="MediumGrid3-Accent4">
    <w:name w:val="Medium Grid 3 Accent 4"/>
    <w:basedOn w:val="TableNormal"/>
    <w:uiPriority w:val="69"/>
    <w:rsid w:val="00BC3E97"/>
    <w:pPr>
      <w:widowControl/>
      <w:autoSpaceDE/>
      <w:autoSpaceDN/>
    </w:pPr>
    <w:rPr>
      <w:rFonts w:eastAsiaTheme="minorEastAsia"/>
    </w:rPr>
    <w:tblPr>
      <w:tblStyleRowBandSize w:val="1"/>
      <w:tblStyleColBandSize w:val="1"/>
      <w:tbl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6" w:space="0" w:color="004C97" w:themeColor="background1"/>
        <w:insideV w:val="single" w:sz="6" w:space="0" w:color="004C97" w:themeColor="background1"/>
      </w:tblBorders>
    </w:tblPr>
    <w:tcPr>
      <w:shd w:val="clear" w:color="auto" w:fill="FFDBB9" w:themeFill="accent4" w:themeFillTint="3F"/>
    </w:tcPr>
    <w:tblStylePr w:type="firstRow">
      <w:rPr>
        <w:b/>
        <w:bCs/>
        <w:i w:val="0"/>
        <w:iCs w:val="0"/>
        <w:color w:val="004C97" w:themeColor="background1"/>
      </w:rPr>
      <w:tblPr/>
      <w:tcPr>
        <w:tcBorders>
          <w:top w:val="single" w:sz="8" w:space="0" w:color="004C97" w:themeColor="background1"/>
          <w:left w:val="single" w:sz="8" w:space="0" w:color="004C97" w:themeColor="background1"/>
          <w:bottom w:val="single" w:sz="24" w:space="0" w:color="004C97" w:themeColor="background1"/>
          <w:right w:val="single" w:sz="8" w:space="0" w:color="004C97" w:themeColor="background1"/>
          <w:insideH w:val="nil"/>
          <w:insideV w:val="single" w:sz="8" w:space="0" w:color="004C97" w:themeColor="background1"/>
        </w:tcBorders>
        <w:shd w:val="clear" w:color="auto" w:fill="E57200" w:themeFill="accent4"/>
      </w:tcPr>
    </w:tblStylePr>
    <w:tblStylePr w:type="lastRow">
      <w:rPr>
        <w:b/>
        <w:bCs/>
        <w:i w:val="0"/>
        <w:iCs w:val="0"/>
        <w:color w:val="004C97" w:themeColor="background1"/>
      </w:rPr>
      <w:tblPr/>
      <w:tcPr>
        <w:tcBorders>
          <w:top w:val="single" w:sz="24" w:space="0" w:color="004C97" w:themeColor="background1"/>
          <w:left w:val="single" w:sz="8" w:space="0" w:color="004C97" w:themeColor="background1"/>
          <w:bottom w:val="single" w:sz="8" w:space="0" w:color="004C97" w:themeColor="background1"/>
          <w:right w:val="single" w:sz="8" w:space="0" w:color="004C97" w:themeColor="background1"/>
          <w:insideH w:val="nil"/>
          <w:insideV w:val="single" w:sz="8" w:space="0" w:color="004C97" w:themeColor="background1"/>
        </w:tcBorders>
        <w:shd w:val="clear" w:color="auto" w:fill="E57200" w:themeFill="accent4"/>
      </w:tcPr>
    </w:tblStylePr>
    <w:tblStylePr w:type="firstCol">
      <w:rPr>
        <w:b/>
        <w:bCs/>
        <w:i w:val="0"/>
        <w:iCs w:val="0"/>
        <w:color w:val="004C97" w:themeColor="background1"/>
      </w:rPr>
      <w:tblPr/>
      <w:tcPr>
        <w:tcBorders>
          <w:left w:val="single" w:sz="8" w:space="0" w:color="004C97" w:themeColor="background1"/>
          <w:right w:val="single" w:sz="24" w:space="0" w:color="004C97" w:themeColor="background1"/>
          <w:insideH w:val="nil"/>
          <w:insideV w:val="nil"/>
        </w:tcBorders>
        <w:shd w:val="clear" w:color="auto" w:fill="E57200" w:themeFill="accent4"/>
      </w:tcPr>
    </w:tblStylePr>
    <w:tblStylePr w:type="lastCol">
      <w:rPr>
        <w:b/>
        <w:bCs/>
        <w:i w:val="0"/>
        <w:iCs w:val="0"/>
        <w:color w:val="004C97" w:themeColor="background1"/>
      </w:rPr>
      <w:tblPr/>
      <w:tcPr>
        <w:tcBorders>
          <w:top w:val="nil"/>
          <w:left w:val="single" w:sz="24" w:space="0" w:color="004C97" w:themeColor="background1"/>
          <w:bottom w:val="nil"/>
          <w:right w:val="nil"/>
          <w:insideH w:val="nil"/>
          <w:insideV w:val="nil"/>
        </w:tcBorders>
        <w:shd w:val="clear" w:color="auto" w:fill="E57200" w:themeFill="accent4"/>
      </w:tcPr>
    </w:tblStylePr>
    <w:tblStylePr w:type="band1Vert">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nil"/>
          <w:insideV w:val="nil"/>
        </w:tcBorders>
        <w:shd w:val="clear" w:color="auto" w:fill="FFB873" w:themeFill="accent4" w:themeFillTint="7F"/>
      </w:tcPr>
    </w:tblStylePr>
    <w:tblStylePr w:type="band1Horz">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8" w:space="0" w:color="004C97" w:themeColor="background1"/>
          <w:insideV w:val="single" w:sz="8" w:space="0" w:color="004C97" w:themeColor="background1"/>
        </w:tcBorders>
        <w:shd w:val="clear" w:color="auto" w:fill="FFB873" w:themeFill="accent4" w:themeFillTint="7F"/>
      </w:tcPr>
    </w:tblStylePr>
  </w:style>
  <w:style w:type="table" w:styleId="MediumGrid3-Accent5">
    <w:name w:val="Medium Grid 3 Accent 5"/>
    <w:basedOn w:val="TableNormal"/>
    <w:uiPriority w:val="69"/>
    <w:rsid w:val="00BC3E97"/>
    <w:pPr>
      <w:widowControl/>
      <w:autoSpaceDE/>
      <w:autoSpaceDN/>
    </w:pPr>
    <w:rPr>
      <w:rFonts w:eastAsiaTheme="minorEastAsia"/>
    </w:rPr>
    <w:tblPr>
      <w:tblStyleRowBandSize w:val="1"/>
      <w:tblStyleColBandSize w:val="1"/>
      <w:tbl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6" w:space="0" w:color="004C97" w:themeColor="background1"/>
        <w:insideV w:val="single" w:sz="6" w:space="0" w:color="004C97" w:themeColor="background1"/>
      </w:tblBorders>
    </w:tblPr>
    <w:tcPr>
      <w:shd w:val="clear" w:color="auto" w:fill="F1C3C5" w:themeFill="accent5" w:themeFillTint="3F"/>
    </w:tcPr>
    <w:tblStylePr w:type="firstRow">
      <w:rPr>
        <w:b/>
        <w:bCs/>
        <w:i w:val="0"/>
        <w:iCs w:val="0"/>
        <w:color w:val="004C97" w:themeColor="background1"/>
      </w:rPr>
      <w:tblPr/>
      <w:tcPr>
        <w:tcBorders>
          <w:top w:val="single" w:sz="8" w:space="0" w:color="004C97" w:themeColor="background1"/>
          <w:left w:val="single" w:sz="8" w:space="0" w:color="004C97" w:themeColor="background1"/>
          <w:bottom w:val="single" w:sz="24" w:space="0" w:color="004C97" w:themeColor="background1"/>
          <w:right w:val="single" w:sz="8" w:space="0" w:color="004C97" w:themeColor="background1"/>
          <w:insideH w:val="nil"/>
          <w:insideV w:val="single" w:sz="8" w:space="0" w:color="004C97" w:themeColor="background1"/>
        </w:tcBorders>
        <w:shd w:val="clear" w:color="auto" w:fill="AF272F" w:themeFill="accent5"/>
      </w:tcPr>
    </w:tblStylePr>
    <w:tblStylePr w:type="lastRow">
      <w:rPr>
        <w:b/>
        <w:bCs/>
        <w:i w:val="0"/>
        <w:iCs w:val="0"/>
        <w:color w:val="004C97" w:themeColor="background1"/>
      </w:rPr>
      <w:tblPr/>
      <w:tcPr>
        <w:tcBorders>
          <w:top w:val="single" w:sz="24" w:space="0" w:color="004C97" w:themeColor="background1"/>
          <w:left w:val="single" w:sz="8" w:space="0" w:color="004C97" w:themeColor="background1"/>
          <w:bottom w:val="single" w:sz="8" w:space="0" w:color="004C97" w:themeColor="background1"/>
          <w:right w:val="single" w:sz="8" w:space="0" w:color="004C97" w:themeColor="background1"/>
          <w:insideH w:val="nil"/>
          <w:insideV w:val="single" w:sz="8" w:space="0" w:color="004C97" w:themeColor="background1"/>
        </w:tcBorders>
        <w:shd w:val="clear" w:color="auto" w:fill="AF272F" w:themeFill="accent5"/>
      </w:tcPr>
    </w:tblStylePr>
    <w:tblStylePr w:type="firstCol">
      <w:rPr>
        <w:b/>
        <w:bCs/>
        <w:i w:val="0"/>
        <w:iCs w:val="0"/>
        <w:color w:val="004C97" w:themeColor="background1"/>
      </w:rPr>
      <w:tblPr/>
      <w:tcPr>
        <w:tcBorders>
          <w:left w:val="single" w:sz="8" w:space="0" w:color="004C97" w:themeColor="background1"/>
          <w:right w:val="single" w:sz="24" w:space="0" w:color="004C97" w:themeColor="background1"/>
          <w:insideH w:val="nil"/>
          <w:insideV w:val="nil"/>
        </w:tcBorders>
        <w:shd w:val="clear" w:color="auto" w:fill="AF272F" w:themeFill="accent5"/>
      </w:tcPr>
    </w:tblStylePr>
    <w:tblStylePr w:type="lastCol">
      <w:rPr>
        <w:b/>
        <w:bCs/>
        <w:i w:val="0"/>
        <w:iCs w:val="0"/>
        <w:color w:val="004C97" w:themeColor="background1"/>
      </w:rPr>
      <w:tblPr/>
      <w:tcPr>
        <w:tcBorders>
          <w:top w:val="nil"/>
          <w:left w:val="single" w:sz="24" w:space="0" w:color="004C97" w:themeColor="background1"/>
          <w:bottom w:val="nil"/>
          <w:right w:val="nil"/>
          <w:insideH w:val="nil"/>
          <w:insideV w:val="nil"/>
        </w:tcBorders>
        <w:shd w:val="clear" w:color="auto" w:fill="AF272F" w:themeFill="accent5"/>
      </w:tcPr>
    </w:tblStylePr>
    <w:tblStylePr w:type="band1Vert">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nil"/>
          <w:insideV w:val="nil"/>
        </w:tcBorders>
        <w:shd w:val="clear" w:color="auto" w:fill="E4868B" w:themeFill="accent5" w:themeFillTint="7F"/>
      </w:tcPr>
    </w:tblStylePr>
    <w:tblStylePr w:type="band1Horz">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8" w:space="0" w:color="004C97" w:themeColor="background1"/>
          <w:insideV w:val="single" w:sz="8" w:space="0" w:color="004C97" w:themeColor="background1"/>
        </w:tcBorders>
        <w:shd w:val="clear" w:color="auto" w:fill="E4868B" w:themeFill="accent5" w:themeFillTint="7F"/>
      </w:tcPr>
    </w:tblStylePr>
  </w:style>
  <w:style w:type="table" w:styleId="MediumGrid3-Accent6">
    <w:name w:val="Medium Grid 3 Accent 6"/>
    <w:basedOn w:val="TableNormal"/>
    <w:uiPriority w:val="69"/>
    <w:rsid w:val="00BC3E97"/>
    <w:pPr>
      <w:widowControl/>
      <w:autoSpaceDE/>
      <w:autoSpaceDN/>
    </w:pPr>
    <w:rPr>
      <w:rFonts w:eastAsiaTheme="minorEastAsia"/>
    </w:rPr>
    <w:tblPr>
      <w:tblStyleRowBandSize w:val="1"/>
      <w:tblStyleColBandSize w:val="1"/>
      <w:tbl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6" w:space="0" w:color="004C97" w:themeColor="background1"/>
        <w:insideV w:val="single" w:sz="6" w:space="0" w:color="004C97" w:themeColor="background1"/>
      </w:tblBorders>
    </w:tblPr>
    <w:tcPr>
      <w:shd w:val="clear" w:color="auto" w:fill="E4BCE6" w:themeFill="accent6" w:themeFillTint="3F"/>
    </w:tcPr>
    <w:tblStylePr w:type="firstRow">
      <w:rPr>
        <w:b/>
        <w:bCs/>
        <w:i w:val="0"/>
        <w:iCs w:val="0"/>
        <w:color w:val="004C97" w:themeColor="background1"/>
      </w:rPr>
      <w:tblPr/>
      <w:tcPr>
        <w:tcBorders>
          <w:top w:val="single" w:sz="8" w:space="0" w:color="004C97" w:themeColor="background1"/>
          <w:left w:val="single" w:sz="8" w:space="0" w:color="004C97" w:themeColor="background1"/>
          <w:bottom w:val="single" w:sz="24" w:space="0" w:color="004C97" w:themeColor="background1"/>
          <w:right w:val="single" w:sz="8" w:space="0" w:color="004C97" w:themeColor="background1"/>
          <w:insideH w:val="nil"/>
          <w:insideV w:val="single" w:sz="8" w:space="0" w:color="004C97" w:themeColor="background1"/>
        </w:tcBorders>
        <w:shd w:val="clear" w:color="auto" w:fill="642667" w:themeFill="accent6"/>
      </w:tcPr>
    </w:tblStylePr>
    <w:tblStylePr w:type="lastRow">
      <w:rPr>
        <w:b/>
        <w:bCs/>
        <w:i w:val="0"/>
        <w:iCs w:val="0"/>
        <w:color w:val="004C97" w:themeColor="background1"/>
      </w:rPr>
      <w:tblPr/>
      <w:tcPr>
        <w:tcBorders>
          <w:top w:val="single" w:sz="24" w:space="0" w:color="004C97" w:themeColor="background1"/>
          <w:left w:val="single" w:sz="8" w:space="0" w:color="004C97" w:themeColor="background1"/>
          <w:bottom w:val="single" w:sz="8" w:space="0" w:color="004C97" w:themeColor="background1"/>
          <w:right w:val="single" w:sz="8" w:space="0" w:color="004C97" w:themeColor="background1"/>
          <w:insideH w:val="nil"/>
          <w:insideV w:val="single" w:sz="8" w:space="0" w:color="004C97" w:themeColor="background1"/>
        </w:tcBorders>
        <w:shd w:val="clear" w:color="auto" w:fill="642667" w:themeFill="accent6"/>
      </w:tcPr>
    </w:tblStylePr>
    <w:tblStylePr w:type="firstCol">
      <w:rPr>
        <w:b/>
        <w:bCs/>
        <w:i w:val="0"/>
        <w:iCs w:val="0"/>
        <w:color w:val="004C97" w:themeColor="background1"/>
      </w:rPr>
      <w:tblPr/>
      <w:tcPr>
        <w:tcBorders>
          <w:left w:val="single" w:sz="8" w:space="0" w:color="004C97" w:themeColor="background1"/>
          <w:right w:val="single" w:sz="24" w:space="0" w:color="004C97" w:themeColor="background1"/>
          <w:insideH w:val="nil"/>
          <w:insideV w:val="nil"/>
        </w:tcBorders>
        <w:shd w:val="clear" w:color="auto" w:fill="642667" w:themeFill="accent6"/>
      </w:tcPr>
    </w:tblStylePr>
    <w:tblStylePr w:type="lastCol">
      <w:rPr>
        <w:b/>
        <w:bCs/>
        <w:i w:val="0"/>
        <w:iCs w:val="0"/>
        <w:color w:val="004C97" w:themeColor="background1"/>
      </w:rPr>
      <w:tblPr/>
      <w:tcPr>
        <w:tcBorders>
          <w:top w:val="nil"/>
          <w:left w:val="single" w:sz="24" w:space="0" w:color="004C97" w:themeColor="background1"/>
          <w:bottom w:val="nil"/>
          <w:right w:val="nil"/>
          <w:insideH w:val="nil"/>
          <w:insideV w:val="nil"/>
        </w:tcBorders>
        <w:shd w:val="clear" w:color="auto" w:fill="642667" w:themeFill="accent6"/>
      </w:tcPr>
    </w:tblStylePr>
    <w:tblStylePr w:type="band1Vert">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nil"/>
          <w:insideV w:val="nil"/>
        </w:tcBorders>
        <w:shd w:val="clear" w:color="auto" w:fill="C978CD" w:themeFill="accent6" w:themeFillTint="7F"/>
      </w:tcPr>
    </w:tblStylePr>
    <w:tblStylePr w:type="band1Horz">
      <w:tblPr/>
      <w:tcPr>
        <w:tcBorders>
          <w:top w:val="single" w:sz="8" w:space="0" w:color="004C97" w:themeColor="background1"/>
          <w:left w:val="single" w:sz="8" w:space="0" w:color="004C97" w:themeColor="background1"/>
          <w:bottom w:val="single" w:sz="8" w:space="0" w:color="004C97" w:themeColor="background1"/>
          <w:right w:val="single" w:sz="8" w:space="0" w:color="004C97" w:themeColor="background1"/>
          <w:insideH w:val="single" w:sz="8" w:space="0" w:color="004C97" w:themeColor="background1"/>
          <w:insideV w:val="single" w:sz="8" w:space="0" w:color="004C97" w:themeColor="background1"/>
        </w:tcBorders>
        <w:shd w:val="clear" w:color="auto" w:fill="C978CD" w:themeFill="accent6" w:themeFillTint="7F"/>
      </w:tcPr>
    </w:tblStylePr>
  </w:style>
  <w:style w:type="table" w:styleId="DarkList">
    <w:name w:val="Dark List"/>
    <w:basedOn w:val="TableNormal"/>
    <w:uiPriority w:val="70"/>
    <w:rsid w:val="00BC3E97"/>
    <w:pPr>
      <w:widowControl/>
      <w:autoSpaceDE/>
      <w:autoSpaceDN/>
    </w:pPr>
    <w:rPr>
      <w:rFonts w:eastAsiaTheme="minorEastAsia"/>
      <w:color w:val="004C97" w:themeColor="background1"/>
    </w:rPr>
    <w:tblPr>
      <w:tblStyleRowBandSize w:val="1"/>
      <w:tblStyleColBandSize w:val="1"/>
    </w:tblPr>
    <w:tcPr>
      <w:shd w:val="clear" w:color="auto" w:fill="201547" w:themeFill="text1"/>
    </w:tcPr>
    <w:tblStylePr w:type="firstRow">
      <w:rPr>
        <w:b/>
        <w:bCs/>
      </w:rPr>
      <w:tblPr/>
      <w:tcPr>
        <w:tcBorders>
          <w:top w:val="nil"/>
          <w:left w:val="nil"/>
          <w:bottom w:val="single" w:sz="18" w:space="0" w:color="004C97" w:themeColor="background1"/>
          <w:right w:val="nil"/>
          <w:insideH w:val="nil"/>
          <w:insideV w:val="nil"/>
        </w:tcBorders>
        <w:shd w:val="clear" w:color="auto" w:fill="201547" w:themeFill="text1"/>
      </w:tcPr>
    </w:tblStylePr>
    <w:tblStylePr w:type="lastRow">
      <w:tblPr/>
      <w:tcPr>
        <w:tcBorders>
          <w:top w:val="single" w:sz="18" w:space="0" w:color="004C97" w:themeColor="background1"/>
          <w:left w:val="nil"/>
          <w:bottom w:val="nil"/>
          <w:right w:val="nil"/>
          <w:insideH w:val="nil"/>
          <w:insideV w:val="nil"/>
        </w:tcBorders>
        <w:shd w:val="clear" w:color="auto" w:fill="0F0A23" w:themeFill="text1" w:themeFillShade="7F"/>
      </w:tcPr>
    </w:tblStylePr>
    <w:tblStylePr w:type="firstCol">
      <w:tblPr/>
      <w:tcPr>
        <w:tcBorders>
          <w:top w:val="nil"/>
          <w:left w:val="nil"/>
          <w:bottom w:val="nil"/>
          <w:right w:val="single" w:sz="18" w:space="0" w:color="004C97" w:themeColor="background1"/>
          <w:insideH w:val="nil"/>
          <w:insideV w:val="nil"/>
        </w:tcBorders>
        <w:shd w:val="clear" w:color="auto" w:fill="170F34" w:themeFill="text1" w:themeFillShade="BF"/>
      </w:tcPr>
    </w:tblStylePr>
    <w:tblStylePr w:type="lastCol">
      <w:tblPr/>
      <w:tcPr>
        <w:tcBorders>
          <w:top w:val="nil"/>
          <w:left w:val="single" w:sz="18" w:space="0" w:color="004C97" w:themeColor="background1"/>
          <w:bottom w:val="nil"/>
          <w:right w:val="nil"/>
          <w:insideH w:val="nil"/>
          <w:insideV w:val="nil"/>
        </w:tcBorders>
        <w:shd w:val="clear" w:color="auto" w:fill="170F34" w:themeFill="text1" w:themeFillShade="BF"/>
      </w:tcPr>
    </w:tblStylePr>
    <w:tblStylePr w:type="band1Vert">
      <w:tblPr/>
      <w:tcPr>
        <w:tcBorders>
          <w:top w:val="nil"/>
          <w:left w:val="nil"/>
          <w:bottom w:val="nil"/>
          <w:right w:val="nil"/>
          <w:insideH w:val="nil"/>
          <w:insideV w:val="nil"/>
        </w:tcBorders>
        <w:shd w:val="clear" w:color="auto" w:fill="170F34" w:themeFill="text1" w:themeFillShade="BF"/>
      </w:tcPr>
    </w:tblStylePr>
    <w:tblStylePr w:type="band1Horz">
      <w:tblPr/>
      <w:tcPr>
        <w:tcBorders>
          <w:top w:val="nil"/>
          <w:left w:val="nil"/>
          <w:bottom w:val="nil"/>
          <w:right w:val="nil"/>
          <w:insideH w:val="nil"/>
          <w:insideV w:val="nil"/>
        </w:tcBorders>
        <w:shd w:val="clear" w:color="auto" w:fill="170F34" w:themeFill="text1" w:themeFillShade="BF"/>
      </w:tcPr>
    </w:tblStylePr>
  </w:style>
  <w:style w:type="table" w:styleId="DarkList-Accent1">
    <w:name w:val="Dark List Accent 1"/>
    <w:basedOn w:val="TableNormal"/>
    <w:uiPriority w:val="70"/>
    <w:rsid w:val="00BC3E97"/>
    <w:pPr>
      <w:widowControl/>
      <w:autoSpaceDE/>
      <w:autoSpaceDN/>
    </w:pPr>
    <w:rPr>
      <w:rFonts w:eastAsiaTheme="minorEastAsia"/>
      <w:color w:val="004C97" w:themeColor="background1"/>
    </w:rPr>
    <w:tblPr>
      <w:tblStyleRowBandSize w:val="1"/>
      <w:tblStyleColBandSize w:val="1"/>
    </w:tblPr>
    <w:tcPr>
      <w:shd w:val="clear" w:color="auto" w:fill="007B4B" w:themeFill="accent1"/>
    </w:tcPr>
    <w:tblStylePr w:type="firstRow">
      <w:rPr>
        <w:b/>
        <w:bCs/>
      </w:rPr>
      <w:tblPr/>
      <w:tcPr>
        <w:tcBorders>
          <w:top w:val="nil"/>
          <w:left w:val="nil"/>
          <w:bottom w:val="single" w:sz="18" w:space="0" w:color="004C97" w:themeColor="background1"/>
          <w:right w:val="nil"/>
          <w:insideH w:val="nil"/>
          <w:insideV w:val="nil"/>
        </w:tcBorders>
        <w:shd w:val="clear" w:color="auto" w:fill="201547" w:themeFill="text1"/>
      </w:tcPr>
    </w:tblStylePr>
    <w:tblStylePr w:type="lastRow">
      <w:tblPr/>
      <w:tcPr>
        <w:tcBorders>
          <w:top w:val="single" w:sz="18" w:space="0" w:color="004C97" w:themeColor="background1"/>
          <w:left w:val="nil"/>
          <w:bottom w:val="nil"/>
          <w:right w:val="nil"/>
          <w:insideH w:val="nil"/>
          <w:insideV w:val="nil"/>
        </w:tcBorders>
        <w:shd w:val="clear" w:color="auto" w:fill="003D25" w:themeFill="accent1" w:themeFillShade="7F"/>
      </w:tcPr>
    </w:tblStylePr>
    <w:tblStylePr w:type="firstCol">
      <w:tblPr/>
      <w:tcPr>
        <w:tcBorders>
          <w:top w:val="nil"/>
          <w:left w:val="nil"/>
          <w:bottom w:val="nil"/>
          <w:right w:val="single" w:sz="18" w:space="0" w:color="004C97" w:themeColor="background1"/>
          <w:insideH w:val="nil"/>
          <w:insideV w:val="nil"/>
        </w:tcBorders>
        <w:shd w:val="clear" w:color="auto" w:fill="005C37" w:themeFill="accent1" w:themeFillShade="BF"/>
      </w:tcPr>
    </w:tblStylePr>
    <w:tblStylePr w:type="lastCol">
      <w:tblPr/>
      <w:tcPr>
        <w:tcBorders>
          <w:top w:val="nil"/>
          <w:left w:val="single" w:sz="18" w:space="0" w:color="004C97" w:themeColor="background1"/>
          <w:bottom w:val="nil"/>
          <w:right w:val="nil"/>
          <w:insideH w:val="nil"/>
          <w:insideV w:val="nil"/>
        </w:tcBorders>
        <w:shd w:val="clear" w:color="auto" w:fill="005C37" w:themeFill="accent1" w:themeFillShade="BF"/>
      </w:tcPr>
    </w:tblStylePr>
    <w:tblStylePr w:type="band1Vert">
      <w:tblPr/>
      <w:tcPr>
        <w:tcBorders>
          <w:top w:val="nil"/>
          <w:left w:val="nil"/>
          <w:bottom w:val="nil"/>
          <w:right w:val="nil"/>
          <w:insideH w:val="nil"/>
          <w:insideV w:val="nil"/>
        </w:tcBorders>
        <w:shd w:val="clear" w:color="auto" w:fill="005C37" w:themeFill="accent1" w:themeFillShade="BF"/>
      </w:tcPr>
    </w:tblStylePr>
    <w:tblStylePr w:type="band1Horz">
      <w:tblPr/>
      <w:tcPr>
        <w:tcBorders>
          <w:top w:val="nil"/>
          <w:left w:val="nil"/>
          <w:bottom w:val="nil"/>
          <w:right w:val="nil"/>
          <w:insideH w:val="nil"/>
          <w:insideV w:val="nil"/>
        </w:tcBorders>
        <w:shd w:val="clear" w:color="auto" w:fill="005C37" w:themeFill="accent1" w:themeFillShade="BF"/>
      </w:tcPr>
    </w:tblStylePr>
  </w:style>
  <w:style w:type="table" w:styleId="DarkList-Accent2">
    <w:name w:val="Dark List Accent 2"/>
    <w:basedOn w:val="TableNormal"/>
    <w:uiPriority w:val="70"/>
    <w:rsid w:val="00BC3E97"/>
    <w:pPr>
      <w:widowControl/>
      <w:autoSpaceDE/>
      <w:autoSpaceDN/>
    </w:pPr>
    <w:rPr>
      <w:rFonts w:eastAsiaTheme="minorEastAsia"/>
      <w:color w:val="004C97" w:themeColor="background1"/>
    </w:rPr>
    <w:tblPr>
      <w:tblStyleRowBandSize w:val="1"/>
      <w:tblStyleColBandSize w:val="1"/>
    </w:tblPr>
    <w:tcPr>
      <w:shd w:val="clear" w:color="auto" w:fill="CEDC00" w:themeFill="accent2"/>
    </w:tcPr>
    <w:tblStylePr w:type="firstRow">
      <w:rPr>
        <w:b/>
        <w:bCs/>
      </w:rPr>
      <w:tblPr/>
      <w:tcPr>
        <w:tcBorders>
          <w:top w:val="nil"/>
          <w:left w:val="nil"/>
          <w:bottom w:val="single" w:sz="18" w:space="0" w:color="004C97" w:themeColor="background1"/>
          <w:right w:val="nil"/>
          <w:insideH w:val="nil"/>
          <w:insideV w:val="nil"/>
        </w:tcBorders>
        <w:shd w:val="clear" w:color="auto" w:fill="201547" w:themeFill="text1"/>
      </w:tcPr>
    </w:tblStylePr>
    <w:tblStylePr w:type="lastRow">
      <w:tblPr/>
      <w:tcPr>
        <w:tcBorders>
          <w:top w:val="single" w:sz="18" w:space="0" w:color="004C97" w:themeColor="background1"/>
          <w:left w:val="nil"/>
          <w:bottom w:val="nil"/>
          <w:right w:val="nil"/>
          <w:insideH w:val="nil"/>
          <w:insideV w:val="nil"/>
        </w:tcBorders>
        <w:shd w:val="clear" w:color="auto" w:fill="666D00" w:themeFill="accent2" w:themeFillShade="7F"/>
      </w:tcPr>
    </w:tblStylePr>
    <w:tblStylePr w:type="firstCol">
      <w:tblPr/>
      <w:tcPr>
        <w:tcBorders>
          <w:top w:val="nil"/>
          <w:left w:val="nil"/>
          <w:bottom w:val="nil"/>
          <w:right w:val="single" w:sz="18" w:space="0" w:color="004C97" w:themeColor="background1"/>
          <w:insideH w:val="nil"/>
          <w:insideV w:val="nil"/>
        </w:tcBorders>
        <w:shd w:val="clear" w:color="auto" w:fill="99A400" w:themeFill="accent2" w:themeFillShade="BF"/>
      </w:tcPr>
    </w:tblStylePr>
    <w:tblStylePr w:type="lastCol">
      <w:tblPr/>
      <w:tcPr>
        <w:tcBorders>
          <w:top w:val="nil"/>
          <w:left w:val="single" w:sz="18" w:space="0" w:color="004C97" w:themeColor="background1"/>
          <w:bottom w:val="nil"/>
          <w:right w:val="nil"/>
          <w:insideH w:val="nil"/>
          <w:insideV w:val="nil"/>
        </w:tcBorders>
        <w:shd w:val="clear" w:color="auto" w:fill="99A400" w:themeFill="accent2" w:themeFillShade="BF"/>
      </w:tcPr>
    </w:tblStylePr>
    <w:tblStylePr w:type="band1Vert">
      <w:tblPr/>
      <w:tcPr>
        <w:tcBorders>
          <w:top w:val="nil"/>
          <w:left w:val="nil"/>
          <w:bottom w:val="nil"/>
          <w:right w:val="nil"/>
          <w:insideH w:val="nil"/>
          <w:insideV w:val="nil"/>
        </w:tcBorders>
        <w:shd w:val="clear" w:color="auto" w:fill="99A400" w:themeFill="accent2" w:themeFillShade="BF"/>
      </w:tcPr>
    </w:tblStylePr>
    <w:tblStylePr w:type="band1Horz">
      <w:tblPr/>
      <w:tcPr>
        <w:tcBorders>
          <w:top w:val="nil"/>
          <w:left w:val="nil"/>
          <w:bottom w:val="nil"/>
          <w:right w:val="nil"/>
          <w:insideH w:val="nil"/>
          <w:insideV w:val="nil"/>
        </w:tcBorders>
        <w:shd w:val="clear" w:color="auto" w:fill="99A400" w:themeFill="accent2" w:themeFillShade="BF"/>
      </w:tcPr>
    </w:tblStylePr>
  </w:style>
  <w:style w:type="table" w:styleId="DarkList-Accent3">
    <w:name w:val="Dark List Accent 3"/>
    <w:basedOn w:val="TableNormal"/>
    <w:uiPriority w:val="70"/>
    <w:rsid w:val="00BC3E97"/>
    <w:pPr>
      <w:widowControl/>
      <w:autoSpaceDE/>
      <w:autoSpaceDN/>
    </w:pPr>
    <w:rPr>
      <w:rFonts w:eastAsiaTheme="minorEastAsia"/>
      <w:color w:val="004C97" w:themeColor="background1"/>
    </w:rPr>
    <w:tblPr>
      <w:tblStyleRowBandSize w:val="1"/>
      <w:tblStyleColBandSize w:val="1"/>
    </w:tblPr>
    <w:tcPr>
      <w:shd w:val="clear" w:color="auto" w:fill="F6BE00" w:themeFill="accent3"/>
    </w:tcPr>
    <w:tblStylePr w:type="firstRow">
      <w:rPr>
        <w:b/>
        <w:bCs/>
      </w:rPr>
      <w:tblPr/>
      <w:tcPr>
        <w:tcBorders>
          <w:top w:val="nil"/>
          <w:left w:val="nil"/>
          <w:bottom w:val="single" w:sz="18" w:space="0" w:color="004C97" w:themeColor="background1"/>
          <w:right w:val="nil"/>
          <w:insideH w:val="nil"/>
          <w:insideV w:val="nil"/>
        </w:tcBorders>
        <w:shd w:val="clear" w:color="auto" w:fill="201547" w:themeFill="text1"/>
      </w:tcPr>
    </w:tblStylePr>
    <w:tblStylePr w:type="lastRow">
      <w:tblPr/>
      <w:tcPr>
        <w:tcBorders>
          <w:top w:val="single" w:sz="18" w:space="0" w:color="004C97" w:themeColor="background1"/>
          <w:left w:val="nil"/>
          <w:bottom w:val="nil"/>
          <w:right w:val="nil"/>
          <w:insideH w:val="nil"/>
          <w:insideV w:val="nil"/>
        </w:tcBorders>
        <w:shd w:val="clear" w:color="auto" w:fill="7A5E00" w:themeFill="accent3" w:themeFillShade="7F"/>
      </w:tcPr>
    </w:tblStylePr>
    <w:tblStylePr w:type="firstCol">
      <w:tblPr/>
      <w:tcPr>
        <w:tcBorders>
          <w:top w:val="nil"/>
          <w:left w:val="nil"/>
          <w:bottom w:val="nil"/>
          <w:right w:val="single" w:sz="18" w:space="0" w:color="004C97" w:themeColor="background1"/>
          <w:insideH w:val="nil"/>
          <w:insideV w:val="nil"/>
        </w:tcBorders>
        <w:shd w:val="clear" w:color="auto" w:fill="B88D00" w:themeFill="accent3" w:themeFillShade="BF"/>
      </w:tcPr>
    </w:tblStylePr>
    <w:tblStylePr w:type="lastCol">
      <w:tblPr/>
      <w:tcPr>
        <w:tcBorders>
          <w:top w:val="nil"/>
          <w:left w:val="single" w:sz="18" w:space="0" w:color="004C97" w:themeColor="background1"/>
          <w:bottom w:val="nil"/>
          <w:right w:val="nil"/>
          <w:insideH w:val="nil"/>
          <w:insideV w:val="nil"/>
        </w:tcBorders>
        <w:shd w:val="clear" w:color="auto" w:fill="B88D00" w:themeFill="accent3" w:themeFillShade="BF"/>
      </w:tcPr>
    </w:tblStylePr>
    <w:tblStylePr w:type="band1Vert">
      <w:tblPr/>
      <w:tcPr>
        <w:tcBorders>
          <w:top w:val="nil"/>
          <w:left w:val="nil"/>
          <w:bottom w:val="nil"/>
          <w:right w:val="nil"/>
          <w:insideH w:val="nil"/>
          <w:insideV w:val="nil"/>
        </w:tcBorders>
        <w:shd w:val="clear" w:color="auto" w:fill="B88D00" w:themeFill="accent3" w:themeFillShade="BF"/>
      </w:tcPr>
    </w:tblStylePr>
    <w:tblStylePr w:type="band1Horz">
      <w:tblPr/>
      <w:tcPr>
        <w:tcBorders>
          <w:top w:val="nil"/>
          <w:left w:val="nil"/>
          <w:bottom w:val="nil"/>
          <w:right w:val="nil"/>
          <w:insideH w:val="nil"/>
          <w:insideV w:val="nil"/>
        </w:tcBorders>
        <w:shd w:val="clear" w:color="auto" w:fill="B88D00" w:themeFill="accent3" w:themeFillShade="BF"/>
      </w:tcPr>
    </w:tblStylePr>
  </w:style>
  <w:style w:type="table" w:styleId="DarkList-Accent4">
    <w:name w:val="Dark List Accent 4"/>
    <w:basedOn w:val="TableNormal"/>
    <w:uiPriority w:val="70"/>
    <w:rsid w:val="00BC3E97"/>
    <w:pPr>
      <w:widowControl/>
      <w:autoSpaceDE/>
      <w:autoSpaceDN/>
    </w:pPr>
    <w:rPr>
      <w:rFonts w:eastAsiaTheme="minorEastAsia"/>
      <w:color w:val="004C97" w:themeColor="background1"/>
    </w:rPr>
    <w:tblPr>
      <w:tblStyleRowBandSize w:val="1"/>
      <w:tblStyleColBandSize w:val="1"/>
    </w:tblPr>
    <w:tcPr>
      <w:shd w:val="clear" w:color="auto" w:fill="E57200" w:themeFill="accent4"/>
    </w:tcPr>
    <w:tblStylePr w:type="firstRow">
      <w:rPr>
        <w:b/>
        <w:bCs/>
      </w:rPr>
      <w:tblPr/>
      <w:tcPr>
        <w:tcBorders>
          <w:top w:val="nil"/>
          <w:left w:val="nil"/>
          <w:bottom w:val="single" w:sz="18" w:space="0" w:color="004C97" w:themeColor="background1"/>
          <w:right w:val="nil"/>
          <w:insideH w:val="nil"/>
          <w:insideV w:val="nil"/>
        </w:tcBorders>
        <w:shd w:val="clear" w:color="auto" w:fill="201547" w:themeFill="text1"/>
      </w:tcPr>
    </w:tblStylePr>
    <w:tblStylePr w:type="lastRow">
      <w:tblPr/>
      <w:tcPr>
        <w:tcBorders>
          <w:top w:val="single" w:sz="18" w:space="0" w:color="004C97" w:themeColor="background1"/>
          <w:left w:val="nil"/>
          <w:bottom w:val="nil"/>
          <w:right w:val="nil"/>
          <w:insideH w:val="nil"/>
          <w:insideV w:val="nil"/>
        </w:tcBorders>
        <w:shd w:val="clear" w:color="auto" w:fill="723800" w:themeFill="accent4" w:themeFillShade="7F"/>
      </w:tcPr>
    </w:tblStylePr>
    <w:tblStylePr w:type="firstCol">
      <w:tblPr/>
      <w:tcPr>
        <w:tcBorders>
          <w:top w:val="nil"/>
          <w:left w:val="nil"/>
          <w:bottom w:val="nil"/>
          <w:right w:val="single" w:sz="18" w:space="0" w:color="004C97" w:themeColor="background1"/>
          <w:insideH w:val="nil"/>
          <w:insideV w:val="nil"/>
        </w:tcBorders>
        <w:shd w:val="clear" w:color="auto" w:fill="AB5400" w:themeFill="accent4" w:themeFillShade="BF"/>
      </w:tcPr>
    </w:tblStylePr>
    <w:tblStylePr w:type="lastCol">
      <w:tblPr/>
      <w:tcPr>
        <w:tcBorders>
          <w:top w:val="nil"/>
          <w:left w:val="single" w:sz="18" w:space="0" w:color="004C97" w:themeColor="background1"/>
          <w:bottom w:val="nil"/>
          <w:right w:val="nil"/>
          <w:insideH w:val="nil"/>
          <w:insideV w:val="nil"/>
        </w:tcBorders>
        <w:shd w:val="clear" w:color="auto" w:fill="AB5400" w:themeFill="accent4" w:themeFillShade="BF"/>
      </w:tcPr>
    </w:tblStylePr>
    <w:tblStylePr w:type="band1Vert">
      <w:tblPr/>
      <w:tcPr>
        <w:tcBorders>
          <w:top w:val="nil"/>
          <w:left w:val="nil"/>
          <w:bottom w:val="nil"/>
          <w:right w:val="nil"/>
          <w:insideH w:val="nil"/>
          <w:insideV w:val="nil"/>
        </w:tcBorders>
        <w:shd w:val="clear" w:color="auto" w:fill="AB5400" w:themeFill="accent4" w:themeFillShade="BF"/>
      </w:tcPr>
    </w:tblStylePr>
    <w:tblStylePr w:type="band1Horz">
      <w:tblPr/>
      <w:tcPr>
        <w:tcBorders>
          <w:top w:val="nil"/>
          <w:left w:val="nil"/>
          <w:bottom w:val="nil"/>
          <w:right w:val="nil"/>
          <w:insideH w:val="nil"/>
          <w:insideV w:val="nil"/>
        </w:tcBorders>
        <w:shd w:val="clear" w:color="auto" w:fill="AB5400" w:themeFill="accent4" w:themeFillShade="BF"/>
      </w:tcPr>
    </w:tblStylePr>
  </w:style>
  <w:style w:type="table" w:styleId="DarkList-Accent5">
    <w:name w:val="Dark List Accent 5"/>
    <w:basedOn w:val="TableNormal"/>
    <w:uiPriority w:val="70"/>
    <w:rsid w:val="00BC3E97"/>
    <w:pPr>
      <w:widowControl/>
      <w:autoSpaceDE/>
      <w:autoSpaceDN/>
    </w:pPr>
    <w:rPr>
      <w:rFonts w:eastAsiaTheme="minorEastAsia"/>
      <w:color w:val="004C97" w:themeColor="background1"/>
    </w:rPr>
    <w:tblPr>
      <w:tblStyleRowBandSize w:val="1"/>
      <w:tblStyleColBandSize w:val="1"/>
    </w:tblPr>
    <w:tcPr>
      <w:shd w:val="clear" w:color="auto" w:fill="AF272F" w:themeFill="accent5"/>
    </w:tcPr>
    <w:tblStylePr w:type="firstRow">
      <w:rPr>
        <w:b/>
        <w:bCs/>
      </w:rPr>
      <w:tblPr/>
      <w:tcPr>
        <w:tcBorders>
          <w:top w:val="nil"/>
          <w:left w:val="nil"/>
          <w:bottom w:val="single" w:sz="18" w:space="0" w:color="004C97" w:themeColor="background1"/>
          <w:right w:val="nil"/>
          <w:insideH w:val="nil"/>
          <w:insideV w:val="nil"/>
        </w:tcBorders>
        <w:shd w:val="clear" w:color="auto" w:fill="201547" w:themeFill="text1"/>
      </w:tcPr>
    </w:tblStylePr>
    <w:tblStylePr w:type="lastRow">
      <w:tblPr/>
      <w:tcPr>
        <w:tcBorders>
          <w:top w:val="single" w:sz="18" w:space="0" w:color="004C97" w:themeColor="background1"/>
          <w:left w:val="nil"/>
          <w:bottom w:val="nil"/>
          <w:right w:val="nil"/>
          <w:insideH w:val="nil"/>
          <w:insideV w:val="nil"/>
        </w:tcBorders>
        <w:shd w:val="clear" w:color="auto" w:fill="561317" w:themeFill="accent5" w:themeFillShade="7F"/>
      </w:tcPr>
    </w:tblStylePr>
    <w:tblStylePr w:type="firstCol">
      <w:tblPr/>
      <w:tcPr>
        <w:tcBorders>
          <w:top w:val="nil"/>
          <w:left w:val="nil"/>
          <w:bottom w:val="nil"/>
          <w:right w:val="single" w:sz="18" w:space="0" w:color="004C97" w:themeColor="background1"/>
          <w:insideH w:val="nil"/>
          <w:insideV w:val="nil"/>
        </w:tcBorders>
        <w:shd w:val="clear" w:color="auto" w:fill="821D23" w:themeFill="accent5" w:themeFillShade="BF"/>
      </w:tcPr>
    </w:tblStylePr>
    <w:tblStylePr w:type="lastCol">
      <w:tblPr/>
      <w:tcPr>
        <w:tcBorders>
          <w:top w:val="nil"/>
          <w:left w:val="single" w:sz="18" w:space="0" w:color="004C97" w:themeColor="background1"/>
          <w:bottom w:val="nil"/>
          <w:right w:val="nil"/>
          <w:insideH w:val="nil"/>
          <w:insideV w:val="nil"/>
        </w:tcBorders>
        <w:shd w:val="clear" w:color="auto" w:fill="821D23" w:themeFill="accent5" w:themeFillShade="BF"/>
      </w:tcPr>
    </w:tblStylePr>
    <w:tblStylePr w:type="band1Vert">
      <w:tblPr/>
      <w:tcPr>
        <w:tcBorders>
          <w:top w:val="nil"/>
          <w:left w:val="nil"/>
          <w:bottom w:val="nil"/>
          <w:right w:val="nil"/>
          <w:insideH w:val="nil"/>
          <w:insideV w:val="nil"/>
        </w:tcBorders>
        <w:shd w:val="clear" w:color="auto" w:fill="821D23" w:themeFill="accent5" w:themeFillShade="BF"/>
      </w:tcPr>
    </w:tblStylePr>
    <w:tblStylePr w:type="band1Horz">
      <w:tblPr/>
      <w:tcPr>
        <w:tcBorders>
          <w:top w:val="nil"/>
          <w:left w:val="nil"/>
          <w:bottom w:val="nil"/>
          <w:right w:val="nil"/>
          <w:insideH w:val="nil"/>
          <w:insideV w:val="nil"/>
        </w:tcBorders>
        <w:shd w:val="clear" w:color="auto" w:fill="821D23" w:themeFill="accent5" w:themeFillShade="BF"/>
      </w:tcPr>
    </w:tblStylePr>
  </w:style>
  <w:style w:type="table" w:styleId="DarkList-Accent6">
    <w:name w:val="Dark List Accent 6"/>
    <w:basedOn w:val="TableNormal"/>
    <w:uiPriority w:val="70"/>
    <w:rsid w:val="00BC3E97"/>
    <w:pPr>
      <w:widowControl/>
      <w:autoSpaceDE/>
      <w:autoSpaceDN/>
    </w:pPr>
    <w:rPr>
      <w:rFonts w:eastAsiaTheme="minorEastAsia"/>
      <w:color w:val="004C97" w:themeColor="background1"/>
    </w:rPr>
    <w:tblPr>
      <w:tblStyleRowBandSize w:val="1"/>
      <w:tblStyleColBandSize w:val="1"/>
    </w:tblPr>
    <w:tcPr>
      <w:shd w:val="clear" w:color="auto" w:fill="642667" w:themeFill="accent6"/>
    </w:tcPr>
    <w:tblStylePr w:type="firstRow">
      <w:rPr>
        <w:b/>
        <w:bCs/>
      </w:rPr>
      <w:tblPr/>
      <w:tcPr>
        <w:tcBorders>
          <w:top w:val="nil"/>
          <w:left w:val="nil"/>
          <w:bottom w:val="single" w:sz="18" w:space="0" w:color="004C97" w:themeColor="background1"/>
          <w:right w:val="nil"/>
          <w:insideH w:val="nil"/>
          <w:insideV w:val="nil"/>
        </w:tcBorders>
        <w:shd w:val="clear" w:color="auto" w:fill="201547" w:themeFill="text1"/>
      </w:tcPr>
    </w:tblStylePr>
    <w:tblStylePr w:type="lastRow">
      <w:tblPr/>
      <w:tcPr>
        <w:tcBorders>
          <w:top w:val="single" w:sz="18" w:space="0" w:color="004C97" w:themeColor="background1"/>
          <w:left w:val="nil"/>
          <w:bottom w:val="nil"/>
          <w:right w:val="nil"/>
          <w:insideH w:val="nil"/>
          <w:insideV w:val="nil"/>
        </w:tcBorders>
        <w:shd w:val="clear" w:color="auto" w:fill="311333" w:themeFill="accent6" w:themeFillShade="7F"/>
      </w:tcPr>
    </w:tblStylePr>
    <w:tblStylePr w:type="firstCol">
      <w:tblPr/>
      <w:tcPr>
        <w:tcBorders>
          <w:top w:val="nil"/>
          <w:left w:val="nil"/>
          <w:bottom w:val="nil"/>
          <w:right w:val="single" w:sz="18" w:space="0" w:color="004C97" w:themeColor="background1"/>
          <w:insideH w:val="nil"/>
          <w:insideV w:val="nil"/>
        </w:tcBorders>
        <w:shd w:val="clear" w:color="auto" w:fill="4A1C4C" w:themeFill="accent6" w:themeFillShade="BF"/>
      </w:tcPr>
    </w:tblStylePr>
    <w:tblStylePr w:type="lastCol">
      <w:tblPr/>
      <w:tcPr>
        <w:tcBorders>
          <w:top w:val="nil"/>
          <w:left w:val="single" w:sz="18" w:space="0" w:color="004C97" w:themeColor="background1"/>
          <w:bottom w:val="nil"/>
          <w:right w:val="nil"/>
          <w:insideH w:val="nil"/>
          <w:insideV w:val="nil"/>
        </w:tcBorders>
        <w:shd w:val="clear" w:color="auto" w:fill="4A1C4C" w:themeFill="accent6" w:themeFillShade="BF"/>
      </w:tcPr>
    </w:tblStylePr>
    <w:tblStylePr w:type="band1Vert">
      <w:tblPr/>
      <w:tcPr>
        <w:tcBorders>
          <w:top w:val="nil"/>
          <w:left w:val="nil"/>
          <w:bottom w:val="nil"/>
          <w:right w:val="nil"/>
          <w:insideH w:val="nil"/>
          <w:insideV w:val="nil"/>
        </w:tcBorders>
        <w:shd w:val="clear" w:color="auto" w:fill="4A1C4C" w:themeFill="accent6" w:themeFillShade="BF"/>
      </w:tcPr>
    </w:tblStylePr>
    <w:tblStylePr w:type="band1Horz">
      <w:tblPr/>
      <w:tcPr>
        <w:tcBorders>
          <w:top w:val="nil"/>
          <w:left w:val="nil"/>
          <w:bottom w:val="nil"/>
          <w:right w:val="nil"/>
          <w:insideH w:val="nil"/>
          <w:insideV w:val="nil"/>
        </w:tcBorders>
        <w:shd w:val="clear" w:color="auto" w:fill="4A1C4C" w:themeFill="accent6" w:themeFillShade="BF"/>
      </w:tcPr>
    </w:tblStylePr>
  </w:style>
  <w:style w:type="table" w:styleId="ColourfulShading">
    <w:name w:val="Colorful Shading"/>
    <w:basedOn w:val="TableNormal"/>
    <w:uiPriority w:val="71"/>
    <w:rsid w:val="00BC3E97"/>
    <w:pPr>
      <w:widowControl/>
      <w:autoSpaceDE/>
      <w:autoSpaceDN/>
    </w:pPr>
    <w:rPr>
      <w:rFonts w:eastAsiaTheme="minorEastAsia"/>
      <w:color w:val="201547" w:themeColor="text1"/>
    </w:rPr>
    <w:tblPr>
      <w:tblStyleRowBandSize w:val="1"/>
      <w:tblStyleColBandSize w:val="1"/>
      <w:tblBorders>
        <w:top w:val="single" w:sz="24" w:space="0" w:color="CEDC00" w:themeColor="accent2"/>
        <w:left w:val="single" w:sz="4" w:space="0" w:color="201547" w:themeColor="text1"/>
        <w:bottom w:val="single" w:sz="4" w:space="0" w:color="201547" w:themeColor="text1"/>
        <w:right w:val="single" w:sz="4" w:space="0" w:color="201547" w:themeColor="text1"/>
        <w:insideH w:val="single" w:sz="4" w:space="0" w:color="004C97" w:themeColor="background1"/>
        <w:insideV w:val="single" w:sz="4" w:space="0" w:color="004C97" w:themeColor="background1"/>
      </w:tblBorders>
    </w:tblPr>
    <w:tcPr>
      <w:shd w:val="clear" w:color="auto" w:fill="E4DFF5" w:themeFill="text1" w:themeFillTint="19"/>
    </w:tcPr>
    <w:tblStylePr w:type="firstRow">
      <w:rPr>
        <w:b/>
        <w:bCs/>
      </w:rPr>
      <w:tblPr/>
      <w:tcPr>
        <w:tcBorders>
          <w:top w:val="nil"/>
          <w:left w:val="nil"/>
          <w:bottom w:val="single" w:sz="24" w:space="0" w:color="CEDC00" w:themeColor="accent2"/>
          <w:right w:val="nil"/>
          <w:insideH w:val="nil"/>
          <w:insideV w:val="nil"/>
        </w:tcBorders>
        <w:shd w:val="clear" w:color="auto" w:fill="004C97" w:themeFill="background1"/>
      </w:tcPr>
    </w:tblStylePr>
    <w:tblStylePr w:type="lastRow">
      <w:rPr>
        <w:b/>
        <w:bCs/>
        <w:color w:val="004C97" w:themeColor="background1"/>
      </w:rPr>
      <w:tblPr/>
      <w:tcPr>
        <w:tcBorders>
          <w:top w:val="single" w:sz="6" w:space="0" w:color="004C97" w:themeColor="background1"/>
        </w:tcBorders>
        <w:shd w:val="clear" w:color="auto" w:fill="130C2A" w:themeFill="text1" w:themeFillShade="99"/>
      </w:tcPr>
    </w:tblStylePr>
    <w:tblStylePr w:type="firstCol">
      <w:rPr>
        <w:color w:val="004C97" w:themeColor="background1"/>
      </w:rPr>
      <w:tblPr/>
      <w:tcPr>
        <w:tcBorders>
          <w:top w:val="nil"/>
          <w:left w:val="nil"/>
          <w:bottom w:val="nil"/>
          <w:right w:val="nil"/>
          <w:insideH w:val="single" w:sz="4" w:space="0" w:color="130C2A" w:themeColor="text1" w:themeShade="99"/>
          <w:insideV w:val="nil"/>
        </w:tcBorders>
        <w:shd w:val="clear" w:color="auto" w:fill="130C2A" w:themeFill="text1" w:themeFillShade="99"/>
      </w:tcPr>
    </w:tblStylePr>
    <w:tblStylePr w:type="lastCol">
      <w:rPr>
        <w:color w:val="004C97" w:themeColor="background1"/>
      </w:rPr>
      <w:tblPr/>
      <w:tcPr>
        <w:tcBorders>
          <w:top w:val="nil"/>
          <w:left w:val="nil"/>
          <w:bottom w:val="nil"/>
          <w:right w:val="nil"/>
          <w:insideH w:val="nil"/>
          <w:insideV w:val="nil"/>
        </w:tcBorders>
        <w:shd w:val="clear" w:color="auto" w:fill="170F34" w:themeFill="text1" w:themeFillShade="BF"/>
      </w:tcPr>
    </w:tblStylePr>
    <w:tblStylePr w:type="band1Vert">
      <w:tblPr/>
      <w:tcPr>
        <w:shd w:val="clear" w:color="auto" w:fill="917DD8" w:themeFill="text1" w:themeFillTint="66"/>
      </w:tcPr>
    </w:tblStylePr>
    <w:tblStylePr w:type="band1Horz">
      <w:tblPr/>
      <w:tcPr>
        <w:shd w:val="clear" w:color="auto" w:fill="775ECF" w:themeFill="text1" w:themeFillTint="7F"/>
      </w:tcPr>
    </w:tblStylePr>
    <w:tblStylePr w:type="neCell">
      <w:rPr>
        <w:color w:val="201547" w:themeColor="text1"/>
      </w:rPr>
    </w:tblStylePr>
    <w:tblStylePr w:type="nwCell">
      <w:rPr>
        <w:color w:val="201547" w:themeColor="text1"/>
      </w:rPr>
    </w:tblStylePr>
  </w:style>
  <w:style w:type="table" w:styleId="ColourfulShadingAccent1">
    <w:name w:val="Colorful Shading Accent 1"/>
    <w:basedOn w:val="TableNormal"/>
    <w:uiPriority w:val="71"/>
    <w:rsid w:val="00BC3E97"/>
    <w:pPr>
      <w:widowControl/>
      <w:autoSpaceDE/>
      <w:autoSpaceDN/>
    </w:pPr>
    <w:rPr>
      <w:rFonts w:eastAsiaTheme="minorEastAsia"/>
      <w:color w:val="201547" w:themeColor="text1"/>
    </w:rPr>
    <w:tblPr>
      <w:tblStyleRowBandSize w:val="1"/>
      <w:tblStyleColBandSize w:val="1"/>
      <w:tblBorders>
        <w:top w:val="single" w:sz="24" w:space="0" w:color="CEDC00" w:themeColor="accent2"/>
        <w:left w:val="single" w:sz="4" w:space="0" w:color="007B4B" w:themeColor="accent1"/>
        <w:bottom w:val="single" w:sz="4" w:space="0" w:color="007B4B" w:themeColor="accent1"/>
        <w:right w:val="single" w:sz="4" w:space="0" w:color="007B4B" w:themeColor="accent1"/>
        <w:insideH w:val="single" w:sz="4" w:space="0" w:color="004C97" w:themeColor="background1"/>
        <w:insideV w:val="single" w:sz="4" w:space="0" w:color="004C97" w:themeColor="background1"/>
      </w:tblBorders>
    </w:tblPr>
    <w:tcPr>
      <w:shd w:val="clear" w:color="auto" w:fill="D9FFF0" w:themeFill="accent1" w:themeFillTint="19"/>
    </w:tcPr>
    <w:tblStylePr w:type="firstRow">
      <w:rPr>
        <w:b/>
        <w:bCs/>
      </w:rPr>
      <w:tblPr/>
      <w:tcPr>
        <w:tcBorders>
          <w:top w:val="nil"/>
          <w:left w:val="nil"/>
          <w:bottom w:val="single" w:sz="24" w:space="0" w:color="CEDC00" w:themeColor="accent2"/>
          <w:right w:val="nil"/>
          <w:insideH w:val="nil"/>
          <w:insideV w:val="nil"/>
        </w:tcBorders>
        <w:shd w:val="clear" w:color="auto" w:fill="004C97" w:themeFill="background1"/>
      </w:tcPr>
    </w:tblStylePr>
    <w:tblStylePr w:type="lastRow">
      <w:rPr>
        <w:b/>
        <w:bCs/>
        <w:color w:val="004C97" w:themeColor="background1"/>
      </w:rPr>
      <w:tblPr/>
      <w:tcPr>
        <w:tcBorders>
          <w:top w:val="single" w:sz="6" w:space="0" w:color="004C97" w:themeColor="background1"/>
        </w:tcBorders>
        <w:shd w:val="clear" w:color="auto" w:fill="00492C" w:themeFill="accent1" w:themeFillShade="99"/>
      </w:tcPr>
    </w:tblStylePr>
    <w:tblStylePr w:type="firstCol">
      <w:rPr>
        <w:color w:val="004C97" w:themeColor="background1"/>
      </w:rPr>
      <w:tblPr/>
      <w:tcPr>
        <w:tcBorders>
          <w:top w:val="nil"/>
          <w:left w:val="nil"/>
          <w:bottom w:val="nil"/>
          <w:right w:val="nil"/>
          <w:insideH w:val="single" w:sz="4" w:space="0" w:color="00492C" w:themeColor="accent1" w:themeShade="99"/>
          <w:insideV w:val="nil"/>
        </w:tcBorders>
        <w:shd w:val="clear" w:color="auto" w:fill="00492C" w:themeFill="accent1" w:themeFillShade="99"/>
      </w:tcPr>
    </w:tblStylePr>
    <w:tblStylePr w:type="lastCol">
      <w:rPr>
        <w:color w:val="004C97" w:themeColor="background1"/>
      </w:rPr>
      <w:tblPr/>
      <w:tcPr>
        <w:tcBorders>
          <w:top w:val="nil"/>
          <w:left w:val="nil"/>
          <w:bottom w:val="nil"/>
          <w:right w:val="nil"/>
          <w:insideH w:val="nil"/>
          <w:insideV w:val="nil"/>
        </w:tcBorders>
        <w:shd w:val="clear" w:color="auto" w:fill="00492C" w:themeFill="accent1" w:themeFillShade="99"/>
      </w:tcPr>
    </w:tblStylePr>
    <w:tblStylePr w:type="band1Vert">
      <w:tblPr/>
      <w:tcPr>
        <w:shd w:val="clear" w:color="auto" w:fill="64FFC2" w:themeFill="accent1" w:themeFillTint="66"/>
      </w:tcPr>
    </w:tblStylePr>
    <w:tblStylePr w:type="band1Horz">
      <w:tblPr/>
      <w:tcPr>
        <w:shd w:val="clear" w:color="auto" w:fill="3EFFB3" w:themeFill="accent1" w:themeFillTint="7F"/>
      </w:tcPr>
    </w:tblStylePr>
    <w:tblStylePr w:type="neCell">
      <w:rPr>
        <w:color w:val="201547" w:themeColor="text1"/>
      </w:rPr>
    </w:tblStylePr>
    <w:tblStylePr w:type="nwCell">
      <w:rPr>
        <w:color w:val="201547" w:themeColor="text1"/>
      </w:rPr>
    </w:tblStylePr>
  </w:style>
  <w:style w:type="table" w:styleId="ColourfulShadingAccent2">
    <w:name w:val="Colorful Shading Accent 2"/>
    <w:basedOn w:val="TableNormal"/>
    <w:uiPriority w:val="71"/>
    <w:rsid w:val="00BC3E97"/>
    <w:pPr>
      <w:widowControl/>
      <w:autoSpaceDE/>
      <w:autoSpaceDN/>
    </w:pPr>
    <w:rPr>
      <w:rFonts w:eastAsiaTheme="minorEastAsia"/>
      <w:color w:val="201547" w:themeColor="text1"/>
    </w:rPr>
    <w:tblPr>
      <w:tblStyleRowBandSize w:val="1"/>
      <w:tblStyleColBandSize w:val="1"/>
      <w:tblBorders>
        <w:top w:val="single" w:sz="24" w:space="0" w:color="CEDC00" w:themeColor="accent2"/>
        <w:left w:val="single" w:sz="4" w:space="0" w:color="CEDC00" w:themeColor="accent2"/>
        <w:bottom w:val="single" w:sz="4" w:space="0" w:color="CEDC00" w:themeColor="accent2"/>
        <w:right w:val="single" w:sz="4" w:space="0" w:color="CEDC00" w:themeColor="accent2"/>
        <w:insideH w:val="single" w:sz="4" w:space="0" w:color="004C97" w:themeColor="background1"/>
        <w:insideV w:val="single" w:sz="4" w:space="0" w:color="004C97" w:themeColor="background1"/>
      </w:tblBorders>
    </w:tblPr>
    <w:tcPr>
      <w:shd w:val="clear" w:color="auto" w:fill="FDFFE2" w:themeFill="accent2" w:themeFillTint="19"/>
    </w:tcPr>
    <w:tblStylePr w:type="firstRow">
      <w:rPr>
        <w:b/>
        <w:bCs/>
      </w:rPr>
      <w:tblPr/>
      <w:tcPr>
        <w:tcBorders>
          <w:top w:val="nil"/>
          <w:left w:val="nil"/>
          <w:bottom w:val="single" w:sz="24" w:space="0" w:color="CEDC00" w:themeColor="accent2"/>
          <w:right w:val="nil"/>
          <w:insideH w:val="nil"/>
          <w:insideV w:val="nil"/>
        </w:tcBorders>
        <w:shd w:val="clear" w:color="auto" w:fill="004C97" w:themeFill="background1"/>
      </w:tcPr>
    </w:tblStylePr>
    <w:tblStylePr w:type="lastRow">
      <w:rPr>
        <w:b/>
        <w:bCs/>
        <w:color w:val="004C97" w:themeColor="background1"/>
      </w:rPr>
      <w:tblPr/>
      <w:tcPr>
        <w:tcBorders>
          <w:top w:val="single" w:sz="6" w:space="0" w:color="004C97" w:themeColor="background1"/>
        </w:tcBorders>
        <w:shd w:val="clear" w:color="auto" w:fill="7B8400" w:themeFill="accent2" w:themeFillShade="99"/>
      </w:tcPr>
    </w:tblStylePr>
    <w:tblStylePr w:type="firstCol">
      <w:rPr>
        <w:color w:val="004C97" w:themeColor="background1"/>
      </w:rPr>
      <w:tblPr/>
      <w:tcPr>
        <w:tcBorders>
          <w:top w:val="nil"/>
          <w:left w:val="nil"/>
          <w:bottom w:val="nil"/>
          <w:right w:val="nil"/>
          <w:insideH w:val="single" w:sz="4" w:space="0" w:color="7B8400" w:themeColor="accent2" w:themeShade="99"/>
          <w:insideV w:val="nil"/>
        </w:tcBorders>
        <w:shd w:val="clear" w:color="auto" w:fill="7B8400" w:themeFill="accent2" w:themeFillShade="99"/>
      </w:tcPr>
    </w:tblStylePr>
    <w:tblStylePr w:type="lastCol">
      <w:rPr>
        <w:color w:val="004C97" w:themeColor="background1"/>
      </w:rPr>
      <w:tblPr/>
      <w:tcPr>
        <w:tcBorders>
          <w:top w:val="nil"/>
          <w:left w:val="nil"/>
          <w:bottom w:val="nil"/>
          <w:right w:val="nil"/>
          <w:insideH w:val="nil"/>
          <w:insideV w:val="nil"/>
        </w:tcBorders>
        <w:shd w:val="clear" w:color="auto" w:fill="7B8400" w:themeFill="accent2" w:themeFillShade="99"/>
      </w:tcPr>
    </w:tblStylePr>
    <w:tblStylePr w:type="band1Vert">
      <w:tblPr/>
      <w:tcPr>
        <w:shd w:val="clear" w:color="auto" w:fill="F7FF8B" w:themeFill="accent2" w:themeFillTint="66"/>
      </w:tcPr>
    </w:tblStylePr>
    <w:tblStylePr w:type="band1Horz">
      <w:tblPr/>
      <w:tcPr>
        <w:shd w:val="clear" w:color="auto" w:fill="F5FF6E" w:themeFill="accent2" w:themeFillTint="7F"/>
      </w:tcPr>
    </w:tblStylePr>
    <w:tblStylePr w:type="neCell">
      <w:rPr>
        <w:color w:val="201547" w:themeColor="text1"/>
      </w:rPr>
    </w:tblStylePr>
    <w:tblStylePr w:type="nwCell">
      <w:rPr>
        <w:color w:val="201547" w:themeColor="text1"/>
      </w:rPr>
    </w:tblStylePr>
  </w:style>
  <w:style w:type="table" w:styleId="ColourfulShadingAccent3">
    <w:name w:val="Colorful Shading Accent 3"/>
    <w:basedOn w:val="TableNormal"/>
    <w:uiPriority w:val="71"/>
    <w:rsid w:val="00BC3E97"/>
    <w:pPr>
      <w:widowControl/>
      <w:autoSpaceDE/>
      <w:autoSpaceDN/>
    </w:pPr>
    <w:rPr>
      <w:rFonts w:eastAsiaTheme="minorEastAsia"/>
      <w:color w:val="201547" w:themeColor="text1"/>
    </w:rPr>
    <w:tblPr>
      <w:tblStyleRowBandSize w:val="1"/>
      <w:tblStyleColBandSize w:val="1"/>
      <w:tblBorders>
        <w:top w:val="single" w:sz="24" w:space="0" w:color="E57200" w:themeColor="accent4"/>
        <w:left w:val="single" w:sz="4" w:space="0" w:color="F6BE00" w:themeColor="accent3"/>
        <w:bottom w:val="single" w:sz="4" w:space="0" w:color="F6BE00" w:themeColor="accent3"/>
        <w:right w:val="single" w:sz="4" w:space="0" w:color="F6BE00" w:themeColor="accent3"/>
        <w:insideH w:val="single" w:sz="4" w:space="0" w:color="004C97" w:themeColor="background1"/>
        <w:insideV w:val="single" w:sz="4" w:space="0" w:color="004C97" w:themeColor="background1"/>
      </w:tblBorders>
    </w:tblPr>
    <w:tcPr>
      <w:shd w:val="clear" w:color="auto" w:fill="FFF8E5" w:themeFill="accent3" w:themeFillTint="19"/>
    </w:tcPr>
    <w:tblStylePr w:type="firstRow">
      <w:rPr>
        <w:b/>
        <w:bCs/>
      </w:rPr>
      <w:tblPr/>
      <w:tcPr>
        <w:tcBorders>
          <w:top w:val="nil"/>
          <w:left w:val="nil"/>
          <w:bottom w:val="single" w:sz="24" w:space="0" w:color="E57200" w:themeColor="accent4"/>
          <w:right w:val="nil"/>
          <w:insideH w:val="nil"/>
          <w:insideV w:val="nil"/>
        </w:tcBorders>
        <w:shd w:val="clear" w:color="auto" w:fill="004C97" w:themeFill="background1"/>
      </w:tcPr>
    </w:tblStylePr>
    <w:tblStylePr w:type="lastRow">
      <w:rPr>
        <w:b/>
        <w:bCs/>
        <w:color w:val="004C97" w:themeColor="background1"/>
      </w:rPr>
      <w:tblPr/>
      <w:tcPr>
        <w:tcBorders>
          <w:top w:val="single" w:sz="6" w:space="0" w:color="004C97" w:themeColor="background1"/>
        </w:tcBorders>
        <w:shd w:val="clear" w:color="auto" w:fill="937100" w:themeFill="accent3" w:themeFillShade="99"/>
      </w:tcPr>
    </w:tblStylePr>
    <w:tblStylePr w:type="firstCol">
      <w:rPr>
        <w:color w:val="004C97" w:themeColor="background1"/>
      </w:rPr>
      <w:tblPr/>
      <w:tcPr>
        <w:tcBorders>
          <w:top w:val="nil"/>
          <w:left w:val="nil"/>
          <w:bottom w:val="nil"/>
          <w:right w:val="nil"/>
          <w:insideH w:val="single" w:sz="4" w:space="0" w:color="937100" w:themeColor="accent3" w:themeShade="99"/>
          <w:insideV w:val="nil"/>
        </w:tcBorders>
        <w:shd w:val="clear" w:color="auto" w:fill="937100" w:themeFill="accent3" w:themeFillShade="99"/>
      </w:tcPr>
    </w:tblStylePr>
    <w:tblStylePr w:type="lastCol">
      <w:rPr>
        <w:color w:val="004C97" w:themeColor="background1"/>
      </w:rPr>
      <w:tblPr/>
      <w:tcPr>
        <w:tcBorders>
          <w:top w:val="nil"/>
          <w:left w:val="nil"/>
          <w:bottom w:val="nil"/>
          <w:right w:val="nil"/>
          <w:insideH w:val="nil"/>
          <w:insideV w:val="nil"/>
        </w:tcBorders>
        <w:shd w:val="clear" w:color="auto" w:fill="937100" w:themeFill="accent3" w:themeFillShade="99"/>
      </w:tcPr>
    </w:tblStylePr>
    <w:tblStylePr w:type="band1Vert">
      <w:tblPr/>
      <w:tcPr>
        <w:shd w:val="clear" w:color="auto" w:fill="FFE695" w:themeFill="accent3" w:themeFillTint="66"/>
      </w:tcPr>
    </w:tblStylePr>
    <w:tblStylePr w:type="band1Horz">
      <w:tblPr/>
      <w:tcPr>
        <w:shd w:val="clear" w:color="auto" w:fill="FFE07B" w:themeFill="accent3" w:themeFillTint="7F"/>
      </w:tcPr>
    </w:tblStylePr>
  </w:style>
  <w:style w:type="table" w:styleId="ColourfulShadingAccent4">
    <w:name w:val="Colorful Shading Accent 4"/>
    <w:basedOn w:val="TableNormal"/>
    <w:uiPriority w:val="71"/>
    <w:rsid w:val="00BC3E97"/>
    <w:pPr>
      <w:widowControl/>
      <w:autoSpaceDE/>
      <w:autoSpaceDN/>
    </w:pPr>
    <w:rPr>
      <w:rFonts w:eastAsiaTheme="minorEastAsia"/>
      <w:color w:val="201547" w:themeColor="text1"/>
    </w:rPr>
    <w:tblPr>
      <w:tblStyleRowBandSize w:val="1"/>
      <w:tblStyleColBandSize w:val="1"/>
      <w:tblBorders>
        <w:top w:val="single" w:sz="24" w:space="0" w:color="F6BE00" w:themeColor="accent3"/>
        <w:left w:val="single" w:sz="4" w:space="0" w:color="E57200" w:themeColor="accent4"/>
        <w:bottom w:val="single" w:sz="4" w:space="0" w:color="E57200" w:themeColor="accent4"/>
        <w:right w:val="single" w:sz="4" w:space="0" w:color="E57200" w:themeColor="accent4"/>
        <w:insideH w:val="single" w:sz="4" w:space="0" w:color="004C97" w:themeColor="background1"/>
        <w:insideV w:val="single" w:sz="4" w:space="0" w:color="004C97" w:themeColor="background1"/>
      </w:tblBorders>
    </w:tblPr>
    <w:tcPr>
      <w:shd w:val="clear" w:color="auto" w:fill="FFF1E3" w:themeFill="accent4" w:themeFillTint="19"/>
    </w:tcPr>
    <w:tblStylePr w:type="firstRow">
      <w:rPr>
        <w:b/>
        <w:bCs/>
      </w:rPr>
      <w:tblPr/>
      <w:tcPr>
        <w:tcBorders>
          <w:top w:val="nil"/>
          <w:left w:val="nil"/>
          <w:bottom w:val="single" w:sz="24" w:space="0" w:color="F6BE00" w:themeColor="accent3"/>
          <w:right w:val="nil"/>
          <w:insideH w:val="nil"/>
          <w:insideV w:val="nil"/>
        </w:tcBorders>
        <w:shd w:val="clear" w:color="auto" w:fill="004C97" w:themeFill="background1"/>
      </w:tcPr>
    </w:tblStylePr>
    <w:tblStylePr w:type="lastRow">
      <w:rPr>
        <w:b/>
        <w:bCs/>
        <w:color w:val="004C97" w:themeColor="background1"/>
      </w:rPr>
      <w:tblPr/>
      <w:tcPr>
        <w:tcBorders>
          <w:top w:val="single" w:sz="6" w:space="0" w:color="004C97" w:themeColor="background1"/>
        </w:tcBorders>
        <w:shd w:val="clear" w:color="auto" w:fill="894300" w:themeFill="accent4" w:themeFillShade="99"/>
      </w:tcPr>
    </w:tblStylePr>
    <w:tblStylePr w:type="firstCol">
      <w:rPr>
        <w:color w:val="004C97" w:themeColor="background1"/>
      </w:rPr>
      <w:tblPr/>
      <w:tcPr>
        <w:tcBorders>
          <w:top w:val="nil"/>
          <w:left w:val="nil"/>
          <w:bottom w:val="nil"/>
          <w:right w:val="nil"/>
          <w:insideH w:val="single" w:sz="4" w:space="0" w:color="894300" w:themeColor="accent4" w:themeShade="99"/>
          <w:insideV w:val="nil"/>
        </w:tcBorders>
        <w:shd w:val="clear" w:color="auto" w:fill="894300" w:themeFill="accent4" w:themeFillShade="99"/>
      </w:tcPr>
    </w:tblStylePr>
    <w:tblStylePr w:type="lastCol">
      <w:rPr>
        <w:color w:val="004C97" w:themeColor="background1"/>
      </w:rPr>
      <w:tblPr/>
      <w:tcPr>
        <w:tcBorders>
          <w:top w:val="nil"/>
          <w:left w:val="nil"/>
          <w:bottom w:val="nil"/>
          <w:right w:val="nil"/>
          <w:insideH w:val="nil"/>
          <w:insideV w:val="nil"/>
        </w:tcBorders>
        <w:shd w:val="clear" w:color="auto" w:fill="894300" w:themeFill="accent4" w:themeFillShade="99"/>
      </w:tcPr>
    </w:tblStylePr>
    <w:tblStylePr w:type="band1Vert">
      <w:tblPr/>
      <w:tcPr>
        <w:shd w:val="clear" w:color="auto" w:fill="FFC68E" w:themeFill="accent4" w:themeFillTint="66"/>
      </w:tcPr>
    </w:tblStylePr>
    <w:tblStylePr w:type="band1Horz">
      <w:tblPr/>
      <w:tcPr>
        <w:shd w:val="clear" w:color="auto" w:fill="FFB873" w:themeFill="accent4" w:themeFillTint="7F"/>
      </w:tcPr>
    </w:tblStylePr>
    <w:tblStylePr w:type="neCell">
      <w:rPr>
        <w:color w:val="201547" w:themeColor="text1"/>
      </w:rPr>
    </w:tblStylePr>
    <w:tblStylePr w:type="nwCell">
      <w:rPr>
        <w:color w:val="201547" w:themeColor="text1"/>
      </w:rPr>
    </w:tblStylePr>
  </w:style>
  <w:style w:type="table" w:styleId="ColourfulShadingAccent5">
    <w:name w:val="Colorful Shading Accent 5"/>
    <w:basedOn w:val="TableNormal"/>
    <w:uiPriority w:val="71"/>
    <w:rsid w:val="00BC3E97"/>
    <w:pPr>
      <w:widowControl/>
      <w:autoSpaceDE/>
      <w:autoSpaceDN/>
    </w:pPr>
    <w:rPr>
      <w:rFonts w:eastAsiaTheme="minorEastAsia"/>
      <w:color w:val="201547" w:themeColor="text1"/>
    </w:rPr>
    <w:tblPr>
      <w:tblStyleRowBandSize w:val="1"/>
      <w:tblStyleColBandSize w:val="1"/>
      <w:tblBorders>
        <w:top w:val="single" w:sz="24" w:space="0" w:color="642667" w:themeColor="accent6"/>
        <w:left w:val="single" w:sz="4" w:space="0" w:color="AF272F" w:themeColor="accent5"/>
        <w:bottom w:val="single" w:sz="4" w:space="0" w:color="AF272F" w:themeColor="accent5"/>
        <w:right w:val="single" w:sz="4" w:space="0" w:color="AF272F" w:themeColor="accent5"/>
        <w:insideH w:val="single" w:sz="4" w:space="0" w:color="004C97" w:themeColor="background1"/>
        <w:insideV w:val="single" w:sz="4" w:space="0" w:color="004C97" w:themeColor="background1"/>
      </w:tblBorders>
    </w:tblPr>
    <w:tcPr>
      <w:shd w:val="clear" w:color="auto" w:fill="F9E7E8" w:themeFill="accent5" w:themeFillTint="19"/>
    </w:tcPr>
    <w:tblStylePr w:type="firstRow">
      <w:rPr>
        <w:b/>
        <w:bCs/>
      </w:rPr>
      <w:tblPr/>
      <w:tcPr>
        <w:tcBorders>
          <w:top w:val="nil"/>
          <w:left w:val="nil"/>
          <w:bottom w:val="single" w:sz="24" w:space="0" w:color="642667" w:themeColor="accent6"/>
          <w:right w:val="nil"/>
          <w:insideH w:val="nil"/>
          <w:insideV w:val="nil"/>
        </w:tcBorders>
        <w:shd w:val="clear" w:color="auto" w:fill="004C97" w:themeFill="background1"/>
      </w:tcPr>
    </w:tblStylePr>
    <w:tblStylePr w:type="lastRow">
      <w:rPr>
        <w:b/>
        <w:bCs/>
        <w:color w:val="004C97" w:themeColor="background1"/>
      </w:rPr>
      <w:tblPr/>
      <w:tcPr>
        <w:tcBorders>
          <w:top w:val="single" w:sz="6" w:space="0" w:color="004C97" w:themeColor="background1"/>
        </w:tcBorders>
        <w:shd w:val="clear" w:color="auto" w:fill="68171C" w:themeFill="accent5" w:themeFillShade="99"/>
      </w:tcPr>
    </w:tblStylePr>
    <w:tblStylePr w:type="firstCol">
      <w:rPr>
        <w:color w:val="004C97" w:themeColor="background1"/>
      </w:rPr>
      <w:tblPr/>
      <w:tcPr>
        <w:tcBorders>
          <w:top w:val="nil"/>
          <w:left w:val="nil"/>
          <w:bottom w:val="nil"/>
          <w:right w:val="nil"/>
          <w:insideH w:val="single" w:sz="4" w:space="0" w:color="68171C" w:themeColor="accent5" w:themeShade="99"/>
          <w:insideV w:val="nil"/>
        </w:tcBorders>
        <w:shd w:val="clear" w:color="auto" w:fill="68171C" w:themeFill="accent5" w:themeFillShade="99"/>
      </w:tcPr>
    </w:tblStylePr>
    <w:tblStylePr w:type="lastCol">
      <w:rPr>
        <w:color w:val="004C97" w:themeColor="background1"/>
      </w:rPr>
      <w:tblPr/>
      <w:tcPr>
        <w:tcBorders>
          <w:top w:val="nil"/>
          <w:left w:val="nil"/>
          <w:bottom w:val="nil"/>
          <w:right w:val="nil"/>
          <w:insideH w:val="nil"/>
          <w:insideV w:val="nil"/>
        </w:tcBorders>
        <w:shd w:val="clear" w:color="auto" w:fill="68171C" w:themeFill="accent5" w:themeFillShade="99"/>
      </w:tcPr>
    </w:tblStylePr>
    <w:tblStylePr w:type="band1Vert">
      <w:tblPr/>
      <w:tcPr>
        <w:shd w:val="clear" w:color="auto" w:fill="E99DA2" w:themeFill="accent5" w:themeFillTint="66"/>
      </w:tcPr>
    </w:tblStylePr>
    <w:tblStylePr w:type="band1Horz">
      <w:tblPr/>
      <w:tcPr>
        <w:shd w:val="clear" w:color="auto" w:fill="E4868B" w:themeFill="accent5" w:themeFillTint="7F"/>
      </w:tcPr>
    </w:tblStylePr>
    <w:tblStylePr w:type="neCell">
      <w:rPr>
        <w:color w:val="201547" w:themeColor="text1"/>
      </w:rPr>
    </w:tblStylePr>
    <w:tblStylePr w:type="nwCell">
      <w:rPr>
        <w:color w:val="201547" w:themeColor="text1"/>
      </w:rPr>
    </w:tblStylePr>
  </w:style>
  <w:style w:type="table" w:styleId="ColourfulShadingAccent6">
    <w:name w:val="Colorful Shading Accent 6"/>
    <w:basedOn w:val="TableNormal"/>
    <w:uiPriority w:val="71"/>
    <w:rsid w:val="00BC3E97"/>
    <w:pPr>
      <w:widowControl/>
      <w:autoSpaceDE/>
      <w:autoSpaceDN/>
    </w:pPr>
    <w:rPr>
      <w:rFonts w:eastAsiaTheme="minorEastAsia"/>
      <w:color w:val="201547" w:themeColor="text1"/>
    </w:rPr>
    <w:tblPr>
      <w:tblStyleRowBandSize w:val="1"/>
      <w:tblStyleColBandSize w:val="1"/>
      <w:tblBorders>
        <w:top w:val="single" w:sz="24" w:space="0" w:color="AF272F" w:themeColor="accent5"/>
        <w:left w:val="single" w:sz="4" w:space="0" w:color="642667" w:themeColor="accent6"/>
        <w:bottom w:val="single" w:sz="4" w:space="0" w:color="642667" w:themeColor="accent6"/>
        <w:right w:val="single" w:sz="4" w:space="0" w:color="642667" w:themeColor="accent6"/>
        <w:insideH w:val="single" w:sz="4" w:space="0" w:color="004C97" w:themeColor="background1"/>
        <w:insideV w:val="single" w:sz="4" w:space="0" w:color="004C97" w:themeColor="background1"/>
      </w:tblBorders>
    </w:tblPr>
    <w:tcPr>
      <w:shd w:val="clear" w:color="auto" w:fill="F4E4F5" w:themeFill="accent6" w:themeFillTint="19"/>
    </w:tcPr>
    <w:tblStylePr w:type="firstRow">
      <w:rPr>
        <w:b/>
        <w:bCs/>
      </w:rPr>
      <w:tblPr/>
      <w:tcPr>
        <w:tcBorders>
          <w:top w:val="nil"/>
          <w:left w:val="nil"/>
          <w:bottom w:val="single" w:sz="24" w:space="0" w:color="AF272F" w:themeColor="accent5"/>
          <w:right w:val="nil"/>
          <w:insideH w:val="nil"/>
          <w:insideV w:val="nil"/>
        </w:tcBorders>
        <w:shd w:val="clear" w:color="auto" w:fill="004C97" w:themeFill="background1"/>
      </w:tcPr>
    </w:tblStylePr>
    <w:tblStylePr w:type="lastRow">
      <w:rPr>
        <w:b/>
        <w:bCs/>
        <w:color w:val="004C97" w:themeColor="background1"/>
      </w:rPr>
      <w:tblPr/>
      <w:tcPr>
        <w:tcBorders>
          <w:top w:val="single" w:sz="6" w:space="0" w:color="004C97" w:themeColor="background1"/>
        </w:tcBorders>
        <w:shd w:val="clear" w:color="auto" w:fill="3B163D" w:themeFill="accent6" w:themeFillShade="99"/>
      </w:tcPr>
    </w:tblStylePr>
    <w:tblStylePr w:type="firstCol">
      <w:rPr>
        <w:color w:val="004C97" w:themeColor="background1"/>
      </w:rPr>
      <w:tblPr/>
      <w:tcPr>
        <w:tcBorders>
          <w:top w:val="nil"/>
          <w:left w:val="nil"/>
          <w:bottom w:val="nil"/>
          <w:right w:val="nil"/>
          <w:insideH w:val="single" w:sz="4" w:space="0" w:color="3B163D" w:themeColor="accent6" w:themeShade="99"/>
          <w:insideV w:val="nil"/>
        </w:tcBorders>
        <w:shd w:val="clear" w:color="auto" w:fill="3B163D" w:themeFill="accent6" w:themeFillShade="99"/>
      </w:tcPr>
    </w:tblStylePr>
    <w:tblStylePr w:type="lastCol">
      <w:rPr>
        <w:color w:val="004C97" w:themeColor="background1"/>
      </w:rPr>
      <w:tblPr/>
      <w:tcPr>
        <w:tcBorders>
          <w:top w:val="nil"/>
          <w:left w:val="nil"/>
          <w:bottom w:val="nil"/>
          <w:right w:val="nil"/>
          <w:insideH w:val="nil"/>
          <w:insideV w:val="nil"/>
        </w:tcBorders>
        <w:shd w:val="clear" w:color="auto" w:fill="3B163D" w:themeFill="accent6" w:themeFillShade="99"/>
      </w:tcPr>
    </w:tblStylePr>
    <w:tblStylePr w:type="band1Vert">
      <w:tblPr/>
      <w:tcPr>
        <w:shd w:val="clear" w:color="auto" w:fill="D493D7" w:themeFill="accent6" w:themeFillTint="66"/>
      </w:tcPr>
    </w:tblStylePr>
    <w:tblStylePr w:type="band1Horz">
      <w:tblPr/>
      <w:tcPr>
        <w:shd w:val="clear" w:color="auto" w:fill="C978CD" w:themeFill="accent6" w:themeFillTint="7F"/>
      </w:tcPr>
    </w:tblStylePr>
    <w:tblStylePr w:type="neCell">
      <w:rPr>
        <w:color w:val="201547" w:themeColor="text1"/>
      </w:rPr>
    </w:tblStylePr>
    <w:tblStylePr w:type="nwCell">
      <w:rPr>
        <w:color w:val="201547" w:themeColor="text1"/>
      </w:rPr>
    </w:tblStylePr>
  </w:style>
  <w:style w:type="table" w:styleId="ColourfulList">
    <w:name w:val="Colorful List"/>
    <w:basedOn w:val="TableNormal"/>
    <w:uiPriority w:val="72"/>
    <w:rsid w:val="00BC3E97"/>
    <w:pPr>
      <w:widowControl/>
      <w:autoSpaceDE/>
      <w:autoSpaceDN/>
    </w:pPr>
    <w:rPr>
      <w:rFonts w:eastAsiaTheme="minorEastAsia"/>
      <w:color w:val="201547" w:themeColor="text1"/>
    </w:rPr>
    <w:tblPr>
      <w:tblStyleRowBandSize w:val="1"/>
      <w:tblStyleColBandSize w:val="1"/>
    </w:tblPr>
    <w:tcPr>
      <w:shd w:val="clear" w:color="auto" w:fill="E4DFF5" w:themeFill="text1" w:themeFillTint="19"/>
    </w:tcPr>
    <w:tblStylePr w:type="firstRow">
      <w:rPr>
        <w:b/>
        <w:bCs/>
        <w:color w:val="004C97" w:themeColor="background1"/>
      </w:rPr>
      <w:tblPr/>
      <w:tcPr>
        <w:tcBorders>
          <w:bottom w:val="single" w:sz="12" w:space="0" w:color="004C97" w:themeColor="background1"/>
        </w:tcBorders>
        <w:shd w:val="clear" w:color="auto" w:fill="A4B000" w:themeFill="accent2" w:themeFillShade="CC"/>
      </w:tcPr>
    </w:tblStylePr>
    <w:tblStylePr w:type="lastRow">
      <w:rPr>
        <w:b/>
        <w:bCs/>
        <w:color w:val="A4B000" w:themeColor="accent2" w:themeShade="CC"/>
      </w:rPr>
      <w:tblPr/>
      <w:tcPr>
        <w:tcBorders>
          <w:top w:val="single" w:sz="12" w:space="0" w:color="201547" w:themeColor="text1"/>
        </w:tcBorders>
        <w:shd w:val="clear" w:color="auto" w:fill="004C9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text1" w:themeFillTint="3F"/>
      </w:tcPr>
    </w:tblStylePr>
    <w:tblStylePr w:type="band1Horz">
      <w:tblPr/>
      <w:tcPr>
        <w:shd w:val="clear" w:color="auto" w:fill="C8BEEC" w:themeFill="text1" w:themeFillTint="33"/>
      </w:tcPr>
    </w:tblStylePr>
  </w:style>
  <w:style w:type="table" w:styleId="ColourfulListAccent1">
    <w:name w:val="Colorful List Accent 1"/>
    <w:basedOn w:val="TableNormal"/>
    <w:uiPriority w:val="72"/>
    <w:rsid w:val="00BC3E97"/>
    <w:pPr>
      <w:widowControl/>
      <w:autoSpaceDE/>
      <w:autoSpaceDN/>
    </w:pPr>
    <w:rPr>
      <w:rFonts w:eastAsiaTheme="minorEastAsia"/>
      <w:color w:val="201547" w:themeColor="text1"/>
    </w:rPr>
    <w:tblPr>
      <w:tblStyleRowBandSize w:val="1"/>
      <w:tblStyleColBandSize w:val="1"/>
    </w:tblPr>
    <w:tcPr>
      <w:shd w:val="clear" w:color="auto" w:fill="D9FFF0" w:themeFill="accent1" w:themeFillTint="19"/>
    </w:tcPr>
    <w:tblStylePr w:type="firstRow">
      <w:rPr>
        <w:b/>
        <w:bCs/>
        <w:color w:val="004C97" w:themeColor="background1"/>
      </w:rPr>
      <w:tblPr/>
      <w:tcPr>
        <w:tcBorders>
          <w:bottom w:val="single" w:sz="12" w:space="0" w:color="004C97" w:themeColor="background1"/>
        </w:tcBorders>
        <w:shd w:val="clear" w:color="auto" w:fill="A4B000" w:themeFill="accent2" w:themeFillShade="CC"/>
      </w:tcPr>
    </w:tblStylePr>
    <w:tblStylePr w:type="lastRow">
      <w:rPr>
        <w:b/>
        <w:bCs/>
        <w:color w:val="A4B000" w:themeColor="accent2" w:themeShade="CC"/>
      </w:rPr>
      <w:tblPr/>
      <w:tcPr>
        <w:tcBorders>
          <w:top w:val="single" w:sz="12" w:space="0" w:color="201547" w:themeColor="text1"/>
        </w:tcBorders>
        <w:shd w:val="clear" w:color="auto" w:fill="004C9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FD9" w:themeFill="accent1" w:themeFillTint="3F"/>
      </w:tcPr>
    </w:tblStylePr>
    <w:tblStylePr w:type="band1Horz">
      <w:tblPr/>
      <w:tcPr>
        <w:shd w:val="clear" w:color="auto" w:fill="B1FFE0" w:themeFill="accent1" w:themeFillTint="33"/>
      </w:tcPr>
    </w:tblStylePr>
  </w:style>
  <w:style w:type="table" w:styleId="ColourfulListAccent2">
    <w:name w:val="Colorful List Accent 2"/>
    <w:basedOn w:val="TableNormal"/>
    <w:uiPriority w:val="72"/>
    <w:rsid w:val="00BC3E97"/>
    <w:pPr>
      <w:widowControl/>
      <w:autoSpaceDE/>
      <w:autoSpaceDN/>
    </w:pPr>
    <w:rPr>
      <w:rFonts w:eastAsiaTheme="minorEastAsia"/>
      <w:color w:val="201547" w:themeColor="text1"/>
    </w:rPr>
    <w:tblPr>
      <w:tblStyleRowBandSize w:val="1"/>
      <w:tblStyleColBandSize w:val="1"/>
    </w:tblPr>
    <w:tcPr>
      <w:shd w:val="clear" w:color="auto" w:fill="FDFFE2" w:themeFill="accent2" w:themeFillTint="19"/>
    </w:tcPr>
    <w:tblStylePr w:type="firstRow">
      <w:rPr>
        <w:b/>
        <w:bCs/>
        <w:color w:val="004C97" w:themeColor="background1"/>
      </w:rPr>
      <w:tblPr/>
      <w:tcPr>
        <w:tcBorders>
          <w:bottom w:val="single" w:sz="12" w:space="0" w:color="004C97" w:themeColor="background1"/>
        </w:tcBorders>
        <w:shd w:val="clear" w:color="auto" w:fill="A4B000" w:themeFill="accent2" w:themeFillShade="CC"/>
      </w:tcPr>
    </w:tblStylePr>
    <w:tblStylePr w:type="lastRow">
      <w:rPr>
        <w:b/>
        <w:bCs/>
        <w:color w:val="A4B000" w:themeColor="accent2" w:themeShade="CC"/>
      </w:rPr>
      <w:tblPr/>
      <w:tcPr>
        <w:tcBorders>
          <w:top w:val="single" w:sz="12" w:space="0" w:color="201547" w:themeColor="text1"/>
        </w:tcBorders>
        <w:shd w:val="clear" w:color="auto" w:fill="004C9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2" w:themeFillTint="3F"/>
      </w:tcPr>
    </w:tblStylePr>
    <w:tblStylePr w:type="band1Horz">
      <w:tblPr/>
      <w:tcPr>
        <w:shd w:val="clear" w:color="auto" w:fill="FBFFC5" w:themeFill="accent2" w:themeFillTint="33"/>
      </w:tcPr>
    </w:tblStylePr>
  </w:style>
  <w:style w:type="table" w:styleId="ColourfulListAccent3">
    <w:name w:val="Colorful List Accent 3"/>
    <w:basedOn w:val="TableNormal"/>
    <w:uiPriority w:val="72"/>
    <w:rsid w:val="00BC3E97"/>
    <w:pPr>
      <w:widowControl/>
      <w:autoSpaceDE/>
      <w:autoSpaceDN/>
    </w:pPr>
    <w:rPr>
      <w:rFonts w:eastAsiaTheme="minorEastAsia"/>
      <w:color w:val="201547" w:themeColor="text1"/>
    </w:rPr>
    <w:tblPr>
      <w:tblStyleRowBandSize w:val="1"/>
      <w:tblStyleColBandSize w:val="1"/>
    </w:tblPr>
    <w:tcPr>
      <w:shd w:val="clear" w:color="auto" w:fill="FFF8E5" w:themeFill="accent3" w:themeFillTint="19"/>
    </w:tcPr>
    <w:tblStylePr w:type="firstRow">
      <w:rPr>
        <w:b/>
        <w:bCs/>
        <w:color w:val="004C97" w:themeColor="background1"/>
      </w:rPr>
      <w:tblPr/>
      <w:tcPr>
        <w:tcBorders>
          <w:bottom w:val="single" w:sz="12" w:space="0" w:color="004C97" w:themeColor="background1"/>
        </w:tcBorders>
        <w:shd w:val="clear" w:color="auto" w:fill="B75A00" w:themeFill="accent4" w:themeFillShade="CC"/>
      </w:tcPr>
    </w:tblStylePr>
    <w:tblStylePr w:type="lastRow">
      <w:rPr>
        <w:b/>
        <w:bCs/>
        <w:color w:val="B75A00" w:themeColor="accent4" w:themeShade="CC"/>
      </w:rPr>
      <w:tblPr/>
      <w:tcPr>
        <w:tcBorders>
          <w:top w:val="single" w:sz="12" w:space="0" w:color="201547" w:themeColor="text1"/>
        </w:tcBorders>
        <w:shd w:val="clear" w:color="auto" w:fill="004C9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D" w:themeFill="accent3" w:themeFillTint="3F"/>
      </w:tcPr>
    </w:tblStylePr>
    <w:tblStylePr w:type="band1Horz">
      <w:tblPr/>
      <w:tcPr>
        <w:shd w:val="clear" w:color="auto" w:fill="FFF2CA" w:themeFill="accent3" w:themeFillTint="33"/>
      </w:tcPr>
    </w:tblStylePr>
  </w:style>
  <w:style w:type="table" w:styleId="ColourfulListAccent4">
    <w:name w:val="Colorful List Accent 4"/>
    <w:basedOn w:val="TableNormal"/>
    <w:uiPriority w:val="72"/>
    <w:rsid w:val="00BC3E97"/>
    <w:pPr>
      <w:widowControl/>
      <w:autoSpaceDE/>
      <w:autoSpaceDN/>
    </w:pPr>
    <w:rPr>
      <w:rFonts w:eastAsiaTheme="minorEastAsia"/>
      <w:color w:val="201547" w:themeColor="text1"/>
    </w:rPr>
    <w:tblPr>
      <w:tblStyleRowBandSize w:val="1"/>
      <w:tblStyleColBandSize w:val="1"/>
    </w:tblPr>
    <w:tcPr>
      <w:shd w:val="clear" w:color="auto" w:fill="FFF1E3" w:themeFill="accent4" w:themeFillTint="19"/>
    </w:tcPr>
    <w:tblStylePr w:type="firstRow">
      <w:rPr>
        <w:b/>
        <w:bCs/>
        <w:color w:val="004C97" w:themeColor="background1"/>
      </w:rPr>
      <w:tblPr/>
      <w:tcPr>
        <w:tcBorders>
          <w:bottom w:val="single" w:sz="12" w:space="0" w:color="004C97" w:themeColor="background1"/>
        </w:tcBorders>
        <w:shd w:val="clear" w:color="auto" w:fill="C49700" w:themeFill="accent3" w:themeFillShade="CC"/>
      </w:tcPr>
    </w:tblStylePr>
    <w:tblStylePr w:type="lastRow">
      <w:rPr>
        <w:b/>
        <w:bCs/>
        <w:color w:val="C49700" w:themeColor="accent3" w:themeShade="CC"/>
      </w:rPr>
      <w:tblPr/>
      <w:tcPr>
        <w:tcBorders>
          <w:top w:val="single" w:sz="12" w:space="0" w:color="201547" w:themeColor="text1"/>
        </w:tcBorders>
        <w:shd w:val="clear" w:color="auto" w:fill="004C9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BB9" w:themeFill="accent4" w:themeFillTint="3F"/>
      </w:tcPr>
    </w:tblStylePr>
    <w:tblStylePr w:type="band1Horz">
      <w:tblPr/>
      <w:tcPr>
        <w:shd w:val="clear" w:color="auto" w:fill="FFE2C6" w:themeFill="accent4" w:themeFillTint="33"/>
      </w:tcPr>
    </w:tblStylePr>
  </w:style>
  <w:style w:type="table" w:styleId="ColourfulListAccent5">
    <w:name w:val="Colorful List Accent 5"/>
    <w:basedOn w:val="TableNormal"/>
    <w:uiPriority w:val="72"/>
    <w:rsid w:val="00BC3E97"/>
    <w:pPr>
      <w:widowControl/>
      <w:autoSpaceDE/>
      <w:autoSpaceDN/>
    </w:pPr>
    <w:rPr>
      <w:rFonts w:eastAsiaTheme="minorEastAsia"/>
      <w:color w:val="201547" w:themeColor="text1"/>
    </w:rPr>
    <w:tblPr>
      <w:tblStyleRowBandSize w:val="1"/>
      <w:tblStyleColBandSize w:val="1"/>
    </w:tblPr>
    <w:tcPr>
      <w:shd w:val="clear" w:color="auto" w:fill="F9E7E8" w:themeFill="accent5" w:themeFillTint="19"/>
    </w:tcPr>
    <w:tblStylePr w:type="firstRow">
      <w:rPr>
        <w:b/>
        <w:bCs/>
        <w:color w:val="004C97" w:themeColor="background1"/>
      </w:rPr>
      <w:tblPr/>
      <w:tcPr>
        <w:tcBorders>
          <w:bottom w:val="single" w:sz="12" w:space="0" w:color="004C97" w:themeColor="background1"/>
        </w:tcBorders>
        <w:shd w:val="clear" w:color="auto" w:fill="4F1E52" w:themeFill="accent6" w:themeFillShade="CC"/>
      </w:tcPr>
    </w:tblStylePr>
    <w:tblStylePr w:type="lastRow">
      <w:rPr>
        <w:b/>
        <w:bCs/>
        <w:color w:val="4F1E52" w:themeColor="accent6" w:themeShade="CC"/>
      </w:rPr>
      <w:tblPr/>
      <w:tcPr>
        <w:tcBorders>
          <w:top w:val="single" w:sz="12" w:space="0" w:color="201547" w:themeColor="text1"/>
        </w:tcBorders>
        <w:shd w:val="clear" w:color="auto" w:fill="004C9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3C5" w:themeFill="accent5" w:themeFillTint="3F"/>
      </w:tcPr>
    </w:tblStylePr>
    <w:tblStylePr w:type="band1Horz">
      <w:tblPr/>
      <w:tcPr>
        <w:shd w:val="clear" w:color="auto" w:fill="F4CED0" w:themeFill="accent5" w:themeFillTint="33"/>
      </w:tcPr>
    </w:tblStylePr>
  </w:style>
  <w:style w:type="table" w:styleId="ColourfulListAccent6">
    <w:name w:val="Colorful List Accent 6"/>
    <w:basedOn w:val="TableNormal"/>
    <w:uiPriority w:val="72"/>
    <w:rsid w:val="00BC3E97"/>
    <w:pPr>
      <w:widowControl/>
      <w:autoSpaceDE/>
      <w:autoSpaceDN/>
    </w:pPr>
    <w:rPr>
      <w:rFonts w:eastAsiaTheme="minorEastAsia"/>
      <w:color w:val="201547" w:themeColor="text1"/>
    </w:rPr>
    <w:tblPr>
      <w:tblStyleRowBandSize w:val="1"/>
      <w:tblStyleColBandSize w:val="1"/>
    </w:tblPr>
    <w:tcPr>
      <w:shd w:val="clear" w:color="auto" w:fill="F4E4F5" w:themeFill="accent6" w:themeFillTint="19"/>
    </w:tcPr>
    <w:tblStylePr w:type="firstRow">
      <w:rPr>
        <w:b/>
        <w:bCs/>
        <w:color w:val="004C97" w:themeColor="background1"/>
      </w:rPr>
      <w:tblPr/>
      <w:tcPr>
        <w:tcBorders>
          <w:bottom w:val="single" w:sz="12" w:space="0" w:color="004C97" w:themeColor="background1"/>
        </w:tcBorders>
        <w:shd w:val="clear" w:color="auto" w:fill="8B1F25" w:themeFill="accent5" w:themeFillShade="CC"/>
      </w:tcPr>
    </w:tblStylePr>
    <w:tblStylePr w:type="lastRow">
      <w:rPr>
        <w:b/>
        <w:bCs/>
        <w:color w:val="8B1F25" w:themeColor="accent5" w:themeShade="CC"/>
      </w:rPr>
      <w:tblPr/>
      <w:tcPr>
        <w:tcBorders>
          <w:top w:val="single" w:sz="12" w:space="0" w:color="201547" w:themeColor="text1"/>
        </w:tcBorders>
        <w:shd w:val="clear" w:color="auto" w:fill="004C9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BCE6" w:themeFill="accent6" w:themeFillTint="3F"/>
      </w:tcPr>
    </w:tblStylePr>
    <w:tblStylePr w:type="band1Horz">
      <w:tblPr/>
      <w:tcPr>
        <w:shd w:val="clear" w:color="auto" w:fill="E9C8EB" w:themeFill="accent6" w:themeFillTint="33"/>
      </w:tcPr>
    </w:tblStylePr>
  </w:style>
  <w:style w:type="table" w:styleId="ColourfulGrid">
    <w:name w:val="Colorful Grid"/>
    <w:basedOn w:val="TableNormal"/>
    <w:uiPriority w:val="73"/>
    <w:rsid w:val="00BC3E97"/>
    <w:pPr>
      <w:widowControl/>
      <w:autoSpaceDE/>
      <w:autoSpaceDN/>
    </w:pPr>
    <w:rPr>
      <w:rFonts w:eastAsiaTheme="minorEastAsia"/>
      <w:color w:val="201547" w:themeColor="text1"/>
    </w:rPr>
    <w:tblPr>
      <w:tblStyleRowBandSize w:val="1"/>
      <w:tblStyleColBandSize w:val="1"/>
      <w:tblBorders>
        <w:insideH w:val="single" w:sz="4" w:space="0" w:color="004C97" w:themeColor="background1"/>
      </w:tblBorders>
    </w:tblPr>
    <w:tcPr>
      <w:shd w:val="clear" w:color="auto" w:fill="C8BEEC" w:themeFill="text1" w:themeFillTint="33"/>
    </w:tcPr>
    <w:tblStylePr w:type="firstRow">
      <w:rPr>
        <w:b/>
        <w:bCs/>
      </w:rPr>
      <w:tblPr/>
      <w:tcPr>
        <w:shd w:val="clear" w:color="auto" w:fill="917DD8" w:themeFill="text1" w:themeFillTint="66"/>
      </w:tcPr>
    </w:tblStylePr>
    <w:tblStylePr w:type="lastRow">
      <w:rPr>
        <w:b/>
        <w:bCs/>
        <w:color w:val="201547" w:themeColor="text1"/>
      </w:rPr>
      <w:tblPr/>
      <w:tcPr>
        <w:shd w:val="clear" w:color="auto" w:fill="917DD8" w:themeFill="text1" w:themeFillTint="66"/>
      </w:tcPr>
    </w:tblStylePr>
    <w:tblStylePr w:type="firstCol">
      <w:rPr>
        <w:color w:val="004C97" w:themeColor="background1"/>
      </w:rPr>
      <w:tblPr/>
      <w:tcPr>
        <w:shd w:val="clear" w:color="auto" w:fill="170F34" w:themeFill="text1" w:themeFillShade="BF"/>
      </w:tcPr>
    </w:tblStylePr>
    <w:tblStylePr w:type="lastCol">
      <w:rPr>
        <w:color w:val="004C97" w:themeColor="background1"/>
      </w:rPr>
      <w:tblPr/>
      <w:tcPr>
        <w:shd w:val="clear" w:color="auto" w:fill="170F34" w:themeFill="text1" w:themeFillShade="BF"/>
      </w:tcPr>
    </w:tblStylePr>
    <w:tblStylePr w:type="band1Vert">
      <w:tblPr/>
      <w:tcPr>
        <w:shd w:val="clear" w:color="auto" w:fill="775ECF" w:themeFill="text1" w:themeFillTint="7F"/>
      </w:tcPr>
    </w:tblStylePr>
    <w:tblStylePr w:type="band1Horz">
      <w:tblPr/>
      <w:tcPr>
        <w:shd w:val="clear" w:color="auto" w:fill="775ECF" w:themeFill="text1" w:themeFillTint="7F"/>
      </w:tcPr>
    </w:tblStylePr>
  </w:style>
  <w:style w:type="table" w:styleId="ColourfulGridAccent1">
    <w:name w:val="Colorful Grid Accent 1"/>
    <w:basedOn w:val="TableNormal"/>
    <w:uiPriority w:val="73"/>
    <w:rsid w:val="00BC3E97"/>
    <w:pPr>
      <w:widowControl/>
      <w:autoSpaceDE/>
      <w:autoSpaceDN/>
    </w:pPr>
    <w:rPr>
      <w:rFonts w:eastAsiaTheme="minorEastAsia"/>
      <w:color w:val="201547" w:themeColor="text1"/>
    </w:rPr>
    <w:tblPr>
      <w:tblStyleRowBandSize w:val="1"/>
      <w:tblStyleColBandSize w:val="1"/>
      <w:tblBorders>
        <w:insideH w:val="single" w:sz="4" w:space="0" w:color="004C97" w:themeColor="background1"/>
      </w:tblBorders>
    </w:tblPr>
    <w:tcPr>
      <w:shd w:val="clear" w:color="auto" w:fill="B1FFE0" w:themeFill="accent1" w:themeFillTint="33"/>
    </w:tcPr>
    <w:tblStylePr w:type="firstRow">
      <w:rPr>
        <w:b/>
        <w:bCs/>
      </w:rPr>
      <w:tblPr/>
      <w:tcPr>
        <w:shd w:val="clear" w:color="auto" w:fill="64FFC2" w:themeFill="accent1" w:themeFillTint="66"/>
      </w:tcPr>
    </w:tblStylePr>
    <w:tblStylePr w:type="lastRow">
      <w:rPr>
        <w:b/>
        <w:bCs/>
        <w:color w:val="201547" w:themeColor="text1"/>
      </w:rPr>
      <w:tblPr/>
      <w:tcPr>
        <w:shd w:val="clear" w:color="auto" w:fill="64FFC2" w:themeFill="accent1" w:themeFillTint="66"/>
      </w:tcPr>
    </w:tblStylePr>
    <w:tblStylePr w:type="firstCol">
      <w:rPr>
        <w:color w:val="004C97" w:themeColor="background1"/>
      </w:rPr>
      <w:tblPr/>
      <w:tcPr>
        <w:shd w:val="clear" w:color="auto" w:fill="005C37" w:themeFill="accent1" w:themeFillShade="BF"/>
      </w:tcPr>
    </w:tblStylePr>
    <w:tblStylePr w:type="lastCol">
      <w:rPr>
        <w:color w:val="004C97" w:themeColor="background1"/>
      </w:rPr>
      <w:tblPr/>
      <w:tcPr>
        <w:shd w:val="clear" w:color="auto" w:fill="005C37" w:themeFill="accent1" w:themeFillShade="BF"/>
      </w:tcPr>
    </w:tblStylePr>
    <w:tblStylePr w:type="band1Vert">
      <w:tblPr/>
      <w:tcPr>
        <w:shd w:val="clear" w:color="auto" w:fill="3EFFB3" w:themeFill="accent1" w:themeFillTint="7F"/>
      </w:tcPr>
    </w:tblStylePr>
    <w:tblStylePr w:type="band1Horz">
      <w:tblPr/>
      <w:tcPr>
        <w:shd w:val="clear" w:color="auto" w:fill="3EFFB3" w:themeFill="accent1" w:themeFillTint="7F"/>
      </w:tcPr>
    </w:tblStylePr>
  </w:style>
  <w:style w:type="table" w:styleId="ColourfulGridAccent2">
    <w:name w:val="Colorful Grid Accent 2"/>
    <w:basedOn w:val="TableNormal"/>
    <w:uiPriority w:val="73"/>
    <w:rsid w:val="00BC3E97"/>
    <w:pPr>
      <w:widowControl/>
      <w:autoSpaceDE/>
      <w:autoSpaceDN/>
    </w:pPr>
    <w:rPr>
      <w:rFonts w:eastAsiaTheme="minorEastAsia"/>
      <w:color w:val="201547" w:themeColor="text1"/>
    </w:rPr>
    <w:tblPr>
      <w:tblStyleRowBandSize w:val="1"/>
      <w:tblStyleColBandSize w:val="1"/>
      <w:tblBorders>
        <w:insideH w:val="single" w:sz="4" w:space="0" w:color="004C97" w:themeColor="background1"/>
      </w:tblBorders>
    </w:tblPr>
    <w:tcPr>
      <w:shd w:val="clear" w:color="auto" w:fill="FBFFC5" w:themeFill="accent2" w:themeFillTint="33"/>
    </w:tcPr>
    <w:tblStylePr w:type="firstRow">
      <w:rPr>
        <w:b/>
        <w:bCs/>
      </w:rPr>
      <w:tblPr/>
      <w:tcPr>
        <w:shd w:val="clear" w:color="auto" w:fill="F7FF8B" w:themeFill="accent2" w:themeFillTint="66"/>
      </w:tcPr>
    </w:tblStylePr>
    <w:tblStylePr w:type="lastRow">
      <w:rPr>
        <w:b/>
        <w:bCs/>
        <w:color w:val="201547" w:themeColor="text1"/>
      </w:rPr>
      <w:tblPr/>
      <w:tcPr>
        <w:shd w:val="clear" w:color="auto" w:fill="F7FF8B" w:themeFill="accent2" w:themeFillTint="66"/>
      </w:tcPr>
    </w:tblStylePr>
    <w:tblStylePr w:type="firstCol">
      <w:rPr>
        <w:color w:val="004C97" w:themeColor="background1"/>
      </w:rPr>
      <w:tblPr/>
      <w:tcPr>
        <w:shd w:val="clear" w:color="auto" w:fill="99A400" w:themeFill="accent2" w:themeFillShade="BF"/>
      </w:tcPr>
    </w:tblStylePr>
    <w:tblStylePr w:type="lastCol">
      <w:rPr>
        <w:color w:val="004C97" w:themeColor="background1"/>
      </w:rPr>
      <w:tblPr/>
      <w:tcPr>
        <w:shd w:val="clear" w:color="auto" w:fill="99A400" w:themeFill="accent2" w:themeFillShade="BF"/>
      </w:tcPr>
    </w:tblStylePr>
    <w:tblStylePr w:type="band1Vert">
      <w:tblPr/>
      <w:tcPr>
        <w:shd w:val="clear" w:color="auto" w:fill="F5FF6E" w:themeFill="accent2" w:themeFillTint="7F"/>
      </w:tcPr>
    </w:tblStylePr>
    <w:tblStylePr w:type="band1Horz">
      <w:tblPr/>
      <w:tcPr>
        <w:shd w:val="clear" w:color="auto" w:fill="F5FF6E" w:themeFill="accent2" w:themeFillTint="7F"/>
      </w:tcPr>
    </w:tblStylePr>
  </w:style>
  <w:style w:type="table" w:styleId="ColourfulGridAccent3">
    <w:name w:val="Colorful Grid Accent 3"/>
    <w:basedOn w:val="TableNormal"/>
    <w:uiPriority w:val="73"/>
    <w:rsid w:val="00BC3E97"/>
    <w:pPr>
      <w:widowControl/>
      <w:autoSpaceDE/>
      <w:autoSpaceDN/>
    </w:pPr>
    <w:rPr>
      <w:rFonts w:eastAsiaTheme="minorEastAsia"/>
      <w:color w:val="201547" w:themeColor="text1"/>
    </w:rPr>
    <w:tblPr>
      <w:tblStyleRowBandSize w:val="1"/>
      <w:tblStyleColBandSize w:val="1"/>
      <w:tblBorders>
        <w:insideH w:val="single" w:sz="4" w:space="0" w:color="004C97" w:themeColor="background1"/>
      </w:tblBorders>
    </w:tblPr>
    <w:tcPr>
      <w:shd w:val="clear" w:color="auto" w:fill="FFF2CA" w:themeFill="accent3" w:themeFillTint="33"/>
    </w:tcPr>
    <w:tblStylePr w:type="firstRow">
      <w:rPr>
        <w:b/>
        <w:bCs/>
      </w:rPr>
      <w:tblPr/>
      <w:tcPr>
        <w:shd w:val="clear" w:color="auto" w:fill="FFE695" w:themeFill="accent3" w:themeFillTint="66"/>
      </w:tcPr>
    </w:tblStylePr>
    <w:tblStylePr w:type="lastRow">
      <w:rPr>
        <w:b/>
        <w:bCs/>
        <w:color w:val="201547" w:themeColor="text1"/>
      </w:rPr>
      <w:tblPr/>
      <w:tcPr>
        <w:shd w:val="clear" w:color="auto" w:fill="FFE695" w:themeFill="accent3" w:themeFillTint="66"/>
      </w:tcPr>
    </w:tblStylePr>
    <w:tblStylePr w:type="firstCol">
      <w:rPr>
        <w:color w:val="004C97" w:themeColor="background1"/>
      </w:rPr>
      <w:tblPr/>
      <w:tcPr>
        <w:shd w:val="clear" w:color="auto" w:fill="B88D00" w:themeFill="accent3" w:themeFillShade="BF"/>
      </w:tcPr>
    </w:tblStylePr>
    <w:tblStylePr w:type="lastCol">
      <w:rPr>
        <w:color w:val="004C97" w:themeColor="background1"/>
      </w:rPr>
      <w:tblPr/>
      <w:tcPr>
        <w:shd w:val="clear" w:color="auto" w:fill="B88D00" w:themeFill="accent3" w:themeFillShade="BF"/>
      </w:tcPr>
    </w:tblStylePr>
    <w:tblStylePr w:type="band1Vert">
      <w:tblPr/>
      <w:tcPr>
        <w:shd w:val="clear" w:color="auto" w:fill="FFE07B" w:themeFill="accent3" w:themeFillTint="7F"/>
      </w:tcPr>
    </w:tblStylePr>
    <w:tblStylePr w:type="band1Horz">
      <w:tblPr/>
      <w:tcPr>
        <w:shd w:val="clear" w:color="auto" w:fill="FFE07B" w:themeFill="accent3" w:themeFillTint="7F"/>
      </w:tcPr>
    </w:tblStylePr>
  </w:style>
  <w:style w:type="table" w:styleId="ColourfulGridAccent4">
    <w:name w:val="Colorful Grid Accent 4"/>
    <w:basedOn w:val="TableNormal"/>
    <w:uiPriority w:val="73"/>
    <w:rsid w:val="00BC3E97"/>
    <w:pPr>
      <w:widowControl/>
      <w:autoSpaceDE/>
      <w:autoSpaceDN/>
    </w:pPr>
    <w:rPr>
      <w:rFonts w:eastAsiaTheme="minorEastAsia"/>
      <w:color w:val="201547" w:themeColor="text1"/>
    </w:rPr>
    <w:tblPr>
      <w:tblStyleRowBandSize w:val="1"/>
      <w:tblStyleColBandSize w:val="1"/>
      <w:tblBorders>
        <w:insideH w:val="single" w:sz="4" w:space="0" w:color="004C97" w:themeColor="background1"/>
      </w:tblBorders>
    </w:tblPr>
    <w:tcPr>
      <w:shd w:val="clear" w:color="auto" w:fill="FFE2C6" w:themeFill="accent4" w:themeFillTint="33"/>
    </w:tcPr>
    <w:tblStylePr w:type="firstRow">
      <w:rPr>
        <w:b/>
        <w:bCs/>
      </w:rPr>
      <w:tblPr/>
      <w:tcPr>
        <w:shd w:val="clear" w:color="auto" w:fill="FFC68E" w:themeFill="accent4" w:themeFillTint="66"/>
      </w:tcPr>
    </w:tblStylePr>
    <w:tblStylePr w:type="lastRow">
      <w:rPr>
        <w:b/>
        <w:bCs/>
        <w:color w:val="201547" w:themeColor="text1"/>
      </w:rPr>
      <w:tblPr/>
      <w:tcPr>
        <w:shd w:val="clear" w:color="auto" w:fill="FFC68E" w:themeFill="accent4" w:themeFillTint="66"/>
      </w:tcPr>
    </w:tblStylePr>
    <w:tblStylePr w:type="firstCol">
      <w:rPr>
        <w:color w:val="004C97" w:themeColor="background1"/>
      </w:rPr>
      <w:tblPr/>
      <w:tcPr>
        <w:shd w:val="clear" w:color="auto" w:fill="AB5400" w:themeFill="accent4" w:themeFillShade="BF"/>
      </w:tcPr>
    </w:tblStylePr>
    <w:tblStylePr w:type="lastCol">
      <w:rPr>
        <w:color w:val="004C97" w:themeColor="background1"/>
      </w:rPr>
      <w:tblPr/>
      <w:tcPr>
        <w:shd w:val="clear" w:color="auto" w:fill="AB5400" w:themeFill="accent4" w:themeFillShade="BF"/>
      </w:tcPr>
    </w:tblStylePr>
    <w:tblStylePr w:type="band1Vert">
      <w:tblPr/>
      <w:tcPr>
        <w:shd w:val="clear" w:color="auto" w:fill="FFB873" w:themeFill="accent4" w:themeFillTint="7F"/>
      </w:tcPr>
    </w:tblStylePr>
    <w:tblStylePr w:type="band1Horz">
      <w:tblPr/>
      <w:tcPr>
        <w:shd w:val="clear" w:color="auto" w:fill="FFB873" w:themeFill="accent4" w:themeFillTint="7F"/>
      </w:tcPr>
    </w:tblStylePr>
  </w:style>
  <w:style w:type="table" w:styleId="ColourfulGridAccent5">
    <w:name w:val="Colorful Grid Accent 5"/>
    <w:basedOn w:val="TableNormal"/>
    <w:uiPriority w:val="73"/>
    <w:rsid w:val="00BC3E97"/>
    <w:pPr>
      <w:widowControl/>
      <w:autoSpaceDE/>
      <w:autoSpaceDN/>
    </w:pPr>
    <w:rPr>
      <w:rFonts w:eastAsiaTheme="minorEastAsia"/>
      <w:color w:val="201547" w:themeColor="text1"/>
    </w:rPr>
    <w:tblPr>
      <w:tblStyleRowBandSize w:val="1"/>
      <w:tblStyleColBandSize w:val="1"/>
      <w:tblBorders>
        <w:insideH w:val="single" w:sz="4" w:space="0" w:color="004C97" w:themeColor="background1"/>
      </w:tblBorders>
    </w:tblPr>
    <w:tcPr>
      <w:shd w:val="clear" w:color="auto" w:fill="F4CED0" w:themeFill="accent5" w:themeFillTint="33"/>
    </w:tcPr>
    <w:tblStylePr w:type="firstRow">
      <w:rPr>
        <w:b/>
        <w:bCs/>
      </w:rPr>
      <w:tblPr/>
      <w:tcPr>
        <w:shd w:val="clear" w:color="auto" w:fill="E99DA2" w:themeFill="accent5" w:themeFillTint="66"/>
      </w:tcPr>
    </w:tblStylePr>
    <w:tblStylePr w:type="lastRow">
      <w:rPr>
        <w:b/>
        <w:bCs/>
        <w:color w:val="201547" w:themeColor="text1"/>
      </w:rPr>
      <w:tblPr/>
      <w:tcPr>
        <w:shd w:val="clear" w:color="auto" w:fill="E99DA2" w:themeFill="accent5" w:themeFillTint="66"/>
      </w:tcPr>
    </w:tblStylePr>
    <w:tblStylePr w:type="firstCol">
      <w:rPr>
        <w:color w:val="004C97" w:themeColor="background1"/>
      </w:rPr>
      <w:tblPr/>
      <w:tcPr>
        <w:shd w:val="clear" w:color="auto" w:fill="821D23" w:themeFill="accent5" w:themeFillShade="BF"/>
      </w:tcPr>
    </w:tblStylePr>
    <w:tblStylePr w:type="lastCol">
      <w:rPr>
        <w:color w:val="004C97" w:themeColor="background1"/>
      </w:rPr>
      <w:tblPr/>
      <w:tcPr>
        <w:shd w:val="clear" w:color="auto" w:fill="821D23" w:themeFill="accent5" w:themeFillShade="BF"/>
      </w:tcPr>
    </w:tblStylePr>
    <w:tblStylePr w:type="band1Vert">
      <w:tblPr/>
      <w:tcPr>
        <w:shd w:val="clear" w:color="auto" w:fill="E4868B" w:themeFill="accent5" w:themeFillTint="7F"/>
      </w:tcPr>
    </w:tblStylePr>
    <w:tblStylePr w:type="band1Horz">
      <w:tblPr/>
      <w:tcPr>
        <w:shd w:val="clear" w:color="auto" w:fill="E4868B" w:themeFill="accent5" w:themeFillTint="7F"/>
      </w:tcPr>
    </w:tblStylePr>
  </w:style>
  <w:style w:type="table" w:styleId="ColourfulGridAccent6">
    <w:name w:val="Colorful Grid Accent 6"/>
    <w:basedOn w:val="TableNormal"/>
    <w:uiPriority w:val="73"/>
    <w:rsid w:val="00BC3E97"/>
    <w:pPr>
      <w:widowControl/>
      <w:autoSpaceDE/>
      <w:autoSpaceDN/>
    </w:pPr>
    <w:rPr>
      <w:rFonts w:eastAsiaTheme="minorEastAsia"/>
      <w:color w:val="201547" w:themeColor="text1"/>
    </w:rPr>
    <w:tblPr>
      <w:tblStyleRowBandSize w:val="1"/>
      <w:tblStyleColBandSize w:val="1"/>
      <w:tblBorders>
        <w:insideH w:val="single" w:sz="4" w:space="0" w:color="004C97" w:themeColor="background1"/>
      </w:tblBorders>
    </w:tblPr>
    <w:tcPr>
      <w:shd w:val="clear" w:color="auto" w:fill="E9C8EB" w:themeFill="accent6" w:themeFillTint="33"/>
    </w:tcPr>
    <w:tblStylePr w:type="firstRow">
      <w:rPr>
        <w:b/>
        <w:bCs/>
      </w:rPr>
      <w:tblPr/>
      <w:tcPr>
        <w:shd w:val="clear" w:color="auto" w:fill="D493D7" w:themeFill="accent6" w:themeFillTint="66"/>
      </w:tcPr>
    </w:tblStylePr>
    <w:tblStylePr w:type="lastRow">
      <w:rPr>
        <w:b/>
        <w:bCs/>
        <w:color w:val="201547" w:themeColor="text1"/>
      </w:rPr>
      <w:tblPr/>
      <w:tcPr>
        <w:shd w:val="clear" w:color="auto" w:fill="D493D7" w:themeFill="accent6" w:themeFillTint="66"/>
      </w:tcPr>
    </w:tblStylePr>
    <w:tblStylePr w:type="firstCol">
      <w:rPr>
        <w:color w:val="004C97" w:themeColor="background1"/>
      </w:rPr>
      <w:tblPr/>
      <w:tcPr>
        <w:shd w:val="clear" w:color="auto" w:fill="4A1C4C" w:themeFill="accent6" w:themeFillShade="BF"/>
      </w:tcPr>
    </w:tblStylePr>
    <w:tblStylePr w:type="lastCol">
      <w:rPr>
        <w:color w:val="004C97" w:themeColor="background1"/>
      </w:rPr>
      <w:tblPr/>
      <w:tcPr>
        <w:shd w:val="clear" w:color="auto" w:fill="4A1C4C" w:themeFill="accent6" w:themeFillShade="BF"/>
      </w:tcPr>
    </w:tblStylePr>
    <w:tblStylePr w:type="band1Vert">
      <w:tblPr/>
      <w:tcPr>
        <w:shd w:val="clear" w:color="auto" w:fill="C978CD" w:themeFill="accent6" w:themeFillTint="7F"/>
      </w:tcPr>
    </w:tblStylePr>
    <w:tblStylePr w:type="band1Horz">
      <w:tblPr/>
      <w:tcPr>
        <w:shd w:val="clear" w:color="auto" w:fill="C978CD" w:themeFill="accent6" w:themeFillTint="7F"/>
      </w:tcPr>
    </w:tblStylePr>
  </w:style>
  <w:style w:type="paragraph" w:styleId="TOC3">
    <w:name w:val="toc 3"/>
    <w:basedOn w:val="Normal"/>
    <w:next w:val="Normal"/>
    <w:autoRedefine/>
    <w:uiPriority w:val="39"/>
    <w:unhideWhenUsed/>
    <w:rsid w:val="00BC3E97"/>
    <w:pPr>
      <w:spacing w:after="0"/>
      <w:ind w:left="48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390">
      <w:bodyDiv w:val="1"/>
      <w:marLeft w:val="0"/>
      <w:marRight w:val="0"/>
      <w:marTop w:val="0"/>
      <w:marBottom w:val="0"/>
      <w:divBdr>
        <w:top w:val="none" w:sz="0" w:space="0" w:color="auto"/>
        <w:left w:val="none" w:sz="0" w:space="0" w:color="auto"/>
        <w:bottom w:val="none" w:sz="0" w:space="0" w:color="auto"/>
        <w:right w:val="none" w:sz="0" w:space="0" w:color="auto"/>
      </w:divBdr>
    </w:div>
    <w:div w:id="285476151">
      <w:bodyDiv w:val="1"/>
      <w:marLeft w:val="0"/>
      <w:marRight w:val="0"/>
      <w:marTop w:val="0"/>
      <w:marBottom w:val="0"/>
      <w:divBdr>
        <w:top w:val="none" w:sz="0" w:space="0" w:color="auto"/>
        <w:left w:val="none" w:sz="0" w:space="0" w:color="auto"/>
        <w:bottom w:val="none" w:sz="0" w:space="0" w:color="auto"/>
        <w:right w:val="none" w:sz="0" w:space="0" w:color="auto"/>
      </w:divBdr>
    </w:div>
    <w:div w:id="311447489">
      <w:bodyDiv w:val="1"/>
      <w:marLeft w:val="0"/>
      <w:marRight w:val="0"/>
      <w:marTop w:val="0"/>
      <w:marBottom w:val="0"/>
      <w:divBdr>
        <w:top w:val="none" w:sz="0" w:space="0" w:color="auto"/>
        <w:left w:val="none" w:sz="0" w:space="0" w:color="auto"/>
        <w:bottom w:val="none" w:sz="0" w:space="0" w:color="auto"/>
        <w:right w:val="none" w:sz="0" w:space="0" w:color="auto"/>
      </w:divBdr>
    </w:div>
    <w:div w:id="792098071">
      <w:bodyDiv w:val="1"/>
      <w:marLeft w:val="0"/>
      <w:marRight w:val="0"/>
      <w:marTop w:val="0"/>
      <w:marBottom w:val="0"/>
      <w:divBdr>
        <w:top w:val="none" w:sz="0" w:space="0" w:color="auto"/>
        <w:left w:val="none" w:sz="0" w:space="0" w:color="auto"/>
        <w:bottom w:val="none" w:sz="0" w:space="0" w:color="auto"/>
        <w:right w:val="none" w:sz="0" w:space="0" w:color="auto"/>
      </w:divBdr>
    </w:div>
    <w:div w:id="1082797667">
      <w:bodyDiv w:val="1"/>
      <w:marLeft w:val="0"/>
      <w:marRight w:val="0"/>
      <w:marTop w:val="0"/>
      <w:marBottom w:val="0"/>
      <w:divBdr>
        <w:top w:val="none" w:sz="0" w:space="0" w:color="auto"/>
        <w:left w:val="none" w:sz="0" w:space="0" w:color="auto"/>
        <w:bottom w:val="none" w:sz="0" w:space="0" w:color="auto"/>
        <w:right w:val="none" w:sz="0" w:space="0" w:color="auto"/>
      </w:divBdr>
    </w:div>
    <w:div w:id="1178499149">
      <w:bodyDiv w:val="1"/>
      <w:marLeft w:val="0"/>
      <w:marRight w:val="0"/>
      <w:marTop w:val="0"/>
      <w:marBottom w:val="0"/>
      <w:divBdr>
        <w:top w:val="none" w:sz="0" w:space="0" w:color="auto"/>
        <w:left w:val="none" w:sz="0" w:space="0" w:color="auto"/>
        <w:bottom w:val="none" w:sz="0" w:space="0" w:color="auto"/>
        <w:right w:val="none" w:sz="0" w:space="0" w:color="auto"/>
      </w:divBdr>
    </w:div>
    <w:div w:id="1187451347">
      <w:bodyDiv w:val="1"/>
      <w:marLeft w:val="0"/>
      <w:marRight w:val="0"/>
      <w:marTop w:val="0"/>
      <w:marBottom w:val="0"/>
      <w:divBdr>
        <w:top w:val="none" w:sz="0" w:space="0" w:color="auto"/>
        <w:left w:val="none" w:sz="0" w:space="0" w:color="auto"/>
        <w:bottom w:val="none" w:sz="0" w:space="0" w:color="auto"/>
        <w:right w:val="none" w:sz="0" w:space="0" w:color="auto"/>
      </w:divBdr>
    </w:div>
    <w:div w:id="1243877765">
      <w:bodyDiv w:val="1"/>
      <w:marLeft w:val="0"/>
      <w:marRight w:val="0"/>
      <w:marTop w:val="0"/>
      <w:marBottom w:val="0"/>
      <w:divBdr>
        <w:top w:val="none" w:sz="0" w:space="0" w:color="auto"/>
        <w:left w:val="none" w:sz="0" w:space="0" w:color="auto"/>
        <w:bottom w:val="none" w:sz="0" w:space="0" w:color="auto"/>
        <w:right w:val="none" w:sz="0" w:space="0" w:color="auto"/>
      </w:divBdr>
    </w:div>
    <w:div w:id="1282223921">
      <w:bodyDiv w:val="1"/>
      <w:marLeft w:val="0"/>
      <w:marRight w:val="0"/>
      <w:marTop w:val="0"/>
      <w:marBottom w:val="0"/>
      <w:divBdr>
        <w:top w:val="none" w:sz="0" w:space="0" w:color="auto"/>
        <w:left w:val="none" w:sz="0" w:space="0" w:color="auto"/>
        <w:bottom w:val="none" w:sz="0" w:space="0" w:color="auto"/>
        <w:right w:val="none" w:sz="0" w:space="0" w:color="auto"/>
      </w:divBdr>
    </w:div>
    <w:div w:id="1405955773">
      <w:bodyDiv w:val="1"/>
      <w:marLeft w:val="0"/>
      <w:marRight w:val="0"/>
      <w:marTop w:val="0"/>
      <w:marBottom w:val="0"/>
      <w:divBdr>
        <w:top w:val="none" w:sz="0" w:space="0" w:color="auto"/>
        <w:left w:val="none" w:sz="0" w:space="0" w:color="auto"/>
        <w:bottom w:val="none" w:sz="0" w:space="0" w:color="auto"/>
        <w:right w:val="none" w:sz="0" w:space="0" w:color="auto"/>
      </w:divBdr>
    </w:div>
    <w:div w:id="1876579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DJPR">
      <a:dk1>
        <a:srgbClr val="201547"/>
      </a:dk1>
      <a:lt1>
        <a:srgbClr val="004C97"/>
      </a:lt1>
      <a:dk2>
        <a:srgbClr val="00A9E0"/>
      </a:dk2>
      <a:lt2>
        <a:srgbClr val="00B2A9"/>
      </a:lt2>
      <a:accent1>
        <a:srgbClr val="007B4B"/>
      </a:accent1>
      <a:accent2>
        <a:srgbClr val="CEDC00"/>
      </a:accent2>
      <a:accent3>
        <a:srgbClr val="F6BE00"/>
      </a:accent3>
      <a:accent4>
        <a:srgbClr val="E57200"/>
      </a:accent4>
      <a:accent5>
        <a:srgbClr val="AF272F"/>
      </a:accent5>
      <a:accent6>
        <a:srgbClr val="64266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b9114c1-daad-44dd-acad-30f4246641f2">
      <Value>101</Value>
      <Value>94</Value>
    </TaxCatchAll>
    <DEECD_Publisher xmlns="http://schemas.microsoft.com/sharepoint/v3">Department of Education and Training</DEECD_Publisher>
    <hyperlink xmlns="76b566cd-adb9-46c2-964b-22eba181fd0b">
      <Url xsi:nil="true"/>
      <Description xsi:nil="true"/>
    </hyperlink>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Page</TermName>
          <TermId xmlns="http://schemas.microsoft.com/office/infopath/2007/PartnerControls">eb523acf-a821-456c-a76b-7607578309d7</TermId>
        </TermInfo>
      </Terms>
    </a319977fc8504e09982f090ae1d7c602>
    <DEECD_Expired xmlns="http://schemas.microsoft.com/sharepoint/v3">false</DEECD_Expired>
    <DEECD_Keywords xmlns="http://schemas.microsoft.com/sharepoint/v3" xsi:nil="true"/>
    <PublishingExpirationDate xmlns="http://schemas.microsoft.com/sharepoint/v3" xsi:nil="true"/>
    <DEECD_Description xmlns="http://schemas.microsoft.com/sharepoint/v3" xsi:nil="true"/>
    <b1688cb4a3a940449dc8286705012a42 xmlns="76b566cd-adb9-46c2-964b-22eba181fd0b">
      <Terms xmlns="http://schemas.microsoft.com/office/infopath/2007/PartnerControls"/>
    </b1688cb4a3a940449dc8286705012a42>
    <hyperlink2 xmlns="76b566cd-adb9-46c2-964b-22eba181fd0b">
      <Url xsi:nil="true"/>
      <Description xsi:nil="true"/>
    </hyperlink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1BB4E2-A746-4744-A9B0-CDCC35A41774}">
  <ds:schemaRefs>
    <ds:schemaRef ds:uri="http://schemas.openxmlformats.org/officeDocument/2006/bibliography"/>
  </ds:schemaRefs>
</ds:datastoreItem>
</file>

<file path=customXml/itemProps2.xml><?xml version="1.0" encoding="utf-8"?>
<ds:datastoreItem xmlns:ds="http://schemas.openxmlformats.org/officeDocument/2006/customXml" ds:itemID="{2711A16D-9B28-4FA0-8144-7CC24E95A88A}">
  <ds:schemaRefs>
    <ds:schemaRef ds:uri="http://schemas.microsoft.com/office/2006/metadata/properties"/>
    <ds:schemaRef ds:uri="http://schemas.microsoft.com/office/infopath/2007/PartnerControls"/>
    <ds:schemaRef ds:uri="1970f3ff-c7c3-4b73-8f0c-0bc260d159f3"/>
    <ds:schemaRef ds:uri="3b4993c4-1e12-480f-8829-7529dfd7c42d"/>
  </ds:schemaRefs>
</ds:datastoreItem>
</file>

<file path=customXml/itemProps3.xml><?xml version="1.0" encoding="utf-8"?>
<ds:datastoreItem xmlns:ds="http://schemas.openxmlformats.org/officeDocument/2006/customXml" ds:itemID="{401A5711-797A-4BA8-B16E-05E3ACC7F918}">
  <ds:schemaRefs>
    <ds:schemaRef ds:uri="http://schemas.microsoft.com/sharepoint/v3/contenttype/forms"/>
  </ds:schemaRefs>
</ds:datastoreItem>
</file>

<file path=customXml/itemProps4.xml><?xml version="1.0" encoding="utf-8"?>
<ds:datastoreItem xmlns:ds="http://schemas.openxmlformats.org/officeDocument/2006/customXml" ds:itemID="{F6B5EBF5-A9E1-4BE3-8367-427CE1F07DD4}"/>
</file>

<file path=docProps/app.xml><?xml version="1.0" encoding="utf-8"?>
<Properties xmlns="http://schemas.openxmlformats.org/officeDocument/2006/extended-properties" xmlns:vt="http://schemas.openxmlformats.org/officeDocument/2006/docPropsVTypes">
  <Template>Normal.dotm</Template>
  <TotalTime>0</TotalTime>
  <Pages>39</Pages>
  <Words>12636</Words>
  <Characters>72031</Characters>
  <Application>Microsoft Office Word</Application>
  <DocSecurity>0</DocSecurity>
  <Lines>600</Lines>
  <Paragraphs>168</Paragraphs>
  <ScaleCrop>false</ScaleCrop>
  <HeadingPairs>
    <vt:vector size="2" baseType="variant">
      <vt:variant>
        <vt:lpstr>Title</vt:lpstr>
      </vt:variant>
      <vt:variant>
        <vt:i4>1</vt:i4>
      </vt:variant>
    </vt:vector>
  </HeadingPairs>
  <TitlesOfParts>
    <vt:vector size="1" baseType="lpstr">
      <vt:lpstr>Marrung 2026–2036 First Nations Education Strategy — Accessible version</vt:lpstr>
    </vt:vector>
  </TitlesOfParts>
  <Company/>
  <LinksUpToDate>false</LinksUpToDate>
  <CharactersWithSpaces>84499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Marrung 2026–2036 First Nations Education Strategy — Accessible version</dc:title>
  <dc:subject>Accessible alternative updated to supplied V8 source PDF</dc:subject>
  <dc:creator>Cameron Nolan (DEDJTR)</dc:creator>
  <cp:lastModifiedBy>daga mikolaj</cp:lastModifiedBy>
  <cp:revision>2</cp:revision>
  <dcterms:created xsi:type="dcterms:W3CDTF">2026-09-10T01:13:00Z</dcterms:created>
  <dcterms:modified xsi:type="dcterms:W3CDTF">2026-09-10T01:13:00Z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2020-12-17T00:00:00Z</vt:filetime>
  </property>
  <property fmtid="{D5CDD505-2E9C-101B-9397-08002B2CF9AE}" pid="3" name="Creator">
    <vt:lpwstr>Microsoft® PowerPoint® for Microsoft 365</vt:lpwstr>
  </property>
  <property fmtid="{D5CDD505-2E9C-101B-9397-08002B2CF9AE}" pid="4" name="LastSaved">
    <vt:filetime>2020-12-17T00:00:00Z</vt:filetime>
  </property>
  <property fmtid="{D5CDD505-2E9C-101B-9397-08002B2CF9AE}" pid="5" name="ContentTypeId">
    <vt:lpwstr>0x0101008840106FE30D4F50BC61A726A7CA6E3800A01D47DD30CBB54F95863B7DC80A2CEC</vt:lpwstr>
  </property>
  <property fmtid="{D5CDD505-2E9C-101B-9397-08002B2CF9AE}" pid="6" name="DEECD_Author">
    <vt:lpwstr>94;#Education|5232e41c-5101-41fe-b638-7d41d1371531</vt:lpwstr>
  </property>
  <property fmtid="{D5CDD505-2E9C-101B-9397-08002B2CF9AE}" pid="7" name="DEECD_ItemType">
    <vt:lpwstr>101;#Page|eb523acf-a821-456c-a76b-7607578309d7</vt:lpwstr>
  </property>
</Properties>
</file>