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5718AC2F" w:rsidR="00624A55" w:rsidRPr="008F3D35" w:rsidRDefault="00CD66C7" w:rsidP="008F3D35">
      <w:pPr>
        <w:pStyle w:val="Heading1"/>
      </w:pPr>
      <w:bookmarkStart w:id="0" w:name="_Hlk89807724"/>
      <w:bookmarkEnd w:id="0"/>
      <w:r>
        <w:rPr>
          <w:lang w:val="en-AU"/>
        </w:rPr>
        <w:t>Current Data – Participation and Inclusion</w:t>
      </w:r>
    </w:p>
    <w:p w14:paraId="6D2C1D51" w14:textId="77777777" w:rsidR="00544AB4" w:rsidRDefault="00544AB4" w:rsidP="00CD66C7">
      <w:pPr>
        <w:pStyle w:val="Intro"/>
      </w:pPr>
    </w:p>
    <w:p w14:paraId="63A83CF4" w14:textId="10216BAA" w:rsidR="00DC00A1" w:rsidRPr="00DC00A1" w:rsidRDefault="00DC00A1" w:rsidP="00CD66C7">
      <w:pPr>
        <w:pStyle w:val="Intro"/>
      </w:pPr>
      <w:r w:rsidRPr="00DC00A1">
        <w:t>Attendance</w:t>
      </w:r>
    </w:p>
    <w:p w14:paraId="70F61973" w14:textId="683A2B3B" w:rsidR="00DC00A1" w:rsidRPr="003C6A98" w:rsidRDefault="00DC00A1" w:rsidP="003C6A98">
      <w:pPr>
        <w:rPr>
          <w:lang w:val="en-AU"/>
        </w:rPr>
      </w:pPr>
      <w:r w:rsidRPr="00DC00A1">
        <w:rPr>
          <w:lang w:val="en-AU"/>
        </w:rPr>
        <w:t>A significant contributor to education outcomes for Koorie students is that, on average, Koorie students attend school at much lower rates than their non-Koorie classmates. While attendance in 2020 was impacted due to the COVID-19 context, the trend in data was consistent with previous years, where Koorie students at all year levels were absent at around twice the average overall rate.</w:t>
      </w:r>
    </w:p>
    <w:p w14:paraId="767CAE85" w14:textId="6D6FFD9F" w:rsidR="00DC00A1" w:rsidRPr="003C6A98" w:rsidRDefault="00DC70A8" w:rsidP="003C6A98">
      <w:pPr>
        <w:jc w:val="center"/>
      </w:pPr>
      <w:r>
        <w:rPr>
          <w:lang w:val="en-AU"/>
        </w:rPr>
        <w:t>Average days lost due to student absence in government schools 2020</w:t>
      </w:r>
      <w:r w:rsidR="00DC00A1" w:rsidRPr="005C79D1">
        <w:rPr>
          <w:noProof/>
        </w:rPr>
        <w:drawing>
          <wp:inline distT="0" distB="0" distL="0" distR="0" wp14:anchorId="7FF5A6D4" wp14:editId="5D773293">
            <wp:extent cx="4381499" cy="2317750"/>
            <wp:effectExtent l="0" t="0" r="635" b="6350"/>
            <wp:docPr id="23" name="Picture 23" descr="a table of average days lost due to student absence in government schools 2020. Data avail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table of average days lost due to student absence in government schools 2020. Data available below."/>
                    <pic:cNvPicPr/>
                  </pic:nvPicPr>
                  <pic:blipFill rotWithShape="1">
                    <a:blip r:embed="rId11"/>
                    <a:srcRect b="4451"/>
                    <a:stretch/>
                  </pic:blipFill>
                  <pic:spPr bwMode="auto">
                    <a:xfrm>
                      <a:off x="0" y="0"/>
                      <a:ext cx="4381725" cy="2317869"/>
                    </a:xfrm>
                    <a:prstGeom prst="rect">
                      <a:avLst/>
                    </a:prstGeom>
                    <a:ln>
                      <a:noFill/>
                    </a:ln>
                    <a:extLst>
                      <a:ext uri="{53640926-AAD7-44D8-BBD7-CCE9431645EC}">
                        <a14:shadowObscured xmlns:a14="http://schemas.microsoft.com/office/drawing/2010/main"/>
                      </a:ext>
                    </a:extLst>
                  </pic:spPr>
                </pic:pic>
              </a:graphicData>
            </a:graphic>
          </wp:inline>
        </w:drawing>
      </w:r>
    </w:p>
    <w:p w14:paraId="07CD759C" w14:textId="77777777" w:rsidR="00DC70A8" w:rsidRDefault="00DC70A8" w:rsidP="00DC00A1">
      <w:pPr>
        <w:rPr>
          <w:lang w:val="en-AU"/>
        </w:rPr>
      </w:pPr>
    </w:p>
    <w:p w14:paraId="5F77F7FE" w14:textId="0E9BBDCF" w:rsidR="00DC70A8" w:rsidRDefault="00DC70A8" w:rsidP="00DC00A1">
      <w:pPr>
        <w:rPr>
          <w:lang w:val="en-AU"/>
        </w:rPr>
      </w:pPr>
      <w:r>
        <w:rPr>
          <w:lang w:val="en-AU"/>
        </w:rPr>
        <w:t>Average days lost due to student absence in government schools 2020</w:t>
      </w:r>
    </w:p>
    <w:tbl>
      <w:tblPr>
        <w:tblStyle w:val="TableGrid"/>
        <w:tblW w:w="0" w:type="auto"/>
        <w:tblLook w:val="04A0" w:firstRow="1" w:lastRow="0" w:firstColumn="1" w:lastColumn="0" w:noHBand="0" w:noVBand="1"/>
      </w:tblPr>
      <w:tblGrid>
        <w:gridCol w:w="992"/>
        <w:gridCol w:w="681"/>
        <w:gridCol w:w="671"/>
        <w:gridCol w:w="672"/>
        <w:gridCol w:w="672"/>
        <w:gridCol w:w="672"/>
        <w:gridCol w:w="672"/>
        <w:gridCol w:w="672"/>
        <w:gridCol w:w="672"/>
        <w:gridCol w:w="672"/>
        <w:gridCol w:w="672"/>
        <w:gridCol w:w="672"/>
        <w:gridCol w:w="615"/>
        <w:gridCol w:w="615"/>
      </w:tblGrid>
      <w:tr w:rsidR="00712DA3" w14:paraId="5286A311" w14:textId="0CF69F28" w:rsidTr="00712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bottom"/>
          </w:tcPr>
          <w:p w14:paraId="665CD7F4" w14:textId="77777777" w:rsidR="00712DA3" w:rsidRDefault="00712DA3" w:rsidP="00712DA3">
            <w:pPr>
              <w:rPr>
                <w:lang w:val="en-AU"/>
              </w:rPr>
            </w:pPr>
          </w:p>
        </w:tc>
        <w:tc>
          <w:tcPr>
            <w:tcW w:w="681" w:type="dxa"/>
            <w:vAlign w:val="bottom"/>
          </w:tcPr>
          <w:p w14:paraId="12D5A806" w14:textId="7669ABDE"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Prep</w:t>
            </w:r>
          </w:p>
        </w:tc>
        <w:tc>
          <w:tcPr>
            <w:tcW w:w="671" w:type="dxa"/>
            <w:vAlign w:val="bottom"/>
          </w:tcPr>
          <w:p w14:paraId="299BB5BD" w14:textId="4EF360C7"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1</w:t>
            </w:r>
          </w:p>
        </w:tc>
        <w:tc>
          <w:tcPr>
            <w:tcW w:w="672" w:type="dxa"/>
            <w:vAlign w:val="bottom"/>
          </w:tcPr>
          <w:p w14:paraId="5597D90B" w14:textId="69D49951"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 xml:space="preserve">Year 2 </w:t>
            </w:r>
          </w:p>
        </w:tc>
        <w:tc>
          <w:tcPr>
            <w:tcW w:w="672" w:type="dxa"/>
            <w:vAlign w:val="bottom"/>
          </w:tcPr>
          <w:p w14:paraId="3D6E5C7A" w14:textId="1C0AAF44"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3</w:t>
            </w:r>
          </w:p>
        </w:tc>
        <w:tc>
          <w:tcPr>
            <w:tcW w:w="672" w:type="dxa"/>
            <w:vAlign w:val="bottom"/>
          </w:tcPr>
          <w:p w14:paraId="4DDE9A39" w14:textId="60F27A53"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4</w:t>
            </w:r>
          </w:p>
        </w:tc>
        <w:tc>
          <w:tcPr>
            <w:tcW w:w="672" w:type="dxa"/>
            <w:vAlign w:val="bottom"/>
          </w:tcPr>
          <w:p w14:paraId="58FB2C78" w14:textId="514BABF3"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5</w:t>
            </w:r>
          </w:p>
        </w:tc>
        <w:tc>
          <w:tcPr>
            <w:tcW w:w="672" w:type="dxa"/>
            <w:vAlign w:val="bottom"/>
          </w:tcPr>
          <w:p w14:paraId="5D494384" w14:textId="5F107566"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6</w:t>
            </w:r>
          </w:p>
        </w:tc>
        <w:tc>
          <w:tcPr>
            <w:tcW w:w="672" w:type="dxa"/>
            <w:vAlign w:val="bottom"/>
          </w:tcPr>
          <w:p w14:paraId="6FCF57BE" w14:textId="1574A805"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7</w:t>
            </w:r>
          </w:p>
        </w:tc>
        <w:tc>
          <w:tcPr>
            <w:tcW w:w="672" w:type="dxa"/>
            <w:vAlign w:val="bottom"/>
          </w:tcPr>
          <w:p w14:paraId="6462FE42" w14:textId="375E72C0"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8</w:t>
            </w:r>
          </w:p>
        </w:tc>
        <w:tc>
          <w:tcPr>
            <w:tcW w:w="672" w:type="dxa"/>
            <w:vAlign w:val="bottom"/>
          </w:tcPr>
          <w:p w14:paraId="00660877" w14:textId="3D650CA9"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9</w:t>
            </w:r>
          </w:p>
        </w:tc>
        <w:tc>
          <w:tcPr>
            <w:tcW w:w="672" w:type="dxa"/>
            <w:vAlign w:val="bottom"/>
          </w:tcPr>
          <w:p w14:paraId="655F7B32" w14:textId="68A39239"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10</w:t>
            </w:r>
          </w:p>
        </w:tc>
        <w:tc>
          <w:tcPr>
            <w:tcW w:w="615" w:type="dxa"/>
            <w:vAlign w:val="bottom"/>
          </w:tcPr>
          <w:p w14:paraId="1B060F53" w14:textId="3474ACC9"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11</w:t>
            </w:r>
          </w:p>
        </w:tc>
        <w:tc>
          <w:tcPr>
            <w:tcW w:w="615" w:type="dxa"/>
            <w:vAlign w:val="bottom"/>
          </w:tcPr>
          <w:p w14:paraId="6C4483B1" w14:textId="7B1576A7" w:rsidR="00712DA3" w:rsidRDefault="00712DA3" w:rsidP="00712DA3">
            <w:pPr>
              <w:cnfStyle w:val="100000000000" w:firstRow="1"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Year 12</w:t>
            </w:r>
          </w:p>
        </w:tc>
      </w:tr>
      <w:tr w:rsidR="00712DA3" w14:paraId="18B1C6B9" w14:textId="1B7D060E" w:rsidTr="00712DA3">
        <w:tc>
          <w:tcPr>
            <w:cnfStyle w:val="001000000000" w:firstRow="0" w:lastRow="0" w:firstColumn="1" w:lastColumn="0" w:oddVBand="0" w:evenVBand="0" w:oddHBand="0" w:evenHBand="0" w:firstRowFirstColumn="0" w:firstRowLastColumn="0" w:lastRowFirstColumn="0" w:lastRowLastColumn="0"/>
            <w:tcW w:w="992" w:type="dxa"/>
            <w:vAlign w:val="bottom"/>
          </w:tcPr>
          <w:p w14:paraId="122A9AB2" w14:textId="662D84F3" w:rsidR="00712DA3" w:rsidRDefault="00712DA3" w:rsidP="00712DA3">
            <w:pPr>
              <w:rPr>
                <w:lang w:val="en-AU"/>
              </w:rPr>
            </w:pPr>
            <w:proofErr w:type="spellStart"/>
            <w:r w:rsidRPr="00DC70A8">
              <w:rPr>
                <w:rFonts w:ascii="Calibri" w:eastAsia="Times New Roman" w:hAnsi="Calibri" w:cs="Calibri"/>
                <w:color w:val="000000"/>
                <w:szCs w:val="22"/>
                <w:lang w:val="en-AU" w:eastAsia="en-AU"/>
              </w:rPr>
              <w:t>Koorie</w:t>
            </w:r>
            <w:proofErr w:type="spellEnd"/>
          </w:p>
        </w:tc>
        <w:tc>
          <w:tcPr>
            <w:tcW w:w="681" w:type="dxa"/>
            <w:vAlign w:val="bottom"/>
          </w:tcPr>
          <w:p w14:paraId="077D5823" w14:textId="7B523BDC"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26.2</w:t>
            </w:r>
          </w:p>
        </w:tc>
        <w:tc>
          <w:tcPr>
            <w:tcW w:w="671" w:type="dxa"/>
            <w:vAlign w:val="bottom"/>
          </w:tcPr>
          <w:p w14:paraId="6EAAF667" w14:textId="1CCF621B"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26.3</w:t>
            </w:r>
          </w:p>
        </w:tc>
        <w:tc>
          <w:tcPr>
            <w:tcW w:w="672" w:type="dxa"/>
            <w:vAlign w:val="bottom"/>
          </w:tcPr>
          <w:p w14:paraId="2FBBB665" w14:textId="5AF370F6"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26.2</w:t>
            </w:r>
          </w:p>
        </w:tc>
        <w:tc>
          <w:tcPr>
            <w:tcW w:w="672" w:type="dxa"/>
            <w:vAlign w:val="bottom"/>
          </w:tcPr>
          <w:p w14:paraId="4F510699" w14:textId="48416E53"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25.4</w:t>
            </w:r>
          </w:p>
        </w:tc>
        <w:tc>
          <w:tcPr>
            <w:tcW w:w="672" w:type="dxa"/>
            <w:vAlign w:val="bottom"/>
          </w:tcPr>
          <w:p w14:paraId="7277077A" w14:textId="113241A5"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26.5</w:t>
            </w:r>
          </w:p>
        </w:tc>
        <w:tc>
          <w:tcPr>
            <w:tcW w:w="672" w:type="dxa"/>
            <w:vAlign w:val="bottom"/>
          </w:tcPr>
          <w:p w14:paraId="2A9A75BF" w14:textId="500D0219"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27.2</w:t>
            </w:r>
          </w:p>
        </w:tc>
        <w:tc>
          <w:tcPr>
            <w:tcW w:w="672" w:type="dxa"/>
            <w:vAlign w:val="bottom"/>
          </w:tcPr>
          <w:p w14:paraId="2283376B" w14:textId="1E166AE7"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28.7</w:t>
            </w:r>
          </w:p>
        </w:tc>
        <w:tc>
          <w:tcPr>
            <w:tcW w:w="672" w:type="dxa"/>
            <w:vAlign w:val="bottom"/>
          </w:tcPr>
          <w:p w14:paraId="5B66C2BD" w14:textId="5D0FD005"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35.6</w:t>
            </w:r>
          </w:p>
        </w:tc>
        <w:tc>
          <w:tcPr>
            <w:tcW w:w="672" w:type="dxa"/>
            <w:vAlign w:val="bottom"/>
          </w:tcPr>
          <w:p w14:paraId="3E9659C0" w14:textId="42AC412F"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41.6</w:t>
            </w:r>
          </w:p>
        </w:tc>
        <w:tc>
          <w:tcPr>
            <w:tcW w:w="672" w:type="dxa"/>
            <w:vAlign w:val="bottom"/>
          </w:tcPr>
          <w:p w14:paraId="1049AA66" w14:textId="654D7B18"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40.6</w:t>
            </w:r>
          </w:p>
        </w:tc>
        <w:tc>
          <w:tcPr>
            <w:tcW w:w="672" w:type="dxa"/>
            <w:vAlign w:val="bottom"/>
          </w:tcPr>
          <w:p w14:paraId="751AC772" w14:textId="68782B72"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38.5</w:t>
            </w:r>
          </w:p>
        </w:tc>
        <w:tc>
          <w:tcPr>
            <w:tcW w:w="615" w:type="dxa"/>
            <w:vAlign w:val="bottom"/>
          </w:tcPr>
          <w:p w14:paraId="1F6249B1" w14:textId="0175EA7E"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32.7</w:t>
            </w:r>
          </w:p>
        </w:tc>
        <w:tc>
          <w:tcPr>
            <w:tcW w:w="615" w:type="dxa"/>
            <w:vAlign w:val="bottom"/>
          </w:tcPr>
          <w:p w14:paraId="265DF82A" w14:textId="23B1A723"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23</w:t>
            </w:r>
          </w:p>
        </w:tc>
      </w:tr>
      <w:tr w:rsidR="00712DA3" w14:paraId="6B470F72" w14:textId="7E063C1F" w:rsidTr="00712DA3">
        <w:tc>
          <w:tcPr>
            <w:cnfStyle w:val="001000000000" w:firstRow="0" w:lastRow="0" w:firstColumn="1" w:lastColumn="0" w:oddVBand="0" w:evenVBand="0" w:oddHBand="0" w:evenHBand="0" w:firstRowFirstColumn="0" w:firstRowLastColumn="0" w:lastRowFirstColumn="0" w:lastRowLastColumn="0"/>
            <w:tcW w:w="992" w:type="dxa"/>
            <w:vAlign w:val="bottom"/>
          </w:tcPr>
          <w:p w14:paraId="77215C41" w14:textId="6527AB8C" w:rsidR="00712DA3" w:rsidRDefault="00712DA3" w:rsidP="00712DA3">
            <w:pPr>
              <w:rPr>
                <w:lang w:val="en-AU"/>
              </w:rPr>
            </w:pPr>
            <w:r w:rsidRPr="00DC70A8">
              <w:rPr>
                <w:rFonts w:ascii="Calibri" w:eastAsia="Times New Roman" w:hAnsi="Calibri" w:cs="Calibri"/>
                <w:color w:val="000000"/>
                <w:szCs w:val="22"/>
                <w:lang w:val="en-AU" w:eastAsia="en-AU"/>
              </w:rPr>
              <w:t>All students</w:t>
            </w:r>
          </w:p>
        </w:tc>
        <w:tc>
          <w:tcPr>
            <w:tcW w:w="681" w:type="dxa"/>
            <w:vAlign w:val="bottom"/>
          </w:tcPr>
          <w:p w14:paraId="55DD1A87" w14:textId="3DED12B8"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13.9</w:t>
            </w:r>
          </w:p>
        </w:tc>
        <w:tc>
          <w:tcPr>
            <w:tcW w:w="671" w:type="dxa"/>
            <w:vAlign w:val="bottom"/>
          </w:tcPr>
          <w:p w14:paraId="1E4FA30F" w14:textId="4AF3F628"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14.6</w:t>
            </w:r>
          </w:p>
        </w:tc>
        <w:tc>
          <w:tcPr>
            <w:tcW w:w="672" w:type="dxa"/>
            <w:vAlign w:val="bottom"/>
          </w:tcPr>
          <w:p w14:paraId="702F2D25" w14:textId="0C374A28"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14.1</w:t>
            </w:r>
          </w:p>
        </w:tc>
        <w:tc>
          <w:tcPr>
            <w:tcW w:w="672" w:type="dxa"/>
            <w:vAlign w:val="bottom"/>
          </w:tcPr>
          <w:p w14:paraId="5CE3D535" w14:textId="40248A0B"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13.5</w:t>
            </w:r>
          </w:p>
        </w:tc>
        <w:tc>
          <w:tcPr>
            <w:tcW w:w="672" w:type="dxa"/>
            <w:vAlign w:val="bottom"/>
          </w:tcPr>
          <w:p w14:paraId="2B773A55" w14:textId="54D09399"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13.3</w:t>
            </w:r>
          </w:p>
        </w:tc>
        <w:tc>
          <w:tcPr>
            <w:tcW w:w="672" w:type="dxa"/>
            <w:vAlign w:val="bottom"/>
          </w:tcPr>
          <w:p w14:paraId="65B54C68" w14:textId="60BB38FC"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13.6</w:t>
            </w:r>
          </w:p>
        </w:tc>
        <w:tc>
          <w:tcPr>
            <w:tcW w:w="672" w:type="dxa"/>
            <w:vAlign w:val="bottom"/>
          </w:tcPr>
          <w:p w14:paraId="3A755E9C" w14:textId="098604AD"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13.8</w:t>
            </w:r>
          </w:p>
        </w:tc>
        <w:tc>
          <w:tcPr>
            <w:tcW w:w="672" w:type="dxa"/>
            <w:vAlign w:val="bottom"/>
          </w:tcPr>
          <w:p w14:paraId="18058DD2" w14:textId="756E0E40"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16.4</w:t>
            </w:r>
          </w:p>
        </w:tc>
        <w:tc>
          <w:tcPr>
            <w:tcW w:w="672" w:type="dxa"/>
            <w:vAlign w:val="bottom"/>
          </w:tcPr>
          <w:p w14:paraId="2FE82A30" w14:textId="1A25B04D"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19.7</w:t>
            </w:r>
          </w:p>
        </w:tc>
        <w:tc>
          <w:tcPr>
            <w:tcW w:w="672" w:type="dxa"/>
            <w:vAlign w:val="bottom"/>
          </w:tcPr>
          <w:p w14:paraId="281E7AF2" w14:textId="32E947F9"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20.8</w:t>
            </w:r>
          </w:p>
        </w:tc>
        <w:tc>
          <w:tcPr>
            <w:tcW w:w="672" w:type="dxa"/>
            <w:vAlign w:val="bottom"/>
          </w:tcPr>
          <w:p w14:paraId="345F5E98" w14:textId="3A7AF8AB"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18.6</w:t>
            </w:r>
          </w:p>
        </w:tc>
        <w:tc>
          <w:tcPr>
            <w:tcW w:w="615" w:type="dxa"/>
            <w:vAlign w:val="bottom"/>
          </w:tcPr>
          <w:p w14:paraId="49BCCE67" w14:textId="7165A881"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16.3</w:t>
            </w:r>
          </w:p>
        </w:tc>
        <w:tc>
          <w:tcPr>
            <w:tcW w:w="615" w:type="dxa"/>
            <w:vAlign w:val="bottom"/>
          </w:tcPr>
          <w:p w14:paraId="503D5B6F" w14:textId="63FE4A72" w:rsidR="00712DA3" w:rsidRDefault="00712DA3" w:rsidP="00712DA3">
            <w:pPr>
              <w:cnfStyle w:val="000000000000" w:firstRow="0" w:lastRow="0" w:firstColumn="0" w:lastColumn="0" w:oddVBand="0" w:evenVBand="0" w:oddHBand="0" w:evenHBand="0" w:firstRowFirstColumn="0" w:firstRowLastColumn="0" w:lastRowFirstColumn="0" w:lastRowLastColumn="0"/>
              <w:rPr>
                <w:lang w:val="en-AU"/>
              </w:rPr>
            </w:pPr>
            <w:r w:rsidRPr="00DC70A8">
              <w:rPr>
                <w:rFonts w:ascii="Calibri" w:eastAsia="Times New Roman" w:hAnsi="Calibri" w:cs="Calibri"/>
                <w:color w:val="000000"/>
                <w:szCs w:val="22"/>
                <w:lang w:val="en-AU" w:eastAsia="en-AU"/>
              </w:rPr>
              <w:t>12.6</w:t>
            </w:r>
          </w:p>
        </w:tc>
      </w:tr>
    </w:tbl>
    <w:p w14:paraId="15E9CD53" w14:textId="77777777" w:rsidR="00712DA3" w:rsidRDefault="00712DA3" w:rsidP="00DC00A1">
      <w:pPr>
        <w:rPr>
          <w:lang w:val="en-AU"/>
        </w:rPr>
      </w:pPr>
    </w:p>
    <w:p w14:paraId="59DBC233" w14:textId="45BF85AC" w:rsidR="00DC00A1" w:rsidRDefault="00DC00A1" w:rsidP="00DC00A1">
      <w:pPr>
        <w:rPr>
          <w:lang w:val="en-AU"/>
        </w:rPr>
      </w:pPr>
      <w:r w:rsidRPr="00DC00A1">
        <w:rPr>
          <w:lang w:val="en-AU"/>
        </w:rPr>
        <w:t xml:space="preserve">There are both measurable and immeasurable factors that contribute to the achievement gap between Koorie and non-Koorie learners. Around 69% of this gap can be accounted for by differences in measurable student, school and home factors. The other 31% of the achievement gap (by Year 3) is due to factors that are hard to measure – such as differences in teacher and teaching quality, school-readiness and early development outcomes, student engagement and parental engagement. This 31% of the achievement gap is potentially unique to, or more keenly felt by, Koorie students. </w:t>
      </w:r>
    </w:p>
    <w:p w14:paraId="03831399" w14:textId="77777777" w:rsidR="00544AB4" w:rsidRPr="00DC00A1" w:rsidRDefault="00544AB4" w:rsidP="00DC00A1">
      <w:pPr>
        <w:rPr>
          <w:lang w:val="en-AU"/>
        </w:rPr>
      </w:pPr>
    </w:p>
    <w:p w14:paraId="71C8800C" w14:textId="56938FA0" w:rsidR="003C6A98" w:rsidRDefault="00DC00A1" w:rsidP="00DC00A1">
      <w:r w:rsidRPr="005C79D1">
        <w:lastRenderedPageBreak/>
        <w:t xml:space="preserve">The single most important </w:t>
      </w:r>
      <w:r>
        <w:t>measurable</w:t>
      </w:r>
      <w:r w:rsidRPr="005C79D1">
        <w:t xml:space="preserve"> factor explaining the student achievement gap between Koorie and non-Koorie learners can be attributed to differences in school attendance rates. Research</w:t>
      </w:r>
      <w:r w:rsidRPr="005C79D1">
        <w:rPr>
          <w:vertAlign w:val="superscript"/>
        </w:rPr>
        <w:footnoteReference w:id="1"/>
      </w:r>
      <w:r w:rsidRPr="005C79D1">
        <w:t xml:space="preserve"> suggests that if Koorie students attended at similar rates </w:t>
      </w:r>
      <w:r>
        <w:t>to</w:t>
      </w:r>
      <w:r w:rsidRPr="005C79D1">
        <w:t xml:space="preserve"> non-</w:t>
      </w:r>
      <w:r>
        <w:t xml:space="preserve">Koorie </w:t>
      </w:r>
      <w:r w:rsidRPr="005C79D1">
        <w:t>students, th</w:t>
      </w:r>
      <w:r>
        <w:t>e</w:t>
      </w:r>
      <w:r w:rsidRPr="005C79D1">
        <w:t xml:space="preserve"> achievement gap </w:t>
      </w:r>
      <w:r>
        <w:t xml:space="preserve">would be reduced </w:t>
      </w:r>
      <w:r w:rsidRPr="005C79D1">
        <w:t>by around 9 NAPLAN points — or around 15</w:t>
      </w:r>
      <w:r>
        <w:t xml:space="preserve">% </w:t>
      </w:r>
      <w:r w:rsidRPr="005C79D1">
        <w:t>alone.</w:t>
      </w:r>
      <w:r w:rsidRPr="005C79D1">
        <w:rPr>
          <w:vertAlign w:val="superscript"/>
        </w:rPr>
        <w:footnoteReference w:id="2"/>
      </w:r>
    </w:p>
    <w:p w14:paraId="75F9CC0E" w14:textId="77777777" w:rsidR="00544AB4" w:rsidRPr="005C79D1" w:rsidRDefault="00544AB4" w:rsidP="00DC00A1"/>
    <w:p w14:paraId="2776C8AA" w14:textId="67FBDA2C" w:rsidR="00DC00A1" w:rsidRDefault="00DC00A1" w:rsidP="00DC00A1">
      <w:r>
        <w:t>Nationally, approximately o</w:t>
      </w:r>
      <w:r w:rsidRPr="005C79D1">
        <w:t>nly 46</w:t>
      </w:r>
      <w:r>
        <w:t>%</w:t>
      </w:r>
      <w:r w:rsidRPr="005C79D1">
        <w:t xml:space="preserve"> of Indigenous students (Years 1- 10) attend 9 out of 10 school days — the threshold at which students’ learning is adversely impacted by non-attendance. That means that 54</w:t>
      </w:r>
      <w:r>
        <w:t>%</w:t>
      </w:r>
      <w:r w:rsidRPr="005C79D1">
        <w:t xml:space="preserve"> of Indigenous students’ learning is impacted adversely by the amount of school that they miss.</w:t>
      </w:r>
      <w:r w:rsidRPr="005C79D1">
        <w:rPr>
          <w:vertAlign w:val="superscript"/>
        </w:rPr>
        <w:footnoteReference w:id="3"/>
      </w:r>
      <w:r w:rsidRPr="005C79D1">
        <w:t xml:space="preserve"> Such regular attendance gaps begin to emerge from as early as 6 and 7 years of age and are often persistent setting a pattern observed into later schooling years.</w:t>
      </w:r>
      <w:r w:rsidRPr="005C79D1">
        <w:rPr>
          <w:vertAlign w:val="superscript"/>
        </w:rPr>
        <w:footnoteReference w:id="4"/>
      </w:r>
      <w:r>
        <w:t xml:space="preserve"> </w:t>
      </w:r>
    </w:p>
    <w:p w14:paraId="43EDBF66" w14:textId="77777777" w:rsidR="00544AB4" w:rsidRPr="005C79D1" w:rsidRDefault="00544AB4" w:rsidP="00DC00A1"/>
    <w:p w14:paraId="0AF174ED" w14:textId="12D477BC" w:rsidR="00DC00A1" w:rsidRDefault="00DC00A1" w:rsidP="00DC00A1">
      <w:r w:rsidRPr="005C79D1">
        <w:t>The vast majority of explainable differences between Indigenous students and their non-Indigenous peers results from differences in their parents’ educational attainment, in schooling years and beyond.</w:t>
      </w:r>
      <w:r w:rsidRPr="005C79D1">
        <w:rPr>
          <w:vertAlign w:val="superscript"/>
        </w:rPr>
        <w:footnoteReference w:id="5"/>
      </w:r>
      <w:r w:rsidRPr="005C79D1">
        <w:t xml:space="preserve"> This means that not only are Koorie students adversely impacted by the ongoing effects of colonisation on the school system they are learning in today, but their education is also adversely impacted by the negative experiences that their parents have had in the past. This </w:t>
      </w:r>
      <w:r>
        <w:t>indicates</w:t>
      </w:r>
      <w:r w:rsidRPr="005C79D1">
        <w:t xml:space="preserve"> that, to address the achievement gaps for school aged children over the long-term, efforts must be amplified to increase adult and further education opportunities</w:t>
      </w:r>
      <w:r>
        <w:t>, experiences and outcomes</w:t>
      </w:r>
      <w:r w:rsidRPr="005C79D1">
        <w:t xml:space="preserve"> for Koorie people.</w:t>
      </w:r>
    </w:p>
    <w:p w14:paraId="53EC52E8" w14:textId="237930E5" w:rsidR="00DC00A1" w:rsidRPr="005C79D1" w:rsidRDefault="00DC00A1" w:rsidP="00DC00A1">
      <w:r w:rsidRPr="005C79D1">
        <w:t>We know there are many factors that contribute to school attendance or absenteeism, includ</w:t>
      </w:r>
      <w:r>
        <w:t>ing</w:t>
      </w:r>
      <w:r w:rsidRPr="005C79D1">
        <w:t xml:space="preserve"> both ‘push factors’ (such as limited teaching quality, racism, bullying and teasing, lack of cultural inclusivity and safety, </w:t>
      </w:r>
      <w:r>
        <w:t xml:space="preserve">and </w:t>
      </w:r>
      <w:r w:rsidRPr="005C79D1">
        <w:t xml:space="preserve">lack of, or low-quality, teaching of Aboriginal perspectives in the curriculum) and ‘pull factors’ (such as high mobility, lack of parental insistence that children go to school, family pressures and carer responsibilities, sickness, and Sorry Business and cultural obligations surrounding deaths). Koorie students are more likely to be experiencing both the push and pull factors affecting their attendance than their non-Koorie classmates. </w:t>
      </w:r>
    </w:p>
    <w:p w14:paraId="2C356E31" w14:textId="1159C6A8" w:rsidR="00DC00A1" w:rsidRDefault="00DC00A1" w:rsidP="00DC00A1"/>
    <w:p w14:paraId="33E679ED" w14:textId="6051101F" w:rsidR="00DC70A8" w:rsidRDefault="00DC70A8" w:rsidP="00DC00A1">
      <w:proofErr w:type="spellStart"/>
      <w:r>
        <w:t>Koorie</w:t>
      </w:r>
      <w:proofErr w:type="spellEnd"/>
      <w:r>
        <w:t xml:space="preserve"> students positive responses to sense of connectedness (</w:t>
      </w:r>
      <w:r w:rsidR="00DC757E">
        <w:t>Students Attitude to School Survey</w:t>
      </w:r>
      <w:r>
        <w:t>)</w:t>
      </w:r>
    </w:p>
    <w:tbl>
      <w:tblPr>
        <w:tblStyle w:val="TableGrid"/>
        <w:tblW w:w="0" w:type="auto"/>
        <w:tblLook w:val="04A0" w:firstRow="1" w:lastRow="0" w:firstColumn="1" w:lastColumn="0" w:noHBand="0" w:noVBand="1"/>
      </w:tblPr>
      <w:tblGrid>
        <w:gridCol w:w="1924"/>
        <w:gridCol w:w="1924"/>
        <w:gridCol w:w="1924"/>
        <w:gridCol w:w="1925"/>
        <w:gridCol w:w="1925"/>
      </w:tblGrid>
      <w:tr w:rsidR="00712DA3" w14:paraId="58E88EAF" w14:textId="77777777" w:rsidTr="00695E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vAlign w:val="bottom"/>
          </w:tcPr>
          <w:p w14:paraId="52D22988" w14:textId="77777777" w:rsidR="00712DA3" w:rsidRDefault="00712DA3" w:rsidP="00712DA3"/>
        </w:tc>
        <w:tc>
          <w:tcPr>
            <w:tcW w:w="1924" w:type="dxa"/>
            <w:vAlign w:val="bottom"/>
          </w:tcPr>
          <w:p w14:paraId="63903885" w14:textId="15A0FCC8"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2017</w:t>
            </w:r>
          </w:p>
        </w:tc>
        <w:tc>
          <w:tcPr>
            <w:tcW w:w="1924" w:type="dxa"/>
            <w:vAlign w:val="bottom"/>
          </w:tcPr>
          <w:p w14:paraId="2ED538A9" w14:textId="5C0E4252"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2018</w:t>
            </w:r>
          </w:p>
        </w:tc>
        <w:tc>
          <w:tcPr>
            <w:tcW w:w="1925" w:type="dxa"/>
            <w:vAlign w:val="bottom"/>
          </w:tcPr>
          <w:p w14:paraId="44EB65EA" w14:textId="2A133070"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2019</w:t>
            </w:r>
          </w:p>
        </w:tc>
        <w:tc>
          <w:tcPr>
            <w:tcW w:w="1925" w:type="dxa"/>
            <w:vAlign w:val="bottom"/>
          </w:tcPr>
          <w:p w14:paraId="15B19688" w14:textId="3D35FAB3"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2020</w:t>
            </w:r>
          </w:p>
        </w:tc>
      </w:tr>
      <w:tr w:rsidR="00712DA3" w14:paraId="500D47DE" w14:textId="77777777" w:rsidTr="00695E01">
        <w:tc>
          <w:tcPr>
            <w:cnfStyle w:val="001000000000" w:firstRow="0" w:lastRow="0" w:firstColumn="1" w:lastColumn="0" w:oddVBand="0" w:evenVBand="0" w:oddHBand="0" w:evenHBand="0" w:firstRowFirstColumn="0" w:firstRowLastColumn="0" w:lastRowFirstColumn="0" w:lastRowLastColumn="0"/>
            <w:tcW w:w="1924" w:type="dxa"/>
            <w:vAlign w:val="bottom"/>
          </w:tcPr>
          <w:p w14:paraId="6CB6C103" w14:textId="5ADF7FD7" w:rsidR="00712DA3" w:rsidRDefault="00712DA3" w:rsidP="00712DA3">
            <w:r w:rsidRPr="00DC70A8">
              <w:rPr>
                <w:rFonts w:ascii="Calibri" w:eastAsia="Times New Roman" w:hAnsi="Calibri" w:cs="Calibri"/>
                <w:color w:val="000000"/>
                <w:szCs w:val="22"/>
                <w:lang w:val="en-AU" w:eastAsia="en-AU"/>
              </w:rPr>
              <w:t>Year 4 to 6</w:t>
            </w:r>
          </w:p>
        </w:tc>
        <w:tc>
          <w:tcPr>
            <w:tcW w:w="1924" w:type="dxa"/>
            <w:vAlign w:val="bottom"/>
          </w:tcPr>
          <w:p w14:paraId="3A179071" w14:textId="4B383AA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80.4</w:t>
            </w:r>
          </w:p>
        </w:tc>
        <w:tc>
          <w:tcPr>
            <w:tcW w:w="1924" w:type="dxa"/>
            <w:vAlign w:val="bottom"/>
          </w:tcPr>
          <w:p w14:paraId="350D1EBC" w14:textId="472E6FC2"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79.3</w:t>
            </w:r>
          </w:p>
        </w:tc>
        <w:tc>
          <w:tcPr>
            <w:tcW w:w="1925" w:type="dxa"/>
            <w:vAlign w:val="bottom"/>
          </w:tcPr>
          <w:p w14:paraId="5360EA69" w14:textId="5B823892"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77.9</w:t>
            </w:r>
          </w:p>
        </w:tc>
        <w:tc>
          <w:tcPr>
            <w:tcW w:w="1925" w:type="dxa"/>
            <w:vAlign w:val="bottom"/>
          </w:tcPr>
          <w:p w14:paraId="480DAF5C" w14:textId="2DC123BD"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75.1</w:t>
            </w:r>
          </w:p>
        </w:tc>
      </w:tr>
      <w:tr w:rsidR="00712DA3" w14:paraId="385592FA" w14:textId="77777777" w:rsidTr="00695E01">
        <w:tc>
          <w:tcPr>
            <w:cnfStyle w:val="001000000000" w:firstRow="0" w:lastRow="0" w:firstColumn="1" w:lastColumn="0" w:oddVBand="0" w:evenVBand="0" w:oddHBand="0" w:evenHBand="0" w:firstRowFirstColumn="0" w:firstRowLastColumn="0" w:lastRowFirstColumn="0" w:lastRowLastColumn="0"/>
            <w:tcW w:w="1924" w:type="dxa"/>
            <w:vAlign w:val="bottom"/>
          </w:tcPr>
          <w:p w14:paraId="288AFB9F" w14:textId="6584D64F" w:rsidR="00712DA3" w:rsidRDefault="00712DA3" w:rsidP="00712DA3">
            <w:r w:rsidRPr="00DC70A8">
              <w:rPr>
                <w:rFonts w:ascii="Calibri" w:eastAsia="Times New Roman" w:hAnsi="Calibri" w:cs="Calibri"/>
                <w:color w:val="000000"/>
                <w:szCs w:val="22"/>
                <w:lang w:val="en-AU" w:eastAsia="en-AU"/>
              </w:rPr>
              <w:t>Year 7 to 9</w:t>
            </w:r>
          </w:p>
        </w:tc>
        <w:tc>
          <w:tcPr>
            <w:tcW w:w="1924" w:type="dxa"/>
            <w:vAlign w:val="bottom"/>
          </w:tcPr>
          <w:p w14:paraId="76E3D2C8" w14:textId="341E8DE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48.1</w:t>
            </w:r>
          </w:p>
        </w:tc>
        <w:tc>
          <w:tcPr>
            <w:tcW w:w="1924" w:type="dxa"/>
            <w:vAlign w:val="bottom"/>
          </w:tcPr>
          <w:p w14:paraId="1D1A4290" w14:textId="1337DF9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52.8</w:t>
            </w:r>
          </w:p>
        </w:tc>
        <w:tc>
          <w:tcPr>
            <w:tcW w:w="1925" w:type="dxa"/>
            <w:vAlign w:val="bottom"/>
          </w:tcPr>
          <w:p w14:paraId="13784430" w14:textId="618A8969"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51.8</w:t>
            </w:r>
          </w:p>
        </w:tc>
        <w:tc>
          <w:tcPr>
            <w:tcW w:w="1925" w:type="dxa"/>
            <w:vAlign w:val="bottom"/>
          </w:tcPr>
          <w:p w14:paraId="07DCAFEC" w14:textId="1AC67942"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52</w:t>
            </w:r>
          </w:p>
        </w:tc>
      </w:tr>
      <w:tr w:rsidR="00712DA3" w14:paraId="05054DFF" w14:textId="77777777" w:rsidTr="00695E01">
        <w:tc>
          <w:tcPr>
            <w:cnfStyle w:val="001000000000" w:firstRow="0" w:lastRow="0" w:firstColumn="1" w:lastColumn="0" w:oddVBand="0" w:evenVBand="0" w:oddHBand="0" w:evenHBand="0" w:firstRowFirstColumn="0" w:firstRowLastColumn="0" w:lastRowFirstColumn="0" w:lastRowLastColumn="0"/>
            <w:tcW w:w="1924" w:type="dxa"/>
            <w:vAlign w:val="bottom"/>
          </w:tcPr>
          <w:p w14:paraId="45F45B09" w14:textId="4B2692F9" w:rsidR="00712DA3" w:rsidRDefault="00712DA3" w:rsidP="00712DA3">
            <w:r w:rsidRPr="00DC70A8">
              <w:rPr>
                <w:rFonts w:ascii="Calibri" w:eastAsia="Times New Roman" w:hAnsi="Calibri" w:cs="Calibri"/>
                <w:color w:val="000000"/>
                <w:szCs w:val="22"/>
                <w:lang w:val="en-AU" w:eastAsia="en-AU"/>
              </w:rPr>
              <w:t>Year 10 to 12</w:t>
            </w:r>
          </w:p>
        </w:tc>
        <w:tc>
          <w:tcPr>
            <w:tcW w:w="1924" w:type="dxa"/>
            <w:vAlign w:val="bottom"/>
          </w:tcPr>
          <w:p w14:paraId="4A55366B" w14:textId="21E12490"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44.4</w:t>
            </w:r>
          </w:p>
        </w:tc>
        <w:tc>
          <w:tcPr>
            <w:tcW w:w="1924" w:type="dxa"/>
            <w:vAlign w:val="bottom"/>
          </w:tcPr>
          <w:p w14:paraId="42159205" w14:textId="55447470"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47.1</w:t>
            </w:r>
          </w:p>
        </w:tc>
        <w:tc>
          <w:tcPr>
            <w:tcW w:w="1925" w:type="dxa"/>
            <w:vAlign w:val="bottom"/>
          </w:tcPr>
          <w:p w14:paraId="508F99EA" w14:textId="3E33DB82"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47.6</w:t>
            </w:r>
          </w:p>
        </w:tc>
        <w:tc>
          <w:tcPr>
            <w:tcW w:w="1925" w:type="dxa"/>
            <w:vAlign w:val="bottom"/>
          </w:tcPr>
          <w:p w14:paraId="30108684" w14:textId="6678D680"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0A8">
              <w:rPr>
                <w:rFonts w:ascii="Calibri" w:eastAsia="Times New Roman" w:hAnsi="Calibri" w:cs="Calibri"/>
                <w:color w:val="000000"/>
                <w:szCs w:val="22"/>
                <w:lang w:val="en-AU" w:eastAsia="en-AU"/>
              </w:rPr>
              <w:t>51</w:t>
            </w:r>
          </w:p>
        </w:tc>
      </w:tr>
    </w:tbl>
    <w:p w14:paraId="235B7913" w14:textId="77777777" w:rsidR="00712DA3" w:rsidRDefault="00712DA3" w:rsidP="00DC00A1"/>
    <w:p w14:paraId="5F5D6505" w14:textId="77777777" w:rsidR="00712DA3" w:rsidRDefault="00712DA3" w:rsidP="00DC00A1"/>
    <w:p w14:paraId="025DBD8C" w14:textId="7FECFE9B" w:rsidR="00DC70A8" w:rsidRDefault="00DC70A8" w:rsidP="00DC00A1">
      <w:r>
        <w:t xml:space="preserve">Proportion of </w:t>
      </w:r>
      <w:proofErr w:type="spellStart"/>
      <w:r>
        <w:t>Koorie</w:t>
      </w:r>
      <w:proofErr w:type="spellEnd"/>
      <w:r>
        <w:t xml:space="preserve"> </w:t>
      </w:r>
      <w:r w:rsidR="00DC757E">
        <w:t>Students</w:t>
      </w:r>
      <w:r>
        <w:t xml:space="preserve"> who experience bullying behaviour at School (</w:t>
      </w:r>
      <w:r w:rsidR="00DC757E">
        <w:t>Students Attitude to School Survey</w:t>
      </w:r>
      <w:r>
        <w:t>)</w:t>
      </w:r>
    </w:p>
    <w:tbl>
      <w:tblPr>
        <w:tblStyle w:val="TableGrid"/>
        <w:tblW w:w="0" w:type="auto"/>
        <w:tblLook w:val="04A0" w:firstRow="1" w:lastRow="0" w:firstColumn="1" w:lastColumn="0" w:noHBand="0" w:noVBand="1"/>
      </w:tblPr>
      <w:tblGrid>
        <w:gridCol w:w="1924"/>
        <w:gridCol w:w="1924"/>
        <w:gridCol w:w="1924"/>
        <w:gridCol w:w="1925"/>
        <w:gridCol w:w="1925"/>
      </w:tblGrid>
      <w:tr w:rsidR="00712DA3" w14:paraId="030410D9" w14:textId="77777777" w:rsidTr="0098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vAlign w:val="bottom"/>
          </w:tcPr>
          <w:p w14:paraId="06D21388" w14:textId="77777777" w:rsidR="00712DA3" w:rsidRDefault="00712DA3" w:rsidP="00712DA3"/>
        </w:tc>
        <w:tc>
          <w:tcPr>
            <w:tcW w:w="1924" w:type="dxa"/>
            <w:vAlign w:val="bottom"/>
          </w:tcPr>
          <w:p w14:paraId="4443F24B" w14:textId="2E1E21A5"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2017</w:t>
            </w:r>
          </w:p>
        </w:tc>
        <w:tc>
          <w:tcPr>
            <w:tcW w:w="1924" w:type="dxa"/>
            <w:vAlign w:val="bottom"/>
          </w:tcPr>
          <w:p w14:paraId="7DB2EF53" w14:textId="54FD90DB"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2018</w:t>
            </w:r>
          </w:p>
        </w:tc>
        <w:tc>
          <w:tcPr>
            <w:tcW w:w="1925" w:type="dxa"/>
            <w:vAlign w:val="bottom"/>
          </w:tcPr>
          <w:p w14:paraId="54943950" w14:textId="1EAAFA33"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2019</w:t>
            </w:r>
          </w:p>
        </w:tc>
        <w:tc>
          <w:tcPr>
            <w:tcW w:w="1925" w:type="dxa"/>
            <w:vAlign w:val="bottom"/>
          </w:tcPr>
          <w:p w14:paraId="55679D22" w14:textId="204D4BCC"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2020</w:t>
            </w:r>
          </w:p>
        </w:tc>
      </w:tr>
      <w:tr w:rsidR="00712DA3" w14:paraId="286DB708" w14:textId="77777777" w:rsidTr="00982C99">
        <w:tc>
          <w:tcPr>
            <w:cnfStyle w:val="001000000000" w:firstRow="0" w:lastRow="0" w:firstColumn="1" w:lastColumn="0" w:oddVBand="0" w:evenVBand="0" w:oddHBand="0" w:evenHBand="0" w:firstRowFirstColumn="0" w:firstRowLastColumn="0" w:lastRowFirstColumn="0" w:lastRowLastColumn="0"/>
            <w:tcW w:w="1924" w:type="dxa"/>
            <w:vAlign w:val="bottom"/>
          </w:tcPr>
          <w:p w14:paraId="4E071319" w14:textId="50619FB5" w:rsidR="00712DA3" w:rsidRDefault="00712DA3" w:rsidP="00712DA3">
            <w:r w:rsidRPr="00DC757E">
              <w:rPr>
                <w:rFonts w:ascii="Calibri" w:eastAsia="Times New Roman" w:hAnsi="Calibri" w:cs="Calibri"/>
                <w:color w:val="000000"/>
                <w:szCs w:val="22"/>
                <w:lang w:val="en-AU" w:eastAsia="en-AU"/>
              </w:rPr>
              <w:t>Year 4 to 6</w:t>
            </w:r>
          </w:p>
        </w:tc>
        <w:tc>
          <w:tcPr>
            <w:tcW w:w="1924" w:type="dxa"/>
            <w:vAlign w:val="bottom"/>
          </w:tcPr>
          <w:p w14:paraId="00747DC1" w14:textId="4C38D159"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25.6</w:t>
            </w:r>
          </w:p>
        </w:tc>
        <w:tc>
          <w:tcPr>
            <w:tcW w:w="1924" w:type="dxa"/>
            <w:vAlign w:val="bottom"/>
          </w:tcPr>
          <w:p w14:paraId="10090D2A" w14:textId="3AC42111"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23.7</w:t>
            </w:r>
          </w:p>
        </w:tc>
        <w:tc>
          <w:tcPr>
            <w:tcW w:w="1925" w:type="dxa"/>
            <w:vAlign w:val="bottom"/>
          </w:tcPr>
          <w:p w14:paraId="464AB2A4" w14:textId="11356BE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21.9</w:t>
            </w:r>
          </w:p>
        </w:tc>
        <w:tc>
          <w:tcPr>
            <w:tcW w:w="1925" w:type="dxa"/>
            <w:vAlign w:val="bottom"/>
          </w:tcPr>
          <w:p w14:paraId="3AB40D44" w14:textId="497A72BC"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22</w:t>
            </w:r>
          </w:p>
        </w:tc>
      </w:tr>
      <w:tr w:rsidR="00712DA3" w14:paraId="5E19B706" w14:textId="77777777" w:rsidTr="00982C99">
        <w:tc>
          <w:tcPr>
            <w:cnfStyle w:val="001000000000" w:firstRow="0" w:lastRow="0" w:firstColumn="1" w:lastColumn="0" w:oddVBand="0" w:evenVBand="0" w:oddHBand="0" w:evenHBand="0" w:firstRowFirstColumn="0" w:firstRowLastColumn="0" w:lastRowFirstColumn="0" w:lastRowLastColumn="0"/>
            <w:tcW w:w="1924" w:type="dxa"/>
            <w:vAlign w:val="bottom"/>
          </w:tcPr>
          <w:p w14:paraId="141372C5" w14:textId="79907800" w:rsidR="00712DA3" w:rsidRDefault="00712DA3" w:rsidP="00712DA3">
            <w:r w:rsidRPr="00DC757E">
              <w:rPr>
                <w:rFonts w:ascii="Calibri" w:eastAsia="Times New Roman" w:hAnsi="Calibri" w:cs="Calibri"/>
                <w:color w:val="000000"/>
                <w:szCs w:val="22"/>
                <w:lang w:val="en-AU" w:eastAsia="en-AU"/>
              </w:rPr>
              <w:t>Year 7 to 9</w:t>
            </w:r>
          </w:p>
        </w:tc>
        <w:tc>
          <w:tcPr>
            <w:tcW w:w="1924" w:type="dxa"/>
            <w:vAlign w:val="bottom"/>
          </w:tcPr>
          <w:p w14:paraId="4926A045" w14:textId="365892C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28.4</w:t>
            </w:r>
          </w:p>
        </w:tc>
        <w:tc>
          <w:tcPr>
            <w:tcW w:w="1924" w:type="dxa"/>
            <w:vAlign w:val="bottom"/>
          </w:tcPr>
          <w:p w14:paraId="69DF5373" w14:textId="7F04DDF2"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25.9</w:t>
            </w:r>
          </w:p>
        </w:tc>
        <w:tc>
          <w:tcPr>
            <w:tcW w:w="1925" w:type="dxa"/>
            <w:vAlign w:val="bottom"/>
          </w:tcPr>
          <w:p w14:paraId="3791618F" w14:textId="78C38971"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24.6</w:t>
            </w:r>
          </w:p>
        </w:tc>
        <w:tc>
          <w:tcPr>
            <w:tcW w:w="1925" w:type="dxa"/>
            <w:vAlign w:val="bottom"/>
          </w:tcPr>
          <w:p w14:paraId="5F586B50" w14:textId="007CB010"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17.3</w:t>
            </w:r>
          </w:p>
        </w:tc>
      </w:tr>
      <w:tr w:rsidR="00712DA3" w14:paraId="0B5BBE20" w14:textId="77777777" w:rsidTr="00982C99">
        <w:tc>
          <w:tcPr>
            <w:cnfStyle w:val="001000000000" w:firstRow="0" w:lastRow="0" w:firstColumn="1" w:lastColumn="0" w:oddVBand="0" w:evenVBand="0" w:oddHBand="0" w:evenHBand="0" w:firstRowFirstColumn="0" w:firstRowLastColumn="0" w:lastRowFirstColumn="0" w:lastRowLastColumn="0"/>
            <w:tcW w:w="1924" w:type="dxa"/>
            <w:vAlign w:val="bottom"/>
          </w:tcPr>
          <w:p w14:paraId="1B8F4EA7" w14:textId="4A7AFA9A" w:rsidR="00712DA3" w:rsidRDefault="00712DA3" w:rsidP="00712DA3">
            <w:r w:rsidRPr="00DC757E">
              <w:rPr>
                <w:rFonts w:ascii="Calibri" w:eastAsia="Times New Roman" w:hAnsi="Calibri" w:cs="Calibri"/>
                <w:color w:val="000000"/>
                <w:szCs w:val="22"/>
                <w:lang w:val="en-AU" w:eastAsia="en-AU"/>
              </w:rPr>
              <w:t>Year 10 to 12</w:t>
            </w:r>
          </w:p>
        </w:tc>
        <w:tc>
          <w:tcPr>
            <w:tcW w:w="1924" w:type="dxa"/>
            <w:vAlign w:val="bottom"/>
          </w:tcPr>
          <w:p w14:paraId="63C91E9A" w14:textId="6AECC6E7"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22.3</w:t>
            </w:r>
          </w:p>
        </w:tc>
        <w:tc>
          <w:tcPr>
            <w:tcW w:w="1924" w:type="dxa"/>
            <w:vAlign w:val="bottom"/>
          </w:tcPr>
          <w:p w14:paraId="35A7F428" w14:textId="189772D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16.8</w:t>
            </w:r>
          </w:p>
        </w:tc>
        <w:tc>
          <w:tcPr>
            <w:tcW w:w="1925" w:type="dxa"/>
            <w:vAlign w:val="bottom"/>
          </w:tcPr>
          <w:p w14:paraId="074E5FD4" w14:textId="051E9EAC"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18.8</w:t>
            </w:r>
          </w:p>
        </w:tc>
        <w:tc>
          <w:tcPr>
            <w:tcW w:w="1925" w:type="dxa"/>
            <w:vAlign w:val="bottom"/>
          </w:tcPr>
          <w:p w14:paraId="64BEEB74" w14:textId="02B9CECE"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DC757E">
              <w:rPr>
                <w:rFonts w:ascii="Calibri" w:eastAsia="Times New Roman" w:hAnsi="Calibri" w:cs="Calibri"/>
                <w:color w:val="000000"/>
                <w:szCs w:val="22"/>
                <w:lang w:val="en-AU" w:eastAsia="en-AU"/>
              </w:rPr>
              <w:t>14.4</w:t>
            </w:r>
          </w:p>
        </w:tc>
      </w:tr>
    </w:tbl>
    <w:p w14:paraId="11E95ABF" w14:textId="77777777" w:rsidR="00712DA3" w:rsidRDefault="00712DA3" w:rsidP="00DC00A1"/>
    <w:p w14:paraId="280AB15C" w14:textId="75B6D6DC" w:rsidR="00DC00A1" w:rsidRDefault="00DC00A1" w:rsidP="00DC00A1">
      <w:r w:rsidRPr="005C79D1">
        <w:t xml:space="preserve">There are additional factors that are specifically relevant </w:t>
      </w:r>
      <w:r>
        <w:t>to</w:t>
      </w:r>
      <w:r w:rsidRPr="005C79D1">
        <w:t xml:space="preserve"> Koorie attendance and engagement at school. These relate to the cultural inclusivity </w:t>
      </w:r>
      <w:r>
        <w:t xml:space="preserve">and responsiveness </w:t>
      </w:r>
      <w:r w:rsidRPr="005C79D1">
        <w:t>of their learning environment and whether or not their school, teachers, principal, classmates, curriculum, learning materials and physical learning environments recognise, value and respect their culture, history, family and community. While we don’t yet have an accurate measure of the cultural inclusivity of a school, data is collected on the below proxy indicators which provide some identification of schools</w:t>
      </w:r>
      <w:r>
        <w:t>’</w:t>
      </w:r>
      <w:r w:rsidRPr="005C79D1">
        <w:t xml:space="preserve"> efforts to prioritise cultural safety and inclusivity. Some of these measures are also an indication of the efforts of schools to increase Aboriginal-led decision making. </w:t>
      </w:r>
    </w:p>
    <w:p w14:paraId="6FFFD2C9" w14:textId="5DB5E822" w:rsidR="003C6A98" w:rsidRDefault="003C6A98" w:rsidP="00DC00A1"/>
    <w:tbl>
      <w:tblPr>
        <w:tblStyle w:val="TableGrid"/>
        <w:tblW w:w="0" w:type="auto"/>
        <w:tblLook w:val="04A0" w:firstRow="1" w:lastRow="0" w:firstColumn="1" w:lastColumn="0" w:noHBand="0" w:noVBand="1"/>
      </w:tblPr>
      <w:tblGrid>
        <w:gridCol w:w="3207"/>
        <w:gridCol w:w="3207"/>
        <w:gridCol w:w="3208"/>
      </w:tblGrid>
      <w:tr w:rsidR="00712DA3" w14:paraId="3FC4537B" w14:textId="77777777" w:rsidTr="003E5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vAlign w:val="bottom"/>
          </w:tcPr>
          <w:p w14:paraId="460D0594" w14:textId="77777777" w:rsidR="00712DA3" w:rsidRDefault="00712DA3" w:rsidP="00712DA3"/>
        </w:tc>
        <w:tc>
          <w:tcPr>
            <w:tcW w:w="3207" w:type="dxa"/>
            <w:vAlign w:val="bottom"/>
          </w:tcPr>
          <w:p w14:paraId="7C9BEA96" w14:textId="54B71B09"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2018</w:t>
            </w:r>
          </w:p>
        </w:tc>
        <w:tc>
          <w:tcPr>
            <w:tcW w:w="3208" w:type="dxa"/>
            <w:vAlign w:val="bottom"/>
          </w:tcPr>
          <w:p w14:paraId="048364F2" w14:textId="0F950050"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2019</w:t>
            </w:r>
          </w:p>
        </w:tc>
      </w:tr>
      <w:tr w:rsidR="00712DA3" w14:paraId="7445F330"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69C37F08" w14:textId="6239C0F2" w:rsidR="00712DA3" w:rsidRDefault="00712DA3" w:rsidP="00712DA3">
            <w:r w:rsidRPr="00C933E1">
              <w:rPr>
                <w:rFonts w:ascii="Calibri" w:eastAsia="Times New Roman" w:hAnsi="Calibri" w:cs="Calibri"/>
                <w:color w:val="000000"/>
                <w:szCs w:val="22"/>
                <w:lang w:val="en-AU" w:eastAsia="en-AU"/>
              </w:rPr>
              <w:t>Number of Victorian Government schools having undertaken whole-of-school staff Community Understanding and Safety Training (CUST)</w:t>
            </w:r>
          </w:p>
        </w:tc>
        <w:tc>
          <w:tcPr>
            <w:tcW w:w="3207" w:type="dxa"/>
            <w:vAlign w:val="bottom"/>
          </w:tcPr>
          <w:p w14:paraId="0BED3E96" w14:textId="5CABF37B"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1,276 of 1,787 school campuses as of 24 May 2021</w:t>
            </w:r>
          </w:p>
        </w:tc>
        <w:tc>
          <w:tcPr>
            <w:tcW w:w="3208" w:type="dxa"/>
          </w:tcPr>
          <w:p w14:paraId="2786AA74" w14:textId="77777777" w:rsidR="00712DA3" w:rsidRDefault="00712DA3" w:rsidP="00712DA3">
            <w:pPr>
              <w:cnfStyle w:val="000000000000" w:firstRow="0" w:lastRow="0" w:firstColumn="0" w:lastColumn="0" w:oddVBand="0" w:evenVBand="0" w:oddHBand="0" w:evenHBand="0" w:firstRowFirstColumn="0" w:firstRowLastColumn="0" w:lastRowFirstColumn="0" w:lastRowLastColumn="0"/>
            </w:pPr>
          </w:p>
        </w:tc>
      </w:tr>
      <w:tr w:rsidR="00712DA3" w14:paraId="1D9C5444"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3A8F6A7B" w14:textId="4BA8A148" w:rsidR="00712DA3" w:rsidRDefault="00712DA3" w:rsidP="00712DA3">
            <w:r w:rsidRPr="00C933E1">
              <w:rPr>
                <w:rFonts w:ascii="Calibri" w:eastAsia="Times New Roman" w:hAnsi="Calibri" w:cs="Calibri"/>
                <w:color w:val="000000"/>
                <w:szCs w:val="22"/>
                <w:lang w:val="en-AU" w:eastAsia="en-AU"/>
              </w:rPr>
              <w:t>Number of schools that teach a Victorian Aboriginal language</w:t>
            </w:r>
          </w:p>
        </w:tc>
        <w:tc>
          <w:tcPr>
            <w:tcW w:w="3207" w:type="dxa"/>
            <w:vAlign w:val="bottom"/>
          </w:tcPr>
          <w:p w14:paraId="2AF4B5D8" w14:textId="1F401AB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19</w:t>
            </w:r>
          </w:p>
        </w:tc>
        <w:tc>
          <w:tcPr>
            <w:tcW w:w="3208" w:type="dxa"/>
            <w:vAlign w:val="bottom"/>
          </w:tcPr>
          <w:p w14:paraId="08F0EC0D" w14:textId="794D332B"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25</w:t>
            </w:r>
          </w:p>
        </w:tc>
      </w:tr>
      <w:tr w:rsidR="00712DA3" w14:paraId="0F8684B4"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11596842" w14:textId="21B0F946" w:rsidR="00712DA3" w:rsidRDefault="00712DA3" w:rsidP="00712DA3">
            <w:r w:rsidRPr="00C933E1">
              <w:rPr>
                <w:rFonts w:ascii="Calibri" w:eastAsia="Times New Roman" w:hAnsi="Calibri" w:cs="Calibri"/>
                <w:color w:val="000000"/>
                <w:szCs w:val="22"/>
                <w:lang w:val="en-AU" w:eastAsia="en-AU"/>
              </w:rPr>
              <w:t>Number of schools that flew the Aboriginal flag during the year</w:t>
            </w:r>
          </w:p>
        </w:tc>
        <w:tc>
          <w:tcPr>
            <w:tcW w:w="3207" w:type="dxa"/>
            <w:vAlign w:val="bottom"/>
          </w:tcPr>
          <w:p w14:paraId="2E015E41" w14:textId="1D57C7A0"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1153</w:t>
            </w:r>
          </w:p>
        </w:tc>
        <w:tc>
          <w:tcPr>
            <w:tcW w:w="3208" w:type="dxa"/>
            <w:vAlign w:val="bottom"/>
          </w:tcPr>
          <w:p w14:paraId="0589B8E3" w14:textId="4B920CC2"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1269</w:t>
            </w:r>
          </w:p>
        </w:tc>
      </w:tr>
      <w:tr w:rsidR="00712DA3" w14:paraId="1D7B981B"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369DB59F" w14:textId="3D003AD4" w:rsidR="00712DA3" w:rsidRDefault="00712DA3" w:rsidP="00712DA3">
            <w:r w:rsidRPr="00C933E1">
              <w:rPr>
                <w:rFonts w:ascii="Calibri" w:eastAsia="Times New Roman" w:hAnsi="Calibri" w:cs="Calibri"/>
                <w:color w:val="000000"/>
                <w:szCs w:val="22"/>
                <w:lang w:val="en-AU" w:eastAsia="en-AU"/>
              </w:rPr>
              <w:t>Number of schools that acknowledge Country at school assemblies and/or special events</w:t>
            </w:r>
          </w:p>
        </w:tc>
        <w:tc>
          <w:tcPr>
            <w:tcW w:w="3207" w:type="dxa"/>
            <w:vAlign w:val="bottom"/>
          </w:tcPr>
          <w:p w14:paraId="5B4D727F" w14:textId="4CDDB460"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1268</w:t>
            </w:r>
          </w:p>
        </w:tc>
        <w:tc>
          <w:tcPr>
            <w:tcW w:w="3208" w:type="dxa"/>
            <w:vAlign w:val="bottom"/>
          </w:tcPr>
          <w:p w14:paraId="452E54E4" w14:textId="705DAD26"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1401</w:t>
            </w:r>
          </w:p>
        </w:tc>
      </w:tr>
      <w:tr w:rsidR="00712DA3" w14:paraId="2E78FD51"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2986FF27" w14:textId="54C888AF" w:rsidR="00712DA3" w:rsidRDefault="00712DA3" w:rsidP="00712DA3">
            <w:r w:rsidRPr="00C933E1">
              <w:rPr>
                <w:rFonts w:ascii="Calibri" w:eastAsia="Times New Roman" w:hAnsi="Calibri" w:cs="Calibri"/>
                <w:color w:val="000000"/>
                <w:szCs w:val="22"/>
                <w:lang w:val="en-AU" w:eastAsia="en-AU"/>
              </w:rPr>
              <w:t>Number of schools that display a sign acknowledging the Traditional Owners of the area</w:t>
            </w:r>
          </w:p>
        </w:tc>
        <w:tc>
          <w:tcPr>
            <w:tcW w:w="3207" w:type="dxa"/>
            <w:vAlign w:val="bottom"/>
          </w:tcPr>
          <w:p w14:paraId="3AF74F9D" w14:textId="2C308169"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520</w:t>
            </w:r>
          </w:p>
        </w:tc>
        <w:tc>
          <w:tcPr>
            <w:tcW w:w="3208" w:type="dxa"/>
            <w:vAlign w:val="bottom"/>
          </w:tcPr>
          <w:p w14:paraId="3CB608B6" w14:textId="5BE158D5"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618</w:t>
            </w:r>
          </w:p>
        </w:tc>
      </w:tr>
      <w:tr w:rsidR="00712DA3" w14:paraId="0742CA32"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729AE60A" w14:textId="6F19CC5A" w:rsidR="00712DA3" w:rsidRDefault="00712DA3" w:rsidP="00712DA3">
            <w:r w:rsidRPr="00C933E1">
              <w:rPr>
                <w:rFonts w:ascii="Calibri" w:eastAsia="Times New Roman" w:hAnsi="Calibri" w:cs="Calibri"/>
                <w:color w:val="000000"/>
                <w:szCs w:val="22"/>
                <w:lang w:val="en-AU" w:eastAsia="en-AU"/>
              </w:rPr>
              <w:lastRenderedPageBreak/>
              <w:t>Number of schools that incorporate Aboriginal perspectives in the curriculum</w:t>
            </w:r>
          </w:p>
        </w:tc>
        <w:tc>
          <w:tcPr>
            <w:tcW w:w="3207" w:type="dxa"/>
            <w:vAlign w:val="bottom"/>
          </w:tcPr>
          <w:p w14:paraId="3B77F0C3" w14:textId="4BC184E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1423</w:t>
            </w:r>
          </w:p>
        </w:tc>
        <w:tc>
          <w:tcPr>
            <w:tcW w:w="3208" w:type="dxa"/>
            <w:vAlign w:val="bottom"/>
          </w:tcPr>
          <w:p w14:paraId="035C4EAC" w14:textId="5A1403C1"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1449</w:t>
            </w:r>
          </w:p>
        </w:tc>
      </w:tr>
      <w:tr w:rsidR="00712DA3" w14:paraId="7AEB491E"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28538C00" w14:textId="4CE0F6A7" w:rsidR="00712DA3" w:rsidRDefault="00712DA3" w:rsidP="00712DA3">
            <w:r w:rsidRPr="00C933E1">
              <w:rPr>
                <w:rFonts w:ascii="Calibri" w:eastAsia="Times New Roman" w:hAnsi="Calibri" w:cs="Calibri"/>
                <w:color w:val="000000"/>
                <w:szCs w:val="22"/>
                <w:lang w:val="en-AU" w:eastAsia="en-AU"/>
              </w:rPr>
              <w:t>Number of schools with Aboriginal and/or Torres Strait Islander students as school captains</w:t>
            </w:r>
          </w:p>
        </w:tc>
        <w:tc>
          <w:tcPr>
            <w:tcW w:w="3207" w:type="dxa"/>
            <w:vAlign w:val="bottom"/>
          </w:tcPr>
          <w:p w14:paraId="282E9971" w14:textId="6D6341F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122</w:t>
            </w:r>
          </w:p>
        </w:tc>
        <w:tc>
          <w:tcPr>
            <w:tcW w:w="3208" w:type="dxa"/>
            <w:vAlign w:val="bottom"/>
          </w:tcPr>
          <w:p w14:paraId="1EC15BCB" w14:textId="13E60CF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127</w:t>
            </w:r>
          </w:p>
        </w:tc>
      </w:tr>
      <w:tr w:rsidR="00712DA3" w14:paraId="4B605162"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0F626999" w14:textId="7B8BA1E9" w:rsidR="00712DA3" w:rsidRDefault="00712DA3" w:rsidP="00712DA3">
            <w:r w:rsidRPr="00C933E1">
              <w:rPr>
                <w:rFonts w:ascii="Calibri" w:eastAsia="Times New Roman" w:hAnsi="Calibri" w:cs="Calibri"/>
                <w:color w:val="000000"/>
                <w:szCs w:val="22"/>
                <w:lang w:val="en-AU" w:eastAsia="en-AU"/>
              </w:rPr>
              <w:t xml:space="preserve">Number of schools that actively encourage parents, carers, families of </w:t>
            </w:r>
            <w:proofErr w:type="spellStart"/>
            <w:r w:rsidRPr="00C933E1">
              <w:rPr>
                <w:rFonts w:ascii="Calibri" w:eastAsia="Times New Roman" w:hAnsi="Calibri" w:cs="Calibri"/>
                <w:color w:val="000000"/>
                <w:szCs w:val="22"/>
                <w:lang w:val="en-AU" w:eastAsia="en-AU"/>
              </w:rPr>
              <w:t>Koorie</w:t>
            </w:r>
            <w:proofErr w:type="spellEnd"/>
            <w:r w:rsidRPr="00C933E1">
              <w:rPr>
                <w:rFonts w:ascii="Calibri" w:eastAsia="Times New Roman" w:hAnsi="Calibri" w:cs="Calibri"/>
                <w:color w:val="000000"/>
                <w:szCs w:val="22"/>
                <w:lang w:val="en-AU" w:eastAsia="en-AU"/>
              </w:rPr>
              <w:t xml:space="preserve"> students to be involved in the student’s learning and school activities</w:t>
            </w:r>
          </w:p>
        </w:tc>
        <w:tc>
          <w:tcPr>
            <w:tcW w:w="3207" w:type="dxa"/>
            <w:vAlign w:val="bottom"/>
          </w:tcPr>
          <w:p w14:paraId="4D79BF63" w14:textId="36CF6D78"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952</w:t>
            </w:r>
          </w:p>
        </w:tc>
        <w:tc>
          <w:tcPr>
            <w:tcW w:w="3208" w:type="dxa"/>
            <w:vAlign w:val="bottom"/>
          </w:tcPr>
          <w:p w14:paraId="52B02AA1" w14:textId="4EA757F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1004</w:t>
            </w:r>
          </w:p>
        </w:tc>
      </w:tr>
      <w:tr w:rsidR="00712DA3" w14:paraId="3DA7DBB0" w14:textId="77777777" w:rsidTr="003E5A16">
        <w:tc>
          <w:tcPr>
            <w:cnfStyle w:val="001000000000" w:firstRow="0" w:lastRow="0" w:firstColumn="1" w:lastColumn="0" w:oddVBand="0" w:evenVBand="0" w:oddHBand="0" w:evenHBand="0" w:firstRowFirstColumn="0" w:firstRowLastColumn="0" w:lastRowFirstColumn="0" w:lastRowLastColumn="0"/>
            <w:tcW w:w="3207" w:type="dxa"/>
            <w:vAlign w:val="bottom"/>
          </w:tcPr>
          <w:p w14:paraId="3D37C1F7" w14:textId="04E610CC" w:rsidR="00712DA3" w:rsidRDefault="00712DA3" w:rsidP="00712DA3">
            <w:r w:rsidRPr="00C933E1">
              <w:rPr>
                <w:rFonts w:ascii="Calibri" w:eastAsia="Times New Roman" w:hAnsi="Calibri" w:cs="Calibri"/>
                <w:color w:val="000000"/>
                <w:szCs w:val="22"/>
                <w:lang w:val="en-AU" w:eastAsia="en-AU"/>
              </w:rPr>
              <w:t xml:space="preserve">Number of staff that have received professional learning focussed on </w:t>
            </w:r>
            <w:proofErr w:type="spellStart"/>
            <w:r w:rsidRPr="00C933E1">
              <w:rPr>
                <w:rFonts w:ascii="Calibri" w:eastAsia="Times New Roman" w:hAnsi="Calibri" w:cs="Calibri"/>
                <w:color w:val="000000"/>
                <w:szCs w:val="22"/>
                <w:lang w:val="en-AU" w:eastAsia="en-AU"/>
              </w:rPr>
              <w:t>Koorie</w:t>
            </w:r>
            <w:proofErr w:type="spellEnd"/>
            <w:r w:rsidRPr="00C933E1">
              <w:rPr>
                <w:rFonts w:ascii="Calibri" w:eastAsia="Times New Roman" w:hAnsi="Calibri" w:cs="Calibri"/>
                <w:color w:val="000000"/>
                <w:szCs w:val="22"/>
                <w:lang w:val="en-AU" w:eastAsia="en-AU"/>
              </w:rPr>
              <w:t xml:space="preserve"> education outcomes</w:t>
            </w:r>
          </w:p>
        </w:tc>
        <w:tc>
          <w:tcPr>
            <w:tcW w:w="3207" w:type="dxa"/>
            <w:vAlign w:val="bottom"/>
          </w:tcPr>
          <w:p w14:paraId="1F18EF7C" w14:textId="091F1DD5"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369</w:t>
            </w:r>
          </w:p>
        </w:tc>
        <w:tc>
          <w:tcPr>
            <w:tcW w:w="3208" w:type="dxa"/>
            <w:vAlign w:val="bottom"/>
          </w:tcPr>
          <w:p w14:paraId="1AA817DB" w14:textId="09C81EF1"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537</w:t>
            </w:r>
          </w:p>
        </w:tc>
      </w:tr>
    </w:tbl>
    <w:p w14:paraId="57CD34AA" w14:textId="0556A469" w:rsidR="003C6A98" w:rsidRDefault="00712DA3" w:rsidP="00DC00A1">
      <w:r w:rsidRPr="00C933E1">
        <w:rPr>
          <w:rFonts w:ascii="Arial" w:eastAsia="Times New Roman" w:hAnsi="Arial" w:cs="Arial"/>
          <w:i/>
          <w:iCs/>
          <w:color w:val="000000"/>
          <w:sz w:val="18"/>
          <w:szCs w:val="20"/>
          <w:lang w:eastAsia="en-AU"/>
        </w:rPr>
        <w:t>Data note: Due to the COVID-19 pandemic, a much lower number of Victorian government schools completed the School Surveys in both 2020 and 2021. This is compared to completion rates of 95% in 2019 and 99.7% in 2018. These differences in completion rates mean that 2020 and 2021 numbers cannot be reliably compared to previous years and as such have not been included here.</w:t>
      </w:r>
    </w:p>
    <w:p w14:paraId="38EC6A36" w14:textId="55E36E74" w:rsidR="00DC00A1" w:rsidRPr="005C79D1" w:rsidRDefault="00DC00A1" w:rsidP="00DC00A1">
      <w:r w:rsidRPr="005C79D1">
        <w:t>However, lower rates of feeling connected to their school, as well as lower attendance rates, remain significant challenges. This highlights that we need to do more to ensure the system and schools are culturally safe and engaging places for Koorie learners so that they can reach their full potential – includ</w:t>
      </w:r>
      <w:r>
        <w:t>ing</w:t>
      </w:r>
      <w:r w:rsidRPr="005C79D1">
        <w:t xml:space="preserve"> Aboriginal children and young people experiencing multiple </w:t>
      </w:r>
      <w:r>
        <w:t xml:space="preserve">risk factors </w:t>
      </w:r>
      <w:r w:rsidRPr="005C79D1">
        <w:t xml:space="preserve">such as those in out-of-home-care, those in contact with the youth justice system, those with disability and those experiencing mental ill-health. </w:t>
      </w:r>
    </w:p>
    <w:p w14:paraId="2E41F2FB" w14:textId="5759487F" w:rsidR="00DC00A1" w:rsidRDefault="00DC00A1" w:rsidP="00DC00A1">
      <w:pPr>
        <w:rPr>
          <w:b/>
          <w:bCs/>
          <w:u w:val="single"/>
        </w:rPr>
      </w:pPr>
    </w:p>
    <w:p w14:paraId="60B36990" w14:textId="144DB0AE" w:rsidR="00DC00A1" w:rsidRPr="004066C2" w:rsidRDefault="00DC00A1" w:rsidP="00DC00A1">
      <w:pPr>
        <w:rPr>
          <w:u w:val="single"/>
        </w:rPr>
      </w:pPr>
      <w:r w:rsidRPr="00CD66C7">
        <w:rPr>
          <w:rFonts w:asciiTheme="majorHAnsi" w:eastAsiaTheme="majorEastAsia" w:hAnsiTheme="majorHAnsi" w:cstheme="majorBidi"/>
          <w:b/>
          <w:color w:val="AE272F" w:themeColor="accent1"/>
          <w:sz w:val="24"/>
          <w:lang w:val="en-AU"/>
        </w:rPr>
        <w:t>NAPLAN</w:t>
      </w:r>
    </w:p>
    <w:p w14:paraId="56171121" w14:textId="59661F68" w:rsidR="00C933E1" w:rsidRDefault="00C933E1" w:rsidP="00DC00A1">
      <w:r>
        <w:t>(</w:t>
      </w:r>
      <w:r w:rsidRPr="004066C2">
        <w:t>Due to the COVID-19 pandemic, NAPLAN was not held in 2020. At the time of writing, NAPLAN data from 2019 was the most recent available.</w:t>
      </w:r>
      <w:r>
        <w:t>)</w:t>
      </w:r>
    </w:p>
    <w:p w14:paraId="77ACFDFC" w14:textId="65BE718D" w:rsidR="00DC00A1" w:rsidRDefault="00DC00A1" w:rsidP="00DC00A1">
      <w:r w:rsidRPr="00DC00A1">
        <w:t xml:space="preserve">An increase in the number of Aboriginal learners achieving scores in the top three bands for NAPLAN testing shows significant growth in literacy and numeracy skills across most school years and Aboriginal students in Victoria outperform Aboriginal students in most other states and territories. </w:t>
      </w:r>
    </w:p>
    <w:p w14:paraId="40DC1DB9" w14:textId="4580CEF4" w:rsidR="00544AB4" w:rsidRPr="00DC00A1" w:rsidRDefault="00544AB4" w:rsidP="00DC00A1"/>
    <w:p w14:paraId="4BC2CE50" w14:textId="7A596B40" w:rsidR="00DC00A1" w:rsidRDefault="00DC00A1" w:rsidP="00DC00A1">
      <w:r w:rsidRPr="00DC00A1">
        <w:t xml:space="preserve">The percentage of Aboriginal students in the top three bands for NAPLAN Reading increased between 2008 and 2019 for all years (3, 5, 7 and 9), with the largest increase (9.6 per cent) in Year 5 Reading. The percentage of Aboriginal students in the top three bands in NAPLAN Numeracy increased across Years 5, 7, and 9, and rates decreased for Year 3. </w:t>
      </w:r>
    </w:p>
    <w:p w14:paraId="0D4D4764" w14:textId="0E59BEB7" w:rsidR="00544AB4" w:rsidRPr="00DC00A1" w:rsidRDefault="00544AB4" w:rsidP="00DC00A1"/>
    <w:p w14:paraId="5DF78A1E" w14:textId="45B83FC8" w:rsidR="00DC00A1" w:rsidRPr="00DC00A1" w:rsidRDefault="00DC00A1" w:rsidP="00DC00A1">
      <w:r w:rsidRPr="00DC00A1">
        <w:t xml:space="preserve">While these improvements should be recognised, on average, Koorie students’ NAPLAN achievement remains at levels significantly lower than their non-Koorie classmates. While Koorie </w:t>
      </w:r>
      <w:r w:rsidRPr="00DC00A1">
        <w:lastRenderedPageBreak/>
        <w:t>students make the same educational gains as non-Koorie students throughout school, they are more likely to commence school with lower levels of literacy and numeracy skills and, despite the efforts of students, families and schools, and some significant catch-up supports and investment, most often students are not able to catch-up throughout their schooling years.</w:t>
      </w:r>
    </w:p>
    <w:p w14:paraId="22D4EDA9" w14:textId="6002AC0D" w:rsidR="00DC00A1" w:rsidRDefault="00DC00A1" w:rsidP="00DC00A1">
      <w:pPr>
        <w:rPr>
          <w:b/>
          <w:bCs/>
          <w:u w:val="single"/>
        </w:rPr>
      </w:pPr>
    </w:p>
    <w:p w14:paraId="7C7A9782" w14:textId="36D3C5A1" w:rsidR="00DC00A1" w:rsidRPr="00CD66C7" w:rsidRDefault="00DC00A1" w:rsidP="00DC00A1">
      <w:pPr>
        <w:rPr>
          <w:rFonts w:asciiTheme="majorHAnsi" w:eastAsiaTheme="majorEastAsia" w:hAnsiTheme="majorHAnsi" w:cstheme="majorBidi"/>
          <w:b/>
          <w:color w:val="AE272F" w:themeColor="accent1"/>
          <w:sz w:val="24"/>
          <w:lang w:val="en-AU"/>
        </w:rPr>
      </w:pPr>
      <w:r w:rsidRPr="00CD66C7">
        <w:rPr>
          <w:rFonts w:asciiTheme="majorHAnsi" w:eastAsiaTheme="majorEastAsia" w:hAnsiTheme="majorHAnsi" w:cstheme="majorBidi"/>
          <w:b/>
          <w:color w:val="AE272F" w:themeColor="accent1"/>
          <w:sz w:val="24"/>
          <w:lang w:val="en-AU"/>
        </w:rPr>
        <w:t>Post-Year 12 Participation</w:t>
      </w:r>
    </w:p>
    <w:p w14:paraId="0A7109CF" w14:textId="0C4452F6" w:rsidR="00544AB4" w:rsidRDefault="00544AB4" w:rsidP="00DC00A1"/>
    <w:p w14:paraId="1C4FC9E5" w14:textId="55C3DFB3" w:rsidR="00C933E1" w:rsidRDefault="00C933E1" w:rsidP="00DC00A1">
      <w:r>
        <w:t xml:space="preserve">Destination of </w:t>
      </w:r>
      <w:proofErr w:type="spellStart"/>
      <w:r>
        <w:t>Koorie</w:t>
      </w:r>
      <w:proofErr w:type="spellEnd"/>
      <w:r>
        <w:t xml:space="preserve"> Year 12 completers</w:t>
      </w:r>
    </w:p>
    <w:tbl>
      <w:tblPr>
        <w:tblStyle w:val="TableGrid"/>
        <w:tblW w:w="0" w:type="auto"/>
        <w:tblLook w:val="04A0" w:firstRow="1" w:lastRow="0" w:firstColumn="1" w:lastColumn="0" w:noHBand="0" w:noVBand="1"/>
      </w:tblPr>
      <w:tblGrid>
        <w:gridCol w:w="2698"/>
        <w:gridCol w:w="1731"/>
        <w:gridCol w:w="1731"/>
        <w:gridCol w:w="1731"/>
        <w:gridCol w:w="1731"/>
      </w:tblGrid>
      <w:tr w:rsidR="00712DA3" w14:paraId="0871C492" w14:textId="77777777" w:rsidTr="00712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vAlign w:val="bottom"/>
          </w:tcPr>
          <w:p w14:paraId="52FFF6F7" w14:textId="77777777" w:rsidR="00712DA3" w:rsidRDefault="00712DA3" w:rsidP="00712DA3"/>
        </w:tc>
        <w:tc>
          <w:tcPr>
            <w:tcW w:w="1731" w:type="dxa"/>
            <w:vAlign w:val="bottom"/>
          </w:tcPr>
          <w:p w14:paraId="40B2557F" w14:textId="2911E299"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2017</w:t>
            </w:r>
          </w:p>
        </w:tc>
        <w:tc>
          <w:tcPr>
            <w:tcW w:w="1731" w:type="dxa"/>
            <w:vAlign w:val="bottom"/>
          </w:tcPr>
          <w:p w14:paraId="1486B4F8" w14:textId="2E2ECE3E"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2018</w:t>
            </w:r>
          </w:p>
        </w:tc>
        <w:tc>
          <w:tcPr>
            <w:tcW w:w="1731" w:type="dxa"/>
            <w:vAlign w:val="bottom"/>
          </w:tcPr>
          <w:p w14:paraId="0ED93AAE" w14:textId="54AADF03"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2019</w:t>
            </w:r>
          </w:p>
        </w:tc>
        <w:tc>
          <w:tcPr>
            <w:tcW w:w="1731" w:type="dxa"/>
            <w:vAlign w:val="bottom"/>
          </w:tcPr>
          <w:p w14:paraId="3EACDB9C" w14:textId="3A3A62A9" w:rsidR="00712DA3" w:rsidRDefault="00712DA3" w:rsidP="00712DA3">
            <w:pPr>
              <w:cnfStyle w:val="100000000000" w:firstRow="1"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2020</w:t>
            </w:r>
          </w:p>
        </w:tc>
      </w:tr>
      <w:tr w:rsidR="00712DA3" w14:paraId="28EC6FA1" w14:textId="77777777" w:rsidTr="00712DA3">
        <w:tc>
          <w:tcPr>
            <w:cnfStyle w:val="001000000000" w:firstRow="0" w:lastRow="0" w:firstColumn="1" w:lastColumn="0" w:oddVBand="0" w:evenVBand="0" w:oddHBand="0" w:evenHBand="0" w:firstRowFirstColumn="0" w:firstRowLastColumn="0" w:lastRowFirstColumn="0" w:lastRowLastColumn="0"/>
            <w:tcW w:w="2698" w:type="dxa"/>
            <w:vAlign w:val="bottom"/>
          </w:tcPr>
          <w:p w14:paraId="0F8EC0CD" w14:textId="6CE7CECD" w:rsidR="00712DA3" w:rsidRDefault="00712DA3" w:rsidP="00712DA3">
            <w:r w:rsidRPr="00C933E1">
              <w:rPr>
                <w:rFonts w:ascii="Calibri" w:eastAsia="Times New Roman" w:hAnsi="Calibri" w:cs="Calibri"/>
                <w:color w:val="000000"/>
                <w:szCs w:val="22"/>
                <w:lang w:val="en-AU" w:eastAsia="en-AU"/>
              </w:rPr>
              <w:t>Bachelor degree</w:t>
            </w:r>
          </w:p>
        </w:tc>
        <w:tc>
          <w:tcPr>
            <w:tcW w:w="1731" w:type="dxa"/>
            <w:vAlign w:val="bottom"/>
          </w:tcPr>
          <w:p w14:paraId="72872EF1" w14:textId="13F56D69"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27.70 </w:t>
            </w:r>
          </w:p>
        </w:tc>
        <w:tc>
          <w:tcPr>
            <w:tcW w:w="1731" w:type="dxa"/>
            <w:vAlign w:val="bottom"/>
          </w:tcPr>
          <w:p w14:paraId="4720D5C7" w14:textId="49730E0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32.90 </w:t>
            </w:r>
          </w:p>
        </w:tc>
        <w:tc>
          <w:tcPr>
            <w:tcW w:w="1731" w:type="dxa"/>
            <w:vAlign w:val="bottom"/>
          </w:tcPr>
          <w:p w14:paraId="51B60171" w14:textId="5DED841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29.80 </w:t>
            </w:r>
          </w:p>
        </w:tc>
        <w:tc>
          <w:tcPr>
            <w:tcW w:w="1731" w:type="dxa"/>
            <w:vAlign w:val="bottom"/>
          </w:tcPr>
          <w:p w14:paraId="4E623733" w14:textId="7BF27CD7"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32.50 </w:t>
            </w:r>
          </w:p>
        </w:tc>
      </w:tr>
      <w:tr w:rsidR="00712DA3" w14:paraId="1F608248" w14:textId="77777777" w:rsidTr="00712DA3">
        <w:tc>
          <w:tcPr>
            <w:cnfStyle w:val="001000000000" w:firstRow="0" w:lastRow="0" w:firstColumn="1" w:lastColumn="0" w:oddVBand="0" w:evenVBand="0" w:oddHBand="0" w:evenHBand="0" w:firstRowFirstColumn="0" w:firstRowLastColumn="0" w:lastRowFirstColumn="0" w:lastRowLastColumn="0"/>
            <w:tcW w:w="2698" w:type="dxa"/>
            <w:vAlign w:val="bottom"/>
          </w:tcPr>
          <w:p w14:paraId="11832DA3" w14:textId="20AC2D4F" w:rsidR="00712DA3" w:rsidRDefault="00712DA3" w:rsidP="00712DA3">
            <w:r w:rsidRPr="00C933E1">
              <w:rPr>
                <w:rFonts w:ascii="Calibri" w:eastAsia="Times New Roman" w:hAnsi="Calibri" w:cs="Calibri"/>
                <w:color w:val="000000"/>
                <w:szCs w:val="22"/>
                <w:lang w:val="en-AU" w:eastAsia="en-AU"/>
              </w:rPr>
              <w:t>Certificate/Diploma</w:t>
            </w:r>
          </w:p>
        </w:tc>
        <w:tc>
          <w:tcPr>
            <w:tcW w:w="1731" w:type="dxa"/>
            <w:vAlign w:val="bottom"/>
          </w:tcPr>
          <w:p w14:paraId="707A77E4" w14:textId="0852E41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12.90 </w:t>
            </w:r>
          </w:p>
        </w:tc>
        <w:tc>
          <w:tcPr>
            <w:tcW w:w="1731" w:type="dxa"/>
            <w:vAlign w:val="bottom"/>
          </w:tcPr>
          <w:p w14:paraId="25565014" w14:textId="6F048577"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16.80 </w:t>
            </w:r>
          </w:p>
        </w:tc>
        <w:tc>
          <w:tcPr>
            <w:tcW w:w="1731" w:type="dxa"/>
            <w:vAlign w:val="bottom"/>
          </w:tcPr>
          <w:p w14:paraId="7B4AD89E" w14:textId="1B811AE5"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15.70 </w:t>
            </w:r>
          </w:p>
        </w:tc>
        <w:tc>
          <w:tcPr>
            <w:tcW w:w="1731" w:type="dxa"/>
            <w:vAlign w:val="bottom"/>
          </w:tcPr>
          <w:p w14:paraId="01651EF0" w14:textId="42F195FD"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13.90 </w:t>
            </w:r>
          </w:p>
        </w:tc>
      </w:tr>
      <w:tr w:rsidR="00712DA3" w14:paraId="3DA4766F" w14:textId="77777777" w:rsidTr="00712DA3">
        <w:tc>
          <w:tcPr>
            <w:cnfStyle w:val="001000000000" w:firstRow="0" w:lastRow="0" w:firstColumn="1" w:lastColumn="0" w:oddVBand="0" w:evenVBand="0" w:oddHBand="0" w:evenHBand="0" w:firstRowFirstColumn="0" w:firstRowLastColumn="0" w:lastRowFirstColumn="0" w:lastRowLastColumn="0"/>
            <w:tcW w:w="2698" w:type="dxa"/>
            <w:vAlign w:val="bottom"/>
          </w:tcPr>
          <w:p w14:paraId="5472B443" w14:textId="4913D9BC" w:rsidR="00712DA3" w:rsidRDefault="00712DA3" w:rsidP="00712DA3">
            <w:r w:rsidRPr="00C933E1">
              <w:rPr>
                <w:rFonts w:ascii="Calibri" w:eastAsia="Times New Roman" w:hAnsi="Calibri" w:cs="Calibri"/>
                <w:color w:val="000000"/>
                <w:szCs w:val="22"/>
                <w:lang w:val="en-AU" w:eastAsia="en-AU"/>
              </w:rPr>
              <w:t>Apprenticeship/Traineeship</w:t>
            </w:r>
          </w:p>
        </w:tc>
        <w:tc>
          <w:tcPr>
            <w:tcW w:w="1731" w:type="dxa"/>
            <w:vAlign w:val="bottom"/>
          </w:tcPr>
          <w:p w14:paraId="4F7A44D8" w14:textId="1994DE6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17.40 </w:t>
            </w:r>
          </w:p>
        </w:tc>
        <w:tc>
          <w:tcPr>
            <w:tcW w:w="1731" w:type="dxa"/>
            <w:vAlign w:val="bottom"/>
          </w:tcPr>
          <w:p w14:paraId="20AFF42D" w14:textId="7F2619B1"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15.50 </w:t>
            </w:r>
          </w:p>
        </w:tc>
        <w:tc>
          <w:tcPr>
            <w:tcW w:w="1731" w:type="dxa"/>
            <w:vAlign w:val="bottom"/>
          </w:tcPr>
          <w:p w14:paraId="193736CB" w14:textId="73B4A58A"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17.30 </w:t>
            </w:r>
          </w:p>
        </w:tc>
        <w:tc>
          <w:tcPr>
            <w:tcW w:w="1731" w:type="dxa"/>
            <w:vAlign w:val="bottom"/>
          </w:tcPr>
          <w:p w14:paraId="763DD86B" w14:textId="743FA447"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16.40 </w:t>
            </w:r>
          </w:p>
        </w:tc>
      </w:tr>
      <w:tr w:rsidR="00712DA3" w14:paraId="0F8B7FE5" w14:textId="77777777" w:rsidTr="00712DA3">
        <w:tc>
          <w:tcPr>
            <w:cnfStyle w:val="001000000000" w:firstRow="0" w:lastRow="0" w:firstColumn="1" w:lastColumn="0" w:oddVBand="0" w:evenVBand="0" w:oddHBand="0" w:evenHBand="0" w:firstRowFirstColumn="0" w:firstRowLastColumn="0" w:lastRowFirstColumn="0" w:lastRowLastColumn="0"/>
            <w:tcW w:w="2698" w:type="dxa"/>
            <w:vAlign w:val="bottom"/>
          </w:tcPr>
          <w:p w14:paraId="69605A03" w14:textId="488E2F74" w:rsidR="00712DA3" w:rsidRDefault="00712DA3" w:rsidP="00712DA3">
            <w:r w:rsidRPr="00C933E1">
              <w:rPr>
                <w:rFonts w:ascii="Calibri" w:eastAsia="Times New Roman" w:hAnsi="Calibri" w:cs="Calibri"/>
                <w:color w:val="000000"/>
                <w:szCs w:val="22"/>
                <w:lang w:val="en-AU" w:eastAsia="en-AU"/>
              </w:rPr>
              <w:t>Employed</w:t>
            </w:r>
          </w:p>
        </w:tc>
        <w:tc>
          <w:tcPr>
            <w:tcW w:w="1731" w:type="dxa"/>
            <w:vAlign w:val="bottom"/>
          </w:tcPr>
          <w:p w14:paraId="306A0F31" w14:textId="11BF5221"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27.70 </w:t>
            </w:r>
          </w:p>
        </w:tc>
        <w:tc>
          <w:tcPr>
            <w:tcW w:w="1731" w:type="dxa"/>
            <w:vAlign w:val="bottom"/>
          </w:tcPr>
          <w:p w14:paraId="6FD58611" w14:textId="73BE7F6C"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24.70 </w:t>
            </w:r>
          </w:p>
        </w:tc>
        <w:tc>
          <w:tcPr>
            <w:tcW w:w="1731" w:type="dxa"/>
            <w:vAlign w:val="bottom"/>
          </w:tcPr>
          <w:p w14:paraId="6D852E03" w14:textId="6E2B3E5A"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29.20 </w:t>
            </w:r>
          </w:p>
        </w:tc>
        <w:tc>
          <w:tcPr>
            <w:tcW w:w="1731" w:type="dxa"/>
            <w:vAlign w:val="bottom"/>
          </w:tcPr>
          <w:p w14:paraId="29432267" w14:textId="0C040719"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23.20 </w:t>
            </w:r>
          </w:p>
        </w:tc>
      </w:tr>
      <w:tr w:rsidR="00712DA3" w14:paraId="236FA0FE" w14:textId="77777777" w:rsidTr="00712DA3">
        <w:tc>
          <w:tcPr>
            <w:cnfStyle w:val="001000000000" w:firstRow="0" w:lastRow="0" w:firstColumn="1" w:lastColumn="0" w:oddVBand="0" w:evenVBand="0" w:oddHBand="0" w:evenHBand="0" w:firstRowFirstColumn="0" w:firstRowLastColumn="0" w:lastRowFirstColumn="0" w:lastRowLastColumn="0"/>
            <w:tcW w:w="2698" w:type="dxa"/>
            <w:vAlign w:val="bottom"/>
          </w:tcPr>
          <w:p w14:paraId="75B629B0" w14:textId="1190FC10" w:rsidR="00712DA3" w:rsidRDefault="00712DA3" w:rsidP="00712DA3">
            <w:r w:rsidRPr="00C933E1">
              <w:rPr>
                <w:rFonts w:ascii="Calibri" w:eastAsia="Times New Roman" w:hAnsi="Calibri" w:cs="Calibri"/>
                <w:color w:val="000000"/>
                <w:szCs w:val="22"/>
                <w:lang w:val="en-AU" w:eastAsia="en-AU"/>
              </w:rPr>
              <w:t>Looking for work</w:t>
            </w:r>
          </w:p>
        </w:tc>
        <w:tc>
          <w:tcPr>
            <w:tcW w:w="1731" w:type="dxa"/>
            <w:vAlign w:val="bottom"/>
          </w:tcPr>
          <w:p w14:paraId="686A394D" w14:textId="0222AB36"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11.60 </w:t>
            </w:r>
          </w:p>
        </w:tc>
        <w:tc>
          <w:tcPr>
            <w:tcW w:w="1731" w:type="dxa"/>
            <w:vAlign w:val="bottom"/>
          </w:tcPr>
          <w:p w14:paraId="4E251C42" w14:textId="070EEF57"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9.20 </w:t>
            </w:r>
          </w:p>
        </w:tc>
        <w:tc>
          <w:tcPr>
            <w:tcW w:w="1731" w:type="dxa"/>
            <w:vAlign w:val="bottom"/>
          </w:tcPr>
          <w:p w14:paraId="00B9EF4A" w14:textId="6300A357"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7.40 </w:t>
            </w:r>
          </w:p>
        </w:tc>
        <w:tc>
          <w:tcPr>
            <w:tcW w:w="1731" w:type="dxa"/>
            <w:vAlign w:val="bottom"/>
          </w:tcPr>
          <w:p w14:paraId="781D9F27" w14:textId="2A871D0F"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12.10 </w:t>
            </w:r>
          </w:p>
        </w:tc>
      </w:tr>
      <w:tr w:rsidR="00712DA3" w14:paraId="58E9EFB3" w14:textId="77777777" w:rsidTr="00712DA3">
        <w:tc>
          <w:tcPr>
            <w:cnfStyle w:val="001000000000" w:firstRow="0" w:lastRow="0" w:firstColumn="1" w:lastColumn="0" w:oddVBand="0" w:evenVBand="0" w:oddHBand="0" w:evenHBand="0" w:firstRowFirstColumn="0" w:firstRowLastColumn="0" w:lastRowFirstColumn="0" w:lastRowLastColumn="0"/>
            <w:tcW w:w="2698" w:type="dxa"/>
            <w:vAlign w:val="bottom"/>
          </w:tcPr>
          <w:p w14:paraId="0C7FFF07" w14:textId="1C72988D" w:rsidR="00712DA3" w:rsidRDefault="00712DA3" w:rsidP="00712DA3">
            <w:r w:rsidRPr="00C933E1">
              <w:rPr>
                <w:rFonts w:ascii="Calibri" w:eastAsia="Times New Roman" w:hAnsi="Calibri" w:cs="Calibri"/>
                <w:color w:val="000000"/>
                <w:szCs w:val="22"/>
                <w:lang w:val="en-AU" w:eastAsia="en-AU"/>
              </w:rPr>
              <w:t>Not in labour force, education or training</w:t>
            </w:r>
          </w:p>
        </w:tc>
        <w:tc>
          <w:tcPr>
            <w:tcW w:w="1731" w:type="dxa"/>
            <w:vAlign w:val="bottom"/>
          </w:tcPr>
          <w:p w14:paraId="25675F59" w14:textId="7353135D"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2.60 </w:t>
            </w:r>
          </w:p>
        </w:tc>
        <w:tc>
          <w:tcPr>
            <w:tcW w:w="1731" w:type="dxa"/>
            <w:vAlign w:val="bottom"/>
          </w:tcPr>
          <w:p w14:paraId="09C1AED4" w14:textId="551AD530"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0.90 </w:t>
            </w:r>
          </w:p>
        </w:tc>
        <w:tc>
          <w:tcPr>
            <w:tcW w:w="1731" w:type="dxa"/>
            <w:vAlign w:val="bottom"/>
          </w:tcPr>
          <w:p w14:paraId="665CB828" w14:textId="01717CC4"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0.60 </w:t>
            </w:r>
          </w:p>
        </w:tc>
        <w:tc>
          <w:tcPr>
            <w:tcW w:w="1731" w:type="dxa"/>
            <w:vAlign w:val="bottom"/>
          </w:tcPr>
          <w:p w14:paraId="0E11B8C4" w14:textId="79CC1503" w:rsidR="00712DA3" w:rsidRDefault="00712DA3" w:rsidP="00712DA3">
            <w:pPr>
              <w:cnfStyle w:val="000000000000" w:firstRow="0" w:lastRow="0" w:firstColumn="0" w:lastColumn="0" w:oddVBand="0" w:evenVBand="0" w:oddHBand="0" w:evenHBand="0" w:firstRowFirstColumn="0" w:firstRowLastColumn="0" w:lastRowFirstColumn="0" w:lastRowLastColumn="0"/>
            </w:pPr>
            <w:r w:rsidRPr="00C933E1">
              <w:rPr>
                <w:rFonts w:ascii="Calibri" w:eastAsia="Times New Roman" w:hAnsi="Calibri" w:cs="Calibri"/>
                <w:color w:val="000000"/>
                <w:szCs w:val="22"/>
                <w:lang w:val="en-AU" w:eastAsia="en-AU"/>
              </w:rPr>
              <w:t xml:space="preserve">         1.90 </w:t>
            </w:r>
          </w:p>
        </w:tc>
      </w:tr>
    </w:tbl>
    <w:p w14:paraId="68D17DFA" w14:textId="77777777" w:rsidR="00712DA3" w:rsidRDefault="00712DA3" w:rsidP="00DC00A1"/>
    <w:p w14:paraId="7E1E62BB" w14:textId="323CFD63" w:rsidR="00DC00A1" w:rsidRDefault="00DC00A1" w:rsidP="00DC00A1">
      <w:r>
        <w:t>W</w:t>
      </w:r>
      <w:r w:rsidRPr="005C79D1">
        <w:t xml:space="preserve">e continue to see significant growth in the number of Koorie students completing school with a VCE, VCAL or VET in Schools Certificate, </w:t>
      </w:r>
      <w:r>
        <w:t xml:space="preserve">increasing </w:t>
      </w:r>
      <w:r w:rsidRPr="005C79D1">
        <w:t xml:space="preserve">from 175 </w:t>
      </w:r>
      <w:r>
        <w:t xml:space="preserve">students </w:t>
      </w:r>
      <w:r w:rsidRPr="005C79D1">
        <w:t xml:space="preserve">in 2005, </w:t>
      </w:r>
      <w:r>
        <w:t xml:space="preserve">to </w:t>
      </w:r>
      <w:r w:rsidRPr="005C79D1">
        <w:t xml:space="preserve">523 </w:t>
      </w:r>
      <w:r>
        <w:t xml:space="preserve">students </w:t>
      </w:r>
      <w:r w:rsidRPr="005C79D1">
        <w:t xml:space="preserve">in 2017, </w:t>
      </w:r>
      <w:r>
        <w:t xml:space="preserve">and </w:t>
      </w:r>
      <w:r w:rsidRPr="005C79D1">
        <w:t xml:space="preserve">to 677 </w:t>
      </w:r>
      <w:r>
        <w:t xml:space="preserve">students </w:t>
      </w:r>
      <w:r w:rsidRPr="005C79D1">
        <w:t xml:space="preserve">in 2020. However, we know there can </w:t>
      </w:r>
      <w:r>
        <w:t xml:space="preserve">and should </w:t>
      </w:r>
      <w:r w:rsidRPr="005C79D1">
        <w:t>be continued efforts to ensure that senior secondary schooling is of value to students and sets them up for the post-school education and/or employment pathway of their choice.</w:t>
      </w:r>
    </w:p>
    <w:p w14:paraId="08E47D3F" w14:textId="1E71761F" w:rsidR="00DC00A1" w:rsidRPr="005C79D1" w:rsidRDefault="00DC00A1" w:rsidP="00DC00A1"/>
    <w:p w14:paraId="289A8C90" w14:textId="3B857A6A" w:rsidR="00DC00A1" w:rsidRDefault="00DC00A1" w:rsidP="00DC00A1">
      <w:r w:rsidRPr="005C79D1">
        <w:t xml:space="preserve">The proportion of Aboriginal young people engaged in education, training or employment after they leave school has grown significantly across the last decade. According to </w:t>
      </w:r>
      <w:r>
        <w:t xml:space="preserve">the </w:t>
      </w:r>
      <w:r w:rsidRPr="005C79D1">
        <w:t xml:space="preserve">On-Track survey, in 2020, Aboriginal Year 12 completers were more likely to go on to do a </w:t>
      </w:r>
      <w:r>
        <w:t>b</w:t>
      </w:r>
      <w:r w:rsidRPr="005C79D1">
        <w:t xml:space="preserve">achelor degree, apprenticeship or traineeship or be employed, and were less likely to be looking for work than </w:t>
      </w:r>
      <w:r>
        <w:t>Aboriginal Year 12 completers</w:t>
      </w:r>
      <w:r w:rsidRPr="005C79D1">
        <w:t xml:space="preserve"> in 2009.</w:t>
      </w:r>
    </w:p>
    <w:p w14:paraId="5772685A" w14:textId="77777777" w:rsidR="00544AB4" w:rsidRPr="005C79D1" w:rsidRDefault="00544AB4" w:rsidP="00DC00A1"/>
    <w:p w14:paraId="01C4CA09" w14:textId="4936E311" w:rsidR="00DC00A1" w:rsidRDefault="00DC00A1" w:rsidP="00DC00A1">
      <w:r w:rsidRPr="005C79D1">
        <w:t>Of the Aboriginal Year 12 completers surveyed in 2020, 62.8</w:t>
      </w:r>
      <w:r>
        <w:t>%</w:t>
      </w:r>
      <w:r w:rsidRPr="005C79D1">
        <w:t xml:space="preserve"> went on to further education and training, 13.9</w:t>
      </w:r>
      <w:r>
        <w:t>%</w:t>
      </w:r>
      <w:r w:rsidRPr="005C79D1">
        <w:t xml:space="preserve"> undert</w:t>
      </w:r>
      <w:r>
        <w:t>ook</w:t>
      </w:r>
      <w:r w:rsidRPr="005C79D1">
        <w:t xml:space="preserve"> a certificate or diploma, 16.4</w:t>
      </w:r>
      <w:r>
        <w:t>%</w:t>
      </w:r>
      <w:r w:rsidRPr="005C79D1">
        <w:t xml:space="preserve"> </w:t>
      </w:r>
      <w:r>
        <w:t xml:space="preserve">enrolled in </w:t>
      </w:r>
      <w:r w:rsidRPr="005C79D1">
        <w:t>an apprenticeship or traineeship</w:t>
      </w:r>
      <w:r>
        <w:t>,</w:t>
      </w:r>
      <w:r w:rsidRPr="005C79D1">
        <w:t xml:space="preserve"> and 32.5</w:t>
      </w:r>
      <w:r>
        <w:t>% commenced</w:t>
      </w:r>
      <w:r w:rsidRPr="005C79D1">
        <w:t xml:space="preserve"> a </w:t>
      </w:r>
      <w:r>
        <w:t>b</w:t>
      </w:r>
      <w:r w:rsidRPr="005C79D1">
        <w:t xml:space="preserve">achelor degree at </w:t>
      </w:r>
      <w:r>
        <w:t>u</w:t>
      </w:r>
      <w:r w:rsidRPr="005C79D1">
        <w:t>niversity. While this is low compared to non-Aboriginal Year 12 completers (55</w:t>
      </w:r>
      <w:r>
        <w:t>% of whom</w:t>
      </w:r>
      <w:r w:rsidRPr="005C79D1">
        <w:t xml:space="preserve"> commenced a </w:t>
      </w:r>
      <w:r>
        <w:t>b</w:t>
      </w:r>
      <w:r w:rsidRPr="005C79D1">
        <w:t xml:space="preserve">achelor degree), </w:t>
      </w:r>
      <w:r>
        <w:t xml:space="preserve">a </w:t>
      </w:r>
      <w:r w:rsidRPr="005C79D1">
        <w:t xml:space="preserve">significantly </w:t>
      </w:r>
      <w:r>
        <w:t>smaller proportion</w:t>
      </w:r>
      <w:r w:rsidRPr="005C79D1">
        <w:t xml:space="preserve"> of Aboriginal young people </w:t>
      </w:r>
      <w:r>
        <w:t xml:space="preserve">were </w:t>
      </w:r>
      <w:r w:rsidRPr="005C79D1">
        <w:t>surveyed</w:t>
      </w:r>
      <w:r>
        <w:t>,</w:t>
      </w:r>
      <w:r w:rsidRPr="005C79D1">
        <w:t xml:space="preserve"> mak</w:t>
      </w:r>
      <w:r>
        <w:t>ing</w:t>
      </w:r>
      <w:r w:rsidRPr="005C79D1">
        <w:t xml:space="preserve"> it difficult to draw strong conclusions </w:t>
      </w:r>
      <w:r>
        <w:t>from the data</w:t>
      </w:r>
      <w:r w:rsidRPr="005C79D1">
        <w:t xml:space="preserve">, given that </w:t>
      </w:r>
      <w:r>
        <w:t>minor</w:t>
      </w:r>
      <w:r w:rsidRPr="005C79D1">
        <w:t xml:space="preserve"> movements in such small numbers lead to large fluctuations in proportions of the population (in 2020, the number of young people surveyed who identified as Aboriginal was around one per cent of the total survey sample). </w:t>
      </w:r>
    </w:p>
    <w:p w14:paraId="14A4D8D9" w14:textId="2C31BD8A" w:rsidR="00544AB4" w:rsidRPr="005C79D1" w:rsidRDefault="00544AB4" w:rsidP="00DC00A1"/>
    <w:p w14:paraId="271C7212" w14:textId="6AAC132E" w:rsidR="00DC00A1" w:rsidRPr="005C79D1" w:rsidRDefault="00DC00A1" w:rsidP="00DC00A1">
      <w:r w:rsidRPr="005C79D1">
        <w:lastRenderedPageBreak/>
        <w:t>Despite fluctuations between years, some general trends have emerged over the past five years in the destinations of Aboriginal students who have completed Year 12. Each year since 2016, between 50-to-60</w:t>
      </w:r>
      <w:r>
        <w:t>%</w:t>
      </w:r>
      <w:r w:rsidRPr="005C79D1">
        <w:t xml:space="preserve"> have gone on to either employment or study at the </w:t>
      </w:r>
      <w:r>
        <w:t>b</w:t>
      </w:r>
      <w:r w:rsidRPr="005C79D1">
        <w:t xml:space="preserve">achelor degree level. Reflecting state-wide trends, there has also been a decrease in the proportion </w:t>
      </w:r>
      <w:r>
        <w:t xml:space="preserve">of Aboriginal students who have completed Year 12 </w:t>
      </w:r>
      <w:r w:rsidRPr="005C79D1">
        <w:t xml:space="preserve">pursuing a </w:t>
      </w:r>
      <w:r>
        <w:t>c</w:t>
      </w:r>
      <w:r w:rsidRPr="005C79D1">
        <w:t xml:space="preserve">ertificate or </w:t>
      </w:r>
      <w:r>
        <w:t>d</w:t>
      </w:r>
      <w:r w:rsidRPr="005C79D1">
        <w:t>iploma. Unlike for non-Koorie school leavers, COVID-19 does not appear to have disrupted the trend of more Aboriginal Year 12 completers pursuing an apprenticeship/traineeship (16 per cent in 2020, up from 12 per cent in 2016). In 2020, COVID-19 also impacted the previously consistent reduction in the proportion of Aboriginal Year 12 completers looking for work.</w:t>
      </w:r>
    </w:p>
    <w:p w14:paraId="0950D424" w14:textId="43A9B7FB" w:rsidR="00DC00A1" w:rsidRDefault="00DC00A1" w:rsidP="00DC00A1"/>
    <w:p w14:paraId="3A06B666" w14:textId="2B039E2B" w:rsidR="00DC00A1" w:rsidRDefault="00DC00A1" w:rsidP="00624A55">
      <w:pPr>
        <w:pStyle w:val="Heading2"/>
        <w:rPr>
          <w:lang w:val="en-AU"/>
        </w:rPr>
      </w:pPr>
    </w:p>
    <w:p w14:paraId="6F38E14F" w14:textId="3652D66D" w:rsidR="00DC00A1" w:rsidRDefault="00DC00A1" w:rsidP="00624A55">
      <w:pPr>
        <w:pStyle w:val="Heading2"/>
        <w:rPr>
          <w:lang w:val="en-AU"/>
        </w:rPr>
      </w:pPr>
    </w:p>
    <w:p w14:paraId="52042A95" w14:textId="0524BF54" w:rsidR="00DC00A1" w:rsidRDefault="00DC00A1" w:rsidP="00624A55">
      <w:pPr>
        <w:pStyle w:val="Heading2"/>
        <w:rPr>
          <w:lang w:val="en-AU"/>
        </w:rPr>
      </w:pPr>
    </w:p>
    <w:p w14:paraId="7C4AA1A5" w14:textId="1C766A64" w:rsidR="00DC00A1" w:rsidRDefault="00DC00A1" w:rsidP="00624A55">
      <w:pPr>
        <w:pStyle w:val="Heading2"/>
        <w:rPr>
          <w:lang w:val="en-AU"/>
        </w:rPr>
      </w:pPr>
    </w:p>
    <w:p w14:paraId="3950F060" w14:textId="772C9803" w:rsidR="00122369" w:rsidRPr="00E34721" w:rsidRDefault="00122369" w:rsidP="004D4388">
      <w:pPr>
        <w:pStyle w:val="Copyrighttext"/>
        <w:rPr>
          <w:rFonts w:cstheme="minorHAnsi"/>
        </w:rPr>
      </w:pPr>
    </w:p>
    <w:sectPr w:rsidR="00122369" w:rsidRPr="00E34721" w:rsidSect="00C73E32">
      <w:footerReference w:type="even" r:id="rId12"/>
      <w:footerReference w:type="default" r:id="rId13"/>
      <w:pgSz w:w="11900" w:h="16840"/>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61DA" w14:textId="77777777" w:rsidR="00624C88" w:rsidRDefault="00624C88" w:rsidP="003967DD">
      <w:pPr>
        <w:spacing w:after="0"/>
      </w:pPr>
      <w:r>
        <w:separator/>
      </w:r>
    </w:p>
  </w:endnote>
  <w:endnote w:type="continuationSeparator" w:id="0">
    <w:p w14:paraId="07E0D091" w14:textId="77777777" w:rsidR="00624C88" w:rsidRDefault="00624C8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56D7" w14:textId="77777777" w:rsidR="00624C88" w:rsidRDefault="00624C88" w:rsidP="003967DD">
      <w:pPr>
        <w:spacing w:after="0"/>
      </w:pPr>
      <w:r>
        <w:separator/>
      </w:r>
    </w:p>
  </w:footnote>
  <w:footnote w:type="continuationSeparator" w:id="0">
    <w:p w14:paraId="030AF005" w14:textId="77777777" w:rsidR="00624C88" w:rsidRDefault="00624C88" w:rsidP="003967DD">
      <w:pPr>
        <w:spacing w:after="0"/>
      </w:pPr>
      <w:r>
        <w:continuationSeparator/>
      </w:r>
    </w:p>
  </w:footnote>
  <w:footnote w:id="1">
    <w:p w14:paraId="093FD930" w14:textId="77777777" w:rsidR="00DC00A1" w:rsidRPr="00047203" w:rsidRDefault="00DC00A1" w:rsidP="00DC00A1">
      <w:pPr>
        <w:pStyle w:val="FootnoteText"/>
        <w:rPr>
          <w:sz w:val="16"/>
          <w:szCs w:val="16"/>
        </w:rPr>
      </w:pPr>
      <w:r w:rsidRPr="00047203">
        <w:rPr>
          <w:rStyle w:val="FootnoteReference"/>
          <w:sz w:val="16"/>
          <w:szCs w:val="16"/>
        </w:rPr>
        <w:footnoteRef/>
      </w:r>
      <w:r w:rsidRPr="00047203">
        <w:rPr>
          <w:sz w:val="16"/>
          <w:szCs w:val="16"/>
        </w:rPr>
        <w:t xml:space="preserve"> Centre for Independent Studies, 2021. </w:t>
      </w:r>
      <w:r w:rsidRPr="00047203">
        <w:rPr>
          <w:color w:val="211D1E"/>
          <w:sz w:val="16"/>
          <w:szCs w:val="16"/>
        </w:rPr>
        <w:t>Mind the Gap: Understanding the Indigenous education gap and how to close it. P.2</w:t>
      </w:r>
    </w:p>
  </w:footnote>
  <w:footnote w:id="2">
    <w:p w14:paraId="717BC7EC" w14:textId="77777777" w:rsidR="00DC00A1" w:rsidRPr="00047203" w:rsidRDefault="00DC00A1" w:rsidP="00DC00A1">
      <w:pPr>
        <w:pStyle w:val="FootnoteText"/>
        <w:rPr>
          <w:sz w:val="16"/>
          <w:szCs w:val="16"/>
        </w:rPr>
      </w:pPr>
      <w:r w:rsidRPr="00047203">
        <w:rPr>
          <w:rStyle w:val="FootnoteReference"/>
          <w:sz w:val="16"/>
          <w:szCs w:val="16"/>
        </w:rPr>
        <w:footnoteRef/>
      </w:r>
      <w:r w:rsidRPr="00047203">
        <w:rPr>
          <w:sz w:val="16"/>
          <w:szCs w:val="16"/>
        </w:rPr>
        <w:t xml:space="preserve"> CIS, 2021 and Productivity Commission analysis found that around 15 per cent of the explained differences in student ‘value-added’ achievement is due to differences in school attendance.</w:t>
      </w:r>
    </w:p>
  </w:footnote>
  <w:footnote w:id="3">
    <w:p w14:paraId="34B19F7F" w14:textId="77777777" w:rsidR="00DC00A1" w:rsidRPr="00047203" w:rsidRDefault="00DC00A1" w:rsidP="00DC00A1">
      <w:pPr>
        <w:pStyle w:val="FootnoteText"/>
        <w:rPr>
          <w:sz w:val="16"/>
          <w:szCs w:val="16"/>
        </w:rPr>
      </w:pPr>
      <w:r w:rsidRPr="00047203">
        <w:rPr>
          <w:rStyle w:val="FootnoteReference"/>
          <w:sz w:val="16"/>
          <w:szCs w:val="16"/>
        </w:rPr>
        <w:footnoteRef/>
      </w:r>
      <w:r w:rsidRPr="00047203">
        <w:rPr>
          <w:sz w:val="16"/>
          <w:szCs w:val="16"/>
        </w:rPr>
        <w:t xml:space="preserve"> ** Attendance rates are the number of actual full-time equivalent student-days attended by full-time students in Years 1 to 10 as a percentage of the total number of possible student-days attended over the period.</w:t>
      </w:r>
    </w:p>
    <w:p w14:paraId="1D40A13B" w14:textId="77777777" w:rsidR="00DC00A1" w:rsidRPr="00047203" w:rsidRDefault="00DC00A1" w:rsidP="00DC00A1">
      <w:pPr>
        <w:pStyle w:val="FootnoteText"/>
        <w:rPr>
          <w:sz w:val="16"/>
          <w:szCs w:val="16"/>
        </w:rPr>
      </w:pPr>
      <w:r w:rsidRPr="00047203">
        <w:rPr>
          <w:sz w:val="16"/>
          <w:szCs w:val="16"/>
        </w:rPr>
        <w:t>*** Attendance level is the proportion of full-time students in Years 1-10 whose attendance rate in Semester 1 is equal to or greater than 90 per cent.</w:t>
      </w:r>
    </w:p>
  </w:footnote>
  <w:footnote w:id="4">
    <w:p w14:paraId="537622F5" w14:textId="77777777" w:rsidR="00DC00A1" w:rsidRPr="00047203" w:rsidRDefault="00DC00A1" w:rsidP="00DC00A1">
      <w:pPr>
        <w:pStyle w:val="FootnoteText"/>
        <w:rPr>
          <w:sz w:val="16"/>
          <w:szCs w:val="16"/>
        </w:rPr>
      </w:pPr>
      <w:r w:rsidRPr="00047203">
        <w:rPr>
          <w:rStyle w:val="FootnoteReference"/>
          <w:sz w:val="16"/>
          <w:szCs w:val="16"/>
        </w:rPr>
        <w:footnoteRef/>
      </w:r>
      <w:r w:rsidRPr="00047203">
        <w:rPr>
          <w:sz w:val="16"/>
          <w:szCs w:val="16"/>
        </w:rPr>
        <w:t xml:space="preserve"> C</w:t>
      </w:r>
      <w:r>
        <w:rPr>
          <w:sz w:val="16"/>
          <w:szCs w:val="16"/>
        </w:rPr>
        <w:t>IS</w:t>
      </w:r>
      <w:r w:rsidRPr="00047203">
        <w:rPr>
          <w:sz w:val="16"/>
          <w:szCs w:val="16"/>
        </w:rPr>
        <w:t>, 2021</w:t>
      </w:r>
    </w:p>
  </w:footnote>
  <w:footnote w:id="5">
    <w:p w14:paraId="7627F8A0" w14:textId="77777777" w:rsidR="00DC00A1" w:rsidRPr="00047203" w:rsidRDefault="00DC00A1" w:rsidP="00DC00A1">
      <w:pPr>
        <w:pStyle w:val="FootnoteText"/>
        <w:rPr>
          <w:sz w:val="16"/>
          <w:szCs w:val="16"/>
        </w:rPr>
      </w:pPr>
      <w:r w:rsidRPr="00047203">
        <w:rPr>
          <w:rStyle w:val="FootnoteReference"/>
          <w:sz w:val="16"/>
          <w:szCs w:val="16"/>
        </w:rPr>
        <w:footnoteRef/>
      </w:r>
      <w:r w:rsidRPr="00047203">
        <w:rPr>
          <w:sz w:val="16"/>
          <w:szCs w:val="16"/>
        </w:rPr>
        <w:t xml:space="preserve"> CIS, 2021.</w:t>
      </w:r>
    </w:p>
    <w:p w14:paraId="767A1A57" w14:textId="77777777" w:rsidR="00DC00A1" w:rsidRDefault="00DC00A1" w:rsidP="00DC00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CE0450"/>
    <w:multiLevelType w:val="hybridMultilevel"/>
    <w:tmpl w:val="5B264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6"/>
  </w:num>
  <w:num w:numId="14">
    <w:abstractNumId w:val="17"/>
  </w:num>
  <w:num w:numId="15">
    <w:abstractNumId w:val="12"/>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63B7F"/>
    <w:rsid w:val="00080DA9"/>
    <w:rsid w:val="000861DD"/>
    <w:rsid w:val="000A47D4"/>
    <w:rsid w:val="000C600E"/>
    <w:rsid w:val="00122369"/>
    <w:rsid w:val="00131AD4"/>
    <w:rsid w:val="00150E0F"/>
    <w:rsid w:val="00157212"/>
    <w:rsid w:val="0016287D"/>
    <w:rsid w:val="00187B73"/>
    <w:rsid w:val="001D0D94"/>
    <w:rsid w:val="001D13F9"/>
    <w:rsid w:val="001E450E"/>
    <w:rsid w:val="001F39DD"/>
    <w:rsid w:val="002512BE"/>
    <w:rsid w:val="00275FB8"/>
    <w:rsid w:val="002A4A96"/>
    <w:rsid w:val="002E3BED"/>
    <w:rsid w:val="002F6115"/>
    <w:rsid w:val="00312720"/>
    <w:rsid w:val="003370BF"/>
    <w:rsid w:val="00342C05"/>
    <w:rsid w:val="00343AFC"/>
    <w:rsid w:val="0034745C"/>
    <w:rsid w:val="003967DD"/>
    <w:rsid w:val="003A4C39"/>
    <w:rsid w:val="003B0CB7"/>
    <w:rsid w:val="003C6A98"/>
    <w:rsid w:val="003D135F"/>
    <w:rsid w:val="003F098B"/>
    <w:rsid w:val="0042333B"/>
    <w:rsid w:val="00443E58"/>
    <w:rsid w:val="004A2E74"/>
    <w:rsid w:val="004B2ED6"/>
    <w:rsid w:val="004B762A"/>
    <w:rsid w:val="004D4388"/>
    <w:rsid w:val="004E386E"/>
    <w:rsid w:val="004F5FF2"/>
    <w:rsid w:val="00500ADA"/>
    <w:rsid w:val="00512BBA"/>
    <w:rsid w:val="00544401"/>
    <w:rsid w:val="00544AB4"/>
    <w:rsid w:val="00555277"/>
    <w:rsid w:val="00567CF0"/>
    <w:rsid w:val="00584366"/>
    <w:rsid w:val="005A4F12"/>
    <w:rsid w:val="005E0713"/>
    <w:rsid w:val="00624A55"/>
    <w:rsid w:val="00624C88"/>
    <w:rsid w:val="006523D7"/>
    <w:rsid w:val="006671CE"/>
    <w:rsid w:val="006A1F8A"/>
    <w:rsid w:val="006A25AC"/>
    <w:rsid w:val="006C45C0"/>
    <w:rsid w:val="006E2B9A"/>
    <w:rsid w:val="00710CED"/>
    <w:rsid w:val="00712DA3"/>
    <w:rsid w:val="00735566"/>
    <w:rsid w:val="00767573"/>
    <w:rsid w:val="007B556E"/>
    <w:rsid w:val="007D0C20"/>
    <w:rsid w:val="007D3E38"/>
    <w:rsid w:val="008065DA"/>
    <w:rsid w:val="00890680"/>
    <w:rsid w:val="00892E24"/>
    <w:rsid w:val="008B1737"/>
    <w:rsid w:val="008F3D35"/>
    <w:rsid w:val="00952690"/>
    <w:rsid w:val="00954B9A"/>
    <w:rsid w:val="0099358C"/>
    <w:rsid w:val="009F6A77"/>
    <w:rsid w:val="00A06D58"/>
    <w:rsid w:val="00A31926"/>
    <w:rsid w:val="00A710DF"/>
    <w:rsid w:val="00B14EB1"/>
    <w:rsid w:val="00B21562"/>
    <w:rsid w:val="00BA5A6E"/>
    <w:rsid w:val="00C539BB"/>
    <w:rsid w:val="00C73E32"/>
    <w:rsid w:val="00C933E1"/>
    <w:rsid w:val="00CC5AA8"/>
    <w:rsid w:val="00CD5993"/>
    <w:rsid w:val="00CD66C7"/>
    <w:rsid w:val="00CE7301"/>
    <w:rsid w:val="00CE7916"/>
    <w:rsid w:val="00D9777A"/>
    <w:rsid w:val="00DC00A1"/>
    <w:rsid w:val="00DC4D0D"/>
    <w:rsid w:val="00DC70A8"/>
    <w:rsid w:val="00DC757E"/>
    <w:rsid w:val="00E33087"/>
    <w:rsid w:val="00E34263"/>
    <w:rsid w:val="00E34721"/>
    <w:rsid w:val="00E4317E"/>
    <w:rsid w:val="00E440E9"/>
    <w:rsid w:val="00E5030B"/>
    <w:rsid w:val="00E6100B"/>
    <w:rsid w:val="00E64758"/>
    <w:rsid w:val="00E65ECB"/>
    <w:rsid w:val="00E77EB9"/>
    <w:rsid w:val="00F0610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character" w:styleId="FootnoteReference">
    <w:name w:val="footnote reference"/>
    <w:basedOn w:val="DefaultParagraphFont"/>
    <w:uiPriority w:val="99"/>
    <w:semiHidden/>
    <w:unhideWhenUsed/>
    <w:rsid w:val="00DC00A1"/>
    <w:rPr>
      <w:vertAlign w:val="superscript"/>
    </w:rPr>
  </w:style>
  <w:style w:type="paragraph" w:styleId="EndnoteText">
    <w:name w:val="endnote text"/>
    <w:basedOn w:val="Normal"/>
    <w:link w:val="EndnoteTextChar"/>
    <w:uiPriority w:val="99"/>
    <w:unhideWhenUsed/>
    <w:rsid w:val="00DC00A1"/>
    <w:pPr>
      <w:spacing w:after="0"/>
    </w:pPr>
    <w:rPr>
      <w:sz w:val="20"/>
      <w:szCs w:val="20"/>
      <w:lang w:val="en-AU"/>
    </w:rPr>
  </w:style>
  <w:style w:type="character" w:customStyle="1" w:styleId="EndnoteTextChar">
    <w:name w:val="Endnote Text Char"/>
    <w:basedOn w:val="DefaultParagraphFont"/>
    <w:link w:val="EndnoteText"/>
    <w:uiPriority w:val="99"/>
    <w:rsid w:val="00DC00A1"/>
    <w:rPr>
      <w:sz w:val="20"/>
      <w:szCs w:val="20"/>
      <w:lang w:val="en-AU"/>
    </w:rPr>
  </w:style>
  <w:style w:type="table" w:customStyle="1" w:styleId="TableGrid1">
    <w:name w:val="Table Grid1"/>
    <w:basedOn w:val="TableNormal"/>
    <w:next w:val="TableGrid"/>
    <w:uiPriority w:val="39"/>
    <w:rsid w:val="00DC00A1"/>
    <w:rPr>
      <w:rFonts w:eastAsia="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672315">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23935994">
      <w:bodyDiv w:val="1"/>
      <w:marLeft w:val="0"/>
      <w:marRight w:val="0"/>
      <w:marTop w:val="0"/>
      <w:marBottom w:val="0"/>
      <w:divBdr>
        <w:top w:val="none" w:sz="0" w:space="0" w:color="auto"/>
        <w:left w:val="none" w:sz="0" w:space="0" w:color="auto"/>
        <w:bottom w:val="none" w:sz="0" w:space="0" w:color="auto"/>
        <w:right w:val="none" w:sz="0" w:space="0" w:color="auto"/>
      </w:divBdr>
    </w:div>
    <w:div w:id="91043349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66393845">
      <w:bodyDiv w:val="1"/>
      <w:marLeft w:val="0"/>
      <w:marRight w:val="0"/>
      <w:marTop w:val="0"/>
      <w:marBottom w:val="0"/>
      <w:divBdr>
        <w:top w:val="none" w:sz="0" w:space="0" w:color="auto"/>
        <w:left w:val="none" w:sz="0" w:space="0" w:color="auto"/>
        <w:bottom w:val="none" w:sz="0" w:space="0" w:color="auto"/>
        <w:right w:val="none" w:sz="0" w:space="0" w:color="auto"/>
      </w:divBdr>
    </w:div>
    <w:div w:id="1918786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an Ngitj">
      <a:dk1>
        <a:srgbClr val="000000"/>
      </a:dk1>
      <a:lt1>
        <a:srgbClr val="FFFFFF"/>
      </a:lt1>
      <a:dk2>
        <a:srgbClr val="000000"/>
      </a:dk2>
      <a:lt2>
        <a:srgbClr val="E7E6E6"/>
      </a:lt2>
      <a:accent1>
        <a:srgbClr val="AE272F"/>
      </a:accent1>
      <a:accent2>
        <a:srgbClr val="8A2A2B"/>
      </a:accent2>
      <a:accent3>
        <a:srgbClr val="E57100"/>
      </a:accent3>
      <a:accent4>
        <a:srgbClr val="D40032"/>
      </a:accent4>
      <a:accent5>
        <a:srgbClr val="8A2A2B"/>
      </a:accent5>
      <a:accent6>
        <a:srgbClr val="FF9D2F"/>
      </a:accent6>
      <a:hlink>
        <a:srgbClr val="AE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Participation and Inclusion,</DEECD_Keywords>
    <DEECD_Description xmlns="http://schemas.microsoft.com/sharepoint/v3">Current Data-Participation and Inclusion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1A0FD-D80E-4DE9-B8E8-CEF146A731E8}"/>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5A44C7-604D-4C29-B1B9-3A6002E53C8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Data-Participation and Inclusion</dc:title>
  <dc:subject/>
  <dc:creator>Isabel Lim</dc:creator>
  <cp:keywords/>
  <dc:description/>
  <cp:lastModifiedBy>Fiona Collie</cp:lastModifiedBy>
  <cp:revision>14</cp:revision>
  <dcterms:created xsi:type="dcterms:W3CDTF">2021-06-11T00:56:00Z</dcterms:created>
  <dcterms:modified xsi:type="dcterms:W3CDTF">2021-12-21T23:25:00Z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