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E65B" w14:textId="2C951311" w:rsidR="00624A55" w:rsidRPr="00624A55" w:rsidRDefault="0067177D" w:rsidP="00EF4DA1">
      <w:pPr>
        <w:pStyle w:val="Heading1"/>
        <w:rPr>
          <w:lang w:val="en-AU"/>
        </w:rPr>
      </w:pPr>
      <w:r>
        <w:rPr>
          <w:lang w:val="en-AU"/>
        </w:rPr>
        <w:t>Navigator</w:t>
      </w:r>
    </w:p>
    <w:p w14:paraId="12E1038F" w14:textId="39B1EEB0" w:rsidR="00624A55" w:rsidRPr="005D3C53" w:rsidRDefault="000403AA" w:rsidP="00EF4DA1">
      <w:pPr>
        <w:pStyle w:val="Intro"/>
        <w:rPr>
          <w:sz w:val="28"/>
          <w:szCs w:val="28"/>
        </w:rPr>
      </w:pPr>
      <w:r>
        <w:rPr>
          <w:sz w:val="28"/>
          <w:szCs w:val="28"/>
        </w:rPr>
        <w:t>Program Overview</w:t>
      </w:r>
    </w:p>
    <w:p w14:paraId="51DA80D1" w14:textId="0FF1CB1D" w:rsidR="006552DB" w:rsidRPr="006552DB" w:rsidRDefault="008A1D98" w:rsidP="006552DB">
      <w:pPr>
        <w:pStyle w:val="Heading2"/>
        <w:rPr>
          <w:lang w:val="en-AU"/>
        </w:rPr>
      </w:pPr>
      <w:r>
        <w:rPr>
          <w:lang w:val="en-AU"/>
        </w:rPr>
        <w:t>Backgroun</w:t>
      </w:r>
      <w:r w:rsidR="006441CC">
        <w:rPr>
          <w:lang w:val="en-AU"/>
        </w:rPr>
        <w:t>D</w:t>
      </w:r>
    </w:p>
    <w:p w14:paraId="26DD691D" w14:textId="77777777" w:rsidR="000D4878" w:rsidRDefault="006552DB" w:rsidP="008D093E">
      <w:pPr>
        <w:spacing w:after="0"/>
        <w:jc w:val="both"/>
        <w:rPr>
          <w:rFonts w:cs="Arial"/>
          <w:szCs w:val="20"/>
        </w:rPr>
      </w:pPr>
      <w:r w:rsidRPr="006552DB">
        <w:rPr>
          <w:rFonts w:cs="Arial"/>
          <w:szCs w:val="20"/>
        </w:rPr>
        <w:t>Education is the centrepiece of the Victorian state. Our education system underpins our shared social and economic prosperity, and strengthens Victoria’s communities and culture. Education provides the means for Victorians to make a living and, even more importantly, to create a life.</w:t>
      </w:r>
    </w:p>
    <w:p w14:paraId="25C9B068" w14:textId="77777777" w:rsidR="000D4878" w:rsidRDefault="000D4878" w:rsidP="008D093E">
      <w:pPr>
        <w:spacing w:after="0"/>
        <w:jc w:val="both"/>
        <w:rPr>
          <w:rFonts w:cs="Arial"/>
          <w:szCs w:val="20"/>
        </w:rPr>
      </w:pPr>
    </w:p>
    <w:p w14:paraId="20B9EC71" w14:textId="2C90BA37" w:rsidR="006552DB" w:rsidRDefault="000D4878" w:rsidP="008D093E">
      <w:pPr>
        <w:spacing w:after="0"/>
        <w:jc w:val="both"/>
        <w:rPr>
          <w:rFonts w:cs="Arial"/>
          <w:szCs w:val="20"/>
        </w:rPr>
      </w:pPr>
      <w:r>
        <w:rPr>
          <w:lang w:val="en-US"/>
        </w:rPr>
        <w:t xml:space="preserve">The Victorian Government’s Education State reform agenda sets out clear aspirations for creating an inclusive education system where schools can support all learners to stay in education and reach their potential. A system that </w:t>
      </w:r>
      <w:r w:rsidR="006552DB" w:rsidRPr="006552DB">
        <w:rPr>
          <w:rFonts w:cs="Arial"/>
          <w:szCs w:val="20"/>
        </w:rPr>
        <w:t>ensures all Victorians have equal access to the benefits and opportuni</w:t>
      </w:r>
      <w:r>
        <w:rPr>
          <w:rFonts w:cs="Arial"/>
          <w:szCs w:val="20"/>
        </w:rPr>
        <w:t>ties that come from education and ensures</w:t>
      </w:r>
      <w:r w:rsidR="006552DB" w:rsidRPr="006552DB">
        <w:rPr>
          <w:rFonts w:cs="Arial"/>
          <w:szCs w:val="20"/>
        </w:rPr>
        <w:t xml:space="preserve"> that every Victorian learner is affor</w:t>
      </w:r>
      <w:r>
        <w:rPr>
          <w:rFonts w:cs="Arial"/>
          <w:szCs w:val="20"/>
        </w:rPr>
        <w:t>ded the opportunity to succeed.</w:t>
      </w:r>
    </w:p>
    <w:p w14:paraId="0864FE4D" w14:textId="77777777" w:rsidR="006552DB" w:rsidRPr="006552DB" w:rsidRDefault="006552DB" w:rsidP="008D093E">
      <w:pPr>
        <w:spacing w:after="0"/>
        <w:jc w:val="both"/>
        <w:rPr>
          <w:rFonts w:cs="Arial"/>
          <w:szCs w:val="20"/>
        </w:rPr>
      </w:pPr>
    </w:p>
    <w:p w14:paraId="20E824A5" w14:textId="40ADE905" w:rsidR="006552DB" w:rsidRDefault="006552DB" w:rsidP="008D093E">
      <w:pPr>
        <w:spacing w:after="0"/>
        <w:jc w:val="both"/>
        <w:rPr>
          <w:rFonts w:cs="Arial"/>
          <w:szCs w:val="20"/>
        </w:rPr>
      </w:pPr>
      <w:r w:rsidRPr="006552DB">
        <w:rPr>
          <w:rFonts w:cs="Arial"/>
          <w:szCs w:val="20"/>
        </w:rPr>
        <w:t xml:space="preserve">An inclusive education system tailors its approach to all learners. By providing an inclusive and excellent education system, we can break the links between a person’s postcode and their life chances. All students should be engaged in their education, and should they ever disengage from schooling, our education system should work toward their </w:t>
      </w:r>
      <w:r>
        <w:rPr>
          <w:rFonts w:cs="Arial"/>
          <w:szCs w:val="20"/>
        </w:rPr>
        <w:t>re-engagement</w:t>
      </w:r>
      <w:r w:rsidR="0024385E">
        <w:rPr>
          <w:rFonts w:cs="Arial"/>
          <w:szCs w:val="20"/>
        </w:rPr>
        <w:t xml:space="preserve"> in partnership with other systems</w:t>
      </w:r>
      <w:r>
        <w:rPr>
          <w:rFonts w:cs="Arial"/>
          <w:szCs w:val="20"/>
        </w:rPr>
        <w:t>.</w:t>
      </w:r>
    </w:p>
    <w:p w14:paraId="766FFABF" w14:textId="77777777" w:rsidR="006552DB" w:rsidRPr="006552DB" w:rsidRDefault="006552DB" w:rsidP="008D093E">
      <w:pPr>
        <w:spacing w:after="0"/>
        <w:jc w:val="both"/>
        <w:rPr>
          <w:rFonts w:cs="Arial"/>
          <w:szCs w:val="20"/>
        </w:rPr>
      </w:pPr>
    </w:p>
    <w:p w14:paraId="6641227A" w14:textId="18EC02B0" w:rsidR="006552DB" w:rsidRDefault="0067177D" w:rsidP="008D093E">
      <w:pPr>
        <w:spacing w:after="0"/>
        <w:jc w:val="both"/>
        <w:rPr>
          <w:rFonts w:cs="Arial"/>
          <w:bCs/>
          <w:szCs w:val="20"/>
          <w:lang w:val="en-AU"/>
        </w:rPr>
      </w:pPr>
      <w:r w:rsidRPr="00E71D25">
        <w:rPr>
          <w:rFonts w:cs="Arial"/>
          <w:szCs w:val="20"/>
        </w:rPr>
        <w:t xml:space="preserve">In Victoria, </w:t>
      </w:r>
      <w:r w:rsidR="006552DB" w:rsidRPr="006552DB">
        <w:rPr>
          <w:rFonts w:cs="Arial"/>
          <w:szCs w:val="20"/>
        </w:rPr>
        <w:t xml:space="preserve">there are a significant number of learners who have been disengaged, or are </w:t>
      </w:r>
      <w:proofErr w:type="gramStart"/>
      <w:r w:rsidR="006552DB" w:rsidRPr="006552DB">
        <w:rPr>
          <w:rFonts w:cs="Arial"/>
          <w:szCs w:val="20"/>
        </w:rPr>
        <w:t>vulnerable</w:t>
      </w:r>
      <w:proofErr w:type="gramEnd"/>
      <w:r w:rsidR="006552DB" w:rsidRPr="006552DB">
        <w:rPr>
          <w:rFonts w:cs="Arial"/>
          <w:szCs w:val="20"/>
        </w:rPr>
        <w:t xml:space="preserve"> to disengaging, from education or training. </w:t>
      </w:r>
      <w:r w:rsidR="006552DB" w:rsidRPr="006552DB">
        <w:rPr>
          <w:rFonts w:cs="Arial"/>
          <w:bCs/>
          <w:szCs w:val="20"/>
          <w:lang w:val="en-AU"/>
        </w:rPr>
        <w:t>Evidence from across Australia demonstrates that the likelihood of disengagement is increased by Indigenous status, having a language other than English spoken at home, living in rural areas and low</w:t>
      </w:r>
      <w:r w:rsidR="00926A8A">
        <w:rPr>
          <w:rFonts w:cs="Arial"/>
          <w:bCs/>
          <w:szCs w:val="20"/>
          <w:lang w:val="en-AU"/>
        </w:rPr>
        <w:t>er</w:t>
      </w:r>
      <w:r w:rsidR="006552DB" w:rsidRPr="006552DB">
        <w:rPr>
          <w:rFonts w:cs="Arial"/>
          <w:bCs/>
          <w:szCs w:val="20"/>
          <w:lang w:val="en-AU"/>
        </w:rPr>
        <w:t xml:space="preserve"> socio-economic status. Learners who have mental health issues and/or a disability are also more likely to be disengaged.</w:t>
      </w:r>
      <w:r w:rsidR="006552DB" w:rsidRPr="006552DB">
        <w:rPr>
          <w:rFonts w:cs="Arial"/>
          <w:bCs/>
          <w:szCs w:val="20"/>
          <w:vertAlign w:val="superscript"/>
          <w:lang w:val="en-AU"/>
        </w:rPr>
        <w:footnoteReference w:id="1"/>
      </w:r>
      <w:r w:rsidR="006552DB" w:rsidRPr="006552DB">
        <w:rPr>
          <w:rFonts w:cs="Arial"/>
          <w:bCs/>
          <w:szCs w:val="20"/>
          <w:vertAlign w:val="superscript"/>
          <w:lang w:val="en-AU"/>
        </w:rPr>
        <w:t xml:space="preserve"> </w:t>
      </w:r>
      <w:r w:rsidR="006552DB" w:rsidRPr="006552DB">
        <w:rPr>
          <w:rFonts w:cs="Arial"/>
          <w:bCs/>
          <w:szCs w:val="20"/>
          <w:lang w:val="en-AU"/>
        </w:rPr>
        <w:t>Homelessness, alcohol and drug use, exposure to family violence and trauma also feature in the backgrounds of disengaged young people. As a result, disengaged young people often need intensive, multifaceted supports to enable them to overcome these barriers and pursue educational success.</w:t>
      </w:r>
      <w:r w:rsidR="006552DB" w:rsidRPr="006552DB">
        <w:rPr>
          <w:rFonts w:cs="Arial"/>
          <w:bCs/>
          <w:szCs w:val="20"/>
          <w:vertAlign w:val="superscript"/>
          <w:lang w:val="en-AU"/>
        </w:rPr>
        <w:footnoteReference w:id="2"/>
      </w:r>
    </w:p>
    <w:p w14:paraId="1F324E0B" w14:textId="77777777" w:rsidR="0024385E" w:rsidRPr="006552DB" w:rsidRDefault="0024385E" w:rsidP="008D093E">
      <w:pPr>
        <w:spacing w:after="0"/>
        <w:jc w:val="both"/>
        <w:rPr>
          <w:rFonts w:cs="Arial"/>
          <w:bCs/>
          <w:szCs w:val="20"/>
          <w:lang w:val="en-AU"/>
        </w:rPr>
      </w:pPr>
    </w:p>
    <w:p w14:paraId="6BD49D33" w14:textId="0494756B" w:rsidR="006552DB" w:rsidRPr="006552DB" w:rsidRDefault="003E7FE7" w:rsidP="008D093E">
      <w:pPr>
        <w:spacing w:after="0"/>
        <w:jc w:val="both"/>
        <w:rPr>
          <w:rFonts w:cs="Arial"/>
          <w:bCs/>
          <w:szCs w:val="20"/>
          <w:lang w:val="en-AU"/>
        </w:rPr>
      </w:pPr>
      <w:r>
        <w:rPr>
          <w:rFonts w:cs="Arial"/>
          <w:bCs/>
          <w:szCs w:val="20"/>
          <w:lang w:val="en-AU"/>
        </w:rPr>
        <w:t xml:space="preserve">The </w:t>
      </w:r>
      <w:r w:rsidR="000D4878">
        <w:rPr>
          <w:rFonts w:cs="Arial"/>
          <w:bCs/>
          <w:szCs w:val="20"/>
          <w:lang w:val="en-AU"/>
        </w:rPr>
        <w:t>Navigator</w:t>
      </w:r>
      <w:r>
        <w:rPr>
          <w:rFonts w:cs="Arial"/>
          <w:bCs/>
          <w:szCs w:val="20"/>
          <w:lang w:val="en-AU"/>
        </w:rPr>
        <w:t xml:space="preserve"> Program</w:t>
      </w:r>
      <w:r w:rsidR="000D4878">
        <w:rPr>
          <w:rFonts w:cs="Arial"/>
          <w:bCs/>
          <w:szCs w:val="20"/>
          <w:lang w:val="en-AU"/>
        </w:rPr>
        <w:t xml:space="preserve"> fills this </w:t>
      </w:r>
      <w:r w:rsidR="006552DB" w:rsidRPr="006552DB">
        <w:rPr>
          <w:rFonts w:cs="Arial"/>
          <w:bCs/>
          <w:szCs w:val="20"/>
          <w:lang w:val="en-AU"/>
        </w:rPr>
        <w:t xml:space="preserve">essential service </w:t>
      </w:r>
      <w:r w:rsidR="0024385E">
        <w:rPr>
          <w:rFonts w:cs="Arial"/>
          <w:bCs/>
          <w:szCs w:val="20"/>
          <w:lang w:val="en-AU"/>
        </w:rPr>
        <w:t xml:space="preserve">gap by providing individualised, intensive </w:t>
      </w:r>
      <w:r w:rsidR="006552DB" w:rsidRPr="006552DB">
        <w:rPr>
          <w:rFonts w:cs="Arial"/>
          <w:bCs/>
          <w:szCs w:val="20"/>
          <w:lang w:val="en-AU"/>
        </w:rPr>
        <w:t>case management support</w:t>
      </w:r>
      <w:r w:rsidR="000D4878">
        <w:rPr>
          <w:rFonts w:cs="Arial"/>
          <w:bCs/>
          <w:szCs w:val="20"/>
          <w:lang w:val="en-AU"/>
        </w:rPr>
        <w:t xml:space="preserve"> – it is a targeted education support service, that works in </w:t>
      </w:r>
      <w:r w:rsidR="000D4878" w:rsidRPr="006552DB">
        <w:rPr>
          <w:rFonts w:cs="Arial"/>
          <w:bCs/>
          <w:szCs w:val="20"/>
          <w:lang w:val="en-AU"/>
        </w:rPr>
        <w:t>partnership with young people, families, support services and schools to enable young people to achieve their educational goals.</w:t>
      </w:r>
      <w:r w:rsidR="000D4878">
        <w:rPr>
          <w:rFonts w:cs="Arial"/>
          <w:bCs/>
          <w:szCs w:val="20"/>
          <w:lang w:val="en-AU"/>
        </w:rPr>
        <w:t xml:space="preserve">  </w:t>
      </w:r>
      <w:r w:rsidR="006552DB" w:rsidRPr="006552DB">
        <w:rPr>
          <w:rFonts w:cs="Arial"/>
          <w:bCs/>
          <w:szCs w:val="20"/>
          <w:lang w:val="en-AU"/>
        </w:rPr>
        <w:t xml:space="preserve"> </w:t>
      </w:r>
    </w:p>
    <w:p w14:paraId="0B98DCBA" w14:textId="7FF4E8AB" w:rsidR="0067177D" w:rsidRPr="006552DB" w:rsidRDefault="0067177D" w:rsidP="006552DB">
      <w:pPr>
        <w:spacing w:after="0"/>
        <w:rPr>
          <w:rFonts w:cs="Arial"/>
          <w:szCs w:val="20"/>
        </w:rPr>
      </w:pPr>
    </w:p>
    <w:p w14:paraId="2367317D" w14:textId="54BD9315" w:rsidR="006552DB" w:rsidRPr="006552DB" w:rsidRDefault="006552DB" w:rsidP="006552DB">
      <w:pPr>
        <w:pStyle w:val="Heading2"/>
        <w:rPr>
          <w:lang w:val="en-AU"/>
        </w:rPr>
      </w:pPr>
      <w:r>
        <w:rPr>
          <w:lang w:val="en-AU"/>
        </w:rPr>
        <w:t>NAVIGATOR</w:t>
      </w:r>
    </w:p>
    <w:p w14:paraId="75ADE956" w14:textId="571D8AEB" w:rsidR="0067177D" w:rsidRDefault="0067177D" w:rsidP="008D093E">
      <w:pPr>
        <w:jc w:val="both"/>
        <w:rPr>
          <w:rStyle w:val="PageNumber"/>
          <w:rFonts w:eastAsia="Calibri" w:cs="Arial"/>
          <w:szCs w:val="22"/>
        </w:rPr>
      </w:pPr>
      <w:r w:rsidRPr="003E7391">
        <w:rPr>
          <w:rFonts w:cs="Arial"/>
          <w:szCs w:val="22"/>
        </w:rPr>
        <w:t xml:space="preserve">In September 2015, </w:t>
      </w:r>
      <w:r w:rsidRPr="003E7391">
        <w:rPr>
          <w:rStyle w:val="PageNumber"/>
          <w:rFonts w:eastAsia="Calibri" w:cs="Arial"/>
          <w:szCs w:val="22"/>
        </w:rPr>
        <w:t xml:space="preserve">the Victorian government announced the $566 million (over four years) state-wide Education State: Schools reform agenda, which included funding of $8.6 million over two years to pilot Navigator services. </w:t>
      </w:r>
      <w:r>
        <w:rPr>
          <w:rStyle w:val="PageNumber"/>
          <w:rFonts w:eastAsia="Calibri" w:cs="Arial"/>
          <w:szCs w:val="22"/>
        </w:rPr>
        <w:t>The Navigator pilots were</w:t>
      </w:r>
      <w:r w:rsidRPr="003E7391">
        <w:rPr>
          <w:rStyle w:val="PageNumber"/>
          <w:rFonts w:eastAsia="Calibri" w:cs="Arial"/>
          <w:szCs w:val="22"/>
        </w:rPr>
        <w:t xml:space="preserve"> a key initiative under the Education State agenda and </w:t>
      </w:r>
      <w:r>
        <w:rPr>
          <w:rStyle w:val="PageNumber"/>
          <w:rFonts w:eastAsia="Calibri" w:cs="Arial"/>
          <w:szCs w:val="22"/>
        </w:rPr>
        <w:t>have contributed</w:t>
      </w:r>
      <w:r w:rsidRPr="003E7391">
        <w:rPr>
          <w:rStyle w:val="PageNumber"/>
          <w:rFonts w:eastAsia="Calibri" w:cs="Arial"/>
          <w:szCs w:val="22"/>
        </w:rPr>
        <w:t xml:space="preserve"> to ensuring that every student in Victoria, regardless of background, place or circumstance, has the chance to succeed in learning and in life.</w:t>
      </w:r>
    </w:p>
    <w:p w14:paraId="2BDD7C62" w14:textId="5C74A4B2" w:rsidR="0067177D" w:rsidRPr="003E7391" w:rsidRDefault="0067177D" w:rsidP="008D093E">
      <w:pPr>
        <w:jc w:val="both"/>
        <w:rPr>
          <w:rFonts w:eastAsia="Calibri" w:cs="Arial"/>
          <w:szCs w:val="22"/>
        </w:rPr>
      </w:pPr>
      <w:r>
        <w:rPr>
          <w:rStyle w:val="PageNumber"/>
          <w:rFonts w:eastAsia="Calibri" w:cs="Arial"/>
          <w:szCs w:val="22"/>
        </w:rPr>
        <w:t>Navigator has been operational in 8 pilot Areas across Victoria since it commenced in July 2016.</w:t>
      </w:r>
      <w:r w:rsidR="00C57940" w:rsidRPr="00C57940">
        <w:t xml:space="preserve"> </w:t>
      </w:r>
    </w:p>
    <w:p w14:paraId="6E0C8B15" w14:textId="77777777" w:rsidR="00495046" w:rsidRDefault="00495046" w:rsidP="008D093E">
      <w:pPr>
        <w:jc w:val="both"/>
        <w:rPr>
          <w:lang w:val="en-AU"/>
        </w:rPr>
      </w:pPr>
    </w:p>
    <w:p w14:paraId="388585EB" w14:textId="77777777" w:rsidR="00495046" w:rsidRDefault="00495046" w:rsidP="008D093E">
      <w:pPr>
        <w:jc w:val="both"/>
        <w:rPr>
          <w:lang w:val="en-AU"/>
        </w:rPr>
      </w:pPr>
    </w:p>
    <w:p w14:paraId="11C20A5E" w14:textId="77777777" w:rsidR="00495046" w:rsidRDefault="00495046" w:rsidP="008D093E">
      <w:pPr>
        <w:jc w:val="both"/>
        <w:rPr>
          <w:lang w:val="en-AU"/>
        </w:rPr>
      </w:pPr>
    </w:p>
    <w:p w14:paraId="723B14BE" w14:textId="3821E473" w:rsidR="003F5E94" w:rsidRDefault="008A1D98" w:rsidP="008D093E">
      <w:pPr>
        <w:jc w:val="both"/>
        <w:rPr>
          <w:lang w:val="en-AU"/>
        </w:rPr>
      </w:pPr>
      <w:r>
        <w:rPr>
          <w:lang w:val="en-AU"/>
        </w:rPr>
        <w:t xml:space="preserve">The 2018-19 State Budget allocated $43.8 million over four years and $14.9 million ongoing to continue and expand the Navigator program </w:t>
      </w:r>
      <w:r w:rsidR="0067177D">
        <w:rPr>
          <w:lang w:val="en-AU"/>
        </w:rPr>
        <w:t xml:space="preserve">state-wide. </w:t>
      </w:r>
      <w:r>
        <w:rPr>
          <w:lang w:val="en-AU"/>
        </w:rPr>
        <w:t>The expansion of Navigator is to be phased over 2019-2021</w:t>
      </w:r>
      <w:r w:rsidR="00183BD4">
        <w:rPr>
          <w:lang w:val="en-AU"/>
        </w:rPr>
        <w:t>.</w:t>
      </w:r>
      <w:r w:rsidR="0067177D">
        <w:rPr>
          <w:lang w:val="en-AU"/>
        </w:rPr>
        <w:t xml:space="preserve"> </w:t>
      </w:r>
    </w:p>
    <w:p w14:paraId="0745F037" w14:textId="578C4E31" w:rsidR="00430062" w:rsidRDefault="00430062" w:rsidP="008D093E">
      <w:pPr>
        <w:jc w:val="both"/>
        <w:rPr>
          <w:lang w:val="en-AU"/>
        </w:rPr>
      </w:pPr>
      <w:r w:rsidRPr="00C57940">
        <w:rPr>
          <w:rStyle w:val="PageNumber"/>
          <w:rFonts w:eastAsia="Calibri" w:cs="Arial"/>
          <w:szCs w:val="22"/>
        </w:rPr>
        <w:t xml:space="preserve">In January 2019, Navigator commenced in </w:t>
      </w:r>
      <w:proofErr w:type="spellStart"/>
      <w:r w:rsidRPr="00C57940">
        <w:rPr>
          <w:rStyle w:val="PageNumber"/>
          <w:rFonts w:eastAsia="Calibri" w:cs="Arial"/>
          <w:szCs w:val="22"/>
        </w:rPr>
        <w:t>Brimbank</w:t>
      </w:r>
      <w:proofErr w:type="spellEnd"/>
      <w:r w:rsidRPr="00C57940">
        <w:rPr>
          <w:rStyle w:val="PageNumber"/>
          <w:rFonts w:eastAsia="Calibri" w:cs="Arial"/>
          <w:szCs w:val="22"/>
        </w:rPr>
        <w:t xml:space="preserve">/Melton, Loddon </w:t>
      </w:r>
      <w:proofErr w:type="spellStart"/>
      <w:r w:rsidRPr="00C57940">
        <w:rPr>
          <w:rStyle w:val="PageNumber"/>
          <w:rFonts w:eastAsia="Calibri" w:cs="Arial"/>
          <w:szCs w:val="22"/>
        </w:rPr>
        <w:t>Campaspe</w:t>
      </w:r>
      <w:proofErr w:type="spellEnd"/>
      <w:r w:rsidRPr="00C57940">
        <w:rPr>
          <w:rStyle w:val="PageNumber"/>
          <w:rFonts w:eastAsia="Calibri" w:cs="Arial"/>
          <w:szCs w:val="22"/>
        </w:rPr>
        <w:t xml:space="preserve"> and Inner </w:t>
      </w:r>
      <w:proofErr w:type="spellStart"/>
      <w:r w:rsidRPr="00C57940">
        <w:rPr>
          <w:rStyle w:val="PageNumber"/>
          <w:rFonts w:eastAsia="Calibri" w:cs="Arial"/>
          <w:szCs w:val="22"/>
        </w:rPr>
        <w:t>Gippsland</w:t>
      </w:r>
      <w:proofErr w:type="spellEnd"/>
      <w:r w:rsidRPr="00C57940">
        <w:rPr>
          <w:rStyle w:val="PageNumber"/>
          <w:rFonts w:eastAsia="Calibri" w:cs="Arial"/>
          <w:szCs w:val="22"/>
        </w:rPr>
        <w:t>.</w:t>
      </w:r>
    </w:p>
    <w:p w14:paraId="4C25F4FA" w14:textId="66071633" w:rsidR="006441CC" w:rsidRDefault="00C57940" w:rsidP="008D093E">
      <w:pPr>
        <w:jc w:val="both"/>
        <w:rPr>
          <w:lang w:val="en-AU"/>
        </w:rPr>
      </w:pPr>
      <w:r>
        <w:rPr>
          <w:lang w:val="en-AU"/>
        </w:rPr>
        <w:t xml:space="preserve">In January 2020, Navigator will </w:t>
      </w:r>
      <w:r w:rsidR="008A1D98" w:rsidRPr="006C41DF">
        <w:rPr>
          <w:lang w:val="en-AU"/>
        </w:rPr>
        <w:t xml:space="preserve">commence in </w:t>
      </w:r>
      <w:r>
        <w:rPr>
          <w:b/>
          <w:lang w:val="en-AU"/>
        </w:rPr>
        <w:t>North East Melbourne, Barwon</w:t>
      </w:r>
      <w:r w:rsidR="006C41DF" w:rsidRPr="006C41DF">
        <w:rPr>
          <w:lang w:val="en-AU"/>
        </w:rPr>
        <w:t xml:space="preserve"> and </w:t>
      </w:r>
      <w:r>
        <w:rPr>
          <w:b/>
          <w:lang w:val="en-AU"/>
        </w:rPr>
        <w:t>Wimmera South</w:t>
      </w:r>
      <w:r w:rsidR="00C145C7">
        <w:rPr>
          <w:b/>
          <w:lang w:val="en-AU"/>
        </w:rPr>
        <w:t xml:space="preserve"> West</w:t>
      </w:r>
      <w:r w:rsidR="006C41DF" w:rsidRPr="006C41DF">
        <w:rPr>
          <w:lang w:val="en-AU"/>
        </w:rPr>
        <w:t>.</w:t>
      </w:r>
      <w:r w:rsidR="006441CC">
        <w:rPr>
          <w:lang w:val="en-AU"/>
        </w:rPr>
        <w:t xml:space="preserve"> Further information on the Department of Education and Training (DET) Area boundaries can be found at: </w:t>
      </w:r>
      <w:hyperlink r:id="rId12" w:history="1">
        <w:r w:rsidR="006441CC" w:rsidRPr="00D01DC5">
          <w:rPr>
            <w:rStyle w:val="Hyperlink"/>
            <w:lang w:val="en-AU"/>
          </w:rPr>
          <w:t>https://www.education.vic.gov.au/about/department/structure/Pages/regions.aspx</w:t>
        </w:r>
      </w:hyperlink>
    </w:p>
    <w:p w14:paraId="5C3570F9" w14:textId="609C35E8" w:rsidR="00495046" w:rsidRDefault="00AB7BD1" w:rsidP="00C57940">
      <w:pPr>
        <w:pStyle w:val="Caption"/>
        <w:rPr>
          <w:lang w:val="en-AU"/>
        </w:rPr>
      </w:pPr>
      <w:r w:rsidRPr="00AB7BD1">
        <w:rPr>
          <w:noProof/>
          <w:lang w:val="en-AU" w:eastAsia="en-AU"/>
        </w:rPr>
        <w:drawing>
          <wp:inline distT="0" distB="0" distL="0" distR="0" wp14:anchorId="7925F136" wp14:editId="10FAFD0B">
            <wp:extent cx="5925369" cy="4190268"/>
            <wp:effectExtent l="0" t="0" r="0" b="1270"/>
            <wp:docPr id="1" name="Picture 1" descr="C:\Users\09942068\Documents\Nav Expansion\Navigator Areas Map 2020.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942068\Documents\Nav Expansion\Navigator Areas Map 2020.jp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9196" cy="4192974"/>
                    </a:xfrm>
                    <a:prstGeom prst="rect">
                      <a:avLst/>
                    </a:prstGeom>
                    <a:noFill/>
                    <a:ln>
                      <a:noFill/>
                    </a:ln>
                  </pic:spPr>
                </pic:pic>
              </a:graphicData>
            </a:graphic>
          </wp:inline>
        </w:drawing>
      </w:r>
      <w:r w:rsidR="00225B66">
        <w:t xml:space="preserve">Figure </w:t>
      </w:r>
      <w:r w:rsidR="00EE43DB">
        <w:rPr>
          <w:noProof/>
        </w:rPr>
        <w:fldChar w:fldCharType="begin"/>
      </w:r>
      <w:r w:rsidR="00EE43DB">
        <w:rPr>
          <w:noProof/>
        </w:rPr>
        <w:instrText xml:space="preserve"> SEQ Figure \* ARABIC </w:instrText>
      </w:r>
      <w:r w:rsidR="00EE43DB">
        <w:rPr>
          <w:noProof/>
        </w:rPr>
        <w:fldChar w:fldCharType="separate"/>
      </w:r>
      <w:r w:rsidR="00225B66">
        <w:rPr>
          <w:noProof/>
        </w:rPr>
        <w:t>1</w:t>
      </w:r>
      <w:r w:rsidR="00EE43DB">
        <w:rPr>
          <w:noProof/>
        </w:rPr>
        <w:fldChar w:fldCharType="end"/>
      </w:r>
      <w:r w:rsidR="00225B66">
        <w:t>: Map of Navigator Areas</w:t>
      </w:r>
    </w:p>
    <w:p w14:paraId="6B9E4C4F" w14:textId="7E78BA2E" w:rsidR="00624A55" w:rsidRDefault="008A1D98" w:rsidP="008D093E">
      <w:pPr>
        <w:jc w:val="both"/>
        <w:rPr>
          <w:lang w:val="en-AU"/>
        </w:rPr>
      </w:pPr>
      <w:r>
        <w:rPr>
          <w:lang w:val="en-AU"/>
        </w:rPr>
        <w:t>The purpose of the Navigator program is to provide</w:t>
      </w:r>
      <w:r w:rsidR="00646E1A">
        <w:rPr>
          <w:lang w:val="en-AU"/>
        </w:rPr>
        <w:t xml:space="preserve"> direct</w:t>
      </w:r>
      <w:r>
        <w:rPr>
          <w:lang w:val="en-AU"/>
        </w:rPr>
        <w:t xml:space="preserve"> case management support to disengaged young people, to support them to successfully re-engage with education. The Navigator </w:t>
      </w:r>
      <w:r w:rsidR="0024385E">
        <w:rPr>
          <w:lang w:val="en-AU"/>
        </w:rPr>
        <w:t xml:space="preserve">program </w:t>
      </w:r>
      <w:r>
        <w:rPr>
          <w:lang w:val="en-AU"/>
        </w:rPr>
        <w:t>model is defined by its partnership approach between the community sector, DET and education providers</w:t>
      </w:r>
      <w:r w:rsidR="0024385E">
        <w:rPr>
          <w:lang w:val="en-AU"/>
        </w:rPr>
        <w:t xml:space="preserve"> to enable a service that</w:t>
      </w:r>
      <w:r w:rsidR="003E7FE7">
        <w:rPr>
          <w:lang w:val="en-AU"/>
        </w:rPr>
        <w:t>:</w:t>
      </w:r>
      <w:r w:rsidR="00646E1A">
        <w:rPr>
          <w:lang w:val="en-AU"/>
        </w:rPr>
        <w:t xml:space="preserve"> </w:t>
      </w:r>
    </w:p>
    <w:p w14:paraId="66616077" w14:textId="77777777" w:rsidR="00F427B4" w:rsidRPr="00F427B4" w:rsidRDefault="00F427B4" w:rsidP="008D093E">
      <w:pPr>
        <w:numPr>
          <w:ilvl w:val="0"/>
          <w:numId w:val="34"/>
        </w:numPr>
        <w:ind w:left="851"/>
        <w:jc w:val="both"/>
        <w:rPr>
          <w:lang w:val="en-AU"/>
        </w:rPr>
      </w:pPr>
      <w:r w:rsidRPr="00F427B4">
        <w:rPr>
          <w:lang w:val="en-AU"/>
        </w:rPr>
        <w:t xml:space="preserve">actively seeks out disengaged young people and provides individualised support that is targeted to supporting their re-engagement back into education, and that is focused on the young person’s needs, strengths and interests   </w:t>
      </w:r>
    </w:p>
    <w:p w14:paraId="40BE98CF" w14:textId="77777777" w:rsidR="00F427B4" w:rsidRPr="00F427B4" w:rsidRDefault="00F427B4" w:rsidP="008D093E">
      <w:pPr>
        <w:numPr>
          <w:ilvl w:val="0"/>
          <w:numId w:val="34"/>
        </w:numPr>
        <w:ind w:left="851"/>
        <w:jc w:val="both"/>
        <w:rPr>
          <w:lang w:val="en-AU"/>
        </w:rPr>
      </w:pPr>
      <w:r w:rsidRPr="00F427B4">
        <w:rPr>
          <w:lang w:val="en-AU"/>
        </w:rPr>
        <w:t>can work with their families, carers and support networks to provide holistic support</w:t>
      </w:r>
    </w:p>
    <w:p w14:paraId="6AF92665" w14:textId="77777777" w:rsidR="00F427B4" w:rsidRPr="00F427B4" w:rsidRDefault="00F427B4" w:rsidP="008D093E">
      <w:pPr>
        <w:numPr>
          <w:ilvl w:val="0"/>
          <w:numId w:val="34"/>
        </w:numPr>
        <w:ind w:left="851"/>
        <w:jc w:val="both"/>
        <w:rPr>
          <w:lang w:val="en-AU"/>
        </w:rPr>
      </w:pPr>
      <w:proofErr w:type="gramStart"/>
      <w:r w:rsidRPr="00F427B4">
        <w:rPr>
          <w:lang w:val="en-AU"/>
        </w:rPr>
        <w:t>supports</w:t>
      </w:r>
      <w:proofErr w:type="gramEnd"/>
      <w:r w:rsidRPr="00F427B4">
        <w:rPr>
          <w:lang w:val="en-AU"/>
        </w:rPr>
        <w:t xml:space="preserve"> place-based responses to disengagement by drawing on a range of local services and working collectively to solve local issues. </w:t>
      </w:r>
    </w:p>
    <w:p w14:paraId="7342F1CA" w14:textId="77777777" w:rsidR="00F427B4" w:rsidRPr="00F427B4" w:rsidRDefault="00F427B4" w:rsidP="008D093E">
      <w:pPr>
        <w:jc w:val="both"/>
        <w:rPr>
          <w:lang w:val="en-AU"/>
        </w:rPr>
      </w:pPr>
      <w:r w:rsidRPr="00F427B4">
        <w:rPr>
          <w:lang w:val="en-AU"/>
        </w:rPr>
        <w:t xml:space="preserve">Each of these partners have particular expertise, resources and roles in delivery of the program (see Figure 1). </w:t>
      </w:r>
    </w:p>
    <w:p w14:paraId="031EB3DC" w14:textId="77777777" w:rsidR="00F427B4" w:rsidRDefault="00F427B4" w:rsidP="0067177D">
      <w:pPr>
        <w:rPr>
          <w:lang w:val="en-AU"/>
        </w:rPr>
      </w:pPr>
    </w:p>
    <w:p w14:paraId="6104D00B" w14:textId="77777777" w:rsidR="00225B66" w:rsidRDefault="00F427B4" w:rsidP="00213752">
      <w:pPr>
        <w:keepNext/>
      </w:pPr>
      <w:r w:rsidRPr="00AD402E">
        <w:rPr>
          <w:rFonts w:ascii="Calibri" w:eastAsia="Calibri" w:hAnsi="Calibri" w:cs="Times New Roman"/>
          <w:b/>
          <w:noProof/>
          <w:color w:val="2F5496"/>
          <w:sz w:val="32"/>
          <w:szCs w:val="32"/>
          <w:lang w:val="en-AU" w:eastAsia="en-AU"/>
        </w:rPr>
        <w:lastRenderedPageBreak/>
        <w:drawing>
          <wp:inline distT="0" distB="0" distL="0" distR="0" wp14:anchorId="0E82BA93" wp14:editId="41DA7476">
            <wp:extent cx="5095875" cy="3811819"/>
            <wp:effectExtent l="0" t="0" r="0" b="0"/>
            <wp:docPr id="3" name="Picture 3" descr="Young people and their family, carers, support networks&#10;Navigator providers&#10;Navigator coordinators&#10;Schools " title="Program Structure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1553" cy="3831027"/>
                    </a:xfrm>
                    <a:prstGeom prst="rect">
                      <a:avLst/>
                    </a:prstGeom>
                  </pic:spPr>
                </pic:pic>
              </a:graphicData>
            </a:graphic>
          </wp:inline>
        </w:drawing>
      </w:r>
    </w:p>
    <w:p w14:paraId="10AE15FC" w14:textId="275D85AD" w:rsidR="00225B66" w:rsidRDefault="00225B66" w:rsidP="00225B66">
      <w:pPr>
        <w:pStyle w:val="Caption"/>
      </w:pPr>
      <w:r>
        <w:t xml:space="preserve">Figure </w:t>
      </w:r>
      <w:r w:rsidR="00EE43DB">
        <w:rPr>
          <w:noProof/>
        </w:rPr>
        <w:fldChar w:fldCharType="begin"/>
      </w:r>
      <w:r w:rsidR="00EE43DB">
        <w:rPr>
          <w:noProof/>
        </w:rPr>
        <w:instrText xml:space="preserve"> SEQ Figure \* ARABIC </w:instrText>
      </w:r>
      <w:r w:rsidR="00EE43DB">
        <w:rPr>
          <w:noProof/>
        </w:rPr>
        <w:fldChar w:fldCharType="separate"/>
      </w:r>
      <w:r>
        <w:rPr>
          <w:noProof/>
        </w:rPr>
        <w:t>2</w:t>
      </w:r>
      <w:r w:rsidR="00EE43DB">
        <w:rPr>
          <w:noProof/>
        </w:rPr>
        <w:fldChar w:fldCharType="end"/>
      </w:r>
      <w:r>
        <w:t xml:space="preserve">: Program structure </w:t>
      </w:r>
    </w:p>
    <w:p w14:paraId="30346992" w14:textId="6630AC00" w:rsidR="005D3C53" w:rsidRPr="00646E1A" w:rsidRDefault="005D3C53" w:rsidP="0067177D">
      <w:pPr>
        <w:rPr>
          <w:lang w:val="en-AU"/>
        </w:rPr>
      </w:pPr>
      <w:r w:rsidRPr="00646E1A">
        <w:rPr>
          <w:lang w:val="en-AU"/>
        </w:rPr>
        <w:t>Navigator is available to young people who:</w:t>
      </w:r>
    </w:p>
    <w:p w14:paraId="65C2D9CF" w14:textId="65395428" w:rsidR="005D3C53" w:rsidRPr="00EF4DA1" w:rsidRDefault="005D3C53" w:rsidP="00213752">
      <w:pPr>
        <w:numPr>
          <w:ilvl w:val="0"/>
          <w:numId w:val="34"/>
        </w:numPr>
        <w:ind w:left="851"/>
        <w:rPr>
          <w:lang w:val="en-AU"/>
        </w:rPr>
      </w:pPr>
      <w:r w:rsidRPr="00EF4DA1">
        <w:rPr>
          <w:lang w:val="en-AU"/>
        </w:rPr>
        <w:t>are aged between 12 and 17 years of age</w:t>
      </w:r>
    </w:p>
    <w:p w14:paraId="7F2AB6E2" w14:textId="5C24ED64" w:rsidR="005D3C53" w:rsidRPr="00213752" w:rsidRDefault="005D3C53" w:rsidP="00213752">
      <w:pPr>
        <w:numPr>
          <w:ilvl w:val="0"/>
          <w:numId w:val="34"/>
        </w:numPr>
        <w:ind w:left="851"/>
        <w:rPr>
          <w:lang w:val="en-AU"/>
        </w:rPr>
      </w:pPr>
      <w:r w:rsidRPr="00EF4DA1">
        <w:rPr>
          <w:lang w:val="en-AU"/>
        </w:rPr>
        <w:t>have attended less than 30% of the previous school term or equivalent time period (if enrolled</w:t>
      </w:r>
      <w:r w:rsidRPr="00213752">
        <w:rPr>
          <w:lang w:val="en-AU"/>
        </w:rPr>
        <w:t xml:space="preserve"> in a school)</w:t>
      </w:r>
    </w:p>
    <w:p w14:paraId="46872F40" w14:textId="5E77A3E9" w:rsidR="0024385E" w:rsidRPr="006441CC" w:rsidRDefault="005D3C53" w:rsidP="00213752">
      <w:pPr>
        <w:numPr>
          <w:ilvl w:val="0"/>
          <w:numId w:val="34"/>
        </w:numPr>
        <w:ind w:left="851"/>
        <w:rPr>
          <w:lang w:val="en-AU"/>
        </w:rPr>
      </w:pPr>
      <w:proofErr w:type="gramStart"/>
      <w:r w:rsidRPr="00EF4DA1">
        <w:rPr>
          <w:lang w:val="en-AU"/>
        </w:rPr>
        <w:t>either</w:t>
      </w:r>
      <w:proofErr w:type="gramEnd"/>
      <w:r w:rsidRPr="00EF4DA1">
        <w:rPr>
          <w:lang w:val="en-AU"/>
        </w:rPr>
        <w:t xml:space="preserve"> live in or have most recently been enrolled in an education setting in a current Navigator Areas.  </w:t>
      </w:r>
    </w:p>
    <w:p w14:paraId="1B549CC7" w14:textId="4CCB67FC" w:rsidR="00F427B4" w:rsidRDefault="00F427B4" w:rsidP="0067177D">
      <w:pPr>
        <w:rPr>
          <w:lang w:val="en-AU"/>
        </w:rPr>
      </w:pPr>
      <w:r>
        <w:rPr>
          <w:lang w:val="en-AU"/>
        </w:rPr>
        <w:t>Anyone can make a referral to the Navigator program.</w:t>
      </w:r>
    </w:p>
    <w:p w14:paraId="0FEDFB2A" w14:textId="77777777" w:rsidR="00EF4DA1" w:rsidRDefault="00EF4DA1" w:rsidP="00EF4DA1">
      <w:pPr>
        <w:pStyle w:val="Heading2"/>
        <w:rPr>
          <w:lang w:val="en-AU"/>
        </w:rPr>
      </w:pPr>
    </w:p>
    <w:p w14:paraId="083C7781" w14:textId="5B6D9F8C" w:rsidR="00624A55" w:rsidRDefault="00B40A32" w:rsidP="00EF4DA1">
      <w:pPr>
        <w:pStyle w:val="Heading2"/>
        <w:rPr>
          <w:lang w:val="en-AU"/>
        </w:rPr>
      </w:pPr>
      <w:r>
        <w:rPr>
          <w:lang w:val="en-AU"/>
        </w:rPr>
        <w:t>Program Structure</w:t>
      </w:r>
    </w:p>
    <w:p w14:paraId="12C148E3" w14:textId="0B11CB28" w:rsidR="000B5AD6" w:rsidRPr="000B5AD6" w:rsidRDefault="003F5E94" w:rsidP="00EF4DA1">
      <w:pPr>
        <w:rPr>
          <w:u w:val="single"/>
          <w:lang w:val="en-AU"/>
        </w:rPr>
      </w:pPr>
      <w:r>
        <w:rPr>
          <w:u w:val="single"/>
          <w:lang w:val="en-AU"/>
        </w:rPr>
        <w:t>Service Provider</w:t>
      </w:r>
    </w:p>
    <w:p w14:paraId="1C15E8B6" w14:textId="4E6654B1" w:rsidR="000B5AD6" w:rsidRDefault="000B5AD6" w:rsidP="008D093E">
      <w:pPr>
        <w:jc w:val="both"/>
        <w:rPr>
          <w:lang w:val="en-AU"/>
        </w:rPr>
      </w:pPr>
      <w:r>
        <w:rPr>
          <w:lang w:val="en-AU"/>
        </w:rPr>
        <w:t>A lead community service organisation (</w:t>
      </w:r>
      <w:r w:rsidR="003E7FE7">
        <w:rPr>
          <w:lang w:val="en-AU"/>
        </w:rPr>
        <w:t>Service Provider</w:t>
      </w:r>
      <w:r>
        <w:rPr>
          <w:lang w:val="en-AU"/>
        </w:rPr>
        <w:t xml:space="preserve">) is contracted to deliver the service in each Area, and this may involve delivery through consortia of local </w:t>
      </w:r>
      <w:r w:rsidR="006552DB">
        <w:rPr>
          <w:lang w:val="en-AU"/>
        </w:rPr>
        <w:t>organisations</w:t>
      </w:r>
      <w:r>
        <w:rPr>
          <w:lang w:val="en-AU"/>
        </w:rPr>
        <w:t xml:space="preserve"> working in partnership.</w:t>
      </w:r>
    </w:p>
    <w:p w14:paraId="62B92531" w14:textId="77777777" w:rsidR="00495046" w:rsidRDefault="00495046" w:rsidP="008D093E">
      <w:pPr>
        <w:spacing w:before="60" w:after="60"/>
        <w:jc w:val="both"/>
        <w:rPr>
          <w:rFonts w:eastAsia="Calibri" w:cstheme="minorHAnsi"/>
          <w:bCs/>
          <w:szCs w:val="22"/>
          <w:lang w:val="en-AU"/>
        </w:rPr>
      </w:pPr>
    </w:p>
    <w:p w14:paraId="0F8D4318" w14:textId="783BF81F" w:rsidR="000B5AD6" w:rsidRPr="008A1D98" w:rsidRDefault="000B5AD6" w:rsidP="008D093E">
      <w:pPr>
        <w:spacing w:before="60" w:after="60"/>
        <w:jc w:val="both"/>
        <w:rPr>
          <w:rFonts w:eastAsia="Calibri" w:cstheme="minorHAnsi"/>
          <w:bCs/>
          <w:szCs w:val="22"/>
          <w:lang w:val="en-AU"/>
        </w:rPr>
      </w:pPr>
      <w:r w:rsidRPr="008A1D98">
        <w:rPr>
          <w:rFonts w:eastAsia="Calibri" w:cstheme="minorHAnsi"/>
          <w:bCs/>
          <w:szCs w:val="22"/>
          <w:lang w:val="en-AU"/>
        </w:rPr>
        <w:t>The service deliver</w:t>
      </w:r>
      <w:r w:rsidR="00311AB9">
        <w:rPr>
          <w:rFonts w:eastAsia="Calibri" w:cstheme="minorHAnsi"/>
          <w:bCs/>
          <w:szCs w:val="22"/>
          <w:lang w:val="en-AU"/>
        </w:rPr>
        <w:t xml:space="preserve">y model for Navigator involves </w:t>
      </w:r>
      <w:r w:rsidR="003E7FE7">
        <w:rPr>
          <w:rFonts w:eastAsia="Calibri" w:cstheme="minorHAnsi"/>
          <w:bCs/>
          <w:szCs w:val="22"/>
          <w:lang w:val="en-AU"/>
        </w:rPr>
        <w:t xml:space="preserve">Service </w:t>
      </w:r>
      <w:r w:rsidR="00311AB9">
        <w:rPr>
          <w:rFonts w:eastAsia="Calibri" w:cstheme="minorHAnsi"/>
          <w:bCs/>
          <w:szCs w:val="22"/>
          <w:lang w:val="en-AU"/>
        </w:rPr>
        <w:t>P</w:t>
      </w:r>
      <w:r w:rsidRPr="008A1D98">
        <w:rPr>
          <w:rFonts w:eastAsia="Calibri" w:cstheme="minorHAnsi"/>
          <w:bCs/>
          <w:szCs w:val="22"/>
          <w:lang w:val="en-AU"/>
        </w:rPr>
        <w:t>roviders:</w:t>
      </w:r>
    </w:p>
    <w:p w14:paraId="3953B34E" w14:textId="0B229DF3" w:rsidR="000B5AD6" w:rsidRPr="00213752" w:rsidRDefault="000B5AD6" w:rsidP="008D093E">
      <w:pPr>
        <w:numPr>
          <w:ilvl w:val="0"/>
          <w:numId w:val="34"/>
        </w:numPr>
        <w:ind w:left="851"/>
        <w:jc w:val="both"/>
        <w:rPr>
          <w:lang w:val="en-AU"/>
        </w:rPr>
      </w:pPr>
      <w:r w:rsidRPr="00213752">
        <w:rPr>
          <w:lang w:val="en-AU"/>
        </w:rPr>
        <w:t>receiving referrals</w:t>
      </w:r>
      <w:r w:rsidR="00EE43DB">
        <w:rPr>
          <w:lang w:val="en-AU"/>
        </w:rPr>
        <w:t xml:space="preserve"> from the Navigator Coordinator</w:t>
      </w:r>
      <w:r w:rsidRPr="00213752">
        <w:rPr>
          <w:lang w:val="en-AU"/>
        </w:rPr>
        <w:t>, seeking out and connecting with learners who have disengaged from schooling</w:t>
      </w:r>
    </w:p>
    <w:p w14:paraId="5B128B08" w14:textId="405FF6BF" w:rsidR="000B5AD6" w:rsidRPr="00213752" w:rsidRDefault="000B5AD6" w:rsidP="00213752">
      <w:pPr>
        <w:numPr>
          <w:ilvl w:val="0"/>
          <w:numId w:val="34"/>
        </w:numPr>
        <w:ind w:left="851"/>
        <w:rPr>
          <w:lang w:val="en-AU"/>
        </w:rPr>
      </w:pPr>
      <w:r w:rsidRPr="00213752">
        <w:rPr>
          <w:lang w:val="en-AU"/>
        </w:rPr>
        <w:t>working with the young person to identify their learning needs, capabilities and aspirations and develop an education re-engagement plan that involves family, carers, school and community supports</w:t>
      </w:r>
    </w:p>
    <w:p w14:paraId="3C89E0BF" w14:textId="55C2CA03" w:rsidR="00183BD4" w:rsidRPr="00213752" w:rsidRDefault="00183BD4" w:rsidP="008D093E">
      <w:pPr>
        <w:numPr>
          <w:ilvl w:val="0"/>
          <w:numId w:val="34"/>
        </w:numPr>
        <w:ind w:left="851"/>
        <w:jc w:val="both"/>
        <w:rPr>
          <w:lang w:val="en-AU"/>
        </w:rPr>
      </w:pPr>
      <w:r w:rsidRPr="00213752">
        <w:rPr>
          <w:lang w:val="en-AU"/>
        </w:rPr>
        <w:t>working closely with other community services and education providers to ensure the relevant provision of wrap around supports for the young person and their family</w:t>
      </w:r>
    </w:p>
    <w:p w14:paraId="716C879F" w14:textId="77777777" w:rsidR="000B5AD6" w:rsidRPr="00213752" w:rsidRDefault="000B5AD6" w:rsidP="008D093E">
      <w:pPr>
        <w:numPr>
          <w:ilvl w:val="0"/>
          <w:numId w:val="34"/>
        </w:numPr>
        <w:ind w:left="851"/>
        <w:jc w:val="both"/>
        <w:rPr>
          <w:lang w:val="en-AU"/>
        </w:rPr>
      </w:pPr>
      <w:r w:rsidRPr="00213752">
        <w:rPr>
          <w:lang w:val="en-AU"/>
        </w:rPr>
        <w:lastRenderedPageBreak/>
        <w:t>assisting young people to overcome learning, social and other barriers so that they can successfully engage and transition through education, including engaging support services where required</w:t>
      </w:r>
    </w:p>
    <w:p w14:paraId="6B9BD72B" w14:textId="77777777" w:rsidR="000B5AD6" w:rsidRPr="00213752" w:rsidRDefault="000B5AD6" w:rsidP="008D093E">
      <w:pPr>
        <w:numPr>
          <w:ilvl w:val="0"/>
          <w:numId w:val="34"/>
        </w:numPr>
        <w:ind w:left="851"/>
        <w:jc w:val="both"/>
        <w:rPr>
          <w:lang w:val="en-AU"/>
        </w:rPr>
      </w:pPr>
      <w:r w:rsidRPr="00213752">
        <w:rPr>
          <w:lang w:val="en-AU"/>
        </w:rPr>
        <w:t xml:space="preserve">monitoring and supporting a young person as they re-engage in education for a period of up to six months and then following up six months later to see if they have remained engaged. </w:t>
      </w:r>
    </w:p>
    <w:p w14:paraId="4F8F9E46" w14:textId="77777777" w:rsidR="00183BD4" w:rsidRDefault="00183BD4" w:rsidP="0067177D">
      <w:pPr>
        <w:rPr>
          <w:lang w:val="en-AU"/>
        </w:rPr>
      </w:pPr>
    </w:p>
    <w:p w14:paraId="4783D320" w14:textId="741E7586" w:rsidR="000B5AD6" w:rsidRPr="000B5AD6" w:rsidRDefault="000B5AD6" w:rsidP="0067177D">
      <w:pPr>
        <w:rPr>
          <w:u w:val="single"/>
          <w:lang w:val="en-AU"/>
        </w:rPr>
      </w:pPr>
      <w:r w:rsidRPr="000B5AD6">
        <w:rPr>
          <w:u w:val="single"/>
          <w:lang w:val="en-AU"/>
        </w:rPr>
        <w:t>Navigator Coordinator</w:t>
      </w:r>
    </w:p>
    <w:p w14:paraId="2747431A" w14:textId="0D6F1D11" w:rsidR="000B5AD6" w:rsidRDefault="000B5AD6" w:rsidP="008D093E">
      <w:pPr>
        <w:spacing w:after="160"/>
        <w:jc w:val="both"/>
        <w:rPr>
          <w:rFonts w:eastAsia="Calibri"/>
          <w:lang w:val="en-AU"/>
        </w:rPr>
      </w:pPr>
      <w:r>
        <w:rPr>
          <w:lang w:val="en-AU"/>
        </w:rPr>
        <w:t>The DET Navigator Coordinator is the pri</w:t>
      </w:r>
      <w:r w:rsidR="00183BD4">
        <w:rPr>
          <w:lang w:val="en-AU"/>
        </w:rPr>
        <w:t xml:space="preserve">mary contact for </w:t>
      </w:r>
      <w:r w:rsidR="003E7FE7">
        <w:rPr>
          <w:lang w:val="en-AU"/>
        </w:rPr>
        <w:t xml:space="preserve">Service </w:t>
      </w:r>
      <w:r w:rsidR="00183BD4">
        <w:rPr>
          <w:lang w:val="en-AU"/>
        </w:rPr>
        <w:t xml:space="preserve">Providers - </w:t>
      </w:r>
      <w:r>
        <w:rPr>
          <w:lang w:val="en-AU"/>
        </w:rPr>
        <w:t xml:space="preserve">they </w:t>
      </w:r>
      <w:r>
        <w:rPr>
          <w:rFonts w:cs="Calibri"/>
          <w:noProof/>
        </w:rPr>
        <w:t>play a key role in the implementation of the Navigator program</w:t>
      </w:r>
      <w:r w:rsidR="00183BD4">
        <w:rPr>
          <w:rFonts w:cs="Calibri"/>
          <w:noProof/>
        </w:rPr>
        <w:t xml:space="preserve"> and facilitate the connections between </w:t>
      </w:r>
      <w:r w:rsidR="003E7FE7">
        <w:rPr>
          <w:rFonts w:cs="Calibri"/>
          <w:noProof/>
        </w:rPr>
        <w:t xml:space="preserve">Service </w:t>
      </w:r>
      <w:r w:rsidR="00183BD4">
        <w:rPr>
          <w:rFonts w:cs="Calibri"/>
          <w:noProof/>
        </w:rPr>
        <w:t>Providers and education</w:t>
      </w:r>
      <w:r w:rsidR="003E7FE7">
        <w:rPr>
          <w:rFonts w:cs="Calibri"/>
          <w:noProof/>
        </w:rPr>
        <w:t>al insititutions</w:t>
      </w:r>
      <w:r>
        <w:rPr>
          <w:rFonts w:cs="Calibri"/>
          <w:noProof/>
        </w:rPr>
        <w:t>.</w:t>
      </w:r>
      <w:r>
        <w:t xml:space="preserve"> </w:t>
      </w:r>
      <w:r>
        <w:rPr>
          <w:rFonts w:eastAsia="Calibri"/>
          <w:lang w:val="en-AU"/>
        </w:rPr>
        <w:t>They work</w:t>
      </w:r>
      <w:r w:rsidRPr="00DB28E7">
        <w:rPr>
          <w:rFonts w:eastAsia="Calibri"/>
          <w:lang w:val="en-AU"/>
        </w:rPr>
        <w:t xml:space="preserve"> closely with </w:t>
      </w:r>
      <w:r>
        <w:rPr>
          <w:rFonts w:eastAsia="Calibri"/>
          <w:lang w:val="en-AU"/>
        </w:rPr>
        <w:t xml:space="preserve">their local </w:t>
      </w:r>
      <w:r w:rsidR="003E7FE7">
        <w:rPr>
          <w:rFonts w:eastAsia="Calibri"/>
          <w:lang w:val="en-AU"/>
        </w:rPr>
        <w:t>Service Provider</w:t>
      </w:r>
      <w:r>
        <w:rPr>
          <w:rFonts w:eastAsia="Calibri"/>
          <w:lang w:val="en-AU"/>
        </w:rPr>
        <w:t xml:space="preserve"> and play a key role in managing the relationship </w:t>
      </w:r>
      <w:r w:rsidR="006552DB">
        <w:rPr>
          <w:rFonts w:eastAsia="Calibri"/>
          <w:lang w:val="en-AU"/>
        </w:rPr>
        <w:t xml:space="preserve">between </w:t>
      </w:r>
      <w:r w:rsidR="003E7FE7">
        <w:rPr>
          <w:rFonts w:eastAsia="Calibri"/>
          <w:lang w:val="en-AU"/>
        </w:rPr>
        <w:t>Service Provider</w:t>
      </w:r>
      <w:r w:rsidR="006552DB">
        <w:rPr>
          <w:rFonts w:eastAsia="Calibri"/>
          <w:lang w:val="en-AU"/>
        </w:rPr>
        <w:t>s, schools, DET Area teams</w:t>
      </w:r>
      <w:r>
        <w:rPr>
          <w:rFonts w:eastAsia="Calibri"/>
          <w:lang w:val="en-AU"/>
        </w:rPr>
        <w:t xml:space="preserve"> and other key services. </w:t>
      </w:r>
    </w:p>
    <w:p w14:paraId="57AABCF9" w14:textId="3448DE21" w:rsidR="000B5AD6" w:rsidRDefault="000B5AD6" w:rsidP="008D093E">
      <w:pPr>
        <w:spacing w:after="160"/>
        <w:jc w:val="both"/>
        <w:rPr>
          <w:rFonts w:eastAsia="Calibri"/>
          <w:lang w:val="en-AU"/>
        </w:rPr>
      </w:pPr>
      <w:r>
        <w:rPr>
          <w:rFonts w:eastAsia="Calibri"/>
          <w:lang w:val="en-AU"/>
        </w:rPr>
        <w:t>Navigator Coordinators receive all</w:t>
      </w:r>
      <w:r w:rsidRPr="00DB28E7">
        <w:rPr>
          <w:rFonts w:eastAsia="Calibri"/>
          <w:lang w:val="en-AU"/>
        </w:rPr>
        <w:t xml:space="preserve"> referrals to the program </w:t>
      </w:r>
      <w:r>
        <w:rPr>
          <w:rFonts w:eastAsia="Calibri"/>
          <w:lang w:val="en-AU"/>
        </w:rPr>
        <w:t xml:space="preserve">and engage in relevant data reporting processes that monitor re-engagement processes and outcomes for young people. Navigator Coordinators </w:t>
      </w:r>
      <w:r w:rsidR="00045847">
        <w:rPr>
          <w:rFonts w:eastAsia="Calibri"/>
          <w:lang w:val="en-AU"/>
        </w:rPr>
        <w:t xml:space="preserve">establish eligibility for the program and </w:t>
      </w:r>
      <w:r>
        <w:rPr>
          <w:rFonts w:eastAsia="Calibri"/>
          <w:lang w:val="en-AU"/>
        </w:rPr>
        <w:t>facilitate the linkage of young people to broa</w:t>
      </w:r>
      <w:r w:rsidR="006552DB">
        <w:rPr>
          <w:rFonts w:eastAsia="Calibri"/>
          <w:lang w:val="en-AU"/>
        </w:rPr>
        <w:t>der Area and community supports.</w:t>
      </w:r>
    </w:p>
    <w:p w14:paraId="6A7E640A" w14:textId="4EE4C716" w:rsidR="00AD68DF" w:rsidRPr="00AD68DF" w:rsidRDefault="00AD68DF" w:rsidP="008D093E">
      <w:pPr>
        <w:spacing w:after="160"/>
        <w:jc w:val="both"/>
        <w:rPr>
          <w:rFonts w:eastAsia="Calibri"/>
          <w:u w:val="single"/>
          <w:lang w:val="en-AU"/>
        </w:rPr>
      </w:pPr>
      <w:r w:rsidRPr="005344CA">
        <w:rPr>
          <w:rFonts w:eastAsia="Calibri"/>
          <w:u w:val="single"/>
          <w:lang w:val="en-AU"/>
        </w:rPr>
        <w:t>Governance</w:t>
      </w:r>
    </w:p>
    <w:p w14:paraId="526864C0" w14:textId="05711534" w:rsidR="00A41436" w:rsidRPr="00A41436" w:rsidRDefault="005344CA" w:rsidP="008D093E">
      <w:pPr>
        <w:spacing w:after="160"/>
        <w:jc w:val="both"/>
        <w:rPr>
          <w:rFonts w:eastAsia="Calibri"/>
          <w:lang w:val="en-AU"/>
        </w:rPr>
      </w:pPr>
      <w:r>
        <w:rPr>
          <w:rFonts w:eastAsia="Calibri"/>
          <w:lang w:val="en-AU"/>
        </w:rPr>
        <w:t xml:space="preserve">It is expected that </w:t>
      </w:r>
      <w:r w:rsidR="00EE43DB">
        <w:rPr>
          <w:rFonts w:eastAsia="Calibri"/>
          <w:lang w:val="en-AU"/>
        </w:rPr>
        <w:t xml:space="preserve">Service </w:t>
      </w:r>
      <w:r>
        <w:rPr>
          <w:rFonts w:eastAsia="Calibri"/>
          <w:lang w:val="en-AU"/>
        </w:rPr>
        <w:t>Providers, in collaboration with DET have strong program governance structures that support effective service coordination, ongoing collaboration with DET, schools, serv</w:t>
      </w:r>
      <w:r w:rsidR="00EE43DB">
        <w:rPr>
          <w:rFonts w:eastAsia="Calibri"/>
          <w:lang w:val="en-AU"/>
        </w:rPr>
        <w:t xml:space="preserve">ices and the community sector. </w:t>
      </w:r>
      <w:r>
        <w:rPr>
          <w:rFonts w:eastAsia="Calibri"/>
          <w:lang w:val="en-AU"/>
        </w:rPr>
        <w:t>Relationships and partnerships with relevant stakeholders are essential to align service responses to young people who have disengaged with education, and reduce service duplication in local areas.</w:t>
      </w:r>
    </w:p>
    <w:p w14:paraId="09EE01AE" w14:textId="77777777" w:rsidR="00A41436" w:rsidRPr="00D6270C" w:rsidRDefault="00A41436" w:rsidP="008D093E">
      <w:pPr>
        <w:spacing w:after="160" w:line="259" w:lineRule="auto"/>
        <w:jc w:val="both"/>
        <w:rPr>
          <w:rFonts w:eastAsia="Calibri" w:cstheme="minorHAnsi"/>
          <w:szCs w:val="22"/>
          <w:lang w:val="en-AU"/>
        </w:rPr>
      </w:pPr>
      <w:r w:rsidRPr="00D6270C">
        <w:rPr>
          <w:rFonts w:eastAsia="Calibri" w:cstheme="minorHAnsi"/>
          <w:szCs w:val="22"/>
          <w:lang w:val="en-AU"/>
        </w:rPr>
        <w:t xml:space="preserve">There are three levels of governance that inform the operation and development of the Navigator program model at the local level. It is important that there is a degree of flexibility in the implementation of governance structures, to ensure that local contexts are catered for, and existing mechanisms of governance can be utilised where appropriate. </w:t>
      </w:r>
    </w:p>
    <w:p w14:paraId="0AC32138" w14:textId="77777777" w:rsidR="00A41436" w:rsidRPr="00D6270C" w:rsidRDefault="00A41436" w:rsidP="008D093E">
      <w:pPr>
        <w:spacing w:after="160" w:line="259" w:lineRule="auto"/>
        <w:jc w:val="both"/>
        <w:rPr>
          <w:rFonts w:eastAsia="Calibri" w:cstheme="minorHAnsi"/>
          <w:szCs w:val="22"/>
          <w:lang w:val="en-AU"/>
        </w:rPr>
      </w:pPr>
      <w:r w:rsidRPr="00D6270C">
        <w:rPr>
          <w:rFonts w:eastAsia="Calibri" w:cstheme="minorHAnsi"/>
          <w:szCs w:val="22"/>
          <w:lang w:val="en-AU"/>
        </w:rPr>
        <w:t xml:space="preserve">The establishment of local governance structures are a key component of the partnership approach to the delivery of the Navigator program – it provides a forum to bring together local Department and community initiatives, to share Navigator data and to discuss emerging issues in the context of student disengagement. These levels of governance are to be developed in a partnership approach between the Department Area team and the Provider.  </w:t>
      </w:r>
    </w:p>
    <w:p w14:paraId="7ADE0CE0" w14:textId="77777777" w:rsidR="00A41436" w:rsidRPr="00D6270C" w:rsidRDefault="00A41436" w:rsidP="008D093E">
      <w:pPr>
        <w:spacing w:after="160" w:line="259" w:lineRule="auto"/>
        <w:jc w:val="both"/>
        <w:rPr>
          <w:rFonts w:eastAsia="Calibri" w:cstheme="minorHAnsi"/>
          <w:szCs w:val="22"/>
          <w:u w:val="single"/>
          <w:lang w:val="en-AU"/>
        </w:rPr>
      </w:pPr>
      <w:r w:rsidRPr="00D6270C">
        <w:rPr>
          <w:rFonts w:eastAsia="Calibri" w:cstheme="minorHAnsi"/>
          <w:szCs w:val="22"/>
          <w:u w:val="single"/>
          <w:lang w:val="en-AU"/>
        </w:rPr>
        <w:t>At the Program level</w:t>
      </w:r>
    </w:p>
    <w:p w14:paraId="33A0DBAC" w14:textId="77777777" w:rsidR="00A41436" w:rsidRPr="00D6270C" w:rsidRDefault="00A41436" w:rsidP="008D093E">
      <w:pPr>
        <w:spacing w:after="160" w:line="259" w:lineRule="auto"/>
        <w:jc w:val="both"/>
        <w:rPr>
          <w:rFonts w:eastAsia="Calibri" w:cstheme="minorHAnsi"/>
          <w:szCs w:val="22"/>
          <w:lang w:val="en-AU"/>
        </w:rPr>
      </w:pPr>
      <w:r w:rsidRPr="00D6270C">
        <w:rPr>
          <w:rFonts w:eastAsia="Calibri" w:cstheme="minorHAnsi"/>
          <w:szCs w:val="22"/>
          <w:lang w:val="en-AU"/>
        </w:rPr>
        <w:t xml:space="preserve">This primarily involves the regular weekly/fortnightly meetings held between the Navigator Coordinator and the Provider regarding referrals and program implementation. This includes case management issues, referrals and program progress. Also discussed at this level is the operation and the status of young people receiving Active Holding support, and any issues relating to clients who may be exiting the program.  </w:t>
      </w:r>
    </w:p>
    <w:p w14:paraId="3D181759" w14:textId="77777777" w:rsidR="00A41436" w:rsidRPr="00D6270C" w:rsidRDefault="00A41436" w:rsidP="008D093E">
      <w:pPr>
        <w:spacing w:after="160" w:line="259" w:lineRule="auto"/>
        <w:jc w:val="both"/>
        <w:rPr>
          <w:rFonts w:eastAsia="Calibri" w:cstheme="minorHAnsi"/>
          <w:szCs w:val="22"/>
          <w:lang w:val="en-AU"/>
        </w:rPr>
      </w:pPr>
      <w:r w:rsidRPr="00D6270C">
        <w:rPr>
          <w:rFonts w:eastAsia="Calibri" w:cstheme="minorHAnsi"/>
          <w:szCs w:val="22"/>
          <w:lang w:val="en-AU"/>
        </w:rPr>
        <w:t>This is an important forum for the Provider and DET to work in collaboration regarding program implementation, to have an understanding of the support that Navigator is providing to particular young people, and to also facilitate the interface between Navigator referrals and any further support that the Area can provide via the Navigator Coordinator.</w:t>
      </w:r>
    </w:p>
    <w:p w14:paraId="60447E35" w14:textId="77777777" w:rsidR="00A41436" w:rsidRPr="00D6270C" w:rsidRDefault="00A41436" w:rsidP="00A41436">
      <w:pPr>
        <w:keepNext/>
        <w:keepLines/>
        <w:spacing w:after="160" w:line="259" w:lineRule="auto"/>
        <w:rPr>
          <w:rFonts w:eastAsia="Calibri" w:cstheme="minorHAnsi"/>
          <w:szCs w:val="22"/>
          <w:u w:val="single"/>
          <w:lang w:val="en-AU"/>
        </w:rPr>
      </w:pPr>
      <w:r w:rsidRPr="00D6270C">
        <w:rPr>
          <w:rFonts w:eastAsia="Calibri" w:cstheme="minorHAnsi"/>
          <w:szCs w:val="22"/>
          <w:u w:val="single"/>
          <w:lang w:val="en-AU"/>
        </w:rPr>
        <w:lastRenderedPageBreak/>
        <w:t>Operational governance</w:t>
      </w:r>
    </w:p>
    <w:p w14:paraId="3EAA9F08" w14:textId="41967505" w:rsidR="00A41436" w:rsidRPr="00D6270C" w:rsidRDefault="00A41436" w:rsidP="008D093E">
      <w:pPr>
        <w:keepNext/>
        <w:keepLines/>
        <w:spacing w:after="160" w:line="259" w:lineRule="auto"/>
        <w:jc w:val="both"/>
        <w:rPr>
          <w:rFonts w:eastAsia="Calibri" w:cstheme="minorHAnsi"/>
          <w:szCs w:val="22"/>
          <w:lang w:val="en-AU"/>
        </w:rPr>
      </w:pPr>
      <w:r w:rsidRPr="00D6270C">
        <w:rPr>
          <w:rFonts w:eastAsia="Calibri" w:cstheme="minorHAnsi"/>
          <w:szCs w:val="22"/>
          <w:lang w:val="en-AU"/>
        </w:rPr>
        <w:t>This level of governance is to discuss broader implementation and practice issues relating to the service model in the Area. Membership of this group can be locally determined, however may involve Providers and Partners (including management level staff), Navigator Coordinators and relevant area based staff (Services Support Manager), and other relevant support services that may be important in the delivery of the service model, and in addressing issues that relate to the cohort of young people being supported by the Navigator program. This level of governance is a foundation for collaborative working between Providers and DET Area staff, including the opportunity to identify and progress issues related to working with schools. It is an opportunity to involve relevant services at the operational level in order to ensure that the program is addressing the needs of eligible young people in the most effective way.</w:t>
      </w:r>
    </w:p>
    <w:p w14:paraId="32A3BF56" w14:textId="77777777" w:rsidR="00A41436" w:rsidRPr="00D6270C" w:rsidRDefault="00A41436" w:rsidP="008D093E">
      <w:pPr>
        <w:spacing w:after="160" w:line="259" w:lineRule="auto"/>
        <w:jc w:val="both"/>
        <w:rPr>
          <w:rFonts w:eastAsia="Calibri" w:cstheme="minorHAnsi"/>
          <w:szCs w:val="22"/>
          <w:u w:val="single"/>
          <w:lang w:val="en-AU"/>
        </w:rPr>
      </w:pPr>
      <w:r w:rsidRPr="00D6270C">
        <w:rPr>
          <w:rFonts w:eastAsia="Calibri" w:cstheme="minorHAnsi"/>
          <w:szCs w:val="22"/>
          <w:u w:val="single"/>
          <w:lang w:val="en-AU"/>
        </w:rPr>
        <w:t>Strategic governance</w:t>
      </w:r>
    </w:p>
    <w:p w14:paraId="4EF02061" w14:textId="77777777" w:rsidR="00A41436" w:rsidRPr="00D6270C" w:rsidRDefault="00A41436" w:rsidP="008D093E">
      <w:pPr>
        <w:spacing w:after="160" w:line="259" w:lineRule="auto"/>
        <w:jc w:val="both"/>
        <w:rPr>
          <w:rFonts w:eastAsia="Calibri" w:cstheme="minorHAnsi"/>
          <w:szCs w:val="22"/>
          <w:lang w:val="en-AU"/>
        </w:rPr>
      </w:pPr>
      <w:r w:rsidRPr="00D6270C">
        <w:rPr>
          <w:rFonts w:eastAsia="Calibri" w:cstheme="minorHAnsi"/>
          <w:szCs w:val="22"/>
          <w:lang w:val="en-AU"/>
        </w:rPr>
        <w:t xml:space="preserve">This is a higher-level strategic forum to assist in the identification of broader opportunities to support vulnerable young people and their families and in addressing broader issues concerning student disengagement. It is an opportunity to share relevant quarterly data with the appropriate networks to provide information and context of emerging issues. Membership of this level of governance can be determined locally and should take into account other available services within the Area. This level of governance can also assist in identifying particular sub-cohorts of the Navigator population, which may require further locally targeted supports such as particular CALD communities, or issues that are particular to a certain area.  </w:t>
      </w:r>
    </w:p>
    <w:p w14:paraId="63690E89" w14:textId="00BAF2BD" w:rsidR="000B5AD6" w:rsidRDefault="00A41436" w:rsidP="008D093E">
      <w:pPr>
        <w:jc w:val="both"/>
        <w:rPr>
          <w:rFonts w:ascii="Calibri" w:eastAsia="Calibri" w:hAnsi="Calibri" w:cs="Times New Roman"/>
          <w:szCs w:val="22"/>
          <w:lang w:val="en-AU"/>
        </w:rPr>
      </w:pPr>
      <w:r w:rsidRPr="00D6270C">
        <w:rPr>
          <w:rFonts w:eastAsia="Calibri" w:cstheme="minorHAnsi"/>
          <w:szCs w:val="22"/>
          <w:lang w:val="en-AU"/>
        </w:rPr>
        <w:t>It is important that this level of governance is initiated and led by the DET Area, in order for it to align with DET Area priorities</w:t>
      </w:r>
      <w:r>
        <w:rPr>
          <w:rFonts w:ascii="Calibri" w:eastAsia="Calibri" w:hAnsi="Calibri" w:cs="Times New Roman"/>
          <w:szCs w:val="22"/>
          <w:lang w:val="en-AU"/>
        </w:rPr>
        <w:t>.</w:t>
      </w:r>
    </w:p>
    <w:p w14:paraId="1EFEEF8A" w14:textId="77777777" w:rsidR="00A41436" w:rsidRDefault="00A41436" w:rsidP="00EF4DA1">
      <w:pPr>
        <w:rPr>
          <w:lang w:val="en-AU"/>
        </w:rPr>
      </w:pPr>
    </w:p>
    <w:p w14:paraId="0FF707B4" w14:textId="798634C2" w:rsidR="00F427B4" w:rsidRDefault="00F427B4" w:rsidP="00F427B4">
      <w:pPr>
        <w:pStyle w:val="Heading2"/>
        <w:rPr>
          <w:lang w:val="en-AU"/>
        </w:rPr>
      </w:pPr>
      <w:r>
        <w:rPr>
          <w:lang w:val="en-AU"/>
        </w:rPr>
        <w:t>navigator service capabilities</w:t>
      </w:r>
    </w:p>
    <w:p w14:paraId="39F7BB51" w14:textId="7ABAC427" w:rsidR="00F427B4" w:rsidRPr="00082526" w:rsidRDefault="003E7FE7" w:rsidP="00213752">
      <w:pPr>
        <w:numPr>
          <w:ilvl w:val="0"/>
          <w:numId w:val="34"/>
        </w:numPr>
        <w:ind w:left="851"/>
        <w:rPr>
          <w:lang w:val="en-AU"/>
        </w:rPr>
      </w:pPr>
      <w:r>
        <w:rPr>
          <w:lang w:val="en-AU"/>
        </w:rPr>
        <w:t>Service Provider</w:t>
      </w:r>
      <w:r w:rsidR="00F427B4" w:rsidRPr="005344CA">
        <w:rPr>
          <w:lang w:val="en-AU"/>
        </w:rPr>
        <w:t>s will be required to demonstrate the knowledge and</w:t>
      </w:r>
      <w:r w:rsidR="005344CA">
        <w:rPr>
          <w:lang w:val="en-AU"/>
        </w:rPr>
        <w:t xml:space="preserve"> experience outlined in Table 1</w:t>
      </w:r>
    </w:p>
    <w:tbl>
      <w:tblPr>
        <w:tblStyle w:val="TableGrid"/>
        <w:tblW w:w="0" w:type="auto"/>
        <w:tblLook w:val="04A0" w:firstRow="1" w:lastRow="0" w:firstColumn="1" w:lastColumn="0" w:noHBand="0" w:noVBand="1"/>
        <w:tblCaption w:val="Table 1: Knowledge and Experience"/>
      </w:tblPr>
      <w:tblGrid>
        <w:gridCol w:w="9622"/>
      </w:tblGrid>
      <w:tr w:rsidR="00F427B4" w14:paraId="11E9BEF1" w14:textId="77777777" w:rsidTr="00375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22A43DF6" w14:textId="4DA9B82C" w:rsidR="00F427B4" w:rsidRDefault="00F427B4" w:rsidP="00EF4DA1">
            <w:pPr>
              <w:rPr>
                <w:lang w:val="en-AU"/>
              </w:rPr>
            </w:pPr>
            <w:r>
              <w:rPr>
                <w:lang w:val="en-AU"/>
              </w:rPr>
              <w:t>Table 1:</w:t>
            </w:r>
            <w:r w:rsidR="00EE43DB">
              <w:rPr>
                <w:lang w:val="en-AU"/>
              </w:rPr>
              <w:t xml:space="preserve"> </w:t>
            </w:r>
            <w:r>
              <w:rPr>
                <w:lang w:val="en-AU"/>
              </w:rPr>
              <w:t>Knowledge and Experience</w:t>
            </w:r>
          </w:p>
        </w:tc>
      </w:tr>
      <w:tr w:rsidR="00F427B4" w14:paraId="1F681009" w14:textId="77777777" w:rsidTr="00F427B4">
        <w:tc>
          <w:tcPr>
            <w:cnfStyle w:val="001000000000" w:firstRow="0" w:lastRow="0" w:firstColumn="1" w:lastColumn="0" w:oddVBand="0" w:evenVBand="0" w:oddHBand="0" w:evenHBand="0" w:firstRowFirstColumn="0" w:firstRowLastColumn="0" w:lastRowFirstColumn="0" w:lastRowLastColumn="0"/>
            <w:tcW w:w="9622" w:type="dxa"/>
          </w:tcPr>
          <w:p w14:paraId="6F8FF690" w14:textId="6A040819" w:rsidR="00F427B4" w:rsidRPr="005344CA" w:rsidRDefault="00F427B4" w:rsidP="005344CA">
            <w:pPr>
              <w:rPr>
                <w:lang w:val="en-AU"/>
              </w:rPr>
            </w:pPr>
            <w:r>
              <w:rPr>
                <w:lang w:val="en-AU"/>
              </w:rPr>
              <w:t>1: A sound knowledge of the:</w:t>
            </w:r>
          </w:p>
          <w:tbl>
            <w:tblPr>
              <w:tblW w:w="0" w:type="auto"/>
              <w:tblBorders>
                <w:top w:val="nil"/>
                <w:left w:val="nil"/>
                <w:bottom w:val="nil"/>
                <w:right w:val="nil"/>
              </w:tblBorders>
              <w:tblLook w:val="0000" w:firstRow="0" w:lastRow="0" w:firstColumn="0" w:lastColumn="0" w:noHBand="0" w:noVBand="0"/>
              <w:tblCaption w:val="Table 1 knowledge and experience"/>
              <w:tblDescription w:val="Sound knowledge, experience in, "/>
            </w:tblPr>
            <w:tblGrid>
              <w:gridCol w:w="9406"/>
            </w:tblGrid>
            <w:tr w:rsidR="00F427B4" w14:paraId="740CB555" w14:textId="77777777">
              <w:trPr>
                <w:trHeight w:val="935"/>
              </w:trPr>
              <w:tc>
                <w:tcPr>
                  <w:tcW w:w="0" w:type="auto"/>
                </w:tcPr>
                <w:p w14:paraId="00F2E7F4" w14:textId="77777777" w:rsidR="00F427B4" w:rsidRDefault="00F427B4" w:rsidP="00F427B4">
                  <w:pPr>
                    <w:pStyle w:val="Default"/>
                    <w:rPr>
                      <w:color w:val="auto"/>
                    </w:rPr>
                  </w:pPr>
                </w:p>
                <w:p w14:paraId="01B93604" w14:textId="77777777" w:rsidR="00F427B4" w:rsidRPr="00D6270C" w:rsidRDefault="00F427B4" w:rsidP="005344CA">
                  <w:pPr>
                    <w:pStyle w:val="Default"/>
                    <w:numPr>
                      <w:ilvl w:val="0"/>
                      <w:numId w:val="36"/>
                    </w:numPr>
                    <w:rPr>
                      <w:sz w:val="19"/>
                      <w:szCs w:val="19"/>
                    </w:rPr>
                  </w:pPr>
                  <w:r w:rsidRPr="00D6270C">
                    <w:rPr>
                      <w:bCs/>
                      <w:sz w:val="19"/>
                      <w:szCs w:val="19"/>
                    </w:rPr>
                    <w:t xml:space="preserve">Victorian education system, education and training pathways and relevant legislation , including the </w:t>
                  </w:r>
                  <w:r w:rsidRPr="00D6270C">
                    <w:rPr>
                      <w:bCs/>
                      <w:i/>
                      <w:iCs/>
                      <w:sz w:val="19"/>
                      <w:szCs w:val="19"/>
                    </w:rPr>
                    <w:t>Education and Training Reform Act 2006</w:t>
                  </w:r>
                  <w:r w:rsidRPr="00D6270C">
                    <w:rPr>
                      <w:bCs/>
                      <w:sz w:val="19"/>
                      <w:szCs w:val="19"/>
                    </w:rPr>
                    <w:t xml:space="preserve">, the Victorian Curriculum, Primary and Secondary schooling (including alternative schools) and other training options such as Learn Locals and TAFE institutes </w:t>
                  </w:r>
                </w:p>
                <w:p w14:paraId="3959D7AD" w14:textId="2012B8F8" w:rsidR="00F427B4" w:rsidRPr="00D6270C" w:rsidRDefault="00F427B4" w:rsidP="005344CA">
                  <w:pPr>
                    <w:pStyle w:val="Default"/>
                    <w:numPr>
                      <w:ilvl w:val="0"/>
                      <w:numId w:val="36"/>
                    </w:numPr>
                    <w:rPr>
                      <w:sz w:val="19"/>
                      <w:szCs w:val="19"/>
                    </w:rPr>
                  </w:pPr>
                  <w:r w:rsidRPr="00D6270C">
                    <w:rPr>
                      <w:bCs/>
                      <w:sz w:val="19"/>
                      <w:szCs w:val="19"/>
                    </w:rPr>
                    <w:t xml:space="preserve">local context in the Area where they propose to operate </w:t>
                  </w:r>
                </w:p>
                <w:p w14:paraId="46B3CADE" w14:textId="094EC143" w:rsidR="00F427B4" w:rsidRPr="00D6270C" w:rsidRDefault="00F427B4" w:rsidP="005344CA">
                  <w:pPr>
                    <w:pStyle w:val="Default"/>
                    <w:numPr>
                      <w:ilvl w:val="0"/>
                      <w:numId w:val="36"/>
                    </w:numPr>
                    <w:rPr>
                      <w:sz w:val="19"/>
                      <w:szCs w:val="19"/>
                    </w:rPr>
                  </w:pPr>
                  <w:r w:rsidRPr="00D6270C">
                    <w:rPr>
                      <w:bCs/>
                      <w:sz w:val="19"/>
                      <w:szCs w:val="19"/>
                    </w:rPr>
                    <w:t xml:space="preserve">the key stakeholders in the Area </w:t>
                  </w:r>
                </w:p>
                <w:p w14:paraId="7A7A8F05" w14:textId="2D58DF8A" w:rsidR="00F427B4" w:rsidRPr="00D6270C" w:rsidRDefault="00F427B4" w:rsidP="005344CA">
                  <w:pPr>
                    <w:pStyle w:val="Default"/>
                    <w:numPr>
                      <w:ilvl w:val="0"/>
                      <w:numId w:val="36"/>
                    </w:numPr>
                    <w:rPr>
                      <w:sz w:val="19"/>
                      <w:szCs w:val="19"/>
                    </w:rPr>
                  </w:pPr>
                  <w:r w:rsidRPr="00D6270C">
                    <w:rPr>
                      <w:bCs/>
                      <w:sz w:val="19"/>
                      <w:szCs w:val="19"/>
                    </w:rPr>
                    <w:t xml:space="preserve">supports available to young people to assist them overcoming barriers to education </w:t>
                  </w:r>
                </w:p>
                <w:p w14:paraId="4ACDB3FE" w14:textId="45846D73" w:rsidR="00F427B4" w:rsidRPr="00D6270C" w:rsidRDefault="00F427B4" w:rsidP="005344CA">
                  <w:pPr>
                    <w:pStyle w:val="Default"/>
                    <w:numPr>
                      <w:ilvl w:val="0"/>
                      <w:numId w:val="36"/>
                    </w:numPr>
                    <w:rPr>
                      <w:sz w:val="19"/>
                      <w:szCs w:val="19"/>
                    </w:rPr>
                  </w:pPr>
                  <w:r w:rsidRPr="00D6270C">
                    <w:rPr>
                      <w:bCs/>
                      <w:sz w:val="19"/>
                      <w:szCs w:val="19"/>
                    </w:rPr>
                    <w:t xml:space="preserve">student inclusion and engagement guidance and re-engagement policy </w:t>
                  </w:r>
                </w:p>
                <w:p w14:paraId="31CF2D61" w14:textId="1701E822" w:rsidR="00F427B4" w:rsidRPr="004B0732" w:rsidRDefault="00F427B4" w:rsidP="004B0732">
                  <w:pPr>
                    <w:pStyle w:val="Default"/>
                    <w:numPr>
                      <w:ilvl w:val="0"/>
                      <w:numId w:val="36"/>
                    </w:numPr>
                    <w:rPr>
                      <w:sz w:val="19"/>
                      <w:szCs w:val="19"/>
                    </w:rPr>
                  </w:pPr>
                  <w:r w:rsidRPr="00D6270C">
                    <w:rPr>
                      <w:bCs/>
                      <w:sz w:val="19"/>
                      <w:szCs w:val="19"/>
                    </w:rPr>
                    <w:t>services and support operating within the DET, including social and emotional learning curriculum and resources</w:t>
                  </w:r>
                </w:p>
              </w:tc>
            </w:tr>
          </w:tbl>
          <w:p w14:paraId="4F4EDC59" w14:textId="379BB92F" w:rsidR="00F427B4" w:rsidRDefault="00F427B4" w:rsidP="00EF4DA1">
            <w:pPr>
              <w:rPr>
                <w:lang w:val="en-AU"/>
              </w:rPr>
            </w:pPr>
          </w:p>
        </w:tc>
      </w:tr>
      <w:tr w:rsidR="00F427B4" w14:paraId="73A42521" w14:textId="77777777" w:rsidTr="00F427B4">
        <w:tc>
          <w:tcPr>
            <w:cnfStyle w:val="001000000000" w:firstRow="0" w:lastRow="0" w:firstColumn="1" w:lastColumn="0" w:oddVBand="0" w:evenVBand="0" w:oddHBand="0" w:evenHBand="0" w:firstRowFirstColumn="0" w:firstRowLastColumn="0" w:lastRowFirstColumn="0" w:lastRowLastColumn="0"/>
            <w:tcW w:w="9622" w:type="dxa"/>
          </w:tcPr>
          <w:p w14:paraId="75A7FAF9" w14:textId="3C5442C6" w:rsidR="00F427B4" w:rsidRPr="00F427B4" w:rsidRDefault="00F427B4" w:rsidP="00F427B4">
            <w:pPr>
              <w:rPr>
                <w:lang w:val="en-AU"/>
              </w:rPr>
            </w:pPr>
            <w:r>
              <w:rPr>
                <w:lang w:val="en-AU"/>
              </w:rPr>
              <w:t>2: Experience in:</w:t>
            </w:r>
          </w:p>
          <w:tbl>
            <w:tblPr>
              <w:tblW w:w="0" w:type="auto"/>
              <w:tblBorders>
                <w:top w:val="nil"/>
                <w:left w:val="nil"/>
                <w:bottom w:val="nil"/>
                <w:right w:val="nil"/>
              </w:tblBorders>
              <w:tblLook w:val="0000" w:firstRow="0" w:lastRow="0" w:firstColumn="0" w:lastColumn="0" w:noHBand="0" w:noVBand="0"/>
            </w:tblPr>
            <w:tblGrid>
              <w:gridCol w:w="9406"/>
            </w:tblGrid>
            <w:tr w:rsidR="00F427B4" w:rsidRPr="00F427B4" w14:paraId="56528B02" w14:textId="77777777">
              <w:trPr>
                <w:trHeight w:val="1054"/>
              </w:trPr>
              <w:tc>
                <w:tcPr>
                  <w:tcW w:w="0" w:type="auto"/>
                </w:tcPr>
                <w:p w14:paraId="48541F36" w14:textId="77777777" w:rsidR="00F427B4" w:rsidRPr="00F427B4" w:rsidRDefault="00F427B4" w:rsidP="00F427B4">
                  <w:pPr>
                    <w:autoSpaceDE w:val="0"/>
                    <w:autoSpaceDN w:val="0"/>
                    <w:adjustRightInd w:val="0"/>
                    <w:spacing w:after="0"/>
                    <w:rPr>
                      <w:rFonts w:ascii="Courier New" w:hAnsi="Courier New" w:cs="Courier New"/>
                      <w:sz w:val="24"/>
                      <w:lang w:val="en-AU"/>
                    </w:rPr>
                  </w:pPr>
                </w:p>
                <w:p w14:paraId="5E3E4517" w14:textId="5F602676" w:rsidR="00F427B4" w:rsidRPr="00D6270C"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D6270C">
                    <w:rPr>
                      <w:rFonts w:ascii="Calibri" w:hAnsi="Calibri" w:cs="Calibri"/>
                      <w:bCs/>
                      <w:color w:val="000000"/>
                      <w:sz w:val="19"/>
                      <w:szCs w:val="19"/>
                      <w:lang w:val="en-AU"/>
                    </w:rPr>
                    <w:t>working with vulnerable young people who encounter barriers to engaging in education or training su</w:t>
                  </w:r>
                  <w:r w:rsidR="005344CA" w:rsidRPr="00D6270C">
                    <w:rPr>
                      <w:rFonts w:ascii="Calibri" w:hAnsi="Calibri" w:cs="Calibri"/>
                      <w:bCs/>
                      <w:color w:val="000000"/>
                      <w:sz w:val="19"/>
                      <w:szCs w:val="19"/>
                      <w:lang w:val="en-AU"/>
                    </w:rPr>
                    <w:t>ch as alcohol and other drug (AO</w:t>
                  </w:r>
                  <w:r w:rsidRPr="00D6270C">
                    <w:rPr>
                      <w:rFonts w:ascii="Calibri" w:hAnsi="Calibri" w:cs="Calibri"/>
                      <w:bCs/>
                      <w:color w:val="000000"/>
                      <w:sz w:val="19"/>
                      <w:szCs w:val="19"/>
                      <w:lang w:val="en-AU"/>
                    </w:rPr>
                    <w:t xml:space="preserve">D) issues, anxiety, depression, family conflict, caring responsibilities or homelessness </w:t>
                  </w:r>
                </w:p>
                <w:p w14:paraId="15ED6178" w14:textId="47F3EE3B" w:rsidR="00F427B4" w:rsidRPr="00D6270C"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D6270C">
                    <w:rPr>
                      <w:rFonts w:ascii="Calibri" w:hAnsi="Calibri" w:cs="Calibri"/>
                      <w:bCs/>
                      <w:color w:val="000000"/>
                      <w:sz w:val="19"/>
                      <w:szCs w:val="19"/>
                      <w:lang w:val="en-AU"/>
                    </w:rPr>
                    <w:t xml:space="preserve">working with schools, local education providers and </w:t>
                  </w:r>
                  <w:r w:rsidR="00EE43DB" w:rsidRPr="00D6270C">
                    <w:rPr>
                      <w:rFonts w:ascii="Calibri" w:hAnsi="Calibri" w:cs="Calibri"/>
                      <w:bCs/>
                      <w:color w:val="000000"/>
                      <w:sz w:val="19"/>
                      <w:szCs w:val="19"/>
                      <w:lang w:val="en-AU"/>
                    </w:rPr>
                    <w:t xml:space="preserve">local </w:t>
                  </w:r>
                  <w:r w:rsidRPr="00D6270C">
                    <w:rPr>
                      <w:rFonts w:ascii="Calibri" w:hAnsi="Calibri" w:cs="Calibri"/>
                      <w:bCs/>
                      <w:color w:val="000000"/>
                      <w:sz w:val="19"/>
                      <w:szCs w:val="19"/>
                      <w:lang w:val="en-AU"/>
                    </w:rPr>
                    <w:t xml:space="preserve">support services (such as School Focused Youth Service and Local Learning and Employment Networks) </w:t>
                  </w:r>
                </w:p>
                <w:p w14:paraId="4EC0F177" w14:textId="58A24E24" w:rsidR="00F427B4" w:rsidRPr="00D6270C"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D6270C">
                    <w:rPr>
                      <w:rFonts w:ascii="Calibri" w:hAnsi="Calibri" w:cs="Calibri"/>
                      <w:bCs/>
                      <w:color w:val="000000"/>
                      <w:sz w:val="19"/>
                      <w:szCs w:val="19"/>
                      <w:lang w:val="en-AU"/>
                    </w:rPr>
                    <w:lastRenderedPageBreak/>
                    <w:t xml:space="preserve">working with Indigenous learners and learners from culturally and linguistically diverse backgrounds, and developing interventions and programs that are culturally appropriate to these learners </w:t>
                  </w:r>
                </w:p>
                <w:p w14:paraId="5AFC36E6" w14:textId="6E00EE4A" w:rsidR="00F427B4" w:rsidRPr="00D6270C"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D6270C">
                    <w:rPr>
                      <w:rFonts w:ascii="Calibri" w:hAnsi="Calibri" w:cs="Calibri"/>
                      <w:bCs/>
                      <w:color w:val="000000"/>
                      <w:sz w:val="19"/>
                      <w:szCs w:val="19"/>
                      <w:lang w:val="en-AU"/>
                    </w:rPr>
                    <w:t xml:space="preserve">planning and delivery of services to young people over a wide geographical area </w:t>
                  </w:r>
                </w:p>
                <w:p w14:paraId="18D2F923" w14:textId="43961526" w:rsidR="00F427B4" w:rsidRPr="00D6270C"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D6270C">
                    <w:rPr>
                      <w:rFonts w:ascii="Calibri" w:hAnsi="Calibri" w:cs="Calibri"/>
                      <w:bCs/>
                      <w:color w:val="000000"/>
                      <w:sz w:val="19"/>
                      <w:szCs w:val="19"/>
                      <w:lang w:val="en-AU"/>
                    </w:rPr>
                    <w:t xml:space="preserve">establishing or linking with existing governance committees to oversee work and impact </w:t>
                  </w:r>
                </w:p>
                <w:p w14:paraId="70AC768C" w14:textId="412A7DD4" w:rsidR="00F427B4" w:rsidRPr="00D6270C"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D6270C">
                    <w:rPr>
                      <w:rFonts w:ascii="Calibri" w:hAnsi="Calibri" w:cs="Calibri"/>
                      <w:bCs/>
                      <w:color w:val="000000"/>
                      <w:sz w:val="19"/>
                      <w:szCs w:val="19"/>
                      <w:lang w:val="en-AU"/>
                    </w:rPr>
                    <w:t xml:space="preserve">assessing the learning needs of young people </w:t>
                  </w:r>
                </w:p>
                <w:p w14:paraId="234CD9F7" w14:textId="77777777" w:rsidR="00F427B4" w:rsidRPr="00F427B4" w:rsidRDefault="00F427B4" w:rsidP="00F427B4">
                  <w:pPr>
                    <w:autoSpaceDE w:val="0"/>
                    <w:autoSpaceDN w:val="0"/>
                    <w:adjustRightInd w:val="0"/>
                    <w:spacing w:after="0"/>
                    <w:rPr>
                      <w:rFonts w:ascii="Calibri" w:hAnsi="Calibri" w:cs="Calibri"/>
                      <w:color w:val="000000"/>
                      <w:sz w:val="19"/>
                      <w:szCs w:val="19"/>
                      <w:lang w:val="en-AU"/>
                    </w:rPr>
                  </w:pPr>
                </w:p>
              </w:tc>
            </w:tr>
          </w:tbl>
          <w:p w14:paraId="763BEA9B" w14:textId="58BB02DE" w:rsidR="00F427B4" w:rsidRDefault="00F427B4" w:rsidP="00EF4DA1">
            <w:pPr>
              <w:rPr>
                <w:lang w:val="en-AU"/>
              </w:rPr>
            </w:pPr>
          </w:p>
        </w:tc>
      </w:tr>
    </w:tbl>
    <w:p w14:paraId="39649753" w14:textId="322BF9BC" w:rsidR="00F427B4" w:rsidRDefault="00F427B4" w:rsidP="00F427B4">
      <w:pPr>
        <w:rPr>
          <w:lang w:val="en-AU"/>
        </w:rPr>
      </w:pPr>
    </w:p>
    <w:p w14:paraId="194A2EF9" w14:textId="37B791B5" w:rsidR="00F427B4" w:rsidRPr="00213752" w:rsidRDefault="003E7FE7" w:rsidP="00213752">
      <w:pPr>
        <w:numPr>
          <w:ilvl w:val="0"/>
          <w:numId w:val="34"/>
        </w:numPr>
        <w:ind w:left="851"/>
        <w:rPr>
          <w:lang w:val="en-AU"/>
        </w:rPr>
      </w:pPr>
      <w:r w:rsidRPr="00213752">
        <w:rPr>
          <w:lang w:val="en-AU"/>
        </w:rPr>
        <w:t>Navigator Service Provider</w:t>
      </w:r>
      <w:r w:rsidR="00F427B4" w:rsidRPr="00213752">
        <w:rPr>
          <w:lang w:val="en-AU"/>
        </w:rPr>
        <w:t>s will be required to demonstrate the ability to d</w:t>
      </w:r>
      <w:r w:rsidR="00497189" w:rsidRPr="00213752">
        <w:rPr>
          <w:lang w:val="en-AU"/>
        </w:rPr>
        <w:t>eliver the key service componen</w:t>
      </w:r>
      <w:r w:rsidR="005344CA" w:rsidRPr="00213752">
        <w:rPr>
          <w:lang w:val="en-AU"/>
        </w:rPr>
        <w:t>ts that are outlined in Table 2</w:t>
      </w:r>
    </w:p>
    <w:tbl>
      <w:tblPr>
        <w:tblStyle w:val="TableGrid"/>
        <w:tblW w:w="0" w:type="auto"/>
        <w:tblLook w:val="04A0" w:firstRow="1" w:lastRow="0" w:firstColumn="1" w:lastColumn="0" w:noHBand="0" w:noVBand="1"/>
        <w:tblCaption w:val="Table 2: Key Service Components"/>
      </w:tblPr>
      <w:tblGrid>
        <w:gridCol w:w="9622"/>
      </w:tblGrid>
      <w:tr w:rsidR="00F427B4" w14:paraId="2DA43F8D" w14:textId="77777777" w:rsidTr="00375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BB5EF26" w14:textId="241EB516" w:rsidR="00F427B4" w:rsidRDefault="00F427B4" w:rsidP="00F427B4">
            <w:pPr>
              <w:spacing w:after="160"/>
              <w:rPr>
                <w:rFonts w:eastAsia="Calibri"/>
                <w:lang w:val="en-AU"/>
              </w:rPr>
            </w:pPr>
            <w:r>
              <w:rPr>
                <w:rFonts w:eastAsia="Calibri"/>
                <w:lang w:val="en-AU"/>
              </w:rPr>
              <w:t xml:space="preserve">Table 2: </w:t>
            </w:r>
            <w:r w:rsidR="00F23784">
              <w:rPr>
                <w:rFonts w:eastAsia="Calibri"/>
                <w:lang w:val="en-AU"/>
              </w:rPr>
              <w:t xml:space="preserve">Key </w:t>
            </w:r>
            <w:r>
              <w:rPr>
                <w:rFonts w:eastAsia="Calibri"/>
                <w:lang w:val="en-AU"/>
              </w:rPr>
              <w:t>Service Components</w:t>
            </w:r>
          </w:p>
        </w:tc>
      </w:tr>
      <w:tr w:rsidR="00F427B4" w14:paraId="17B804CD" w14:textId="77777777" w:rsidTr="00375774">
        <w:tc>
          <w:tcPr>
            <w:cnfStyle w:val="001000000000" w:firstRow="0" w:lastRow="0" w:firstColumn="1" w:lastColumn="0" w:oddVBand="0" w:evenVBand="0" w:oddHBand="0" w:evenHBand="0" w:firstRowFirstColumn="0" w:firstRowLastColumn="0" w:lastRowFirstColumn="0" w:lastRowLastColumn="0"/>
            <w:tcW w:w="9622" w:type="dxa"/>
          </w:tcPr>
          <w:p w14:paraId="4CA2417D" w14:textId="57B44358" w:rsidR="00F427B4" w:rsidRPr="00F427B4" w:rsidRDefault="00F427B4" w:rsidP="00F427B4">
            <w:pPr>
              <w:spacing w:after="160"/>
              <w:rPr>
                <w:rFonts w:eastAsia="Calibri"/>
                <w:lang w:val="en-AU"/>
              </w:rPr>
            </w:pPr>
            <w:r>
              <w:rPr>
                <w:rFonts w:eastAsia="Calibri"/>
                <w:lang w:val="en-AU"/>
              </w:rPr>
              <w:t>1: Assertive Outreach</w:t>
            </w:r>
          </w:p>
          <w:tbl>
            <w:tblPr>
              <w:tblW w:w="0" w:type="auto"/>
              <w:tblBorders>
                <w:top w:val="nil"/>
                <w:left w:val="nil"/>
                <w:bottom w:val="nil"/>
                <w:right w:val="nil"/>
              </w:tblBorders>
              <w:tblLook w:val="0000" w:firstRow="0" w:lastRow="0" w:firstColumn="0" w:lastColumn="0" w:noHBand="0" w:noVBand="0"/>
            </w:tblPr>
            <w:tblGrid>
              <w:gridCol w:w="9406"/>
            </w:tblGrid>
            <w:tr w:rsidR="00F427B4" w:rsidRPr="00F427B4" w14:paraId="76A4C26A" w14:textId="77777777">
              <w:trPr>
                <w:trHeight w:val="398"/>
              </w:trPr>
              <w:tc>
                <w:tcPr>
                  <w:tcW w:w="0" w:type="auto"/>
                </w:tcPr>
                <w:p w14:paraId="07B727FD" w14:textId="77777777" w:rsidR="00F427B4" w:rsidRPr="00F427B4" w:rsidRDefault="00F427B4" w:rsidP="00F427B4">
                  <w:pPr>
                    <w:autoSpaceDE w:val="0"/>
                    <w:autoSpaceDN w:val="0"/>
                    <w:adjustRightInd w:val="0"/>
                    <w:spacing w:after="0"/>
                    <w:rPr>
                      <w:rFonts w:ascii="Courier New" w:hAnsi="Courier New" w:cs="Courier New"/>
                      <w:sz w:val="24"/>
                      <w:lang w:val="en-AU"/>
                    </w:rPr>
                  </w:pPr>
                </w:p>
                <w:p w14:paraId="1885D01B" w14:textId="490FBBA1" w:rsidR="00F427B4" w:rsidRPr="000820BE"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Seeking out, and connecting with, learners who have disengaged from schooling </w:t>
                  </w:r>
                </w:p>
                <w:p w14:paraId="608D6251" w14:textId="1AFD3084" w:rsidR="00F427B4" w:rsidRPr="000820BE" w:rsidRDefault="00F427B4"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Following up on referrals from schools or agencies, making personal contact with the young person and developing effective working relationships </w:t>
                  </w:r>
                </w:p>
                <w:p w14:paraId="2B019458" w14:textId="77777777" w:rsidR="00F427B4" w:rsidRPr="00F427B4" w:rsidRDefault="00F427B4" w:rsidP="00F427B4">
                  <w:pPr>
                    <w:autoSpaceDE w:val="0"/>
                    <w:autoSpaceDN w:val="0"/>
                    <w:adjustRightInd w:val="0"/>
                    <w:spacing w:after="0"/>
                    <w:rPr>
                      <w:rFonts w:ascii="Calibri" w:hAnsi="Calibri" w:cs="Calibri"/>
                      <w:color w:val="000000"/>
                      <w:sz w:val="19"/>
                      <w:szCs w:val="19"/>
                      <w:lang w:val="en-AU"/>
                    </w:rPr>
                  </w:pPr>
                </w:p>
              </w:tc>
            </w:tr>
          </w:tbl>
          <w:p w14:paraId="1126C749" w14:textId="5BB51504" w:rsidR="00F427B4" w:rsidRDefault="00F427B4" w:rsidP="00F427B4">
            <w:pPr>
              <w:spacing w:after="160"/>
              <w:rPr>
                <w:rFonts w:eastAsia="Calibri"/>
                <w:lang w:val="en-AU"/>
              </w:rPr>
            </w:pPr>
          </w:p>
        </w:tc>
      </w:tr>
      <w:tr w:rsidR="00F427B4" w14:paraId="65FCD445" w14:textId="77777777" w:rsidTr="00375774">
        <w:tc>
          <w:tcPr>
            <w:cnfStyle w:val="001000000000" w:firstRow="0" w:lastRow="0" w:firstColumn="1" w:lastColumn="0" w:oddVBand="0" w:evenVBand="0" w:oddHBand="0" w:evenHBand="0" w:firstRowFirstColumn="0" w:firstRowLastColumn="0" w:lastRowFirstColumn="0" w:lastRowLastColumn="0"/>
            <w:tcW w:w="9622" w:type="dxa"/>
          </w:tcPr>
          <w:p w14:paraId="24A5232C" w14:textId="1791F5A7" w:rsidR="00F427B4" w:rsidRDefault="00F427B4" w:rsidP="00F427B4">
            <w:pPr>
              <w:spacing w:after="160"/>
              <w:rPr>
                <w:rFonts w:eastAsia="Calibri"/>
                <w:lang w:val="en-AU"/>
              </w:rPr>
            </w:pPr>
            <w:r>
              <w:rPr>
                <w:rFonts w:eastAsia="Calibri"/>
                <w:lang w:val="en-AU"/>
              </w:rPr>
              <w:t xml:space="preserve">2: Active </w:t>
            </w:r>
            <w:r w:rsidR="00430062">
              <w:rPr>
                <w:rFonts w:eastAsia="Calibri"/>
                <w:lang w:val="en-AU"/>
              </w:rPr>
              <w:t>Hold / Waitlist</w:t>
            </w:r>
            <w:r>
              <w:rPr>
                <w:rFonts w:eastAsia="Calibri"/>
                <w:lang w:val="en-AU"/>
              </w:rPr>
              <w:t xml:space="preserve"> support </w:t>
            </w:r>
          </w:p>
          <w:p w14:paraId="1D1A7692" w14:textId="77777777" w:rsidR="00430062" w:rsidRPr="000820BE" w:rsidRDefault="005344CA" w:rsidP="00D4649E">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Implementing</w:t>
            </w:r>
            <w:r w:rsidR="00D4649E" w:rsidRPr="000820BE">
              <w:rPr>
                <w:rFonts w:ascii="Calibri" w:hAnsi="Calibri" w:cs="Calibri"/>
                <w:bCs/>
                <w:color w:val="000000"/>
                <w:sz w:val="19"/>
                <w:szCs w:val="19"/>
                <w:lang w:val="en-AU"/>
              </w:rPr>
              <w:t xml:space="preserve"> processes for</w:t>
            </w:r>
            <w:r w:rsidR="00F23784" w:rsidRPr="000820BE">
              <w:rPr>
                <w:rFonts w:ascii="Calibri" w:hAnsi="Calibri" w:cs="Calibri"/>
                <w:bCs/>
                <w:color w:val="000000"/>
                <w:sz w:val="19"/>
                <w:szCs w:val="19"/>
                <w:lang w:val="en-AU"/>
              </w:rPr>
              <w:t xml:space="preserve"> prioritisation of referrals,</w:t>
            </w:r>
            <w:r w:rsidR="00D4649E" w:rsidRPr="000820BE">
              <w:rPr>
                <w:rFonts w:ascii="Calibri" w:hAnsi="Calibri" w:cs="Calibri"/>
                <w:bCs/>
                <w:color w:val="000000"/>
                <w:sz w:val="19"/>
                <w:szCs w:val="19"/>
                <w:lang w:val="en-AU"/>
              </w:rPr>
              <w:t xml:space="preserve"> managing demand for service, and to deliver differentiated levels of support to young </w:t>
            </w:r>
            <w:r w:rsidR="00926A8A" w:rsidRPr="000820BE">
              <w:rPr>
                <w:rFonts w:ascii="Calibri" w:hAnsi="Calibri" w:cs="Calibri"/>
                <w:bCs/>
                <w:color w:val="000000"/>
                <w:sz w:val="19"/>
                <w:szCs w:val="19"/>
                <w:lang w:val="en-AU"/>
              </w:rPr>
              <w:t xml:space="preserve">people </w:t>
            </w:r>
            <w:r w:rsidR="00D4649E" w:rsidRPr="000820BE">
              <w:rPr>
                <w:rFonts w:ascii="Calibri" w:hAnsi="Calibri" w:cs="Calibri"/>
                <w:bCs/>
                <w:color w:val="000000"/>
                <w:sz w:val="19"/>
                <w:szCs w:val="19"/>
                <w:lang w:val="en-AU"/>
              </w:rPr>
              <w:t>and their families.</w:t>
            </w:r>
          </w:p>
          <w:p w14:paraId="6459E37D" w14:textId="08FA4286" w:rsidR="00F427B4" w:rsidRPr="000820BE" w:rsidRDefault="00430062" w:rsidP="00D4649E">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Young people should receive a ‘light touch’ service whilst on Active Hold</w:t>
            </w:r>
            <w:r w:rsidR="00D4649E" w:rsidRPr="000820BE">
              <w:rPr>
                <w:rFonts w:ascii="Calibri" w:hAnsi="Calibri" w:cs="Calibri"/>
                <w:bCs/>
                <w:color w:val="000000"/>
                <w:sz w:val="19"/>
                <w:szCs w:val="19"/>
                <w:lang w:val="en-AU"/>
              </w:rPr>
              <w:t xml:space="preserve"> </w:t>
            </w:r>
            <w:r w:rsidR="00EF3689" w:rsidRPr="000820BE">
              <w:rPr>
                <w:rFonts w:ascii="Calibri" w:hAnsi="Calibri" w:cs="Calibri"/>
                <w:bCs/>
                <w:color w:val="000000"/>
                <w:sz w:val="19"/>
                <w:szCs w:val="19"/>
                <w:lang w:val="en-AU"/>
              </w:rPr>
              <w:t>including, where appropriate, linkages to other services</w:t>
            </w:r>
          </w:p>
          <w:p w14:paraId="099CF8AE" w14:textId="2F9E3B68" w:rsidR="005344CA" w:rsidRDefault="005344CA" w:rsidP="00D4649E">
            <w:pPr>
              <w:autoSpaceDE w:val="0"/>
              <w:autoSpaceDN w:val="0"/>
              <w:adjustRightInd w:val="0"/>
              <w:spacing w:after="0"/>
              <w:rPr>
                <w:rFonts w:eastAsia="Calibri"/>
                <w:lang w:val="en-AU"/>
              </w:rPr>
            </w:pPr>
          </w:p>
        </w:tc>
      </w:tr>
      <w:tr w:rsidR="00F427B4" w14:paraId="4EDBD642" w14:textId="77777777" w:rsidTr="00375774">
        <w:tc>
          <w:tcPr>
            <w:cnfStyle w:val="001000000000" w:firstRow="0" w:lastRow="0" w:firstColumn="1" w:lastColumn="0" w:oddVBand="0" w:evenVBand="0" w:oddHBand="0" w:evenHBand="0" w:firstRowFirstColumn="0" w:firstRowLastColumn="0" w:lastRowFirstColumn="0" w:lastRowLastColumn="0"/>
            <w:tcW w:w="9622" w:type="dxa"/>
          </w:tcPr>
          <w:p w14:paraId="30440559" w14:textId="6C57730B" w:rsidR="00D4649E" w:rsidRPr="00D4649E" w:rsidRDefault="00D4649E" w:rsidP="00D4649E">
            <w:pPr>
              <w:spacing w:after="160"/>
              <w:rPr>
                <w:rFonts w:eastAsia="Calibri"/>
                <w:lang w:val="en-AU"/>
              </w:rPr>
            </w:pPr>
            <w:r>
              <w:rPr>
                <w:rFonts w:eastAsia="Calibri"/>
                <w:lang w:val="en-AU"/>
              </w:rPr>
              <w:t>3: Working with young people and their families</w:t>
            </w:r>
          </w:p>
          <w:tbl>
            <w:tblPr>
              <w:tblW w:w="0" w:type="auto"/>
              <w:tblBorders>
                <w:top w:val="nil"/>
                <w:left w:val="nil"/>
                <w:bottom w:val="nil"/>
                <w:right w:val="nil"/>
              </w:tblBorders>
              <w:tblLook w:val="0000" w:firstRow="0" w:lastRow="0" w:firstColumn="0" w:lastColumn="0" w:noHBand="0" w:noVBand="0"/>
            </w:tblPr>
            <w:tblGrid>
              <w:gridCol w:w="9406"/>
            </w:tblGrid>
            <w:tr w:rsidR="00D4649E" w:rsidRPr="00D4649E" w14:paraId="4C147E15" w14:textId="77777777">
              <w:trPr>
                <w:trHeight w:val="758"/>
              </w:trPr>
              <w:tc>
                <w:tcPr>
                  <w:tcW w:w="0" w:type="auto"/>
                </w:tcPr>
                <w:p w14:paraId="3C8DF4E2" w14:textId="77777777" w:rsidR="00D4649E" w:rsidRPr="00D4649E" w:rsidRDefault="00D4649E" w:rsidP="00D4649E">
                  <w:pPr>
                    <w:autoSpaceDE w:val="0"/>
                    <w:autoSpaceDN w:val="0"/>
                    <w:adjustRightInd w:val="0"/>
                    <w:spacing w:after="0"/>
                    <w:rPr>
                      <w:rFonts w:ascii="Courier New" w:hAnsi="Courier New" w:cs="Courier New"/>
                      <w:sz w:val="24"/>
                      <w:lang w:val="en-AU"/>
                    </w:rPr>
                  </w:pPr>
                </w:p>
                <w:p w14:paraId="2CF85BDE" w14:textId="77571FBA"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Delivering individual coaching and mentoring to assist young people to enhance wellbeing and develop resilience, self-efficacy and social skills </w:t>
                  </w:r>
                </w:p>
                <w:p w14:paraId="4EE91E5A" w14:textId="2AC5A43E"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Providing advocacy support to successfully engage support services within schools and other education settings, as well as for re-engagement with family or community networks </w:t>
                  </w:r>
                </w:p>
                <w:p w14:paraId="57877B61" w14:textId="77777777"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Assisting young people to overcome learning, social and other barriers so that they can successfully engage and transition through education to the completion of Year 12 or equivalent </w:t>
                  </w:r>
                </w:p>
                <w:p w14:paraId="4F31FF1B" w14:textId="7800F36C" w:rsidR="00EE43DB" w:rsidRPr="005344CA" w:rsidRDefault="00EE43DB" w:rsidP="00EE43DB">
                  <w:pPr>
                    <w:pStyle w:val="ListParagraph"/>
                    <w:autoSpaceDE w:val="0"/>
                    <w:autoSpaceDN w:val="0"/>
                    <w:adjustRightInd w:val="0"/>
                    <w:spacing w:after="0"/>
                    <w:rPr>
                      <w:rFonts w:ascii="Calibri" w:hAnsi="Calibri" w:cs="Calibri"/>
                      <w:color w:val="000000"/>
                      <w:sz w:val="19"/>
                      <w:szCs w:val="19"/>
                      <w:lang w:val="en-AU"/>
                    </w:rPr>
                  </w:pPr>
                </w:p>
              </w:tc>
            </w:tr>
          </w:tbl>
          <w:p w14:paraId="2F684996" w14:textId="1F6F44A9" w:rsidR="00D4649E" w:rsidRDefault="00D4649E" w:rsidP="00F427B4">
            <w:pPr>
              <w:spacing w:after="160"/>
              <w:rPr>
                <w:rFonts w:eastAsia="Calibri"/>
                <w:lang w:val="en-AU"/>
              </w:rPr>
            </w:pPr>
          </w:p>
        </w:tc>
      </w:tr>
      <w:tr w:rsidR="00F427B4" w14:paraId="339F71F7" w14:textId="77777777" w:rsidTr="00375774">
        <w:trPr>
          <w:trHeight w:val="2808"/>
        </w:trPr>
        <w:tc>
          <w:tcPr>
            <w:cnfStyle w:val="001000000000" w:firstRow="0" w:lastRow="0" w:firstColumn="1" w:lastColumn="0" w:oddVBand="0" w:evenVBand="0" w:oddHBand="0" w:evenHBand="0" w:firstRowFirstColumn="0" w:firstRowLastColumn="0" w:lastRowFirstColumn="0" w:lastRowLastColumn="0"/>
            <w:tcW w:w="9622" w:type="dxa"/>
          </w:tcPr>
          <w:p w14:paraId="5E6A88E5" w14:textId="3FCB9DD0" w:rsidR="00D4649E" w:rsidRPr="00D4649E" w:rsidRDefault="00D4649E" w:rsidP="00D4649E">
            <w:pPr>
              <w:spacing w:after="160"/>
              <w:rPr>
                <w:rFonts w:eastAsia="Calibri"/>
                <w:lang w:val="en-AU"/>
              </w:rPr>
            </w:pPr>
            <w:r>
              <w:rPr>
                <w:rFonts w:eastAsia="Calibri"/>
                <w:lang w:val="en-AU"/>
              </w:rPr>
              <w:t>5: Collaborative working relationships with local agencies and schools</w:t>
            </w:r>
          </w:p>
          <w:tbl>
            <w:tblPr>
              <w:tblW w:w="0" w:type="auto"/>
              <w:tblBorders>
                <w:top w:val="nil"/>
                <w:left w:val="nil"/>
                <w:bottom w:val="nil"/>
                <w:right w:val="nil"/>
              </w:tblBorders>
              <w:tblLook w:val="0000" w:firstRow="0" w:lastRow="0" w:firstColumn="0" w:lastColumn="0" w:noHBand="0" w:noVBand="0"/>
            </w:tblPr>
            <w:tblGrid>
              <w:gridCol w:w="9406"/>
            </w:tblGrid>
            <w:tr w:rsidR="00D4649E" w:rsidRPr="00D4649E" w14:paraId="1FDE4453" w14:textId="77777777" w:rsidTr="00375774">
              <w:trPr>
                <w:trHeight w:val="1238"/>
                <w:tblHeader/>
              </w:trPr>
              <w:tc>
                <w:tcPr>
                  <w:tcW w:w="0" w:type="auto"/>
                </w:tcPr>
                <w:p w14:paraId="3812A431" w14:textId="77777777" w:rsidR="00D4649E" w:rsidRPr="00D4649E" w:rsidRDefault="00D4649E" w:rsidP="00D4649E">
                  <w:pPr>
                    <w:autoSpaceDE w:val="0"/>
                    <w:autoSpaceDN w:val="0"/>
                    <w:adjustRightInd w:val="0"/>
                    <w:spacing w:after="0"/>
                    <w:rPr>
                      <w:rFonts w:ascii="Courier New" w:hAnsi="Courier New" w:cs="Courier New"/>
                      <w:sz w:val="24"/>
                      <w:lang w:val="en-AU"/>
                    </w:rPr>
                  </w:pPr>
                </w:p>
                <w:p w14:paraId="3E31ADF7" w14:textId="4276190D"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Working with other agencies </w:t>
                  </w:r>
                  <w:r w:rsidR="00055E78" w:rsidRPr="000820BE">
                    <w:rPr>
                      <w:rFonts w:ascii="Calibri" w:hAnsi="Calibri" w:cs="Calibri"/>
                      <w:bCs/>
                      <w:color w:val="000000"/>
                      <w:sz w:val="19"/>
                      <w:szCs w:val="19"/>
                      <w:lang w:val="en-AU"/>
                    </w:rPr>
                    <w:t xml:space="preserve">(particularly local agencies) </w:t>
                  </w:r>
                  <w:r w:rsidRPr="000820BE">
                    <w:rPr>
                      <w:rFonts w:ascii="Calibri" w:hAnsi="Calibri" w:cs="Calibri"/>
                      <w:bCs/>
                      <w:color w:val="000000"/>
                      <w:sz w:val="19"/>
                      <w:szCs w:val="19"/>
                      <w:lang w:val="en-AU"/>
                    </w:rPr>
                    <w:t xml:space="preserve">to form a functioning network of services that will identify and support young people who are disengaged, or vulnerable to disengaging, from school and training </w:t>
                  </w:r>
                </w:p>
                <w:p w14:paraId="12EB9F1F" w14:textId="66F25173"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Establishing strong working relationships and referral pathways with key </w:t>
                  </w:r>
                  <w:r w:rsidR="00EE43DB" w:rsidRPr="000820BE">
                    <w:rPr>
                      <w:rFonts w:ascii="Calibri" w:hAnsi="Calibri" w:cs="Calibri"/>
                      <w:bCs/>
                      <w:color w:val="000000"/>
                      <w:sz w:val="19"/>
                      <w:szCs w:val="19"/>
                      <w:lang w:val="en-AU"/>
                    </w:rPr>
                    <w:t xml:space="preserve">local </w:t>
                  </w:r>
                  <w:r w:rsidRPr="000820BE">
                    <w:rPr>
                      <w:rFonts w:ascii="Calibri" w:hAnsi="Calibri" w:cs="Calibri"/>
                      <w:bCs/>
                      <w:color w:val="000000"/>
                      <w:sz w:val="19"/>
                      <w:szCs w:val="19"/>
                      <w:lang w:val="en-AU"/>
                    </w:rPr>
                    <w:t xml:space="preserve">agencies who provide services to vulnerable, complex and marginalised young people in the local Area (for example </w:t>
                  </w:r>
                  <w:proofErr w:type="spellStart"/>
                  <w:r w:rsidRPr="000820BE">
                    <w:rPr>
                      <w:rFonts w:ascii="Calibri" w:hAnsi="Calibri" w:cs="Calibri"/>
                      <w:bCs/>
                      <w:color w:val="000000"/>
                      <w:sz w:val="19"/>
                      <w:szCs w:val="19"/>
                      <w:lang w:val="en-AU"/>
                    </w:rPr>
                    <w:t>AoD</w:t>
                  </w:r>
                  <w:proofErr w:type="spellEnd"/>
                  <w:r w:rsidRPr="000820BE">
                    <w:rPr>
                      <w:rFonts w:ascii="Calibri" w:hAnsi="Calibri" w:cs="Calibri"/>
                      <w:bCs/>
                      <w:color w:val="000000"/>
                      <w:sz w:val="19"/>
                      <w:szCs w:val="19"/>
                      <w:lang w:val="en-AU"/>
                    </w:rPr>
                    <w:t xml:space="preserve">, mental health, </w:t>
                  </w:r>
                  <w:r w:rsidR="00F23784" w:rsidRPr="000820BE">
                    <w:rPr>
                      <w:rFonts w:ascii="Calibri" w:hAnsi="Calibri" w:cs="Calibri"/>
                      <w:bCs/>
                      <w:color w:val="000000"/>
                      <w:sz w:val="19"/>
                      <w:szCs w:val="19"/>
                      <w:lang w:val="en-AU"/>
                    </w:rPr>
                    <w:t xml:space="preserve">out-of-home care, </w:t>
                  </w:r>
                  <w:r w:rsidRPr="000820BE">
                    <w:rPr>
                      <w:rFonts w:ascii="Calibri" w:hAnsi="Calibri" w:cs="Calibri"/>
                      <w:bCs/>
                      <w:color w:val="000000"/>
                      <w:sz w:val="19"/>
                      <w:szCs w:val="19"/>
                      <w:lang w:val="en-AU"/>
                    </w:rPr>
                    <w:t xml:space="preserve">homelessness and family violence) </w:t>
                  </w:r>
                </w:p>
                <w:p w14:paraId="74441930" w14:textId="64B29D87"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Working with schools leaders, teachers and communities </w:t>
                  </w:r>
                </w:p>
                <w:p w14:paraId="738737BA" w14:textId="5589D61E"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Working closely with local DET </w:t>
                  </w:r>
                  <w:r w:rsidR="00EF3689" w:rsidRPr="000820BE">
                    <w:rPr>
                      <w:rFonts w:ascii="Calibri" w:hAnsi="Calibri" w:cs="Calibri"/>
                      <w:bCs/>
                      <w:color w:val="000000"/>
                      <w:sz w:val="19"/>
                      <w:szCs w:val="19"/>
                      <w:lang w:val="en-AU"/>
                    </w:rPr>
                    <w:t xml:space="preserve">Area </w:t>
                  </w:r>
                  <w:r w:rsidRPr="000820BE">
                    <w:rPr>
                      <w:rFonts w:ascii="Calibri" w:hAnsi="Calibri" w:cs="Calibri"/>
                      <w:bCs/>
                      <w:color w:val="000000"/>
                      <w:sz w:val="19"/>
                      <w:szCs w:val="19"/>
                      <w:lang w:val="en-AU"/>
                    </w:rPr>
                    <w:t xml:space="preserve">staff </w:t>
                  </w:r>
                </w:p>
                <w:p w14:paraId="1F05BB42" w14:textId="77777777" w:rsidR="00D4649E" w:rsidRPr="008D093E" w:rsidRDefault="00D4649E" w:rsidP="00D4649E">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Working closely with other governance bodies and programs targeting disengaged learners, or learners vulnerable to disengagement such as the Education Justice Initiative, Children and Youth Area Partnerships, School Focused Youth Service (SFYS) and Local Learning and Employment Networks</w:t>
                  </w:r>
                  <w:r w:rsidRPr="005344CA">
                    <w:rPr>
                      <w:rFonts w:ascii="Calibri" w:hAnsi="Calibri" w:cs="Calibri"/>
                      <w:b/>
                      <w:bCs/>
                      <w:color w:val="000000"/>
                      <w:sz w:val="19"/>
                      <w:szCs w:val="19"/>
                      <w:lang w:val="en-AU"/>
                    </w:rPr>
                    <w:t xml:space="preserve"> </w:t>
                  </w:r>
                </w:p>
                <w:p w14:paraId="19D1C77A" w14:textId="49A3767F" w:rsidR="008D093E" w:rsidRPr="00082526" w:rsidRDefault="008D093E" w:rsidP="008D093E">
                  <w:pPr>
                    <w:pStyle w:val="ListParagraph"/>
                    <w:autoSpaceDE w:val="0"/>
                    <w:autoSpaceDN w:val="0"/>
                    <w:adjustRightInd w:val="0"/>
                    <w:spacing w:after="0"/>
                    <w:rPr>
                      <w:rFonts w:ascii="Calibri" w:hAnsi="Calibri" w:cs="Calibri"/>
                      <w:color w:val="000000"/>
                      <w:sz w:val="19"/>
                      <w:szCs w:val="19"/>
                      <w:lang w:val="en-AU"/>
                    </w:rPr>
                  </w:pPr>
                </w:p>
              </w:tc>
            </w:tr>
          </w:tbl>
          <w:p w14:paraId="381909F3" w14:textId="708190DF" w:rsidR="00D4649E" w:rsidRDefault="00D4649E" w:rsidP="00F427B4">
            <w:pPr>
              <w:spacing w:after="160"/>
              <w:rPr>
                <w:rFonts w:eastAsia="Calibri"/>
                <w:lang w:val="en-AU"/>
              </w:rPr>
            </w:pPr>
          </w:p>
        </w:tc>
      </w:tr>
      <w:tr w:rsidR="00F427B4" w14:paraId="6EB68B36" w14:textId="77777777" w:rsidTr="00375774">
        <w:tc>
          <w:tcPr>
            <w:cnfStyle w:val="001000000000" w:firstRow="0" w:lastRow="0" w:firstColumn="1" w:lastColumn="0" w:oddVBand="0" w:evenVBand="0" w:oddHBand="0" w:evenHBand="0" w:firstRowFirstColumn="0" w:firstRowLastColumn="0" w:lastRowFirstColumn="0" w:lastRowLastColumn="0"/>
            <w:tcW w:w="9622" w:type="dxa"/>
          </w:tcPr>
          <w:p w14:paraId="3C15C90A" w14:textId="114D8EC8" w:rsidR="00D4649E" w:rsidRPr="00D4649E" w:rsidRDefault="00D4649E" w:rsidP="00D4649E">
            <w:pPr>
              <w:spacing w:after="160"/>
              <w:rPr>
                <w:rFonts w:eastAsia="Calibri"/>
                <w:lang w:val="en-AU"/>
              </w:rPr>
            </w:pPr>
            <w:r>
              <w:rPr>
                <w:rFonts w:eastAsia="Calibri"/>
                <w:lang w:val="en-AU"/>
              </w:rPr>
              <w:lastRenderedPageBreak/>
              <w:t>6: Follow up in schools</w:t>
            </w:r>
          </w:p>
          <w:tbl>
            <w:tblPr>
              <w:tblW w:w="0" w:type="auto"/>
              <w:tblBorders>
                <w:top w:val="nil"/>
                <w:left w:val="nil"/>
                <w:bottom w:val="nil"/>
                <w:right w:val="nil"/>
              </w:tblBorders>
              <w:tblLook w:val="0000" w:firstRow="0" w:lastRow="0" w:firstColumn="0" w:lastColumn="0" w:noHBand="0" w:noVBand="0"/>
            </w:tblPr>
            <w:tblGrid>
              <w:gridCol w:w="9406"/>
            </w:tblGrid>
            <w:tr w:rsidR="00D4649E" w:rsidRPr="00D4649E" w14:paraId="3C05BFC6" w14:textId="77777777">
              <w:trPr>
                <w:trHeight w:val="214"/>
              </w:trPr>
              <w:tc>
                <w:tcPr>
                  <w:tcW w:w="0" w:type="auto"/>
                </w:tcPr>
                <w:p w14:paraId="467622E2" w14:textId="185D9271"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 xml:space="preserve">Monitoring learner integration in the school for the first </w:t>
                  </w:r>
                  <w:r w:rsidR="00521E2D" w:rsidRPr="000820BE">
                    <w:rPr>
                      <w:rFonts w:ascii="Calibri" w:hAnsi="Calibri" w:cs="Calibri"/>
                      <w:bCs/>
                      <w:color w:val="000000"/>
                      <w:sz w:val="19"/>
                      <w:szCs w:val="19"/>
                      <w:lang w:val="en-AU"/>
                    </w:rPr>
                    <w:t>six</w:t>
                  </w:r>
                  <w:r w:rsidRPr="000820BE">
                    <w:rPr>
                      <w:rFonts w:ascii="Calibri" w:hAnsi="Calibri" w:cs="Calibri"/>
                      <w:bCs/>
                      <w:color w:val="000000"/>
                      <w:sz w:val="19"/>
                      <w:szCs w:val="19"/>
                      <w:lang w:val="en-AU"/>
                    </w:rPr>
                    <w:t xml:space="preserve"> months following re-engagement</w:t>
                  </w:r>
                  <w:r w:rsidR="00521E2D" w:rsidRPr="000820BE">
                    <w:rPr>
                      <w:rFonts w:ascii="Calibri" w:hAnsi="Calibri" w:cs="Calibri"/>
                      <w:bCs/>
                      <w:color w:val="000000"/>
                      <w:sz w:val="19"/>
                      <w:szCs w:val="19"/>
                      <w:lang w:val="en-AU"/>
                    </w:rPr>
                    <w:t>, and for a further six months to ensure sustained engagement.</w:t>
                  </w:r>
                  <w:r w:rsidRPr="000820BE">
                    <w:rPr>
                      <w:rFonts w:ascii="Calibri" w:hAnsi="Calibri" w:cs="Calibri"/>
                      <w:bCs/>
                      <w:color w:val="000000"/>
                      <w:sz w:val="19"/>
                      <w:szCs w:val="19"/>
                      <w:lang w:val="en-AU"/>
                    </w:rPr>
                    <w:t xml:space="preserve"> </w:t>
                  </w:r>
                </w:p>
                <w:p w14:paraId="3D251BC2" w14:textId="1AC12219" w:rsidR="00D4649E" w:rsidRPr="000820BE" w:rsidRDefault="00D4649E" w:rsidP="005344CA">
                  <w:pPr>
                    <w:pStyle w:val="ListParagraph"/>
                    <w:numPr>
                      <w:ilvl w:val="0"/>
                      <w:numId w:val="36"/>
                    </w:numPr>
                    <w:autoSpaceDE w:val="0"/>
                    <w:autoSpaceDN w:val="0"/>
                    <w:adjustRightInd w:val="0"/>
                    <w:spacing w:after="0"/>
                    <w:rPr>
                      <w:rFonts w:ascii="Calibri" w:hAnsi="Calibri" w:cs="Calibri"/>
                      <w:color w:val="000000"/>
                      <w:sz w:val="19"/>
                      <w:szCs w:val="19"/>
                      <w:lang w:val="en-AU"/>
                    </w:rPr>
                  </w:pPr>
                  <w:r w:rsidRPr="000820BE">
                    <w:rPr>
                      <w:rFonts w:ascii="Calibri" w:hAnsi="Calibri" w:cs="Calibri"/>
                      <w:bCs/>
                      <w:color w:val="000000"/>
                      <w:sz w:val="19"/>
                      <w:szCs w:val="19"/>
                      <w:lang w:val="en-AU"/>
                    </w:rPr>
                    <w:t>Referring learners to services t</w:t>
                  </w:r>
                  <w:r w:rsidR="005344CA" w:rsidRPr="000820BE">
                    <w:rPr>
                      <w:rFonts w:ascii="Calibri" w:hAnsi="Calibri" w:cs="Calibri"/>
                      <w:bCs/>
                      <w:color w:val="000000"/>
                      <w:sz w:val="19"/>
                      <w:szCs w:val="19"/>
                      <w:lang w:val="en-AU"/>
                    </w:rPr>
                    <w:t>hat can support them in school</w:t>
                  </w:r>
                </w:p>
                <w:p w14:paraId="53A6AB48" w14:textId="77777777" w:rsidR="00D4649E" w:rsidRPr="00D4649E" w:rsidRDefault="00D4649E" w:rsidP="00D4649E">
                  <w:pPr>
                    <w:autoSpaceDE w:val="0"/>
                    <w:autoSpaceDN w:val="0"/>
                    <w:adjustRightInd w:val="0"/>
                    <w:spacing w:after="0"/>
                    <w:rPr>
                      <w:rFonts w:ascii="Calibri" w:hAnsi="Calibri" w:cs="Calibri"/>
                      <w:color w:val="000000"/>
                      <w:sz w:val="19"/>
                      <w:szCs w:val="19"/>
                      <w:lang w:val="en-AU"/>
                    </w:rPr>
                  </w:pPr>
                </w:p>
              </w:tc>
            </w:tr>
          </w:tbl>
          <w:p w14:paraId="06E3DD89" w14:textId="60070D23" w:rsidR="00D4649E" w:rsidRDefault="00D4649E" w:rsidP="00F427B4">
            <w:pPr>
              <w:spacing w:after="160"/>
              <w:rPr>
                <w:rFonts w:eastAsia="Calibri"/>
                <w:lang w:val="en-AU"/>
              </w:rPr>
            </w:pPr>
          </w:p>
        </w:tc>
      </w:tr>
    </w:tbl>
    <w:p w14:paraId="3E7E235F" w14:textId="49749A24" w:rsidR="00F427B4" w:rsidRPr="00F427B4" w:rsidRDefault="00F427B4" w:rsidP="00F427B4">
      <w:pPr>
        <w:spacing w:after="160"/>
        <w:rPr>
          <w:rFonts w:cs="Calibri"/>
          <w:noProof/>
        </w:rPr>
      </w:pPr>
      <w:r>
        <w:rPr>
          <w:rFonts w:eastAsia="Calibri"/>
          <w:lang w:val="en-AU"/>
        </w:rPr>
        <w:t xml:space="preserve"> </w:t>
      </w:r>
    </w:p>
    <w:p w14:paraId="21B5687E" w14:textId="6C6E8BB6" w:rsidR="00F427B4" w:rsidRDefault="00D4649E" w:rsidP="00EF4DA1">
      <w:pPr>
        <w:pStyle w:val="Heading2"/>
        <w:rPr>
          <w:lang w:val="en-AU"/>
        </w:rPr>
      </w:pPr>
      <w:r>
        <w:rPr>
          <w:lang w:val="en-AU"/>
        </w:rPr>
        <w:t>navigator outcomes</w:t>
      </w:r>
    </w:p>
    <w:p w14:paraId="2744C828" w14:textId="58C7A9AE" w:rsidR="00225B66" w:rsidRPr="00045847" w:rsidRDefault="00225B66" w:rsidP="00225B66">
      <w:pPr>
        <w:rPr>
          <w:lang w:val="en-AU"/>
        </w:rPr>
      </w:pPr>
      <w:r w:rsidRPr="00045847">
        <w:rPr>
          <w:lang w:val="en-AU"/>
        </w:rPr>
        <w:t xml:space="preserve">The three </w:t>
      </w:r>
      <w:r>
        <w:rPr>
          <w:lang w:val="en-AU"/>
        </w:rPr>
        <w:t>overarching</w:t>
      </w:r>
      <w:r w:rsidRPr="00045847">
        <w:rPr>
          <w:lang w:val="en-AU"/>
        </w:rPr>
        <w:t xml:space="preserve"> outcomes Navigator is seeking to achieve are: </w:t>
      </w:r>
    </w:p>
    <w:p w14:paraId="14BF804C" w14:textId="77777777" w:rsidR="00225B66" w:rsidRPr="00EF4DA1" w:rsidRDefault="00225B66" w:rsidP="00225B66">
      <w:pPr>
        <w:numPr>
          <w:ilvl w:val="0"/>
          <w:numId w:val="34"/>
        </w:numPr>
        <w:ind w:left="851"/>
        <w:rPr>
          <w:lang w:val="en-AU"/>
        </w:rPr>
      </w:pPr>
      <w:r w:rsidRPr="00EF4DA1">
        <w:rPr>
          <w:lang w:val="en-AU"/>
        </w:rPr>
        <w:t>Re-engaging young people to education</w:t>
      </w:r>
    </w:p>
    <w:p w14:paraId="11A9AE51" w14:textId="77777777" w:rsidR="00225B66" w:rsidRPr="00EF4DA1" w:rsidRDefault="00225B66" w:rsidP="00225B66">
      <w:pPr>
        <w:numPr>
          <w:ilvl w:val="0"/>
          <w:numId w:val="34"/>
        </w:numPr>
        <w:ind w:left="851"/>
        <w:rPr>
          <w:lang w:val="en-AU"/>
        </w:rPr>
      </w:pPr>
      <w:r w:rsidRPr="00EF4DA1">
        <w:rPr>
          <w:lang w:val="en-AU"/>
        </w:rPr>
        <w:t>Developing students with greater social and emotional capabilities</w:t>
      </w:r>
    </w:p>
    <w:p w14:paraId="35911093" w14:textId="77777777" w:rsidR="00225B66" w:rsidRPr="00EF4DA1" w:rsidRDefault="00225B66" w:rsidP="00225B66">
      <w:pPr>
        <w:numPr>
          <w:ilvl w:val="0"/>
          <w:numId w:val="34"/>
        </w:numPr>
        <w:ind w:left="851"/>
        <w:rPr>
          <w:lang w:val="en-AU"/>
        </w:rPr>
      </w:pPr>
      <w:r w:rsidRPr="00EF4DA1">
        <w:rPr>
          <w:lang w:val="en-AU"/>
        </w:rPr>
        <w:t>Supporting schools to be better equipped to engage all young people (indirect outcome)</w:t>
      </w:r>
    </w:p>
    <w:p w14:paraId="67F2A4D5" w14:textId="77777777" w:rsidR="00225B66" w:rsidRPr="00225B66" w:rsidRDefault="00225B66" w:rsidP="00213752">
      <w:pPr>
        <w:rPr>
          <w:lang w:val="en-AU"/>
        </w:rPr>
      </w:pPr>
    </w:p>
    <w:p w14:paraId="7EEFFE83" w14:textId="0679B511" w:rsidR="00225B66" w:rsidRDefault="00225B66" w:rsidP="00213752">
      <w:pPr>
        <w:pStyle w:val="Caption"/>
        <w:keepNext/>
      </w:pPr>
      <w:r>
        <w:t xml:space="preserve">Table </w:t>
      </w:r>
      <w:r w:rsidR="00EE43DB">
        <w:rPr>
          <w:noProof/>
        </w:rPr>
        <w:fldChar w:fldCharType="begin"/>
      </w:r>
      <w:r w:rsidR="00EE43DB">
        <w:rPr>
          <w:noProof/>
        </w:rPr>
        <w:instrText xml:space="preserve"> SEQ Table \* ARABIC </w:instrText>
      </w:r>
      <w:r w:rsidR="00EE43DB">
        <w:rPr>
          <w:noProof/>
        </w:rPr>
        <w:fldChar w:fldCharType="separate"/>
      </w:r>
      <w:r>
        <w:rPr>
          <w:noProof/>
        </w:rPr>
        <w:t>1</w:t>
      </w:r>
      <w:r w:rsidR="00EE43DB">
        <w:rPr>
          <w:noProof/>
        </w:rPr>
        <w:fldChar w:fldCharType="end"/>
      </w:r>
      <w:r>
        <w:t xml:space="preserve">: </w:t>
      </w:r>
      <w:r w:rsidR="006441CC">
        <w:t>Program outcomes and success measures</w:t>
      </w:r>
    </w:p>
    <w:tbl>
      <w:tblPr>
        <w:tblStyle w:val="TableGrid1"/>
        <w:tblW w:w="0" w:type="auto"/>
        <w:tblLook w:val="04A0" w:firstRow="1" w:lastRow="0" w:firstColumn="1" w:lastColumn="0" w:noHBand="0" w:noVBand="1"/>
        <w:tblCaption w:val="Program outcomes and success measures "/>
        <w:tblDescription w:val="Outcomes, Measure of success, Target"/>
      </w:tblPr>
      <w:tblGrid>
        <w:gridCol w:w="3207"/>
        <w:gridCol w:w="3207"/>
        <w:gridCol w:w="3208"/>
      </w:tblGrid>
      <w:tr w:rsidR="00D4649E" w:rsidRPr="00E41990" w14:paraId="0E89A424" w14:textId="77777777" w:rsidTr="003757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7BE0BD41" w14:textId="77777777" w:rsidR="00D4649E" w:rsidRPr="00E41990" w:rsidRDefault="00D4649E" w:rsidP="00940817">
            <w:pPr>
              <w:rPr>
                <w:sz w:val="20"/>
                <w:szCs w:val="20"/>
                <w:lang w:val="en-AU"/>
              </w:rPr>
            </w:pPr>
            <w:r w:rsidRPr="00E41990">
              <w:rPr>
                <w:sz w:val="20"/>
                <w:szCs w:val="20"/>
                <w:lang w:val="en-AU"/>
              </w:rPr>
              <w:t>Outcomes</w:t>
            </w:r>
          </w:p>
        </w:tc>
        <w:tc>
          <w:tcPr>
            <w:tcW w:w="3207" w:type="dxa"/>
          </w:tcPr>
          <w:p w14:paraId="77C954C1" w14:textId="77777777" w:rsidR="00D4649E" w:rsidRPr="00E41990" w:rsidRDefault="00D4649E" w:rsidP="00940817">
            <w:pPr>
              <w:cnfStyle w:val="100000000000" w:firstRow="1"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Measure of success</w:t>
            </w:r>
          </w:p>
        </w:tc>
        <w:tc>
          <w:tcPr>
            <w:tcW w:w="3208" w:type="dxa"/>
          </w:tcPr>
          <w:p w14:paraId="01C570EB" w14:textId="77777777" w:rsidR="00D4649E" w:rsidRPr="00E41990" w:rsidRDefault="00D4649E" w:rsidP="00940817">
            <w:pPr>
              <w:cnfStyle w:val="100000000000" w:firstRow="1"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Target</w:t>
            </w:r>
          </w:p>
        </w:tc>
      </w:tr>
      <w:tr w:rsidR="00225B66" w:rsidRPr="00E41990" w14:paraId="3F161F79" w14:textId="77777777" w:rsidTr="00213752">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BADAFF" w:themeFill="accent1" w:themeFillTint="33"/>
          </w:tcPr>
          <w:p w14:paraId="253360D2" w14:textId="5C95428A" w:rsidR="00225B66" w:rsidRPr="00213752" w:rsidRDefault="00225B66" w:rsidP="00213752">
            <w:pPr>
              <w:jc w:val="center"/>
              <w:rPr>
                <w:b/>
                <w:sz w:val="20"/>
                <w:szCs w:val="20"/>
                <w:lang w:val="en-AU"/>
              </w:rPr>
            </w:pPr>
            <w:r w:rsidRPr="00213752">
              <w:rPr>
                <w:b/>
                <w:sz w:val="20"/>
                <w:szCs w:val="20"/>
                <w:lang w:val="en-AU"/>
              </w:rPr>
              <w:t>Re-engagement</w:t>
            </w:r>
          </w:p>
        </w:tc>
      </w:tr>
      <w:tr w:rsidR="00D4649E" w:rsidRPr="00E41990" w14:paraId="6FF2570B" w14:textId="77777777" w:rsidTr="00940817">
        <w:tc>
          <w:tcPr>
            <w:cnfStyle w:val="001000000000" w:firstRow="0" w:lastRow="0" w:firstColumn="1" w:lastColumn="0" w:oddVBand="0" w:evenVBand="0" w:oddHBand="0" w:evenHBand="0" w:firstRowFirstColumn="0" w:firstRowLastColumn="0" w:lastRowFirstColumn="0" w:lastRowLastColumn="0"/>
            <w:tcW w:w="3207" w:type="dxa"/>
          </w:tcPr>
          <w:p w14:paraId="516AB878" w14:textId="2D17457C" w:rsidR="00D4649E" w:rsidRPr="00E41990" w:rsidRDefault="00225B66" w:rsidP="00225B66">
            <w:pPr>
              <w:rPr>
                <w:sz w:val="20"/>
                <w:szCs w:val="20"/>
                <w:lang w:val="en-AU"/>
              </w:rPr>
            </w:pPr>
            <w:r>
              <w:rPr>
                <w:sz w:val="20"/>
                <w:szCs w:val="20"/>
                <w:lang w:val="en-AU"/>
              </w:rPr>
              <w:t>Return</w:t>
            </w:r>
            <w:r w:rsidR="00D4649E">
              <w:rPr>
                <w:sz w:val="20"/>
                <w:szCs w:val="20"/>
                <w:lang w:val="en-AU"/>
              </w:rPr>
              <w:t xml:space="preserve"> </w:t>
            </w:r>
            <w:r>
              <w:rPr>
                <w:sz w:val="20"/>
                <w:szCs w:val="20"/>
                <w:lang w:val="en-AU"/>
              </w:rPr>
              <w:t>to</w:t>
            </w:r>
            <w:r w:rsidR="00D4649E">
              <w:rPr>
                <w:sz w:val="20"/>
                <w:szCs w:val="20"/>
                <w:lang w:val="en-AU"/>
              </w:rPr>
              <w:t xml:space="preserve"> education</w:t>
            </w:r>
          </w:p>
        </w:tc>
        <w:tc>
          <w:tcPr>
            <w:tcW w:w="3207" w:type="dxa"/>
          </w:tcPr>
          <w:p w14:paraId="0633B7B4" w14:textId="2C610476" w:rsidR="00D4649E" w:rsidRPr="00E41990" w:rsidRDefault="00D4649E" w:rsidP="00225B66">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bCs/>
                <w:sz w:val="20"/>
                <w:szCs w:val="20"/>
                <w:lang w:val="en-AU"/>
              </w:rPr>
              <w:t xml:space="preserve">Numbers </w:t>
            </w:r>
            <w:r>
              <w:rPr>
                <w:bCs/>
                <w:sz w:val="20"/>
                <w:szCs w:val="20"/>
                <w:lang w:val="en-AU"/>
              </w:rPr>
              <w:t xml:space="preserve">of learners </w:t>
            </w:r>
            <w:r w:rsidR="00225B66">
              <w:rPr>
                <w:bCs/>
                <w:sz w:val="20"/>
                <w:szCs w:val="20"/>
                <w:lang w:val="en-AU"/>
              </w:rPr>
              <w:t>returned</w:t>
            </w:r>
            <w:r>
              <w:rPr>
                <w:bCs/>
                <w:sz w:val="20"/>
                <w:szCs w:val="20"/>
                <w:lang w:val="en-AU"/>
              </w:rPr>
              <w:t xml:space="preserve"> </w:t>
            </w:r>
            <w:r w:rsidR="00225B66">
              <w:rPr>
                <w:bCs/>
                <w:sz w:val="20"/>
                <w:szCs w:val="20"/>
                <w:lang w:val="en-AU"/>
              </w:rPr>
              <w:t>to</w:t>
            </w:r>
            <w:r>
              <w:rPr>
                <w:bCs/>
                <w:sz w:val="20"/>
                <w:szCs w:val="20"/>
                <w:lang w:val="en-AU"/>
              </w:rPr>
              <w:t xml:space="preserve"> education</w:t>
            </w:r>
            <w:r w:rsidR="00225B66">
              <w:rPr>
                <w:bCs/>
                <w:sz w:val="20"/>
                <w:szCs w:val="20"/>
                <w:lang w:val="en-AU"/>
              </w:rPr>
              <w:t xml:space="preserve"> (commence education or increase attendance)</w:t>
            </w:r>
          </w:p>
        </w:tc>
        <w:tc>
          <w:tcPr>
            <w:tcW w:w="3208" w:type="dxa"/>
          </w:tcPr>
          <w:p w14:paraId="091B1B48" w14:textId="716CFEFA" w:rsidR="00D4649E" w:rsidRPr="00E41990" w:rsidRDefault="00D4649E" w:rsidP="00225B66">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 xml:space="preserve">70% of learners engaged with Navigator will </w:t>
            </w:r>
            <w:r w:rsidR="00225B66">
              <w:rPr>
                <w:sz w:val="20"/>
                <w:szCs w:val="20"/>
                <w:lang w:val="en-AU"/>
              </w:rPr>
              <w:t>return to</w:t>
            </w:r>
            <w:r w:rsidRPr="00E41990">
              <w:rPr>
                <w:sz w:val="20"/>
                <w:szCs w:val="20"/>
                <w:lang w:val="en-AU"/>
              </w:rPr>
              <w:t xml:space="preserve"> education</w:t>
            </w:r>
          </w:p>
        </w:tc>
      </w:tr>
      <w:tr w:rsidR="00D4649E" w:rsidRPr="00E41990" w14:paraId="1ED56724" w14:textId="77777777" w:rsidTr="00940817">
        <w:tc>
          <w:tcPr>
            <w:cnfStyle w:val="001000000000" w:firstRow="0" w:lastRow="0" w:firstColumn="1" w:lastColumn="0" w:oddVBand="0" w:evenVBand="0" w:oddHBand="0" w:evenHBand="0" w:firstRowFirstColumn="0" w:firstRowLastColumn="0" w:lastRowFirstColumn="0" w:lastRowLastColumn="0"/>
            <w:tcW w:w="3207" w:type="dxa"/>
          </w:tcPr>
          <w:p w14:paraId="3F02428C" w14:textId="11D533E6" w:rsidR="00D4649E" w:rsidRPr="00E41990" w:rsidRDefault="00D4649E" w:rsidP="00940817">
            <w:pPr>
              <w:rPr>
                <w:sz w:val="20"/>
                <w:szCs w:val="20"/>
                <w:lang w:val="en-AU"/>
              </w:rPr>
            </w:pPr>
            <w:r>
              <w:rPr>
                <w:sz w:val="20"/>
                <w:szCs w:val="20"/>
                <w:lang w:val="en-AU"/>
              </w:rPr>
              <w:t>Sustained engagement in education</w:t>
            </w:r>
          </w:p>
        </w:tc>
        <w:tc>
          <w:tcPr>
            <w:tcW w:w="3207" w:type="dxa"/>
          </w:tcPr>
          <w:p w14:paraId="54BFD0F2" w14:textId="77777777" w:rsidR="00D4649E" w:rsidRPr="00E41990" w:rsidRDefault="00D4649E" w:rsidP="00940817">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bCs/>
                <w:sz w:val="20"/>
                <w:szCs w:val="20"/>
                <w:lang w:val="en-AU"/>
              </w:rPr>
              <w:t>Levels of attendance – sustained re-engagement</w:t>
            </w:r>
          </w:p>
        </w:tc>
        <w:tc>
          <w:tcPr>
            <w:tcW w:w="3208" w:type="dxa"/>
          </w:tcPr>
          <w:p w14:paraId="5DBFB6D1" w14:textId="77777777" w:rsidR="00D4649E" w:rsidRPr="00E41990" w:rsidRDefault="00D4649E" w:rsidP="00940817">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Of the learners that re-engage in school, 50% will remain engaged for six months (measured by attendance of greater than 70%)</w:t>
            </w:r>
          </w:p>
        </w:tc>
      </w:tr>
      <w:tr w:rsidR="00225B66" w:rsidRPr="00E41990" w14:paraId="0D78AAFE" w14:textId="77777777" w:rsidTr="00213752">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BADAFF" w:themeFill="accent1" w:themeFillTint="33"/>
          </w:tcPr>
          <w:p w14:paraId="2C4C7D89" w14:textId="610C9917" w:rsidR="00225B66" w:rsidRPr="00213752" w:rsidRDefault="00225B66" w:rsidP="00213752">
            <w:pPr>
              <w:jc w:val="center"/>
              <w:rPr>
                <w:b/>
                <w:sz w:val="20"/>
                <w:szCs w:val="20"/>
                <w:lang w:val="en-AU"/>
              </w:rPr>
            </w:pPr>
            <w:r w:rsidRPr="00225B66">
              <w:rPr>
                <w:b/>
                <w:sz w:val="20"/>
                <w:szCs w:val="20"/>
                <w:lang w:val="en-AU"/>
              </w:rPr>
              <w:t>Growth in social and emotional capabilities</w:t>
            </w:r>
          </w:p>
        </w:tc>
      </w:tr>
      <w:tr w:rsidR="00D4649E" w:rsidRPr="00E41990" w14:paraId="3DF00C3B" w14:textId="77777777" w:rsidTr="00940817">
        <w:tc>
          <w:tcPr>
            <w:cnfStyle w:val="001000000000" w:firstRow="0" w:lastRow="0" w:firstColumn="1" w:lastColumn="0" w:oddVBand="0" w:evenVBand="0" w:oddHBand="0" w:evenHBand="0" w:firstRowFirstColumn="0" w:firstRowLastColumn="0" w:lastRowFirstColumn="0" w:lastRowLastColumn="0"/>
            <w:tcW w:w="3207" w:type="dxa"/>
          </w:tcPr>
          <w:p w14:paraId="7BE2832D" w14:textId="77777777" w:rsidR="00D4649E" w:rsidRPr="00E41990" w:rsidRDefault="00D4649E" w:rsidP="00940817">
            <w:pPr>
              <w:rPr>
                <w:sz w:val="20"/>
                <w:szCs w:val="20"/>
                <w:lang w:val="en-AU"/>
              </w:rPr>
            </w:pPr>
            <w:r>
              <w:rPr>
                <w:sz w:val="20"/>
                <w:szCs w:val="20"/>
                <w:lang w:val="en-AU"/>
              </w:rPr>
              <w:t>Greater connection to education</w:t>
            </w:r>
          </w:p>
        </w:tc>
        <w:tc>
          <w:tcPr>
            <w:tcW w:w="3207" w:type="dxa"/>
          </w:tcPr>
          <w:p w14:paraId="3BCF50E8" w14:textId="77777777" w:rsidR="00D4649E" w:rsidRPr="00E41990" w:rsidRDefault="00D4649E" w:rsidP="00940817">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Comparison of entry and exit survey</w:t>
            </w:r>
          </w:p>
        </w:tc>
        <w:tc>
          <w:tcPr>
            <w:tcW w:w="3208" w:type="dxa"/>
          </w:tcPr>
          <w:p w14:paraId="1B5F9BFD" w14:textId="77777777" w:rsidR="00D4649E" w:rsidRPr="00E41990" w:rsidRDefault="00D4649E" w:rsidP="00940817">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Navigator clients reporting higher school connectedness</w:t>
            </w:r>
          </w:p>
        </w:tc>
      </w:tr>
      <w:tr w:rsidR="00D4649E" w:rsidRPr="00E41990" w14:paraId="4035AC6C" w14:textId="77777777" w:rsidTr="00940817">
        <w:tc>
          <w:tcPr>
            <w:cnfStyle w:val="001000000000" w:firstRow="0" w:lastRow="0" w:firstColumn="1" w:lastColumn="0" w:oddVBand="0" w:evenVBand="0" w:oddHBand="0" w:evenHBand="0" w:firstRowFirstColumn="0" w:firstRowLastColumn="0" w:lastRowFirstColumn="0" w:lastRowLastColumn="0"/>
            <w:tcW w:w="3207" w:type="dxa"/>
          </w:tcPr>
          <w:p w14:paraId="3D120CAC" w14:textId="77777777" w:rsidR="00D4649E" w:rsidRPr="00E41990" w:rsidRDefault="00D4649E" w:rsidP="00940817">
            <w:pPr>
              <w:rPr>
                <w:sz w:val="20"/>
                <w:szCs w:val="20"/>
                <w:lang w:val="en-AU"/>
              </w:rPr>
            </w:pPr>
            <w:r w:rsidRPr="00E41990">
              <w:rPr>
                <w:sz w:val="20"/>
                <w:szCs w:val="20"/>
                <w:lang w:val="en-AU"/>
              </w:rPr>
              <w:t>Greater motivation to stay in education</w:t>
            </w:r>
          </w:p>
        </w:tc>
        <w:tc>
          <w:tcPr>
            <w:tcW w:w="3207" w:type="dxa"/>
          </w:tcPr>
          <w:p w14:paraId="787D0922" w14:textId="77777777" w:rsidR="00D4649E" w:rsidRPr="00E41990" w:rsidRDefault="00D4649E" w:rsidP="00940817">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Comparison of entry and exit survey</w:t>
            </w:r>
          </w:p>
        </w:tc>
        <w:tc>
          <w:tcPr>
            <w:tcW w:w="3208" w:type="dxa"/>
          </w:tcPr>
          <w:p w14:paraId="6FD457B5" w14:textId="77777777" w:rsidR="00D4649E" w:rsidRPr="00E41990" w:rsidRDefault="00D4649E" w:rsidP="00940817">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Navigator clients reporting higher student motivation</w:t>
            </w:r>
          </w:p>
        </w:tc>
      </w:tr>
      <w:tr w:rsidR="00D4649E" w:rsidRPr="00E41990" w14:paraId="78F39E55" w14:textId="77777777" w:rsidTr="00940817">
        <w:tc>
          <w:tcPr>
            <w:cnfStyle w:val="001000000000" w:firstRow="0" w:lastRow="0" w:firstColumn="1" w:lastColumn="0" w:oddVBand="0" w:evenVBand="0" w:oddHBand="0" w:evenHBand="0" w:firstRowFirstColumn="0" w:firstRowLastColumn="0" w:lastRowFirstColumn="0" w:lastRowLastColumn="0"/>
            <w:tcW w:w="3207" w:type="dxa"/>
          </w:tcPr>
          <w:p w14:paraId="662473D6" w14:textId="77777777" w:rsidR="00D4649E" w:rsidRPr="00E41990" w:rsidRDefault="00D4649E" w:rsidP="00940817">
            <w:pPr>
              <w:rPr>
                <w:sz w:val="20"/>
                <w:szCs w:val="20"/>
                <w:lang w:val="en-AU"/>
              </w:rPr>
            </w:pPr>
            <w:r w:rsidRPr="00E41990">
              <w:rPr>
                <w:sz w:val="20"/>
                <w:szCs w:val="20"/>
                <w:lang w:val="en-AU"/>
              </w:rPr>
              <w:t>Greater motivation and confidence</w:t>
            </w:r>
          </w:p>
        </w:tc>
        <w:tc>
          <w:tcPr>
            <w:tcW w:w="3207" w:type="dxa"/>
          </w:tcPr>
          <w:p w14:paraId="1F7CD952" w14:textId="77777777" w:rsidR="00D4649E" w:rsidRPr="00E41990" w:rsidRDefault="00D4649E" w:rsidP="00940817">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Comparison of entry and exit survey</w:t>
            </w:r>
          </w:p>
        </w:tc>
        <w:tc>
          <w:tcPr>
            <w:tcW w:w="3208" w:type="dxa"/>
          </w:tcPr>
          <w:p w14:paraId="13A9ECF1" w14:textId="77777777" w:rsidR="00D4649E" w:rsidRPr="00E41990" w:rsidRDefault="00D4649E" w:rsidP="00940817">
            <w:pPr>
              <w:cnfStyle w:val="000000000000" w:firstRow="0" w:lastRow="0" w:firstColumn="0" w:lastColumn="0" w:oddVBand="0" w:evenVBand="0" w:oddHBand="0" w:evenHBand="0" w:firstRowFirstColumn="0" w:firstRowLastColumn="0" w:lastRowFirstColumn="0" w:lastRowLastColumn="0"/>
              <w:rPr>
                <w:sz w:val="20"/>
                <w:szCs w:val="20"/>
                <w:lang w:val="en-AU"/>
              </w:rPr>
            </w:pPr>
            <w:r w:rsidRPr="00E41990">
              <w:rPr>
                <w:sz w:val="20"/>
                <w:szCs w:val="20"/>
                <w:lang w:val="en-AU"/>
              </w:rPr>
              <w:t>Navigator clients reporting higher levels of student motivation and learner confidence</w:t>
            </w:r>
          </w:p>
        </w:tc>
      </w:tr>
    </w:tbl>
    <w:p w14:paraId="36687EBB" w14:textId="2C065431" w:rsidR="00D4649E" w:rsidRDefault="00D4649E" w:rsidP="00D4649E">
      <w:pPr>
        <w:spacing w:after="0"/>
      </w:pPr>
    </w:p>
    <w:p w14:paraId="09D89580" w14:textId="77777777" w:rsidR="005344CA" w:rsidRPr="00D4649E" w:rsidRDefault="005344CA" w:rsidP="00D4649E">
      <w:pPr>
        <w:spacing w:after="0"/>
      </w:pPr>
    </w:p>
    <w:p w14:paraId="61D2AAB7" w14:textId="7EE1612B" w:rsidR="00D4649E" w:rsidRDefault="005344CA" w:rsidP="008D093E">
      <w:pPr>
        <w:spacing w:after="0"/>
        <w:jc w:val="both"/>
      </w:pPr>
      <w:r>
        <w:rPr>
          <w:b/>
          <w:bCs/>
        </w:rPr>
        <w:t>Re-engagement:</w:t>
      </w:r>
      <w:r w:rsidR="00D4649E" w:rsidRPr="00D4649E">
        <w:rPr>
          <w:b/>
          <w:bCs/>
        </w:rPr>
        <w:t xml:space="preserve"> </w:t>
      </w:r>
      <w:r w:rsidR="00D4649E" w:rsidRPr="00D4649E">
        <w:t xml:space="preserve">The key outcome of the Navigator program is to re-engage as many young Victorians back into education as possible. </w:t>
      </w:r>
      <w:r w:rsidR="00EE43DB">
        <w:t xml:space="preserve">Service </w:t>
      </w:r>
      <w:r>
        <w:t>P</w:t>
      </w:r>
      <w:r w:rsidR="00D4649E" w:rsidRPr="00D4649E">
        <w:t>roviders should work with the learner to identify a</w:t>
      </w:r>
      <w:r w:rsidR="00F23784">
        <w:t>n appropriate</w:t>
      </w:r>
      <w:r w:rsidR="00D4649E" w:rsidRPr="00D4649E">
        <w:t xml:space="preserve"> school, flexible learning program, TAFE or other RTO that can </w:t>
      </w:r>
      <w:r w:rsidR="00F23784">
        <w:t xml:space="preserve">best </w:t>
      </w:r>
      <w:r w:rsidR="00D4649E" w:rsidRPr="00D4649E">
        <w:t>meet</w:t>
      </w:r>
      <w:r w:rsidR="00F23784">
        <w:t xml:space="preserve"> the</w:t>
      </w:r>
      <w:r w:rsidR="00D4649E" w:rsidRPr="00D4649E">
        <w:t xml:space="preserve"> needs</w:t>
      </w:r>
      <w:r w:rsidR="00F23784">
        <w:t xml:space="preserve"> of the young person</w:t>
      </w:r>
      <w:r w:rsidR="00D4649E" w:rsidRPr="00D4649E">
        <w:t>. Given that this cohort o</w:t>
      </w:r>
      <w:r>
        <w:t>f learners typically experience</w:t>
      </w:r>
      <w:r w:rsidR="00D4649E" w:rsidRPr="00D4649E">
        <w:t xml:space="preserve"> barriers to st</w:t>
      </w:r>
      <w:r>
        <w:t xml:space="preserve">rong engagement with learning, </w:t>
      </w:r>
      <w:r w:rsidR="00EE43DB">
        <w:t xml:space="preserve">Service </w:t>
      </w:r>
      <w:r>
        <w:t>P</w:t>
      </w:r>
      <w:r w:rsidR="00D4649E" w:rsidRPr="00D4649E">
        <w:t xml:space="preserve">roviders will also be expected to support learners in their transitions back into education and reconnect with learners who disengage again. </w:t>
      </w:r>
    </w:p>
    <w:p w14:paraId="2E58CD7C" w14:textId="77777777" w:rsidR="005344CA" w:rsidRPr="00D4649E" w:rsidRDefault="005344CA" w:rsidP="00D4649E">
      <w:pPr>
        <w:spacing w:after="0"/>
      </w:pPr>
    </w:p>
    <w:p w14:paraId="237D301F" w14:textId="4B84DD0F" w:rsidR="00D4649E" w:rsidRPr="00D4649E" w:rsidRDefault="00D4649E" w:rsidP="008D093E">
      <w:pPr>
        <w:spacing w:after="0"/>
        <w:jc w:val="both"/>
      </w:pPr>
      <w:r w:rsidRPr="00D4649E">
        <w:rPr>
          <w:b/>
          <w:bCs/>
        </w:rPr>
        <w:lastRenderedPageBreak/>
        <w:t xml:space="preserve">Growth of </w:t>
      </w:r>
      <w:r w:rsidR="005344CA">
        <w:rPr>
          <w:b/>
          <w:bCs/>
        </w:rPr>
        <w:t>social and emotional capability:</w:t>
      </w:r>
      <w:r w:rsidRPr="00D4649E">
        <w:rPr>
          <w:b/>
          <w:bCs/>
        </w:rPr>
        <w:t xml:space="preserve"> </w:t>
      </w:r>
      <w:r w:rsidRPr="00D4649E">
        <w:t xml:space="preserve">Growing learners’ resilience and social and emotional capability will strengthen their ability to manage the re-engagement process. </w:t>
      </w:r>
    </w:p>
    <w:p w14:paraId="14ABD5DA" w14:textId="77777777" w:rsidR="00D4649E" w:rsidRPr="00D4649E" w:rsidRDefault="00D4649E" w:rsidP="008D093E">
      <w:pPr>
        <w:spacing w:after="0"/>
        <w:jc w:val="both"/>
      </w:pPr>
      <w:r w:rsidRPr="00D4649E">
        <w:t xml:space="preserve">These capabilities are not static traits. They need to be learnt and developed alongside the development of cognitive skills. </w:t>
      </w:r>
    </w:p>
    <w:p w14:paraId="1F37D5B4" w14:textId="12151F1D" w:rsidR="00D4649E" w:rsidRPr="00D4649E" w:rsidRDefault="00EE43DB" w:rsidP="008D093E">
      <w:pPr>
        <w:spacing w:after="0"/>
        <w:jc w:val="both"/>
      </w:pPr>
      <w:r>
        <w:t>To this end, the Navigator S</w:t>
      </w:r>
      <w:r w:rsidR="00D4649E" w:rsidRPr="00D4649E">
        <w:t>ervice</w:t>
      </w:r>
      <w:r>
        <w:t xml:space="preserve"> Providers</w:t>
      </w:r>
      <w:r w:rsidR="00D4649E" w:rsidRPr="00D4649E">
        <w:t xml:space="preserve"> will also need to focus on holistic outcomes for learners, including: </w:t>
      </w:r>
    </w:p>
    <w:p w14:paraId="3C0E1523" w14:textId="783808F4" w:rsidR="00D4649E" w:rsidRPr="00213752" w:rsidRDefault="00D4649E" w:rsidP="008D093E">
      <w:pPr>
        <w:numPr>
          <w:ilvl w:val="0"/>
          <w:numId w:val="34"/>
        </w:numPr>
        <w:ind w:left="851"/>
        <w:jc w:val="both"/>
        <w:rPr>
          <w:lang w:val="en-AU"/>
        </w:rPr>
      </w:pPr>
      <w:r w:rsidRPr="00213752">
        <w:rPr>
          <w:lang w:val="en-AU"/>
        </w:rPr>
        <w:t xml:space="preserve">improved resilience, self-confidence and skills in problem solving </w:t>
      </w:r>
    </w:p>
    <w:p w14:paraId="034DA2C8" w14:textId="1441FACF" w:rsidR="00D4649E" w:rsidRPr="00213752" w:rsidRDefault="00D4649E" w:rsidP="008D093E">
      <w:pPr>
        <w:numPr>
          <w:ilvl w:val="0"/>
          <w:numId w:val="34"/>
        </w:numPr>
        <w:ind w:left="851"/>
        <w:jc w:val="both"/>
        <w:rPr>
          <w:lang w:val="en-AU"/>
        </w:rPr>
      </w:pPr>
      <w:r w:rsidRPr="00213752">
        <w:rPr>
          <w:lang w:val="en-AU"/>
        </w:rPr>
        <w:t>the d</w:t>
      </w:r>
      <w:bookmarkStart w:id="0" w:name="_GoBack"/>
      <w:bookmarkEnd w:id="0"/>
      <w:r w:rsidRPr="00213752">
        <w:rPr>
          <w:lang w:val="en-AU"/>
        </w:rPr>
        <w:t xml:space="preserve">evelopment of career goals and pathways </w:t>
      </w:r>
    </w:p>
    <w:p w14:paraId="546A7592" w14:textId="5C3AFA88" w:rsidR="00D4649E" w:rsidRPr="00213752" w:rsidRDefault="00D4649E" w:rsidP="008D093E">
      <w:pPr>
        <w:numPr>
          <w:ilvl w:val="0"/>
          <w:numId w:val="34"/>
        </w:numPr>
        <w:ind w:left="851"/>
        <w:jc w:val="both"/>
        <w:rPr>
          <w:lang w:val="en-AU"/>
        </w:rPr>
      </w:pPr>
      <w:r w:rsidRPr="00213752">
        <w:rPr>
          <w:lang w:val="en-AU"/>
        </w:rPr>
        <w:t xml:space="preserve">being more active members of the local community </w:t>
      </w:r>
    </w:p>
    <w:p w14:paraId="132D549C" w14:textId="1C7135AD" w:rsidR="00D4649E" w:rsidRPr="00213752" w:rsidRDefault="00D4649E" w:rsidP="008D093E">
      <w:pPr>
        <w:numPr>
          <w:ilvl w:val="0"/>
          <w:numId w:val="34"/>
        </w:numPr>
        <w:ind w:left="851"/>
        <w:jc w:val="both"/>
        <w:rPr>
          <w:lang w:val="en-AU"/>
        </w:rPr>
      </w:pPr>
      <w:r w:rsidRPr="00213752">
        <w:rPr>
          <w:lang w:val="en-AU"/>
        </w:rPr>
        <w:t xml:space="preserve">improved skills in language and literacy </w:t>
      </w:r>
    </w:p>
    <w:p w14:paraId="4D13A4BC" w14:textId="77777777" w:rsidR="00D4649E" w:rsidRPr="00D4649E" w:rsidRDefault="00D4649E" w:rsidP="008D093E">
      <w:pPr>
        <w:spacing w:after="0"/>
        <w:jc w:val="both"/>
      </w:pPr>
    </w:p>
    <w:p w14:paraId="2FF7AB92" w14:textId="77777777" w:rsidR="005344CA" w:rsidRDefault="005344CA" w:rsidP="008D093E">
      <w:pPr>
        <w:spacing w:after="0"/>
        <w:jc w:val="both"/>
        <w:rPr>
          <w:b/>
          <w:bCs/>
        </w:rPr>
      </w:pPr>
    </w:p>
    <w:p w14:paraId="1DA60F60" w14:textId="1E9E0A23" w:rsidR="00D4649E" w:rsidRPr="00D4649E" w:rsidRDefault="005344CA" w:rsidP="008D093E">
      <w:pPr>
        <w:spacing w:after="0"/>
        <w:jc w:val="both"/>
      </w:pPr>
      <w:r>
        <w:rPr>
          <w:b/>
          <w:bCs/>
        </w:rPr>
        <w:t xml:space="preserve">Working with schools: </w:t>
      </w:r>
      <w:r w:rsidR="00D4649E" w:rsidRPr="00D4649E">
        <w:t>An indirect outcome of Navigator is that schools will be supported to develop a better understanding of how to cater for learners vulnerable to disengaging and rec</w:t>
      </w:r>
      <w:r w:rsidR="00D4649E">
        <w:t xml:space="preserve">onnect with learners who cease </w:t>
      </w:r>
      <w:r w:rsidR="00D4649E" w:rsidRPr="00D4649E">
        <w:t>attending. Through close collaboration with providers, schools will be able to learn and access the supports and practices available to help overcome the barriers that stop some of their learners from fully engaging in schooling.</w:t>
      </w:r>
    </w:p>
    <w:p w14:paraId="485D4EDA" w14:textId="5A2E28C1" w:rsidR="00F427B4" w:rsidRDefault="00F427B4" w:rsidP="008D093E">
      <w:pPr>
        <w:pStyle w:val="Heading2"/>
        <w:jc w:val="both"/>
        <w:rPr>
          <w:lang w:val="en-AU"/>
        </w:rPr>
      </w:pPr>
    </w:p>
    <w:p w14:paraId="505F7B5B" w14:textId="7C0E36E8" w:rsidR="00985DC7" w:rsidRDefault="00311AB9" w:rsidP="008D093E">
      <w:pPr>
        <w:pStyle w:val="Heading2"/>
        <w:jc w:val="both"/>
        <w:rPr>
          <w:lang w:val="en-AU"/>
        </w:rPr>
      </w:pPr>
      <w:r>
        <w:rPr>
          <w:lang w:val="en-AU"/>
        </w:rPr>
        <w:t>Reporting requirements</w:t>
      </w:r>
    </w:p>
    <w:p w14:paraId="7A0C26E0" w14:textId="2160D7BF" w:rsidR="00311AB9" w:rsidRDefault="006552DB" w:rsidP="008D093E">
      <w:pPr>
        <w:jc w:val="both"/>
        <w:rPr>
          <w:lang w:val="en-AU"/>
        </w:rPr>
      </w:pPr>
      <w:r>
        <w:rPr>
          <w:lang w:val="en-AU"/>
        </w:rPr>
        <w:t xml:space="preserve">At the commencement of the contract, successful </w:t>
      </w:r>
      <w:r w:rsidR="00B8391A">
        <w:rPr>
          <w:lang w:val="en-AU"/>
        </w:rPr>
        <w:t xml:space="preserve">Providers will complete an initial Service Plan which will outline their model for service delivery. </w:t>
      </w:r>
      <w:r w:rsidR="00311AB9">
        <w:rPr>
          <w:lang w:val="en-AU"/>
        </w:rPr>
        <w:t xml:space="preserve">Data reporting </w:t>
      </w:r>
      <w:r w:rsidR="00A32227">
        <w:rPr>
          <w:lang w:val="en-AU"/>
        </w:rPr>
        <w:t xml:space="preserve">for the program </w:t>
      </w:r>
      <w:r w:rsidR="00311AB9">
        <w:rPr>
          <w:lang w:val="en-AU"/>
        </w:rPr>
        <w:t xml:space="preserve">is an </w:t>
      </w:r>
      <w:r w:rsidR="003E53DA">
        <w:rPr>
          <w:lang w:val="en-AU"/>
        </w:rPr>
        <w:t>ongoing</w:t>
      </w:r>
      <w:r w:rsidR="00311AB9">
        <w:rPr>
          <w:lang w:val="en-AU"/>
        </w:rPr>
        <w:t xml:space="preserve"> requirement – Providers are expected to </w:t>
      </w:r>
      <w:r w:rsidR="00EF3689">
        <w:rPr>
          <w:lang w:val="en-AU"/>
        </w:rPr>
        <w:t>keep their student</w:t>
      </w:r>
      <w:r w:rsidR="00237C4A">
        <w:rPr>
          <w:lang w:val="en-AU"/>
        </w:rPr>
        <w:t xml:space="preserve"> outcomes data up to date (at least weekly</w:t>
      </w:r>
      <w:r w:rsidR="00EF3689">
        <w:rPr>
          <w:lang w:val="en-AU"/>
        </w:rPr>
        <w:t xml:space="preserve">) </w:t>
      </w:r>
      <w:r w:rsidR="00237C4A">
        <w:rPr>
          <w:lang w:val="en-AU"/>
        </w:rPr>
        <w:t>and submit a</w:t>
      </w:r>
      <w:r w:rsidR="00311AB9">
        <w:rPr>
          <w:lang w:val="en-AU"/>
        </w:rPr>
        <w:t xml:space="preserve"> quarterly financial report detailing income and expenditure.</w:t>
      </w:r>
    </w:p>
    <w:p w14:paraId="3F3C50E4" w14:textId="1B417894" w:rsidR="00311AB9" w:rsidRPr="00311AB9" w:rsidRDefault="00311AB9" w:rsidP="008D093E">
      <w:pPr>
        <w:jc w:val="both"/>
        <w:rPr>
          <w:lang w:val="en-AU"/>
        </w:rPr>
      </w:pPr>
      <w:r w:rsidRPr="00311AB9">
        <w:rPr>
          <w:lang w:val="en-AU"/>
        </w:rPr>
        <w:t>The reporting process and measures are designed to:</w:t>
      </w:r>
    </w:p>
    <w:p w14:paraId="07F81BDD" w14:textId="0FF2AF34" w:rsidR="00311AB9" w:rsidRPr="00EF4DA1" w:rsidRDefault="005344CA" w:rsidP="008D093E">
      <w:pPr>
        <w:numPr>
          <w:ilvl w:val="0"/>
          <w:numId w:val="34"/>
        </w:numPr>
        <w:ind w:left="851"/>
        <w:jc w:val="both"/>
        <w:rPr>
          <w:lang w:val="en-AU"/>
        </w:rPr>
      </w:pPr>
      <w:r>
        <w:rPr>
          <w:lang w:val="en-AU"/>
        </w:rPr>
        <w:t>D</w:t>
      </w:r>
      <w:r w:rsidR="00311AB9" w:rsidRPr="00EF4DA1">
        <w:rPr>
          <w:lang w:val="en-AU"/>
        </w:rPr>
        <w:t>emonstrate and monitor the outcomes of the provision of Navigator services</w:t>
      </w:r>
    </w:p>
    <w:p w14:paraId="5451A960" w14:textId="7D31E600" w:rsidR="00311AB9" w:rsidRPr="00EF4DA1" w:rsidRDefault="005344CA" w:rsidP="008D093E">
      <w:pPr>
        <w:numPr>
          <w:ilvl w:val="0"/>
          <w:numId w:val="34"/>
        </w:numPr>
        <w:ind w:left="851"/>
        <w:jc w:val="both"/>
        <w:rPr>
          <w:lang w:val="en-AU"/>
        </w:rPr>
      </w:pPr>
      <w:r>
        <w:rPr>
          <w:lang w:val="en-AU"/>
        </w:rPr>
        <w:t>P</w:t>
      </w:r>
      <w:r w:rsidR="00311AB9" w:rsidRPr="00EF4DA1">
        <w:rPr>
          <w:lang w:val="en-AU"/>
        </w:rPr>
        <w:t>rovide specific place</w:t>
      </w:r>
      <w:r w:rsidR="00225B66">
        <w:rPr>
          <w:lang w:val="en-AU"/>
        </w:rPr>
        <w:t>-</w:t>
      </w:r>
      <w:r w:rsidR="00311AB9" w:rsidRPr="00EF4DA1">
        <w:rPr>
          <w:lang w:val="en-AU"/>
        </w:rPr>
        <w:t xml:space="preserve">based snapshots of the performance of the </w:t>
      </w:r>
      <w:r w:rsidR="00213752">
        <w:rPr>
          <w:lang w:val="en-AU"/>
        </w:rPr>
        <w:t>program</w:t>
      </w:r>
      <w:r w:rsidR="00311AB9" w:rsidRPr="00EF4DA1">
        <w:rPr>
          <w:lang w:val="en-AU"/>
        </w:rPr>
        <w:t xml:space="preserve">  in engaging young people</w:t>
      </w:r>
    </w:p>
    <w:p w14:paraId="506E9F10" w14:textId="1C44D7C3" w:rsidR="003E53DA" w:rsidRPr="006B1DBB" w:rsidRDefault="005344CA" w:rsidP="008D093E">
      <w:pPr>
        <w:numPr>
          <w:ilvl w:val="0"/>
          <w:numId w:val="34"/>
        </w:numPr>
        <w:ind w:left="851"/>
        <w:jc w:val="both"/>
        <w:rPr>
          <w:sz w:val="18"/>
          <w:szCs w:val="18"/>
          <w:lang w:val="en-AU"/>
        </w:rPr>
      </w:pPr>
      <w:r w:rsidRPr="006B1DBB">
        <w:rPr>
          <w:lang w:val="en-AU"/>
        </w:rPr>
        <w:t>I</w:t>
      </w:r>
      <w:r w:rsidR="00311AB9" w:rsidRPr="006B1DBB">
        <w:rPr>
          <w:lang w:val="en-AU"/>
        </w:rPr>
        <w:t>nform future directions for re-engagement initiatives in Victoria.</w:t>
      </w:r>
    </w:p>
    <w:sectPr w:rsidR="003E53DA" w:rsidRPr="006B1DBB" w:rsidSect="00985DC7">
      <w:headerReference w:type="default" r:id="rId15"/>
      <w:footerReference w:type="even" r:id="rId16"/>
      <w:footerReference w:type="default" r:id="rId17"/>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9049" w14:textId="77777777" w:rsidR="00AD5397" w:rsidRDefault="00AD5397" w:rsidP="003967DD">
      <w:pPr>
        <w:spacing w:after="0"/>
      </w:pPr>
      <w:r>
        <w:separator/>
      </w:r>
    </w:p>
  </w:endnote>
  <w:endnote w:type="continuationSeparator" w:id="0">
    <w:p w14:paraId="5073D52B" w14:textId="77777777" w:rsidR="00AD5397" w:rsidRDefault="00AD539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B3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1EED2E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256C" w14:textId="1DE9015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D093E">
      <w:rPr>
        <w:rStyle w:val="PageNumber"/>
        <w:noProof/>
      </w:rPr>
      <w:t>8</w:t>
    </w:r>
    <w:r>
      <w:rPr>
        <w:rStyle w:val="PageNumber"/>
      </w:rPr>
      <w:fldChar w:fldCharType="end"/>
    </w:r>
  </w:p>
  <w:p w14:paraId="59E858CE"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6963" w14:textId="77777777" w:rsidR="00AD5397" w:rsidRDefault="00AD5397" w:rsidP="003967DD">
      <w:pPr>
        <w:spacing w:after="0"/>
      </w:pPr>
      <w:r>
        <w:separator/>
      </w:r>
    </w:p>
  </w:footnote>
  <w:footnote w:type="continuationSeparator" w:id="0">
    <w:p w14:paraId="257849AA" w14:textId="77777777" w:rsidR="00AD5397" w:rsidRDefault="00AD5397" w:rsidP="003967DD">
      <w:pPr>
        <w:spacing w:after="0"/>
      </w:pPr>
      <w:r>
        <w:continuationSeparator/>
      </w:r>
    </w:p>
  </w:footnote>
  <w:footnote w:id="1">
    <w:p w14:paraId="569FA988" w14:textId="115396A3" w:rsidR="006552DB" w:rsidRDefault="006552DB" w:rsidP="006552DB">
      <w:pPr>
        <w:pStyle w:val="FootnoteText"/>
        <w:rPr>
          <w:sz w:val="16"/>
          <w:szCs w:val="16"/>
        </w:rPr>
      </w:pPr>
      <w:r>
        <w:rPr>
          <w:rStyle w:val="FootnoteReference"/>
          <w:sz w:val="16"/>
          <w:szCs w:val="16"/>
        </w:rPr>
        <w:footnoteRef/>
      </w:r>
      <w:r>
        <w:rPr>
          <w:sz w:val="16"/>
          <w:szCs w:val="16"/>
        </w:rPr>
        <w:t xml:space="preserve"> </w:t>
      </w:r>
      <w:r>
        <w:rPr>
          <w:rStyle w:val="PageNumber"/>
          <w:rFonts w:eastAsia="Calibri"/>
          <w:sz w:val="16"/>
          <w:szCs w:val="16"/>
        </w:rPr>
        <w:t xml:space="preserve">Lamb, S., Jackson, J., </w:t>
      </w:r>
      <w:proofErr w:type="spellStart"/>
      <w:r>
        <w:rPr>
          <w:rStyle w:val="PageNumber"/>
          <w:rFonts w:eastAsia="Calibri"/>
          <w:sz w:val="16"/>
          <w:szCs w:val="16"/>
        </w:rPr>
        <w:t>Walstab</w:t>
      </w:r>
      <w:proofErr w:type="spellEnd"/>
      <w:r>
        <w:rPr>
          <w:rStyle w:val="PageNumber"/>
          <w:rFonts w:eastAsia="Calibri"/>
          <w:sz w:val="16"/>
          <w:szCs w:val="16"/>
        </w:rPr>
        <w:t xml:space="preserve">, A. and </w:t>
      </w:r>
      <w:proofErr w:type="spellStart"/>
      <w:r>
        <w:rPr>
          <w:rStyle w:val="PageNumber"/>
          <w:rFonts w:eastAsia="Calibri"/>
          <w:sz w:val="16"/>
          <w:szCs w:val="16"/>
        </w:rPr>
        <w:t>Huo</w:t>
      </w:r>
      <w:proofErr w:type="gramStart"/>
      <w:r>
        <w:rPr>
          <w:rStyle w:val="PageNumber"/>
          <w:rFonts w:eastAsia="Calibri"/>
          <w:sz w:val="16"/>
          <w:szCs w:val="16"/>
        </w:rPr>
        <w:t>,S</w:t>
      </w:r>
      <w:proofErr w:type="spellEnd"/>
      <w:proofErr w:type="gramEnd"/>
      <w:r>
        <w:rPr>
          <w:rStyle w:val="PageNumber"/>
          <w:rFonts w:eastAsia="Calibri"/>
          <w:sz w:val="16"/>
          <w:szCs w:val="16"/>
        </w:rPr>
        <w:t xml:space="preserve">. (2015) </w:t>
      </w:r>
      <w:r>
        <w:rPr>
          <w:rStyle w:val="PageNumber"/>
          <w:rFonts w:eastAsia="Calibri"/>
          <w:i/>
          <w:iCs/>
          <w:sz w:val="16"/>
          <w:szCs w:val="16"/>
        </w:rPr>
        <w:t xml:space="preserve">Educational opportunity in Australia 2015 Who succeeds and who misses out. </w:t>
      </w:r>
      <w:r>
        <w:rPr>
          <w:rStyle w:val="PageNumber"/>
          <w:rFonts w:eastAsia="Calibri"/>
          <w:sz w:val="16"/>
          <w:szCs w:val="16"/>
        </w:rPr>
        <w:t xml:space="preserve">Mitchell Institute; and </w:t>
      </w:r>
      <w:proofErr w:type="spellStart"/>
      <w:r>
        <w:rPr>
          <w:rStyle w:val="PageNumber"/>
          <w:rFonts w:eastAsia="Calibri"/>
          <w:sz w:val="16"/>
          <w:szCs w:val="16"/>
        </w:rPr>
        <w:t>Dandolo</w:t>
      </w:r>
      <w:proofErr w:type="spellEnd"/>
      <w:r>
        <w:rPr>
          <w:rStyle w:val="PageNumber"/>
          <w:rFonts w:eastAsia="Calibri"/>
          <w:sz w:val="16"/>
          <w:szCs w:val="16"/>
        </w:rPr>
        <w:t xml:space="preserve"> Partners (2014). </w:t>
      </w:r>
      <w:r>
        <w:rPr>
          <w:rStyle w:val="PageNumber"/>
          <w:rFonts w:eastAsia="Calibri"/>
          <w:i/>
          <w:iCs/>
          <w:sz w:val="16"/>
          <w:szCs w:val="16"/>
        </w:rPr>
        <w:t>Evaluation of the National Partnership on Youth Attainment and Transitions. A report for the Department of Education</w:t>
      </w:r>
    </w:p>
  </w:footnote>
  <w:footnote w:id="2">
    <w:p w14:paraId="4637B7EC" w14:textId="77777777" w:rsidR="006552DB" w:rsidRDefault="006552DB" w:rsidP="006552DB">
      <w:pPr>
        <w:pStyle w:val="FootnoteText"/>
        <w:rPr>
          <w:sz w:val="16"/>
          <w:szCs w:val="16"/>
        </w:rPr>
      </w:pPr>
      <w:r>
        <w:rPr>
          <w:rStyle w:val="FootnoteReference"/>
          <w:sz w:val="16"/>
          <w:szCs w:val="16"/>
        </w:rPr>
        <w:footnoteRef/>
      </w:r>
      <w:r>
        <w:rPr>
          <w:sz w:val="16"/>
          <w:szCs w:val="16"/>
        </w:rPr>
        <w:t xml:space="preserve"> </w:t>
      </w:r>
      <w:r>
        <w:rPr>
          <w:rStyle w:val="PageNumber"/>
          <w:rFonts w:eastAsia="Calibri"/>
          <w:sz w:val="16"/>
          <w:szCs w:val="16"/>
        </w:rPr>
        <w:t xml:space="preserve">Lamb, S., Jackson, J., </w:t>
      </w:r>
      <w:proofErr w:type="spellStart"/>
      <w:r>
        <w:rPr>
          <w:rStyle w:val="PageNumber"/>
          <w:rFonts w:eastAsia="Calibri"/>
          <w:sz w:val="16"/>
          <w:szCs w:val="16"/>
        </w:rPr>
        <w:t>Walstab</w:t>
      </w:r>
      <w:proofErr w:type="spellEnd"/>
      <w:r>
        <w:rPr>
          <w:rStyle w:val="PageNumber"/>
          <w:rFonts w:eastAsia="Calibri"/>
          <w:sz w:val="16"/>
          <w:szCs w:val="16"/>
        </w:rPr>
        <w:t xml:space="preserve">, A. and </w:t>
      </w:r>
      <w:proofErr w:type="spellStart"/>
      <w:r>
        <w:rPr>
          <w:rStyle w:val="PageNumber"/>
          <w:rFonts w:eastAsia="Calibri"/>
          <w:sz w:val="16"/>
          <w:szCs w:val="16"/>
        </w:rPr>
        <w:t>Huo</w:t>
      </w:r>
      <w:proofErr w:type="gramStart"/>
      <w:r>
        <w:rPr>
          <w:rStyle w:val="PageNumber"/>
          <w:rFonts w:eastAsia="Calibri"/>
          <w:sz w:val="16"/>
          <w:szCs w:val="16"/>
        </w:rPr>
        <w:t>,S</w:t>
      </w:r>
      <w:proofErr w:type="spellEnd"/>
      <w:proofErr w:type="gramEnd"/>
      <w:r>
        <w:rPr>
          <w:rStyle w:val="PageNumber"/>
          <w:rFonts w:eastAsia="Calibri"/>
          <w:sz w:val="16"/>
          <w:szCs w:val="16"/>
        </w:rPr>
        <w:t xml:space="preserve">. (2015) </w:t>
      </w:r>
      <w:r>
        <w:rPr>
          <w:rStyle w:val="PageNumber"/>
          <w:rFonts w:eastAsia="Calibri"/>
          <w:i/>
          <w:iCs/>
          <w:sz w:val="16"/>
          <w:szCs w:val="16"/>
        </w:rPr>
        <w:t xml:space="preserve">Educational opportunity in Australia 2015 Who succeeds and who misses out. </w:t>
      </w:r>
      <w:r>
        <w:rPr>
          <w:rStyle w:val="PageNumber"/>
          <w:rFonts w:eastAsia="Calibri"/>
          <w:sz w:val="16"/>
          <w:szCs w:val="16"/>
        </w:rPr>
        <w:t xml:space="preserve">Mitchell Institute; and </w:t>
      </w:r>
      <w:proofErr w:type="spellStart"/>
      <w:r>
        <w:rPr>
          <w:rStyle w:val="PageNumber"/>
          <w:rFonts w:eastAsia="Calibri"/>
          <w:sz w:val="16"/>
          <w:szCs w:val="16"/>
        </w:rPr>
        <w:t>Dandolo</w:t>
      </w:r>
      <w:proofErr w:type="spellEnd"/>
      <w:r>
        <w:rPr>
          <w:rStyle w:val="PageNumber"/>
          <w:rFonts w:eastAsia="Calibri"/>
          <w:sz w:val="16"/>
          <w:szCs w:val="16"/>
        </w:rPr>
        <w:t xml:space="preserve"> Partners (2014). </w:t>
      </w:r>
      <w:r>
        <w:rPr>
          <w:rStyle w:val="PageNumber"/>
          <w:rFonts w:eastAsia="Calibri"/>
          <w:i/>
          <w:iCs/>
          <w:sz w:val="16"/>
          <w:szCs w:val="16"/>
        </w:rPr>
        <w:t>Evaluation of the National Partnership on Youth Attainment and Transitions. A report for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05BE" w14:textId="3AD192F8" w:rsidR="003967DD" w:rsidRDefault="00985DC7">
    <w:pPr>
      <w:pStyle w:val="Header"/>
    </w:pPr>
    <w:r>
      <w:rPr>
        <w:noProof/>
        <w:lang w:val="en-AU" w:eastAsia="en-AU"/>
      </w:rPr>
      <w:drawing>
        <wp:anchor distT="0" distB="0" distL="114300" distR="114300" simplePos="0" relativeHeight="251657216" behindDoc="1" locked="0" layoutInCell="1" allowOverlap="1" wp14:anchorId="00645BF2" wp14:editId="79586247">
          <wp:simplePos x="0" y="0"/>
          <wp:positionH relativeFrom="page">
            <wp:align>left</wp:align>
          </wp:positionH>
          <wp:positionV relativeFrom="page">
            <wp:align>top</wp:align>
          </wp:positionV>
          <wp:extent cx="7555864" cy="10691241"/>
          <wp:effectExtent l="0" t="0" r="7620" b="0"/>
          <wp:wrapNone/>
          <wp:docPr id="2" name="Picture 2" descr="Victoria State Government Education and Training" title="Education Stat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5864" cy="10691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84FFF"/>
    <w:multiLevelType w:val="hybridMultilevel"/>
    <w:tmpl w:val="6428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E00C2"/>
    <w:multiLevelType w:val="hybridMultilevel"/>
    <w:tmpl w:val="6D945B0C"/>
    <w:lvl w:ilvl="0" w:tplc="4DD8C75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3612B9"/>
    <w:multiLevelType w:val="hybridMultilevel"/>
    <w:tmpl w:val="FD58B3D8"/>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DD2EC1"/>
    <w:multiLevelType w:val="hybridMultilevel"/>
    <w:tmpl w:val="B742D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16891"/>
    <w:multiLevelType w:val="hybridMultilevel"/>
    <w:tmpl w:val="190645AC"/>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89495E"/>
    <w:multiLevelType w:val="hybridMultilevel"/>
    <w:tmpl w:val="C29435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C8456F"/>
    <w:multiLevelType w:val="hybridMultilevel"/>
    <w:tmpl w:val="DC14A8E4"/>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2D5D2E"/>
    <w:multiLevelType w:val="hybridMultilevel"/>
    <w:tmpl w:val="E58E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D261F"/>
    <w:multiLevelType w:val="hybridMultilevel"/>
    <w:tmpl w:val="47748978"/>
    <w:lvl w:ilvl="0" w:tplc="C8201C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E27A3D"/>
    <w:multiLevelType w:val="hybridMultilevel"/>
    <w:tmpl w:val="79FC5F88"/>
    <w:lvl w:ilvl="0" w:tplc="4DD8C75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0632"/>
    <w:multiLevelType w:val="hybridMultilevel"/>
    <w:tmpl w:val="670EF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526D94"/>
    <w:multiLevelType w:val="hybridMultilevel"/>
    <w:tmpl w:val="0C940F3A"/>
    <w:lvl w:ilvl="0" w:tplc="3528B8D4">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23387"/>
    <w:multiLevelType w:val="hybridMultilevel"/>
    <w:tmpl w:val="F0685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BE2A1D"/>
    <w:multiLevelType w:val="hybridMultilevel"/>
    <w:tmpl w:val="51B61AD2"/>
    <w:lvl w:ilvl="0" w:tplc="C8201C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2D7713"/>
    <w:multiLevelType w:val="hybridMultilevel"/>
    <w:tmpl w:val="F4A86AFC"/>
    <w:lvl w:ilvl="0" w:tplc="7B528118">
      <w:start w:val="1"/>
      <w:numFmt w:val="decimal"/>
      <w:pStyle w:val="DETnumberedlist"/>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37A8D"/>
    <w:multiLevelType w:val="hybridMultilevel"/>
    <w:tmpl w:val="E7E8771A"/>
    <w:lvl w:ilvl="0" w:tplc="B43A9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8C34E5"/>
    <w:multiLevelType w:val="hybridMultilevel"/>
    <w:tmpl w:val="F8B24A26"/>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C451DA"/>
    <w:multiLevelType w:val="hybridMultilevel"/>
    <w:tmpl w:val="AA7E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3935B3"/>
    <w:multiLevelType w:val="hybridMultilevel"/>
    <w:tmpl w:val="990CC922"/>
    <w:lvl w:ilvl="0" w:tplc="B546C2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E03C0D"/>
    <w:multiLevelType w:val="hybridMultilevel"/>
    <w:tmpl w:val="0B503FDE"/>
    <w:lvl w:ilvl="0" w:tplc="4DD8C75E">
      <w:numFmt w:val="bullet"/>
      <w:lvlText w:val=""/>
      <w:lvlJc w:val="left"/>
      <w:pPr>
        <w:ind w:left="1080" w:hanging="72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35D3862"/>
    <w:multiLevelType w:val="hybridMultilevel"/>
    <w:tmpl w:val="886E5536"/>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5608A"/>
    <w:multiLevelType w:val="hybridMultilevel"/>
    <w:tmpl w:val="CD62BCD2"/>
    <w:lvl w:ilvl="0" w:tplc="4DD8C75E">
      <w:numFmt w:val="bullet"/>
      <w:lvlText w:val=""/>
      <w:lvlJc w:val="left"/>
      <w:pPr>
        <w:ind w:left="1080" w:hanging="72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01A3F"/>
    <w:multiLevelType w:val="hybridMultilevel"/>
    <w:tmpl w:val="3C82CA58"/>
    <w:lvl w:ilvl="0" w:tplc="667076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E81B25"/>
    <w:multiLevelType w:val="hybridMultilevel"/>
    <w:tmpl w:val="FE2A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B054A3"/>
    <w:multiLevelType w:val="hybridMultilevel"/>
    <w:tmpl w:val="B508677E"/>
    <w:lvl w:ilvl="0" w:tplc="B546C2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3"/>
  </w:num>
  <w:num w:numId="14">
    <w:abstractNumId w:val="37"/>
  </w:num>
  <w:num w:numId="15">
    <w:abstractNumId w:val="17"/>
  </w:num>
  <w:num w:numId="16">
    <w:abstractNumId w:val="26"/>
  </w:num>
  <w:num w:numId="17">
    <w:abstractNumId w:val="22"/>
  </w:num>
  <w:num w:numId="18">
    <w:abstractNumId w:val="35"/>
  </w:num>
  <w:num w:numId="19">
    <w:abstractNumId w:val="25"/>
  </w:num>
  <w:num w:numId="20">
    <w:abstractNumId w:val="11"/>
  </w:num>
  <w:num w:numId="21">
    <w:abstractNumId w:val="21"/>
  </w:num>
  <w:num w:numId="22">
    <w:abstractNumId w:val="28"/>
  </w:num>
  <w:num w:numId="23">
    <w:abstractNumId w:val="20"/>
  </w:num>
  <w:num w:numId="24">
    <w:abstractNumId w:val="38"/>
  </w:num>
  <w:num w:numId="25">
    <w:abstractNumId w:val="12"/>
  </w:num>
  <w:num w:numId="26">
    <w:abstractNumId w:val="41"/>
  </w:num>
  <w:num w:numId="27">
    <w:abstractNumId w:val="34"/>
  </w:num>
  <w:num w:numId="28">
    <w:abstractNumId w:val="15"/>
  </w:num>
  <w:num w:numId="29">
    <w:abstractNumId w:val="18"/>
  </w:num>
  <w:num w:numId="30">
    <w:abstractNumId w:val="36"/>
  </w:num>
  <w:num w:numId="31">
    <w:abstractNumId w:val="13"/>
  </w:num>
  <w:num w:numId="32">
    <w:abstractNumId w:val="31"/>
  </w:num>
  <w:num w:numId="33">
    <w:abstractNumId w:val="39"/>
  </w:num>
  <w:num w:numId="34">
    <w:abstractNumId w:val="16"/>
  </w:num>
  <w:num w:numId="35">
    <w:abstractNumId w:val="27"/>
  </w:num>
  <w:num w:numId="36">
    <w:abstractNumId w:val="24"/>
  </w:num>
  <w:num w:numId="37">
    <w:abstractNumId w:val="32"/>
  </w:num>
  <w:num w:numId="38">
    <w:abstractNumId w:val="19"/>
  </w:num>
  <w:num w:numId="39">
    <w:abstractNumId w:val="40"/>
  </w:num>
  <w:num w:numId="40">
    <w:abstractNumId w:val="14"/>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0EB"/>
    <w:rsid w:val="000403AA"/>
    <w:rsid w:val="00045847"/>
    <w:rsid w:val="00055E78"/>
    <w:rsid w:val="000675BF"/>
    <w:rsid w:val="000820BE"/>
    <w:rsid w:val="00082526"/>
    <w:rsid w:val="000A47D4"/>
    <w:rsid w:val="000B5AD6"/>
    <w:rsid w:val="000C0A66"/>
    <w:rsid w:val="000D4878"/>
    <w:rsid w:val="00122369"/>
    <w:rsid w:val="00183BD4"/>
    <w:rsid w:val="001C6856"/>
    <w:rsid w:val="00213752"/>
    <w:rsid w:val="00217B2A"/>
    <w:rsid w:val="00225B66"/>
    <w:rsid w:val="00237C4A"/>
    <w:rsid w:val="0024385E"/>
    <w:rsid w:val="0029652B"/>
    <w:rsid w:val="002A4A96"/>
    <w:rsid w:val="002B0FEE"/>
    <w:rsid w:val="002B5138"/>
    <w:rsid w:val="002E3BED"/>
    <w:rsid w:val="00311AB9"/>
    <w:rsid w:val="00312720"/>
    <w:rsid w:val="00316E52"/>
    <w:rsid w:val="00375774"/>
    <w:rsid w:val="003967DD"/>
    <w:rsid w:val="003A714B"/>
    <w:rsid w:val="003C0943"/>
    <w:rsid w:val="003E53DA"/>
    <w:rsid w:val="003E7FE7"/>
    <w:rsid w:val="003F5E94"/>
    <w:rsid w:val="00430062"/>
    <w:rsid w:val="00495046"/>
    <w:rsid w:val="00497189"/>
    <w:rsid w:val="004B0732"/>
    <w:rsid w:val="004B2ED6"/>
    <w:rsid w:val="004F0BF3"/>
    <w:rsid w:val="00521E2D"/>
    <w:rsid w:val="005344CA"/>
    <w:rsid w:val="005745A2"/>
    <w:rsid w:val="00584366"/>
    <w:rsid w:val="005D0FF4"/>
    <w:rsid w:val="005D3C53"/>
    <w:rsid w:val="005E4185"/>
    <w:rsid w:val="00624A55"/>
    <w:rsid w:val="006441CC"/>
    <w:rsid w:val="00646E1A"/>
    <w:rsid w:val="006552DB"/>
    <w:rsid w:val="0067177D"/>
    <w:rsid w:val="006A25AC"/>
    <w:rsid w:val="006B1DBB"/>
    <w:rsid w:val="006C41DF"/>
    <w:rsid w:val="006D3394"/>
    <w:rsid w:val="00706704"/>
    <w:rsid w:val="007862AA"/>
    <w:rsid w:val="007A5DD8"/>
    <w:rsid w:val="007B556E"/>
    <w:rsid w:val="007D3E38"/>
    <w:rsid w:val="008A1D98"/>
    <w:rsid w:val="008B1737"/>
    <w:rsid w:val="008D093E"/>
    <w:rsid w:val="008E0AFE"/>
    <w:rsid w:val="00922882"/>
    <w:rsid w:val="00926A8A"/>
    <w:rsid w:val="009312FD"/>
    <w:rsid w:val="0094760E"/>
    <w:rsid w:val="00970EA5"/>
    <w:rsid w:val="0098363E"/>
    <w:rsid w:val="00985DC7"/>
    <w:rsid w:val="009962CC"/>
    <w:rsid w:val="009B4FB6"/>
    <w:rsid w:val="00A05784"/>
    <w:rsid w:val="00A31926"/>
    <w:rsid w:val="00A32227"/>
    <w:rsid w:val="00A41436"/>
    <w:rsid w:val="00A9170C"/>
    <w:rsid w:val="00AB7BD1"/>
    <w:rsid w:val="00AD5397"/>
    <w:rsid w:val="00AD68DF"/>
    <w:rsid w:val="00AE5704"/>
    <w:rsid w:val="00AF1411"/>
    <w:rsid w:val="00B05393"/>
    <w:rsid w:val="00B40A32"/>
    <w:rsid w:val="00B76695"/>
    <w:rsid w:val="00B8120E"/>
    <w:rsid w:val="00B8391A"/>
    <w:rsid w:val="00BE1C53"/>
    <w:rsid w:val="00C145C7"/>
    <w:rsid w:val="00C1652F"/>
    <w:rsid w:val="00C56EC3"/>
    <w:rsid w:val="00C57940"/>
    <w:rsid w:val="00CD4B89"/>
    <w:rsid w:val="00D03982"/>
    <w:rsid w:val="00D4071E"/>
    <w:rsid w:val="00D4649E"/>
    <w:rsid w:val="00D6270C"/>
    <w:rsid w:val="00D823FF"/>
    <w:rsid w:val="00DA4618"/>
    <w:rsid w:val="00DB2C2A"/>
    <w:rsid w:val="00DC089C"/>
    <w:rsid w:val="00DC425A"/>
    <w:rsid w:val="00DE64A7"/>
    <w:rsid w:val="00DF6AFB"/>
    <w:rsid w:val="00EA619B"/>
    <w:rsid w:val="00EB3DD8"/>
    <w:rsid w:val="00EE43DB"/>
    <w:rsid w:val="00EF3689"/>
    <w:rsid w:val="00EF4DA1"/>
    <w:rsid w:val="00F0194E"/>
    <w:rsid w:val="00F23784"/>
    <w:rsid w:val="00F32435"/>
    <w:rsid w:val="00F35048"/>
    <w:rsid w:val="00F427B4"/>
    <w:rsid w:val="00FC25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2D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character" w:styleId="CommentReference">
    <w:name w:val="annotation reference"/>
    <w:basedOn w:val="DefaultParagraphFont"/>
    <w:uiPriority w:val="99"/>
    <w:semiHidden/>
    <w:unhideWhenUsed/>
    <w:rsid w:val="008E0AFE"/>
    <w:rPr>
      <w:sz w:val="16"/>
      <w:szCs w:val="16"/>
    </w:rPr>
  </w:style>
  <w:style w:type="paragraph" w:styleId="CommentText">
    <w:name w:val="annotation text"/>
    <w:basedOn w:val="Normal"/>
    <w:link w:val="CommentTextChar"/>
    <w:uiPriority w:val="99"/>
    <w:semiHidden/>
    <w:unhideWhenUsed/>
    <w:rsid w:val="008E0AFE"/>
    <w:rPr>
      <w:sz w:val="20"/>
      <w:szCs w:val="20"/>
    </w:rPr>
  </w:style>
  <w:style w:type="character" w:customStyle="1" w:styleId="CommentTextChar">
    <w:name w:val="Comment Text Char"/>
    <w:basedOn w:val="DefaultParagraphFont"/>
    <w:link w:val="CommentText"/>
    <w:uiPriority w:val="99"/>
    <w:semiHidden/>
    <w:rsid w:val="008E0AFE"/>
    <w:rPr>
      <w:sz w:val="20"/>
      <w:szCs w:val="20"/>
    </w:rPr>
  </w:style>
  <w:style w:type="paragraph" w:styleId="CommentSubject">
    <w:name w:val="annotation subject"/>
    <w:basedOn w:val="CommentText"/>
    <w:next w:val="CommentText"/>
    <w:link w:val="CommentSubjectChar"/>
    <w:uiPriority w:val="99"/>
    <w:semiHidden/>
    <w:unhideWhenUsed/>
    <w:rsid w:val="008E0AFE"/>
    <w:rPr>
      <w:b/>
      <w:bCs/>
    </w:rPr>
  </w:style>
  <w:style w:type="character" w:customStyle="1" w:styleId="CommentSubjectChar">
    <w:name w:val="Comment Subject Char"/>
    <w:basedOn w:val="CommentTextChar"/>
    <w:link w:val="CommentSubject"/>
    <w:uiPriority w:val="99"/>
    <w:semiHidden/>
    <w:rsid w:val="008E0AFE"/>
    <w:rPr>
      <w:b/>
      <w:bCs/>
      <w:sz w:val="20"/>
      <w:szCs w:val="20"/>
    </w:rPr>
  </w:style>
  <w:style w:type="paragraph" w:styleId="BalloonText">
    <w:name w:val="Balloon Text"/>
    <w:basedOn w:val="Normal"/>
    <w:link w:val="BalloonTextChar"/>
    <w:uiPriority w:val="99"/>
    <w:semiHidden/>
    <w:unhideWhenUsed/>
    <w:rsid w:val="008E0A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FE"/>
    <w:rPr>
      <w:rFonts w:ascii="Segoe UI" w:hAnsi="Segoe UI" w:cs="Segoe UI"/>
      <w:sz w:val="18"/>
      <w:szCs w:val="18"/>
    </w:rPr>
  </w:style>
  <w:style w:type="paragraph" w:styleId="ListParagraph">
    <w:name w:val="List Paragraph"/>
    <w:basedOn w:val="Normal"/>
    <w:uiPriority w:val="34"/>
    <w:qFormat/>
    <w:rsid w:val="00045847"/>
    <w:pPr>
      <w:ind w:left="720"/>
      <w:contextualSpacing/>
    </w:pPr>
  </w:style>
  <w:style w:type="paragraph" w:styleId="EndnoteText">
    <w:name w:val="endnote text"/>
    <w:basedOn w:val="Normal"/>
    <w:link w:val="EndnoteTextChar"/>
    <w:uiPriority w:val="99"/>
    <w:semiHidden/>
    <w:unhideWhenUsed/>
    <w:rsid w:val="006552DB"/>
    <w:pPr>
      <w:spacing w:after="0"/>
    </w:pPr>
    <w:rPr>
      <w:sz w:val="20"/>
      <w:szCs w:val="20"/>
    </w:rPr>
  </w:style>
  <w:style w:type="character" w:customStyle="1" w:styleId="EndnoteTextChar">
    <w:name w:val="Endnote Text Char"/>
    <w:basedOn w:val="DefaultParagraphFont"/>
    <w:link w:val="EndnoteText"/>
    <w:uiPriority w:val="99"/>
    <w:semiHidden/>
    <w:rsid w:val="006552DB"/>
    <w:rPr>
      <w:sz w:val="20"/>
      <w:szCs w:val="20"/>
    </w:rPr>
  </w:style>
  <w:style w:type="character" w:styleId="EndnoteReference">
    <w:name w:val="endnote reference"/>
    <w:basedOn w:val="DefaultParagraphFont"/>
    <w:uiPriority w:val="99"/>
    <w:semiHidden/>
    <w:unhideWhenUsed/>
    <w:rsid w:val="006552DB"/>
    <w:rPr>
      <w:vertAlign w:val="superscript"/>
    </w:rPr>
  </w:style>
  <w:style w:type="paragraph" w:styleId="FootnoteText">
    <w:name w:val="footnote text"/>
    <w:basedOn w:val="Normal"/>
    <w:link w:val="FootnoteTextChar"/>
    <w:uiPriority w:val="99"/>
    <w:semiHidden/>
    <w:unhideWhenUsed/>
    <w:rsid w:val="006552DB"/>
    <w:pPr>
      <w:spacing w:after="0"/>
    </w:pPr>
    <w:rPr>
      <w:sz w:val="20"/>
      <w:szCs w:val="20"/>
    </w:rPr>
  </w:style>
  <w:style w:type="character" w:customStyle="1" w:styleId="FootnoteTextChar">
    <w:name w:val="Footnote Text Char"/>
    <w:basedOn w:val="DefaultParagraphFont"/>
    <w:link w:val="FootnoteText"/>
    <w:uiPriority w:val="99"/>
    <w:semiHidden/>
    <w:rsid w:val="006552DB"/>
    <w:rPr>
      <w:sz w:val="20"/>
      <w:szCs w:val="20"/>
    </w:rPr>
  </w:style>
  <w:style w:type="character" w:styleId="FootnoteReference">
    <w:name w:val="footnote reference"/>
    <w:basedOn w:val="DefaultParagraphFont"/>
    <w:uiPriority w:val="99"/>
    <w:semiHidden/>
    <w:unhideWhenUsed/>
    <w:rsid w:val="006552DB"/>
    <w:rPr>
      <w:vertAlign w:val="superscript"/>
    </w:rPr>
  </w:style>
  <w:style w:type="paragraph" w:customStyle="1" w:styleId="Default">
    <w:name w:val="Default"/>
    <w:rsid w:val="00F427B4"/>
    <w:pPr>
      <w:autoSpaceDE w:val="0"/>
      <w:autoSpaceDN w:val="0"/>
      <w:adjustRightInd w:val="0"/>
    </w:pPr>
    <w:rPr>
      <w:rFonts w:ascii="Calibri" w:hAnsi="Calibri" w:cs="Calibri"/>
      <w:color w:val="000000"/>
      <w:lang w:val="en-AU"/>
    </w:rPr>
  </w:style>
  <w:style w:type="table" w:customStyle="1" w:styleId="TableGrid1">
    <w:name w:val="Table Grid1"/>
    <w:basedOn w:val="TableNormal"/>
    <w:next w:val="TableGrid"/>
    <w:uiPriority w:val="39"/>
    <w:rsid w:val="00D4649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styleId="Caption">
    <w:name w:val="caption"/>
    <w:basedOn w:val="Normal"/>
    <w:next w:val="Normal"/>
    <w:uiPriority w:val="35"/>
    <w:unhideWhenUsed/>
    <w:qFormat/>
    <w:rsid w:val="00225B66"/>
    <w:pPr>
      <w:spacing w:after="200"/>
    </w:pPr>
    <w:rPr>
      <w:i/>
      <w:iCs/>
      <w:color w:val="53565A" w:themeColor="text2"/>
      <w:sz w:val="18"/>
      <w:szCs w:val="18"/>
    </w:rPr>
  </w:style>
  <w:style w:type="character" w:styleId="Hyperlink">
    <w:name w:val="Hyperlink"/>
    <w:basedOn w:val="DefaultParagraphFont"/>
    <w:uiPriority w:val="99"/>
    <w:unhideWhenUsed/>
    <w:rsid w:val="006441CC"/>
    <w:rPr>
      <w:color w:val="004EA8" w:themeColor="hyperlink"/>
      <w:u w:val="single"/>
    </w:rPr>
  </w:style>
  <w:style w:type="paragraph" w:customStyle="1" w:styleId="DETHeading2">
    <w:name w:val="DET_Heading 2"/>
    <w:basedOn w:val="Heading2"/>
    <w:qFormat/>
    <w:rsid w:val="00A41436"/>
    <w:pPr>
      <w:spacing w:before="180"/>
    </w:pPr>
    <w:rPr>
      <w:sz w:val="24"/>
    </w:rPr>
  </w:style>
  <w:style w:type="paragraph" w:customStyle="1" w:styleId="DETnumberedlist">
    <w:name w:val="DET_numbered list"/>
    <w:basedOn w:val="Normal"/>
    <w:qFormat/>
    <w:rsid w:val="00A41436"/>
    <w:pPr>
      <w:numPr>
        <w:numId w:val="42"/>
      </w:numPr>
      <w:spacing w:after="180"/>
      <w:ind w:left="284" w:hanging="284"/>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about/department/structure/Pages/regio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image" Target="media/image2.png"/><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Navigator Program Overview Pack - 2019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12C6AD674E2E749B0A1B3DA2857E796" ma:contentTypeVersion="14" ma:contentTypeDescription="DET Document" ma:contentTypeScope="" ma:versionID="996254d14db325aa60c177df3197f3a7">
  <xsd:schema xmlns:xsd="http://www.w3.org/2001/XMLSchema" xmlns:xs="http://www.w3.org/2001/XMLSchema" xmlns:p="http://schemas.microsoft.com/office/2006/metadata/properties" xmlns:ns1="http://schemas.microsoft.com/sharepoint/v3" xmlns:ns2="1966e606-8b69-4075-9ef8-a409e80aaa70" xmlns:ns3="http://schemas.microsoft.com/Sharepoint/v3" xmlns:ns4="http://schemas.microsoft.com/sharepoint/v4" xmlns:ns5="728b64e4-9fdc-40b7-8f09-efe348ecd637" targetNamespace="http://schemas.microsoft.com/office/2006/metadata/properties" ma:root="true" ma:fieldsID="32f9be17714036a3acfa299e35db8a4c" ns1:_="" ns2:_="" ns3:_="" ns4:_="" ns5:_="">
    <xsd:import namespace="http://schemas.microsoft.com/sharepoint/v3"/>
    <xsd:import namespace="1966e606-8b69-4075-9ef8-a409e80aaa70"/>
    <xsd:import namespace="http://schemas.microsoft.com/Sharepoint/v3"/>
    <xsd:import namespace="http://schemas.microsoft.com/sharepoint/v4"/>
    <xsd:import namespace="728b64e4-9fdc-40b7-8f09-efe348ecd637"/>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1:PublishingContactName" minOccurs="0"/>
                <xsd:element ref="ns4:IconOverlay" minOccurs="0"/>
                <xsd:element ref="ns5:zc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b64e4-9fdc-40b7-8f09-efe348ecd637" elementFormDefault="qualified">
    <xsd:import namespace="http://schemas.microsoft.com/office/2006/documentManagement/types"/>
    <xsd:import namespace="http://schemas.microsoft.com/office/infopath/2007/PartnerControls"/>
    <xsd:element name="zc9d" ma:index="19" nillable="true" ma:displayName="Project" ma:internalName="zc9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F757-F865-42EF-8411-629958A4F695}"/>
</file>

<file path=customXml/itemProps2.xml><?xml version="1.0" encoding="utf-8"?>
<ds:datastoreItem xmlns:ds="http://schemas.openxmlformats.org/officeDocument/2006/customXml" ds:itemID="{6E51CBB5-E8CC-4A47-B53A-D9A73430D82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728b64e4-9fdc-40b7-8f09-efe348ecd637"/>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F5EB15B4-DCAA-499D-8981-D670C0B070F3}">
  <ds:schemaRefs>
    <ds:schemaRef ds:uri="http://schemas.microsoft.com/sharepoint/v3/contenttype/forms"/>
  </ds:schemaRefs>
</ds:datastoreItem>
</file>

<file path=customXml/itemProps4.xml><?xml version="1.0" encoding="utf-8"?>
<ds:datastoreItem xmlns:ds="http://schemas.openxmlformats.org/officeDocument/2006/customXml" ds:itemID="{A49B952A-A48D-4F6A-A872-E789B735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http://schemas.microsoft.com/sharepoint/v4"/>
    <ds:schemaRef ds:uri="728b64e4-9fdc-40b7-8f09-efe348ec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3CF803-E77B-4493-8D3B-D54EA96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Navigator Program Overview Pack - 2019</dc:title>
  <dc:subject/>
  <dc:creator>Isabel Lim</dc:creator>
  <cp:keywords/>
  <dc:description/>
  <cp:lastModifiedBy>Mohita Roman</cp:lastModifiedBy>
  <cp:revision>7</cp:revision>
  <dcterms:created xsi:type="dcterms:W3CDTF">2019-09-17T00:00:00Z</dcterms:created>
  <dcterms:modified xsi:type="dcterms:W3CDTF">2019-10-01T06:55:00Z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{728b64e4-9fdc-40b7-8f09-efe348ecd637}</vt:lpwstr>
  </property>
  <property fmtid="{D5CDD505-2E9C-101B-9397-08002B2CF9AE}" pid="9" name="RecordPoint_ActiveItemUniqueId">
    <vt:lpwstr>{7ab202a1-eb61-4ef5-a04d-07b13f41293b}</vt:lpwstr>
  </property>
  <property fmtid="{D5CDD505-2E9C-101B-9397-08002B2CF9AE}" pid="10" name="RecordPoint_ActiveItemWebId">
    <vt:lpwstr>{e0950a65-9c9d-45b8-a42c-b35c0d524b87}</vt:lpwstr>
  </property>
  <property fmtid="{D5CDD505-2E9C-101B-9397-08002B2CF9AE}" pid="11" name="RecordPoint_RecordNumberSubmitted">
    <vt:lpwstr>R2018/0775203</vt:lpwstr>
  </property>
  <property fmtid="{D5CDD505-2E9C-101B-9397-08002B2CF9AE}" pid="12" name="RecordPoint_SubmissionCompleted">
    <vt:lpwstr>2018-08-27T13:16:35.1213691+10:00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