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112D" w14:textId="3E2CDB99" w:rsidR="00624A55" w:rsidRPr="008F3D35" w:rsidRDefault="00455A68" w:rsidP="00161DBE">
      <w:pPr>
        <w:pStyle w:val="Heading1"/>
      </w:pPr>
      <w:r>
        <w:rPr>
          <w:lang w:val="en-AU"/>
        </w:rPr>
        <w:t xml:space="preserve">Collaboration and Curriculum Access Fund </w:t>
      </w:r>
      <w:r w:rsidR="004B6EB2">
        <w:rPr>
          <w:lang w:val="en-AU"/>
        </w:rPr>
        <w:t xml:space="preserve">– 2022 Guidance and Eligibility </w:t>
      </w:r>
    </w:p>
    <w:p w14:paraId="37B1A119" w14:textId="0E2CE918" w:rsidR="00A816CA" w:rsidRDefault="00A816CA" w:rsidP="00624A55">
      <w:pPr>
        <w:pStyle w:val="Intro"/>
      </w:pPr>
    </w:p>
    <w:p w14:paraId="3FBA840C" w14:textId="77777777" w:rsidR="008F7CC2" w:rsidRDefault="008F7CC2" w:rsidP="008F7CC2">
      <w:pPr>
        <w:keepNext/>
        <w:keepLines/>
        <w:spacing w:before="120" w:line="276" w:lineRule="auto"/>
        <w:outlineLvl w:val="2"/>
        <w:rPr>
          <w:rFonts w:ascii="Arial" w:eastAsia="Times New Roman" w:hAnsi="Arial" w:cs="Times New Roman"/>
          <w:b/>
          <w:color w:val="000000"/>
          <w:sz w:val="24"/>
          <w:lang w:val="en-AU"/>
        </w:rPr>
      </w:pPr>
      <w:r w:rsidRPr="00562A7C">
        <w:rPr>
          <w:rFonts w:ascii="Arial" w:eastAsia="Times New Roman" w:hAnsi="Arial" w:cs="Times New Roman"/>
          <w:b/>
          <w:color w:val="000000"/>
          <w:sz w:val="24"/>
          <w:lang w:val="en-AU"/>
        </w:rPr>
        <w:t>Important dates</w:t>
      </w:r>
    </w:p>
    <w:tbl>
      <w:tblPr>
        <w:tblStyle w:val="TableGridLight"/>
        <w:tblW w:w="9634" w:type="dxa"/>
        <w:tblLook w:val="04A0" w:firstRow="1" w:lastRow="0" w:firstColumn="1" w:lastColumn="0" w:noHBand="0" w:noVBand="1"/>
      </w:tblPr>
      <w:tblGrid>
        <w:gridCol w:w="5524"/>
        <w:gridCol w:w="4110"/>
      </w:tblGrid>
      <w:tr w:rsidR="008F7CC2" w14:paraId="16840860" w14:textId="77777777" w:rsidTr="00084168">
        <w:tc>
          <w:tcPr>
            <w:tcW w:w="5524" w:type="dxa"/>
            <w:tcBorders>
              <w:top w:val="single" w:sz="4" w:space="0" w:color="auto"/>
              <w:left w:val="single" w:sz="4" w:space="0" w:color="auto"/>
            </w:tcBorders>
          </w:tcPr>
          <w:p w14:paraId="7168897D" w14:textId="77777777" w:rsidR="008F7CC2" w:rsidRPr="00C90DB5" w:rsidRDefault="008F7CC2" w:rsidP="00084168">
            <w:pPr>
              <w:pStyle w:val="Heading3"/>
              <w:spacing w:before="0" w:after="0" w:line="276" w:lineRule="auto"/>
              <w:jc w:val="center"/>
              <w:rPr>
                <w:rFonts w:asciiTheme="minorHAnsi" w:eastAsiaTheme="minorHAnsi" w:hAnsiTheme="minorHAnsi" w:cstheme="minorBidi"/>
                <w:bCs/>
                <w:color w:val="auto"/>
                <w:sz w:val="22"/>
                <w:szCs w:val="22"/>
                <w:lang w:val="en-AU"/>
              </w:rPr>
            </w:pPr>
            <w:r w:rsidRPr="00C90DB5">
              <w:rPr>
                <w:rFonts w:asciiTheme="minorHAnsi" w:eastAsiaTheme="minorHAnsi" w:hAnsiTheme="minorHAnsi" w:cstheme="minorBidi"/>
                <w:bCs/>
                <w:color w:val="auto"/>
                <w:sz w:val="22"/>
                <w:szCs w:val="22"/>
                <w:lang w:val="en-AU"/>
              </w:rPr>
              <w:t>Activity</w:t>
            </w:r>
          </w:p>
        </w:tc>
        <w:tc>
          <w:tcPr>
            <w:tcW w:w="4110" w:type="dxa"/>
            <w:tcBorders>
              <w:top w:val="single" w:sz="4" w:space="0" w:color="auto"/>
            </w:tcBorders>
          </w:tcPr>
          <w:p w14:paraId="526F650A" w14:textId="77777777" w:rsidR="008F7CC2" w:rsidRPr="00C90DB5" w:rsidRDefault="008F7CC2" w:rsidP="00084168">
            <w:pPr>
              <w:pStyle w:val="Heading3"/>
              <w:spacing w:before="0" w:after="0" w:line="276" w:lineRule="auto"/>
              <w:jc w:val="center"/>
              <w:rPr>
                <w:rFonts w:asciiTheme="minorHAnsi" w:eastAsiaTheme="minorHAnsi" w:hAnsiTheme="minorHAnsi" w:cstheme="minorBidi"/>
                <w:bCs/>
                <w:color w:val="auto"/>
                <w:sz w:val="22"/>
                <w:szCs w:val="22"/>
                <w:lang w:val="en-AU"/>
              </w:rPr>
            </w:pPr>
            <w:r w:rsidRPr="00C90DB5">
              <w:rPr>
                <w:rFonts w:asciiTheme="minorHAnsi" w:eastAsiaTheme="minorHAnsi" w:hAnsiTheme="minorHAnsi" w:cstheme="minorBidi"/>
                <w:bCs/>
                <w:color w:val="auto"/>
                <w:sz w:val="22"/>
                <w:szCs w:val="22"/>
                <w:lang w:val="en-AU"/>
              </w:rPr>
              <w:t>Round 1</w:t>
            </w:r>
            <w:r>
              <w:rPr>
                <w:rFonts w:asciiTheme="minorHAnsi" w:eastAsiaTheme="minorHAnsi" w:hAnsiTheme="minorHAnsi" w:cstheme="minorBidi"/>
                <w:bCs/>
                <w:color w:val="auto"/>
                <w:sz w:val="22"/>
                <w:szCs w:val="22"/>
                <w:lang w:val="en-AU"/>
              </w:rPr>
              <w:t>*</w:t>
            </w:r>
          </w:p>
        </w:tc>
      </w:tr>
      <w:tr w:rsidR="008F7CC2" w14:paraId="156979C4" w14:textId="77777777" w:rsidTr="00DA4006">
        <w:tc>
          <w:tcPr>
            <w:tcW w:w="9634" w:type="dxa"/>
            <w:gridSpan w:val="2"/>
            <w:tcBorders>
              <w:left w:val="single" w:sz="4" w:space="0" w:color="auto"/>
            </w:tcBorders>
            <w:shd w:val="clear" w:color="auto" w:fill="C2E3FF" w:themeFill="accent3" w:themeFillTint="33"/>
          </w:tcPr>
          <w:p w14:paraId="527CB646" w14:textId="39FB66FE" w:rsidR="008F7CC2" w:rsidRDefault="008F7CC2" w:rsidP="00084168">
            <w:pPr>
              <w:spacing w:line="276" w:lineRule="auto"/>
              <w:rPr>
                <w:b/>
                <w:bCs/>
              </w:rPr>
            </w:pPr>
            <w:r>
              <w:rPr>
                <w:b/>
                <w:bCs/>
              </w:rPr>
              <w:t>Phase 1: Expression of Interest (EOI)</w:t>
            </w:r>
          </w:p>
        </w:tc>
      </w:tr>
      <w:tr w:rsidR="008F7CC2" w14:paraId="60523249" w14:textId="77777777" w:rsidTr="00084168">
        <w:tc>
          <w:tcPr>
            <w:tcW w:w="5524" w:type="dxa"/>
            <w:tcBorders>
              <w:left w:val="single" w:sz="4" w:space="0" w:color="auto"/>
            </w:tcBorders>
          </w:tcPr>
          <w:p w14:paraId="62421940" w14:textId="0652FA7B" w:rsidR="008F7CC2" w:rsidRPr="008059E4" w:rsidRDefault="008F7CC2" w:rsidP="00084168">
            <w:pPr>
              <w:pStyle w:val="Bullet1"/>
              <w:spacing w:line="276" w:lineRule="auto"/>
              <w:rPr>
                <w:b/>
                <w:bCs/>
              </w:rPr>
            </w:pPr>
            <w:r>
              <w:rPr>
                <w:b/>
                <w:bCs/>
              </w:rPr>
              <w:t>EOI a</w:t>
            </w:r>
            <w:r w:rsidRPr="008059E4">
              <w:rPr>
                <w:b/>
                <w:bCs/>
              </w:rPr>
              <w:t>pplications open</w:t>
            </w:r>
          </w:p>
        </w:tc>
        <w:tc>
          <w:tcPr>
            <w:tcW w:w="4110" w:type="dxa"/>
          </w:tcPr>
          <w:p w14:paraId="1CCF85F1" w14:textId="52215C68" w:rsidR="008F7CC2" w:rsidRPr="008059E4" w:rsidRDefault="0084368C" w:rsidP="00084168">
            <w:pPr>
              <w:spacing w:line="276" w:lineRule="auto"/>
              <w:rPr>
                <w:b/>
                <w:bCs/>
              </w:rPr>
            </w:pPr>
            <w:r>
              <w:rPr>
                <w:b/>
                <w:bCs/>
              </w:rPr>
              <w:t>5</w:t>
            </w:r>
            <w:r w:rsidR="00CE4C9F">
              <w:rPr>
                <w:b/>
                <w:bCs/>
              </w:rPr>
              <w:t xml:space="preserve"> October</w:t>
            </w:r>
            <w:r w:rsidR="008F7CC2">
              <w:rPr>
                <w:b/>
                <w:bCs/>
              </w:rPr>
              <w:t xml:space="preserve"> 2022</w:t>
            </w:r>
          </w:p>
        </w:tc>
      </w:tr>
      <w:tr w:rsidR="008F7CC2" w14:paraId="0DD259BE" w14:textId="77777777" w:rsidTr="00084168">
        <w:tc>
          <w:tcPr>
            <w:tcW w:w="5524" w:type="dxa"/>
            <w:tcBorders>
              <w:left w:val="single" w:sz="4" w:space="0" w:color="auto"/>
            </w:tcBorders>
          </w:tcPr>
          <w:p w14:paraId="4C5FFC27" w14:textId="77777777" w:rsidR="008F7CC2" w:rsidRPr="008059E4" w:rsidRDefault="008F7CC2" w:rsidP="00084168">
            <w:pPr>
              <w:pStyle w:val="Bullet1"/>
              <w:spacing w:line="276" w:lineRule="auto"/>
              <w:rPr>
                <w:b/>
                <w:bCs/>
              </w:rPr>
            </w:pPr>
            <w:r>
              <w:rPr>
                <w:b/>
                <w:bCs/>
              </w:rPr>
              <w:t>EOI</w:t>
            </w:r>
            <w:r w:rsidRPr="008059E4">
              <w:rPr>
                <w:b/>
                <w:bCs/>
              </w:rPr>
              <w:t xml:space="preserve"> close</w:t>
            </w:r>
          </w:p>
        </w:tc>
        <w:tc>
          <w:tcPr>
            <w:tcW w:w="4110" w:type="dxa"/>
          </w:tcPr>
          <w:p w14:paraId="195931A6" w14:textId="316B180E" w:rsidR="008F7CC2" w:rsidRPr="009263EC" w:rsidRDefault="006B444A" w:rsidP="00084168">
            <w:pPr>
              <w:spacing w:line="276" w:lineRule="auto"/>
              <w:rPr>
                <w:b/>
                <w:bCs/>
              </w:rPr>
            </w:pPr>
            <w:r>
              <w:rPr>
                <w:b/>
                <w:bCs/>
              </w:rPr>
              <w:t>20</w:t>
            </w:r>
            <w:r w:rsidR="006666A7" w:rsidRPr="009263EC">
              <w:rPr>
                <w:b/>
                <w:bCs/>
              </w:rPr>
              <w:t xml:space="preserve"> </w:t>
            </w:r>
            <w:r w:rsidR="00CE4C9F">
              <w:rPr>
                <w:b/>
                <w:bCs/>
              </w:rPr>
              <w:t xml:space="preserve">October </w:t>
            </w:r>
            <w:r w:rsidR="008F7CC2" w:rsidRPr="009263EC">
              <w:rPr>
                <w:b/>
                <w:bCs/>
              </w:rPr>
              <w:t xml:space="preserve">2022 </w:t>
            </w:r>
          </w:p>
        </w:tc>
      </w:tr>
      <w:tr w:rsidR="008F7CC2" w14:paraId="65B7EC72" w14:textId="77777777" w:rsidTr="00084168">
        <w:tc>
          <w:tcPr>
            <w:tcW w:w="5524" w:type="dxa"/>
            <w:tcBorders>
              <w:left w:val="single" w:sz="4" w:space="0" w:color="auto"/>
            </w:tcBorders>
          </w:tcPr>
          <w:p w14:paraId="59C9767C" w14:textId="6021ADFC" w:rsidR="008F7CC2" w:rsidRPr="008059E4" w:rsidRDefault="008F7CC2" w:rsidP="00084168">
            <w:pPr>
              <w:pStyle w:val="Bullet1"/>
              <w:spacing w:line="276" w:lineRule="auto"/>
              <w:rPr>
                <w:b/>
                <w:bCs/>
              </w:rPr>
            </w:pPr>
            <w:r w:rsidRPr="008059E4">
              <w:rPr>
                <w:b/>
                <w:bCs/>
              </w:rPr>
              <w:t xml:space="preserve">Notification of </w:t>
            </w:r>
            <w:r>
              <w:rPr>
                <w:b/>
                <w:bCs/>
              </w:rPr>
              <w:t xml:space="preserve">EOI </w:t>
            </w:r>
            <w:r w:rsidRPr="008059E4">
              <w:rPr>
                <w:b/>
                <w:bCs/>
              </w:rPr>
              <w:t>application outcome</w:t>
            </w:r>
          </w:p>
        </w:tc>
        <w:tc>
          <w:tcPr>
            <w:tcW w:w="4110" w:type="dxa"/>
          </w:tcPr>
          <w:p w14:paraId="20D3502F" w14:textId="5FF8341C" w:rsidR="008F7CC2" w:rsidRPr="009263EC" w:rsidRDefault="00CE4C9F" w:rsidP="00084168">
            <w:pPr>
              <w:spacing w:line="276" w:lineRule="auto"/>
              <w:rPr>
                <w:b/>
                <w:bCs/>
              </w:rPr>
            </w:pPr>
            <w:r>
              <w:rPr>
                <w:b/>
                <w:bCs/>
              </w:rPr>
              <w:t>31 October</w:t>
            </w:r>
            <w:r w:rsidR="008F7CC2" w:rsidRPr="009263EC">
              <w:rPr>
                <w:b/>
                <w:bCs/>
              </w:rPr>
              <w:t xml:space="preserve"> 2022 </w:t>
            </w:r>
          </w:p>
        </w:tc>
      </w:tr>
      <w:tr w:rsidR="008F7CC2" w14:paraId="766EF62A" w14:textId="77777777" w:rsidTr="00DA4006">
        <w:tc>
          <w:tcPr>
            <w:tcW w:w="9634" w:type="dxa"/>
            <w:gridSpan w:val="2"/>
            <w:tcBorders>
              <w:left w:val="single" w:sz="4" w:space="0" w:color="auto"/>
            </w:tcBorders>
            <w:shd w:val="clear" w:color="auto" w:fill="C2E3FF" w:themeFill="accent3" w:themeFillTint="33"/>
          </w:tcPr>
          <w:p w14:paraId="52D953C1" w14:textId="15FC5114" w:rsidR="008F7CC2" w:rsidRPr="009263EC" w:rsidRDefault="008F7CC2" w:rsidP="00084168">
            <w:pPr>
              <w:spacing w:line="276" w:lineRule="auto"/>
              <w:rPr>
                <w:b/>
                <w:bCs/>
              </w:rPr>
            </w:pPr>
            <w:r w:rsidRPr="009263EC">
              <w:rPr>
                <w:b/>
                <w:bCs/>
              </w:rPr>
              <w:t>Phase 2: Detailed plan</w:t>
            </w:r>
          </w:p>
        </w:tc>
      </w:tr>
      <w:tr w:rsidR="008F7CC2" w14:paraId="6A4A6D41" w14:textId="77777777" w:rsidTr="00084168">
        <w:tc>
          <w:tcPr>
            <w:tcW w:w="5524" w:type="dxa"/>
            <w:tcBorders>
              <w:left w:val="single" w:sz="4" w:space="0" w:color="auto"/>
            </w:tcBorders>
          </w:tcPr>
          <w:p w14:paraId="5BF6B54B" w14:textId="7F823AD9" w:rsidR="008F7CC2" w:rsidRPr="008059E4" w:rsidRDefault="008F7CC2" w:rsidP="00084168">
            <w:pPr>
              <w:pStyle w:val="Bullet1"/>
              <w:spacing w:line="276" w:lineRule="auto"/>
              <w:rPr>
                <w:b/>
                <w:bCs/>
              </w:rPr>
            </w:pPr>
            <w:r>
              <w:rPr>
                <w:b/>
                <w:bCs/>
              </w:rPr>
              <w:t>Detailed plans submitted</w:t>
            </w:r>
          </w:p>
        </w:tc>
        <w:tc>
          <w:tcPr>
            <w:tcW w:w="4110" w:type="dxa"/>
          </w:tcPr>
          <w:p w14:paraId="2295DCF5" w14:textId="52C58BFE" w:rsidR="008F7CC2" w:rsidRPr="009263EC" w:rsidRDefault="009263EC" w:rsidP="00084168">
            <w:pPr>
              <w:spacing w:line="276" w:lineRule="auto"/>
              <w:rPr>
                <w:b/>
                <w:bCs/>
              </w:rPr>
            </w:pPr>
            <w:r w:rsidRPr="009263EC">
              <w:rPr>
                <w:b/>
                <w:bCs/>
              </w:rPr>
              <w:t>3</w:t>
            </w:r>
            <w:r w:rsidR="00CE4C9F">
              <w:rPr>
                <w:b/>
                <w:bCs/>
              </w:rPr>
              <w:t>0</w:t>
            </w:r>
            <w:r w:rsidRPr="009263EC">
              <w:rPr>
                <w:b/>
                <w:bCs/>
              </w:rPr>
              <w:t xml:space="preserve"> </w:t>
            </w:r>
            <w:r w:rsidR="00CE4C9F">
              <w:rPr>
                <w:b/>
                <w:bCs/>
              </w:rPr>
              <w:t>November</w:t>
            </w:r>
            <w:r w:rsidR="008F7CC2" w:rsidRPr="009263EC">
              <w:rPr>
                <w:b/>
                <w:bCs/>
              </w:rPr>
              <w:t xml:space="preserve"> 2022</w:t>
            </w:r>
          </w:p>
        </w:tc>
      </w:tr>
      <w:tr w:rsidR="008F7CC2" w14:paraId="0DE77916" w14:textId="77777777" w:rsidTr="00084168">
        <w:tc>
          <w:tcPr>
            <w:tcW w:w="5524" w:type="dxa"/>
            <w:tcBorders>
              <w:left w:val="single" w:sz="4" w:space="0" w:color="auto"/>
              <w:bottom w:val="single" w:sz="4" w:space="0" w:color="auto"/>
            </w:tcBorders>
          </w:tcPr>
          <w:p w14:paraId="43B0264A" w14:textId="77777777" w:rsidR="008F7CC2" w:rsidRPr="008059E4" w:rsidRDefault="008F7CC2" w:rsidP="00084168">
            <w:pPr>
              <w:pStyle w:val="Bullet1"/>
              <w:spacing w:line="276" w:lineRule="auto"/>
              <w:rPr>
                <w:b/>
                <w:bCs/>
              </w:rPr>
            </w:pPr>
            <w:r w:rsidRPr="008059E4">
              <w:rPr>
                <w:b/>
                <w:bCs/>
              </w:rPr>
              <w:t>Program completion</w:t>
            </w:r>
          </w:p>
        </w:tc>
        <w:tc>
          <w:tcPr>
            <w:tcW w:w="4110" w:type="dxa"/>
            <w:tcBorders>
              <w:bottom w:val="single" w:sz="4" w:space="0" w:color="auto"/>
              <w:right w:val="single" w:sz="4" w:space="0" w:color="auto"/>
            </w:tcBorders>
          </w:tcPr>
          <w:p w14:paraId="57B9CC82" w14:textId="7C88AAAA" w:rsidR="008F7CC2" w:rsidRPr="008059E4" w:rsidRDefault="003A3B9D" w:rsidP="00084168">
            <w:pPr>
              <w:spacing w:line="276" w:lineRule="auto"/>
              <w:rPr>
                <w:b/>
                <w:bCs/>
              </w:rPr>
            </w:pPr>
            <w:r>
              <w:rPr>
                <w:b/>
                <w:bCs/>
              </w:rPr>
              <w:t>3</w:t>
            </w:r>
            <w:r w:rsidR="006666A7">
              <w:rPr>
                <w:b/>
                <w:bCs/>
              </w:rPr>
              <w:t>0</w:t>
            </w:r>
            <w:r>
              <w:rPr>
                <w:b/>
                <w:bCs/>
              </w:rPr>
              <w:t xml:space="preserve"> </w:t>
            </w:r>
            <w:r w:rsidR="006666A7">
              <w:rPr>
                <w:b/>
                <w:bCs/>
              </w:rPr>
              <w:t>June</w:t>
            </w:r>
            <w:r w:rsidR="008F7CC2" w:rsidDel="003A3B9D">
              <w:rPr>
                <w:b/>
                <w:bCs/>
              </w:rPr>
              <w:t xml:space="preserve"> </w:t>
            </w:r>
            <w:r w:rsidR="008F7CC2">
              <w:rPr>
                <w:b/>
                <w:bCs/>
              </w:rPr>
              <w:t>202</w:t>
            </w:r>
            <w:r w:rsidR="006666A7">
              <w:rPr>
                <w:b/>
                <w:bCs/>
              </w:rPr>
              <w:t>4</w:t>
            </w:r>
          </w:p>
        </w:tc>
      </w:tr>
    </w:tbl>
    <w:p w14:paraId="041CFD04" w14:textId="77777777" w:rsidR="008F7CC2" w:rsidRPr="00E67135" w:rsidRDefault="008F7CC2" w:rsidP="008F7CC2">
      <w:pPr>
        <w:pStyle w:val="Heading3"/>
        <w:spacing w:before="120" w:line="276" w:lineRule="auto"/>
        <w:rPr>
          <w:rFonts w:asciiTheme="minorHAnsi" w:eastAsiaTheme="minorHAnsi" w:hAnsiTheme="minorHAnsi" w:cstheme="minorBidi"/>
          <w:b w:val="0"/>
          <w:color w:val="auto"/>
          <w:sz w:val="22"/>
          <w:lang w:val="en-AU"/>
        </w:rPr>
      </w:pPr>
      <w:r w:rsidRPr="00F56803">
        <w:rPr>
          <w:rFonts w:asciiTheme="minorHAnsi" w:eastAsiaTheme="minorHAnsi" w:hAnsiTheme="minorHAnsi" w:cstheme="minorBidi"/>
          <w:b w:val="0"/>
          <w:color w:val="auto"/>
          <w:sz w:val="22"/>
          <w:lang w:val="en-AU"/>
        </w:rPr>
        <w:t>*Additional rounds may occur depending on the volume and merit of applications in Round 1</w:t>
      </w:r>
    </w:p>
    <w:p w14:paraId="250B5B4E" w14:textId="70A405E7" w:rsidR="008F7CC2" w:rsidRDefault="008F7CC2" w:rsidP="00A816CA">
      <w:pPr>
        <w:rPr>
          <w:lang w:val="en-AU"/>
        </w:rPr>
      </w:pPr>
    </w:p>
    <w:p w14:paraId="5F837078" w14:textId="2634E147" w:rsidR="0055774C" w:rsidRDefault="0055774C" w:rsidP="00DA4006">
      <w:pPr>
        <w:pStyle w:val="Heading2"/>
        <w:rPr>
          <w:lang w:val="en-AU"/>
        </w:rPr>
      </w:pPr>
      <w:r>
        <w:rPr>
          <w:lang w:val="en-AU"/>
        </w:rPr>
        <w:t>Background</w:t>
      </w:r>
    </w:p>
    <w:p w14:paraId="5020727E" w14:textId="0EE70290" w:rsidR="0055774C" w:rsidRDefault="0055774C" w:rsidP="0055774C">
      <w:pPr>
        <w:rPr>
          <w:lang w:val="en-AU"/>
        </w:rPr>
      </w:pPr>
      <w:r>
        <w:rPr>
          <w:lang w:val="en-AU"/>
        </w:rPr>
        <w:t xml:space="preserve">The Department of Education and Training (the Department) has set an expectation that </w:t>
      </w:r>
      <w:r w:rsidR="00F8636F">
        <w:rPr>
          <w:lang w:val="en-AU"/>
        </w:rPr>
        <w:t xml:space="preserve">from 2023 </w:t>
      </w:r>
      <w:r>
        <w:rPr>
          <w:lang w:val="en-AU"/>
        </w:rPr>
        <w:t>all government secondary schools, with limited exceptions, are expected to provide the new VCE Vocational Major, and Victorian Pathways Certificate where it is a suitable and agreed pathway for students at the school.</w:t>
      </w:r>
    </w:p>
    <w:p w14:paraId="241CD08D" w14:textId="0184012C" w:rsidR="0055774C" w:rsidRDefault="0055774C" w:rsidP="00A816CA">
      <w:pPr>
        <w:rPr>
          <w:lang w:val="en-AU"/>
        </w:rPr>
      </w:pPr>
      <w:r>
        <w:rPr>
          <w:lang w:val="en-AU"/>
        </w:rPr>
        <w:t xml:space="preserve">The Collaboration and Curriculum Access Fund (the Fund) is available to support </w:t>
      </w:r>
      <w:r w:rsidR="00CE4C9F">
        <w:rPr>
          <w:lang w:val="en-AU"/>
        </w:rPr>
        <w:t xml:space="preserve">eligible </w:t>
      </w:r>
      <w:r>
        <w:rPr>
          <w:lang w:val="en-AU"/>
        </w:rPr>
        <w:t>schools to overcome implementation challenges associated with providing the new VCE Vocational Major and Victorian Pathways Certificate from 2023.</w:t>
      </w:r>
    </w:p>
    <w:p w14:paraId="12004DD4" w14:textId="7062AE8E" w:rsidR="00CE4C9F" w:rsidRDefault="00CE4C9F" w:rsidP="00914B90">
      <w:pPr>
        <w:rPr>
          <w:lang w:val="en-AU"/>
        </w:rPr>
      </w:pPr>
      <w:r>
        <w:rPr>
          <w:lang w:val="en-AU"/>
        </w:rPr>
        <w:t xml:space="preserve">The Fund is targeted towards schools that face </w:t>
      </w:r>
      <w:r w:rsidR="001845A5">
        <w:rPr>
          <w:lang w:val="en-AU"/>
        </w:rPr>
        <w:t>challenges</w:t>
      </w:r>
      <w:r>
        <w:rPr>
          <w:lang w:val="en-AU"/>
        </w:rPr>
        <w:t xml:space="preserve"> in providing a diverse vocational and applied learning program offering in senior secondary due to small Year 11 and 12 student cohorts and limited available resourcing.</w:t>
      </w:r>
    </w:p>
    <w:p w14:paraId="67C1C574" w14:textId="0DB2735C" w:rsidR="00CE4C9F" w:rsidRDefault="00914B90" w:rsidP="00914B90">
      <w:pPr>
        <w:rPr>
          <w:lang w:val="en-AU"/>
        </w:rPr>
      </w:pPr>
      <w:r>
        <w:rPr>
          <w:lang w:val="en-AU"/>
        </w:rPr>
        <w:t>The Department has committed $1.5 million to this Fund to assist schools to transition to the new certificates, and introduce high-quality</w:t>
      </w:r>
      <w:r w:rsidR="00F8636F">
        <w:rPr>
          <w:lang w:val="en-AU"/>
        </w:rPr>
        <w:t>, sustainable</w:t>
      </w:r>
      <w:r>
        <w:rPr>
          <w:lang w:val="en-AU"/>
        </w:rPr>
        <w:t xml:space="preserve"> programs from 2023. </w:t>
      </w:r>
    </w:p>
    <w:p w14:paraId="00DF8EFA" w14:textId="46694CAF" w:rsidR="00914B90" w:rsidRDefault="00914B90" w:rsidP="00914B90">
      <w:pPr>
        <w:pStyle w:val="Heading2"/>
        <w:rPr>
          <w:lang w:val="en-AU"/>
        </w:rPr>
      </w:pPr>
      <w:r>
        <w:rPr>
          <w:lang w:val="en-AU"/>
        </w:rPr>
        <w:t>Who is eligible for the Fund?</w:t>
      </w:r>
    </w:p>
    <w:p w14:paraId="5ABB5AA4" w14:textId="77777777" w:rsidR="00CE4C9F" w:rsidRDefault="00914B90" w:rsidP="00914B90">
      <w:pPr>
        <w:rPr>
          <w:lang w:val="en-AU"/>
        </w:rPr>
      </w:pPr>
      <w:r>
        <w:rPr>
          <w:lang w:val="en-AU"/>
        </w:rPr>
        <w:t xml:space="preserve">Victorian government secondary schools </w:t>
      </w:r>
      <w:r w:rsidR="00CE4C9F">
        <w:rPr>
          <w:lang w:val="en-AU"/>
        </w:rPr>
        <w:t xml:space="preserve">that meet the following criteria </w:t>
      </w:r>
      <w:r>
        <w:rPr>
          <w:lang w:val="en-AU"/>
        </w:rPr>
        <w:t xml:space="preserve">are eligible to apply for the </w:t>
      </w:r>
      <w:r w:rsidR="007039EF">
        <w:rPr>
          <w:lang w:val="en-AU"/>
        </w:rPr>
        <w:t>F</w:t>
      </w:r>
      <w:r>
        <w:rPr>
          <w:lang w:val="en-AU"/>
        </w:rPr>
        <w:t>und</w:t>
      </w:r>
      <w:r w:rsidR="00CE4C9F">
        <w:rPr>
          <w:lang w:val="en-AU"/>
        </w:rPr>
        <w:t>:</w:t>
      </w:r>
    </w:p>
    <w:p w14:paraId="0171B734" w14:textId="12695640" w:rsidR="00CE4C9F" w:rsidRDefault="00CE4C9F" w:rsidP="00CE4C9F">
      <w:pPr>
        <w:pStyle w:val="ListParagraph"/>
        <w:numPr>
          <w:ilvl w:val="0"/>
          <w:numId w:val="28"/>
        </w:numPr>
        <w:rPr>
          <w:lang w:val="en-AU"/>
        </w:rPr>
      </w:pPr>
      <w:r>
        <w:rPr>
          <w:lang w:val="en-AU"/>
        </w:rPr>
        <w:t>combined Year 11 and 12 student cohorts of 150 students or less</w:t>
      </w:r>
      <w:r w:rsidR="00FF6B94">
        <w:rPr>
          <w:lang w:val="en-AU"/>
        </w:rPr>
        <w:t>; and</w:t>
      </w:r>
    </w:p>
    <w:p w14:paraId="1493EF63" w14:textId="4781F1DD" w:rsidR="00CE4C9F" w:rsidRDefault="00CE4C9F" w:rsidP="00CE4C9F">
      <w:pPr>
        <w:pStyle w:val="ListParagraph"/>
        <w:numPr>
          <w:ilvl w:val="0"/>
          <w:numId w:val="28"/>
        </w:numPr>
        <w:rPr>
          <w:lang w:val="en-AU"/>
        </w:rPr>
      </w:pPr>
      <w:r>
        <w:rPr>
          <w:lang w:val="en-AU"/>
        </w:rPr>
        <w:t>less than $1.5 million of available financial resources</w:t>
      </w:r>
      <w:r w:rsidR="00FF6B94">
        <w:rPr>
          <w:lang w:val="en-AU"/>
        </w:rPr>
        <w:t>; and</w:t>
      </w:r>
    </w:p>
    <w:p w14:paraId="5F288B1E" w14:textId="4C8EE28B" w:rsidR="00FF6B94" w:rsidRPr="00CE4C9F" w:rsidRDefault="00FF6B94" w:rsidP="001845A5">
      <w:pPr>
        <w:pStyle w:val="ListParagraph"/>
        <w:numPr>
          <w:ilvl w:val="0"/>
          <w:numId w:val="28"/>
        </w:numPr>
        <w:rPr>
          <w:lang w:val="en-AU"/>
        </w:rPr>
      </w:pPr>
      <w:r>
        <w:rPr>
          <w:lang w:val="en-AU"/>
        </w:rPr>
        <w:t>is providing the new certificates in 2023.</w:t>
      </w:r>
    </w:p>
    <w:p w14:paraId="2F560973" w14:textId="506BBF1E" w:rsidR="00914B90" w:rsidRDefault="00FF6B94" w:rsidP="00914B90">
      <w:pPr>
        <w:rPr>
          <w:lang w:val="en-AU"/>
        </w:rPr>
      </w:pPr>
      <w:r>
        <w:rPr>
          <w:lang w:val="en-AU"/>
        </w:rPr>
        <w:lastRenderedPageBreak/>
        <w:t xml:space="preserve">Eligible schools </w:t>
      </w:r>
      <w:r w:rsidR="00914B90">
        <w:rPr>
          <w:lang w:val="en-AU"/>
        </w:rPr>
        <w:t>may seek funding as an individual school or in partnership with other schools.</w:t>
      </w:r>
      <w:r>
        <w:rPr>
          <w:lang w:val="en-AU"/>
        </w:rPr>
        <w:t xml:space="preserve"> Partner schools do not need to meet the eligibility requirements listed above. </w:t>
      </w:r>
    </w:p>
    <w:p w14:paraId="136000FA" w14:textId="132AD94B" w:rsidR="00914B90" w:rsidRDefault="00914B90" w:rsidP="00914B90">
      <w:pPr>
        <w:rPr>
          <w:lang w:val="en-AU"/>
        </w:rPr>
      </w:pPr>
      <w:r>
        <w:rPr>
          <w:lang w:val="en-AU"/>
        </w:rPr>
        <w:t xml:space="preserve">Non-government secondary schools </w:t>
      </w:r>
      <w:r w:rsidR="007039EF">
        <w:rPr>
          <w:lang w:val="en-AU"/>
        </w:rPr>
        <w:t>can</w:t>
      </w:r>
      <w:r>
        <w:rPr>
          <w:lang w:val="en-AU"/>
        </w:rPr>
        <w:t xml:space="preserve"> be involved in partnerships with government schools. However, the application must be </w:t>
      </w:r>
      <w:r w:rsidR="007039EF">
        <w:rPr>
          <w:lang w:val="en-AU"/>
        </w:rPr>
        <w:t>made and led</w:t>
      </w:r>
      <w:r>
        <w:rPr>
          <w:lang w:val="en-AU"/>
        </w:rPr>
        <w:t xml:space="preserve"> by </w:t>
      </w:r>
      <w:r w:rsidR="007B7031">
        <w:rPr>
          <w:lang w:val="en-AU"/>
        </w:rPr>
        <w:t>a</w:t>
      </w:r>
      <w:r w:rsidR="00FF6B94">
        <w:rPr>
          <w:lang w:val="en-AU"/>
        </w:rPr>
        <w:t>n eligible</w:t>
      </w:r>
      <w:r w:rsidR="007B7031">
        <w:rPr>
          <w:lang w:val="en-AU"/>
        </w:rPr>
        <w:t xml:space="preserve"> Victorian government secondary school.</w:t>
      </w:r>
    </w:p>
    <w:p w14:paraId="18D378DA" w14:textId="77777777" w:rsidR="00914B90" w:rsidRPr="00CE31A5" w:rsidRDefault="00914B90" w:rsidP="00914B90">
      <w:pPr>
        <w:rPr>
          <w:b/>
          <w:bCs/>
          <w:color w:val="0070C0"/>
          <w:lang w:val="en-AU"/>
        </w:rPr>
      </w:pPr>
      <w:r w:rsidRPr="00CE31A5">
        <w:rPr>
          <w:b/>
          <w:bCs/>
          <w:color w:val="0070C0"/>
          <w:lang w:val="en-AU"/>
        </w:rPr>
        <w:t xml:space="preserve">What defines a partnership </w:t>
      </w:r>
    </w:p>
    <w:p w14:paraId="03CFF01E" w14:textId="41B70F97" w:rsidR="00914B90" w:rsidRDefault="00914B90" w:rsidP="00914B90">
      <w:pPr>
        <w:rPr>
          <w:lang w:val="en-AU"/>
        </w:rPr>
      </w:pPr>
      <w:r>
        <w:rPr>
          <w:lang w:val="en-AU"/>
        </w:rPr>
        <w:t xml:space="preserve">For the purposes of this </w:t>
      </w:r>
      <w:r w:rsidR="00991658">
        <w:rPr>
          <w:lang w:val="en-AU"/>
        </w:rPr>
        <w:t>F</w:t>
      </w:r>
      <w:r>
        <w:rPr>
          <w:lang w:val="en-AU"/>
        </w:rPr>
        <w:t xml:space="preserve">und, a partnership is defined as a collaborative arrangement that involves two or more schools. </w:t>
      </w:r>
    </w:p>
    <w:p w14:paraId="1015416F" w14:textId="1A33FC62" w:rsidR="00991658" w:rsidRDefault="00991658" w:rsidP="00914B90">
      <w:pPr>
        <w:rPr>
          <w:lang w:val="en-AU"/>
        </w:rPr>
      </w:pPr>
      <w:r>
        <w:rPr>
          <w:lang w:val="en-AU"/>
        </w:rPr>
        <w:t>It is expected these schools will work collaboratively to overcome implementation challenges and introduce high-quality vocational and applied learning programs for their students. This may involve schools sharing resources, knowledge and expertise, addressing common issues and challenges, and realising shared opportunities.</w:t>
      </w:r>
      <w:r w:rsidR="00407F80">
        <w:rPr>
          <w:lang w:val="en-AU"/>
        </w:rPr>
        <w:t xml:space="preserve"> All partners are expected to </w:t>
      </w:r>
      <w:r w:rsidR="004B2EDE">
        <w:rPr>
          <w:lang w:val="en-AU"/>
        </w:rPr>
        <w:t>contribute</w:t>
      </w:r>
      <w:r w:rsidR="00407F80">
        <w:rPr>
          <w:lang w:val="en-AU"/>
        </w:rPr>
        <w:t xml:space="preserve"> to the operations agreed upon by all parties.</w:t>
      </w:r>
    </w:p>
    <w:p w14:paraId="5B3B7179" w14:textId="77777777" w:rsidR="00914B90" w:rsidRPr="00407F80" w:rsidRDefault="00914B90" w:rsidP="004B2EDE">
      <w:pPr>
        <w:pStyle w:val="Default"/>
        <w:spacing w:after="120"/>
        <w:rPr>
          <w:sz w:val="22"/>
          <w:szCs w:val="22"/>
        </w:rPr>
      </w:pPr>
      <w:r w:rsidRPr="00407F80">
        <w:rPr>
          <w:sz w:val="22"/>
          <w:szCs w:val="22"/>
        </w:rPr>
        <w:t xml:space="preserve">Building and sustaining successful inter-school partnerships requires: </w:t>
      </w:r>
    </w:p>
    <w:p w14:paraId="127D047E" w14:textId="77777777" w:rsidR="00914B90" w:rsidRPr="00407F80" w:rsidRDefault="00914B90" w:rsidP="004B2EDE">
      <w:pPr>
        <w:pStyle w:val="Bullet1"/>
      </w:pPr>
      <w:r w:rsidRPr="00407F80">
        <w:t xml:space="preserve">investing in and building relationships between key people in the partnership, and </w:t>
      </w:r>
    </w:p>
    <w:p w14:paraId="6122032E" w14:textId="77777777" w:rsidR="00914B90" w:rsidRPr="00DA4006" w:rsidRDefault="00914B90" w:rsidP="004B2EDE">
      <w:pPr>
        <w:pStyle w:val="Bullet1"/>
      </w:pPr>
      <w:r w:rsidRPr="00407F80">
        <w:t xml:space="preserve">having an agreed and shared understanding of the aims, areas of focus and protocols of </w:t>
      </w:r>
      <w:r w:rsidRPr="00DA4006">
        <w:t xml:space="preserve">the partnership through appropriate documentation. </w:t>
      </w:r>
    </w:p>
    <w:p w14:paraId="7CDA8EFA" w14:textId="4D999AFF" w:rsidR="00914B90" w:rsidRPr="005E2A38" w:rsidDel="0031065D" w:rsidRDefault="00914B90" w:rsidP="00914B90">
      <w:pPr>
        <w:rPr>
          <w:lang w:val="en-AU"/>
        </w:rPr>
      </w:pPr>
      <w:r>
        <w:rPr>
          <w:szCs w:val="22"/>
        </w:rPr>
        <w:t xml:space="preserve">For further information, please see the Policy and Advisory Library’s </w:t>
      </w:r>
      <w:hyperlink r:id="rId12" w:history="1">
        <w:r w:rsidRPr="00CB5400">
          <w:rPr>
            <w:rStyle w:val="Hyperlink"/>
            <w:szCs w:val="22"/>
          </w:rPr>
          <w:t>policy</w:t>
        </w:r>
      </w:hyperlink>
      <w:r>
        <w:rPr>
          <w:color w:val="004EA8"/>
          <w:szCs w:val="22"/>
        </w:rPr>
        <w:t xml:space="preserve"> </w:t>
      </w:r>
      <w:r>
        <w:rPr>
          <w:szCs w:val="22"/>
        </w:rPr>
        <w:t xml:space="preserve">on Partnerships and Collaboration with other schools, which includes the Cross Sector Collaboration Toolkit for </w:t>
      </w:r>
      <w:r w:rsidR="0062020E">
        <w:rPr>
          <w:szCs w:val="22"/>
        </w:rPr>
        <w:t>p</w:t>
      </w:r>
      <w:r>
        <w:rPr>
          <w:szCs w:val="22"/>
        </w:rPr>
        <w:t xml:space="preserve">artnerships with non-government schools. </w:t>
      </w:r>
    </w:p>
    <w:p w14:paraId="75AEBA06" w14:textId="07A33E8F" w:rsidR="0062020E" w:rsidRDefault="0062020E" w:rsidP="00DA4006">
      <w:pPr>
        <w:pStyle w:val="Heading2"/>
        <w:rPr>
          <w:lang w:val="en-AU"/>
        </w:rPr>
      </w:pPr>
      <w:r>
        <w:rPr>
          <w:lang w:val="en-AU"/>
        </w:rPr>
        <w:t>What funding is available?</w:t>
      </w:r>
    </w:p>
    <w:p w14:paraId="23BD6664" w14:textId="3D758693" w:rsidR="00CA2AA0" w:rsidRDefault="00FF6B94" w:rsidP="00DA4006">
      <w:pPr>
        <w:pStyle w:val="Bullet1"/>
      </w:pPr>
      <w:r>
        <w:t>Eligible g</w:t>
      </w:r>
      <w:r w:rsidR="0062020E">
        <w:t>overnment secondary schools can apply for funding of up to $60,000.</w:t>
      </w:r>
    </w:p>
    <w:p w14:paraId="5F75E172" w14:textId="0FC598C5" w:rsidR="0062020E" w:rsidRDefault="0062020E" w:rsidP="0062020E">
      <w:pPr>
        <w:pStyle w:val="Bullet1"/>
      </w:pPr>
      <w:r>
        <w:t xml:space="preserve">Funding will last until 30 June 2024, with all expenditure to be completed by this date. </w:t>
      </w:r>
    </w:p>
    <w:p w14:paraId="34293595" w14:textId="31FC9E07" w:rsidR="00534B36" w:rsidRDefault="0062020E" w:rsidP="0062020E">
      <w:pPr>
        <w:pStyle w:val="Bullet1"/>
      </w:pPr>
      <w:r>
        <w:t xml:space="preserve">For schools participating in the Fund as a partnership, funding will be </w:t>
      </w:r>
      <w:r w:rsidR="00F14CDE">
        <w:t xml:space="preserve">reimbursed to </w:t>
      </w:r>
      <w:r>
        <w:t xml:space="preserve">the lead </w:t>
      </w:r>
      <w:r w:rsidR="00FF6B94">
        <w:t xml:space="preserve">eligible </w:t>
      </w:r>
      <w:r>
        <w:t xml:space="preserve">government school which will be responsible for expenditure </w:t>
      </w:r>
      <w:r w:rsidR="00534B36">
        <w:t xml:space="preserve">and management of </w:t>
      </w:r>
      <w:r>
        <w:t>funding</w:t>
      </w:r>
      <w:r w:rsidR="00534B36">
        <w:t>.</w:t>
      </w:r>
    </w:p>
    <w:p w14:paraId="31881E4E" w14:textId="77777777" w:rsidR="00534B36" w:rsidRDefault="00534B36" w:rsidP="0062020E">
      <w:pPr>
        <w:pStyle w:val="Bullet1"/>
      </w:pPr>
      <w:bookmarkStart w:id="0" w:name="_Hlk110589778"/>
      <w:r>
        <w:t>The reimbursement process is outlined in the ‘How can funding be accessed’ section below.</w:t>
      </w:r>
    </w:p>
    <w:bookmarkEnd w:id="0"/>
    <w:p w14:paraId="2A82808E" w14:textId="3FF909BA" w:rsidR="0062020E" w:rsidRPr="0062020E" w:rsidRDefault="00534B36" w:rsidP="00DA4006">
      <w:pPr>
        <w:pStyle w:val="Bullet1"/>
      </w:pPr>
      <w:r>
        <w:t xml:space="preserve">This is not ongoing funding. There is an expectation that this funding leads to sustainable </w:t>
      </w:r>
      <w:r w:rsidR="00F14CDE">
        <w:t>programs and outcomes</w:t>
      </w:r>
      <w:r>
        <w:t xml:space="preserve"> beyond the funding period. </w:t>
      </w:r>
      <w:r w:rsidR="0062020E">
        <w:t xml:space="preserve"> </w:t>
      </w:r>
    </w:p>
    <w:p w14:paraId="74D2640B" w14:textId="09B2EA26" w:rsidR="00B66331" w:rsidRDefault="009852F5" w:rsidP="00A36E70">
      <w:pPr>
        <w:pStyle w:val="Heading2"/>
        <w:rPr>
          <w:lang w:val="en-AU"/>
        </w:rPr>
      </w:pPr>
      <w:r w:rsidRPr="00D14B08">
        <w:rPr>
          <w:lang w:val="en-AU"/>
        </w:rPr>
        <w:t>Wh</w:t>
      </w:r>
      <w:r>
        <w:rPr>
          <w:lang w:val="en-AU"/>
        </w:rPr>
        <w:t xml:space="preserve">at </w:t>
      </w:r>
      <w:r w:rsidR="00A816CA">
        <w:rPr>
          <w:lang w:val="en-AU"/>
        </w:rPr>
        <w:t xml:space="preserve">can the </w:t>
      </w:r>
      <w:r>
        <w:rPr>
          <w:lang w:val="en-AU"/>
        </w:rPr>
        <w:t>funding</w:t>
      </w:r>
      <w:r w:rsidRPr="00D14B08">
        <w:rPr>
          <w:lang w:val="en-AU"/>
        </w:rPr>
        <w:t xml:space="preserve"> </w:t>
      </w:r>
      <w:r w:rsidR="00A816CA">
        <w:rPr>
          <w:lang w:val="en-AU"/>
        </w:rPr>
        <w:t>be used for</w:t>
      </w:r>
      <w:r>
        <w:rPr>
          <w:lang w:val="en-AU"/>
        </w:rPr>
        <w:t xml:space="preserve">? </w:t>
      </w:r>
    </w:p>
    <w:p w14:paraId="32942132" w14:textId="710E9D87" w:rsidR="00534B36" w:rsidRDefault="00534B36" w:rsidP="000A479E">
      <w:pPr>
        <w:rPr>
          <w:lang w:val="en-AU"/>
        </w:rPr>
      </w:pPr>
      <w:r>
        <w:rPr>
          <w:lang w:val="en-AU"/>
        </w:rPr>
        <w:t xml:space="preserve">The funding should be used to support the school(s) to overcome implementation challenges associated with providing the new certificates from 2023. </w:t>
      </w:r>
    </w:p>
    <w:p w14:paraId="15D6561B" w14:textId="46AB2A55" w:rsidR="00CB2055" w:rsidRPr="00CB2055" w:rsidRDefault="000A6A7E" w:rsidP="000A479E">
      <w:pPr>
        <w:rPr>
          <w:lang w:val="en-AU"/>
        </w:rPr>
      </w:pPr>
      <w:r>
        <w:rPr>
          <w:rFonts w:ascii="Arial" w:hAnsi="Arial" w:cs="Arial"/>
          <w:lang w:val="en-AU"/>
        </w:rPr>
        <w:t xml:space="preserve">Funding is flexible and can be used creatively by schools to support access to the new certificates. </w:t>
      </w:r>
      <w:r w:rsidR="00534B36">
        <w:rPr>
          <w:lang w:val="en-AU"/>
        </w:rPr>
        <w:t>Examples of how the funding can be used include:</w:t>
      </w:r>
      <w:r w:rsidR="000A479E">
        <w:rPr>
          <w:lang w:val="en-AU"/>
        </w:rPr>
        <w:t xml:space="preserve"> </w:t>
      </w:r>
    </w:p>
    <w:p w14:paraId="5AB1FBDC" w14:textId="185D1F06" w:rsidR="000A479E" w:rsidRDefault="000A479E" w:rsidP="00DA4006">
      <w:pPr>
        <w:pStyle w:val="Bullet1"/>
      </w:pPr>
      <w:r>
        <w:t xml:space="preserve">employing additional staff to develop and deliver the new certificates </w:t>
      </w:r>
      <w:r w:rsidR="00F14CDE">
        <w:t xml:space="preserve">to support curriculum </w:t>
      </w:r>
      <w:r w:rsidR="0002770E">
        <w:t>expansion</w:t>
      </w:r>
    </w:p>
    <w:p w14:paraId="79180DA5" w14:textId="17CAE20C" w:rsidR="000A479E" w:rsidRDefault="000A479E" w:rsidP="00DA4006">
      <w:pPr>
        <w:pStyle w:val="Bullet1"/>
      </w:pPr>
      <w:r>
        <w:t xml:space="preserve">increasing hours or responsibilities of current staff </w:t>
      </w:r>
    </w:p>
    <w:p w14:paraId="2AD07445" w14:textId="4744B322" w:rsidR="000A479E" w:rsidRDefault="000A479E" w:rsidP="00DA4006">
      <w:pPr>
        <w:pStyle w:val="Bullet1"/>
      </w:pPr>
      <w:r>
        <w:t>building staff capacity, for example, through professional learning</w:t>
      </w:r>
    </w:p>
    <w:p w14:paraId="79A67596" w14:textId="77777777" w:rsidR="000A6A7E" w:rsidRDefault="000A479E" w:rsidP="000A6A7E">
      <w:pPr>
        <w:pStyle w:val="Bullet1"/>
      </w:pPr>
      <w:r>
        <w:t>engaging expert support to support delivery, for example, timetabling support</w:t>
      </w:r>
    </w:p>
    <w:p w14:paraId="53B56844" w14:textId="1B8D239B" w:rsidR="000A479E" w:rsidRPr="00512134" w:rsidRDefault="00232723" w:rsidP="000A6A7E">
      <w:pPr>
        <w:pStyle w:val="Bullet1"/>
        <w:rPr>
          <w:rFonts w:ascii="Arial" w:hAnsi="Arial" w:cs="Arial"/>
        </w:rPr>
      </w:pPr>
      <w:r>
        <w:rPr>
          <w:rFonts w:ascii="Arial" w:hAnsi="Arial" w:cs="Arial"/>
        </w:rPr>
        <w:lastRenderedPageBreak/>
        <w:t>o</w:t>
      </w:r>
      <w:r w:rsidR="000A6A7E">
        <w:rPr>
          <w:rFonts w:ascii="Arial" w:hAnsi="Arial" w:cs="Arial"/>
        </w:rPr>
        <w:t>ther activities as identified by the school</w:t>
      </w:r>
      <w:r w:rsidR="000A479E">
        <w:t>.</w:t>
      </w:r>
    </w:p>
    <w:p w14:paraId="43D82706" w14:textId="1240A379" w:rsidR="002821D5" w:rsidRDefault="00B22654" w:rsidP="002821D5">
      <w:pPr>
        <w:pStyle w:val="Heading2"/>
        <w:rPr>
          <w:lang w:val="en-AU"/>
        </w:rPr>
      </w:pPr>
      <w:r>
        <w:rPr>
          <w:lang w:val="en-AU"/>
        </w:rPr>
        <w:t>How do schools apply?</w:t>
      </w:r>
    </w:p>
    <w:p w14:paraId="1504C8CC" w14:textId="54CC1546" w:rsidR="00111FC9" w:rsidRPr="00E4699D" w:rsidRDefault="00B53C89" w:rsidP="00455A68">
      <w:pPr>
        <w:rPr>
          <w:lang w:val="en-AU"/>
        </w:rPr>
      </w:pPr>
      <w:r>
        <w:rPr>
          <w:lang w:val="en-AU"/>
        </w:rPr>
        <w:t xml:space="preserve">There is a two-phase process to apply for the </w:t>
      </w:r>
      <w:r w:rsidR="00B22654">
        <w:rPr>
          <w:lang w:val="en-AU"/>
        </w:rPr>
        <w:t>F</w:t>
      </w:r>
      <w:r>
        <w:rPr>
          <w:lang w:val="en-AU"/>
        </w:rPr>
        <w:t xml:space="preserve">und. </w:t>
      </w:r>
    </w:p>
    <w:p w14:paraId="2F78F081" w14:textId="3999A033" w:rsidR="004A742C" w:rsidRPr="00CE31A5" w:rsidRDefault="004A742C" w:rsidP="00E4699D">
      <w:pPr>
        <w:pStyle w:val="Heading1"/>
        <w:rPr>
          <w:rFonts w:asciiTheme="minorHAnsi" w:eastAsiaTheme="minorHAnsi" w:hAnsiTheme="minorHAnsi" w:cstheme="minorBidi"/>
          <w:color w:val="0070C0"/>
          <w:sz w:val="22"/>
          <w:szCs w:val="24"/>
          <w:lang w:val="en-AU"/>
        </w:rPr>
      </w:pPr>
      <w:r w:rsidRPr="00CE31A5">
        <w:rPr>
          <w:rFonts w:asciiTheme="minorHAnsi" w:eastAsiaTheme="minorHAnsi" w:hAnsiTheme="minorHAnsi" w:cstheme="minorBidi"/>
          <w:color w:val="0070C0"/>
          <w:sz w:val="22"/>
          <w:szCs w:val="24"/>
          <w:lang w:val="en-AU"/>
        </w:rPr>
        <w:t>Phase One</w:t>
      </w:r>
      <w:r w:rsidR="00883765" w:rsidRPr="00CE31A5">
        <w:rPr>
          <w:rFonts w:asciiTheme="minorHAnsi" w:eastAsiaTheme="minorHAnsi" w:hAnsiTheme="minorHAnsi" w:cstheme="minorBidi"/>
          <w:color w:val="0070C0"/>
          <w:sz w:val="22"/>
          <w:szCs w:val="24"/>
          <w:lang w:val="en-AU"/>
        </w:rPr>
        <w:t>: Expression of Interest</w:t>
      </w:r>
      <w:r w:rsidR="00AE39A8" w:rsidRPr="00CE31A5">
        <w:rPr>
          <w:rFonts w:asciiTheme="minorHAnsi" w:eastAsiaTheme="minorHAnsi" w:hAnsiTheme="minorHAnsi" w:cstheme="minorBidi"/>
          <w:color w:val="0070C0"/>
          <w:sz w:val="22"/>
          <w:szCs w:val="24"/>
          <w:lang w:val="en-AU"/>
        </w:rPr>
        <w:t xml:space="preserve"> </w:t>
      </w:r>
      <w:r w:rsidR="000D7F3B">
        <w:rPr>
          <w:rFonts w:asciiTheme="minorHAnsi" w:eastAsiaTheme="minorHAnsi" w:hAnsiTheme="minorHAnsi" w:cstheme="minorBidi"/>
          <w:bCs/>
          <w:color w:val="0070C0"/>
          <w:sz w:val="22"/>
          <w:szCs w:val="24"/>
          <w:lang w:val="en-AU"/>
        </w:rPr>
        <w:t>(EOI)</w:t>
      </w:r>
    </w:p>
    <w:p w14:paraId="08EA30AB" w14:textId="08CBE29B" w:rsidR="00876DED" w:rsidRDefault="00B22654" w:rsidP="00455A68">
      <w:pPr>
        <w:rPr>
          <w:lang w:val="en-AU"/>
        </w:rPr>
      </w:pPr>
      <w:r>
        <w:rPr>
          <w:lang w:val="en-AU"/>
        </w:rPr>
        <w:t>EOI a</w:t>
      </w:r>
      <w:r w:rsidR="002D27C8">
        <w:rPr>
          <w:lang w:val="en-AU"/>
        </w:rPr>
        <w:t>pplications must be made by completing all sections of th</w:t>
      </w:r>
      <w:r>
        <w:rPr>
          <w:lang w:val="en-AU"/>
        </w:rPr>
        <w:t>is</w:t>
      </w:r>
      <w:r w:rsidR="002D27C8">
        <w:rPr>
          <w:lang w:val="en-AU"/>
        </w:rPr>
        <w:t xml:space="preserve"> </w:t>
      </w:r>
      <w:hyperlink r:id="rId13" w:history="1">
        <w:r w:rsidR="002D27C8" w:rsidRPr="00156B17">
          <w:rPr>
            <w:rStyle w:val="Hyperlink"/>
            <w:lang w:val="en-AU"/>
          </w:rPr>
          <w:t>EOI form</w:t>
        </w:r>
      </w:hyperlink>
      <w:r w:rsidR="002D27C8">
        <w:rPr>
          <w:lang w:val="en-AU"/>
        </w:rPr>
        <w:t xml:space="preserve"> (using Microsoft Word) and adhering to the word limit for each </w:t>
      </w:r>
      <w:r w:rsidR="00E5621D">
        <w:rPr>
          <w:lang w:val="en-AU"/>
        </w:rPr>
        <w:t>question</w:t>
      </w:r>
      <w:r w:rsidR="002D27C8">
        <w:rPr>
          <w:lang w:val="en-AU"/>
        </w:rPr>
        <w:t xml:space="preserve">. </w:t>
      </w:r>
    </w:p>
    <w:p w14:paraId="10AE01AD" w14:textId="1096EB6B" w:rsidR="00232723" w:rsidRDefault="00111FC9" w:rsidP="00111FC9">
      <w:pPr>
        <w:rPr>
          <w:lang w:val="en-AU"/>
        </w:rPr>
      </w:pPr>
      <w:r w:rsidRPr="006A2A4D">
        <w:rPr>
          <w:lang w:val="en-AU"/>
        </w:rPr>
        <w:t xml:space="preserve">EOI applications </w:t>
      </w:r>
      <w:r>
        <w:rPr>
          <w:lang w:val="en-AU"/>
        </w:rPr>
        <w:t>must be submitted to the Provision – Policy and Design team by email at:</w:t>
      </w:r>
      <w:r w:rsidR="00720455">
        <w:rPr>
          <w:lang w:val="en-AU"/>
        </w:rPr>
        <w:t xml:space="preserve"> </w:t>
      </w:r>
      <w:hyperlink r:id="rId14" w:history="1">
        <w:r w:rsidR="00720455" w:rsidRPr="007A2B5F">
          <w:rPr>
            <w:rStyle w:val="Hyperlink"/>
            <w:lang w:val="en-AU"/>
          </w:rPr>
          <w:t>sspr.provision@education.vic.gov.au</w:t>
        </w:r>
      </w:hyperlink>
      <w:r w:rsidR="00232723">
        <w:rPr>
          <w:lang w:val="en-AU"/>
        </w:rPr>
        <w:t xml:space="preserve"> (cc. your </w:t>
      </w:r>
      <w:r w:rsidR="00E355E8">
        <w:rPr>
          <w:lang w:val="en-AU"/>
        </w:rPr>
        <w:t>Area</w:t>
      </w:r>
      <w:r w:rsidR="00232723">
        <w:rPr>
          <w:lang w:val="en-AU"/>
        </w:rPr>
        <w:t>’s Jobs Skills and Pathways Manager).</w:t>
      </w:r>
    </w:p>
    <w:p w14:paraId="11E58652" w14:textId="49A9F68A" w:rsidR="00111FC9" w:rsidRDefault="00111FC9" w:rsidP="00111FC9">
      <w:pPr>
        <w:rPr>
          <w:lang w:val="en-AU"/>
        </w:rPr>
      </w:pPr>
      <w:r>
        <w:rPr>
          <w:lang w:val="en-AU"/>
        </w:rPr>
        <w:t xml:space="preserve">Applications received after </w:t>
      </w:r>
      <w:r w:rsidRPr="006A2A4D">
        <w:rPr>
          <w:lang w:val="en-AU"/>
        </w:rPr>
        <w:t>close</w:t>
      </w:r>
      <w:r>
        <w:rPr>
          <w:b/>
          <w:bCs/>
          <w:lang w:val="en-AU"/>
        </w:rPr>
        <w:t xml:space="preserve"> </w:t>
      </w:r>
      <w:r w:rsidRPr="00591C88">
        <w:rPr>
          <w:lang w:val="en-AU"/>
        </w:rPr>
        <w:t xml:space="preserve">of business </w:t>
      </w:r>
      <w:r w:rsidR="006B444A">
        <w:rPr>
          <w:b/>
          <w:bCs/>
          <w:lang w:val="en-AU"/>
        </w:rPr>
        <w:t>Thursday 20</w:t>
      </w:r>
      <w:r w:rsidR="00232723">
        <w:rPr>
          <w:b/>
          <w:bCs/>
          <w:lang w:val="en-AU"/>
        </w:rPr>
        <w:t xml:space="preserve"> October</w:t>
      </w:r>
      <w:r w:rsidRPr="00F82B63">
        <w:rPr>
          <w:b/>
          <w:bCs/>
          <w:lang w:val="en-AU"/>
        </w:rPr>
        <w:t xml:space="preserve"> 2022</w:t>
      </w:r>
      <w:r w:rsidRPr="000D7F3B">
        <w:rPr>
          <w:b/>
          <w:color w:val="0071CE" w:themeColor="accent3"/>
          <w:lang w:val="en-AU"/>
        </w:rPr>
        <w:t xml:space="preserve"> </w:t>
      </w:r>
      <w:r>
        <w:rPr>
          <w:lang w:val="en-AU"/>
        </w:rPr>
        <w:t>will</w:t>
      </w:r>
      <w:r w:rsidRPr="001F3FC0">
        <w:rPr>
          <w:b/>
          <w:lang w:val="en-AU"/>
        </w:rPr>
        <w:t xml:space="preserve"> </w:t>
      </w:r>
      <w:r>
        <w:rPr>
          <w:lang w:val="en-AU"/>
        </w:rPr>
        <w:t>not be considered for this round</w:t>
      </w:r>
      <w:r w:rsidR="00E5621D">
        <w:rPr>
          <w:lang w:val="en-AU"/>
        </w:rPr>
        <w:t xml:space="preserve"> of the Fund</w:t>
      </w:r>
      <w:r w:rsidR="00CE31A5" w:rsidRPr="00E4699D">
        <w:rPr>
          <w:lang w:val="en-AU"/>
        </w:rPr>
        <w:t>.</w:t>
      </w:r>
      <w:r w:rsidR="00CE31A5">
        <w:rPr>
          <w:lang w:val="en-AU"/>
        </w:rPr>
        <w:t xml:space="preserve"> </w:t>
      </w:r>
    </w:p>
    <w:p w14:paraId="071E6D64" w14:textId="6CB0E555" w:rsidR="00B22654" w:rsidRDefault="00B22654" w:rsidP="00111FC9">
      <w:pPr>
        <w:rPr>
          <w:lang w:val="en-AU"/>
        </w:rPr>
      </w:pPr>
      <w:r>
        <w:rPr>
          <w:lang w:val="en-AU"/>
        </w:rPr>
        <w:t>The Department may contact you to obtain further information in relation to completed EOIs.</w:t>
      </w:r>
    </w:p>
    <w:p w14:paraId="0C76D111" w14:textId="77777777" w:rsidR="00B22654" w:rsidRDefault="00B22654" w:rsidP="00111FC9">
      <w:pPr>
        <w:rPr>
          <w:lang w:val="en-AU"/>
        </w:rPr>
      </w:pPr>
      <w:r>
        <w:rPr>
          <w:lang w:val="en-AU"/>
        </w:rPr>
        <w:t xml:space="preserve">Any queries should be directed to </w:t>
      </w:r>
      <w:hyperlink r:id="rId15" w:history="1">
        <w:r w:rsidRPr="00FE5527">
          <w:rPr>
            <w:rStyle w:val="Hyperlink"/>
            <w:lang w:val="en-AU"/>
          </w:rPr>
          <w:t>sspr.provision@education.vic.gov.au</w:t>
        </w:r>
      </w:hyperlink>
      <w:r>
        <w:rPr>
          <w:lang w:val="en-AU"/>
        </w:rPr>
        <w:t>.</w:t>
      </w:r>
    </w:p>
    <w:p w14:paraId="34DE568F" w14:textId="526CE7D5" w:rsidR="00B22654" w:rsidRDefault="00B22654" w:rsidP="00B22654">
      <w:pPr>
        <w:rPr>
          <w:lang w:val="en-AU"/>
        </w:rPr>
      </w:pPr>
      <w:r>
        <w:rPr>
          <w:lang w:val="en-AU"/>
        </w:rPr>
        <w:t xml:space="preserve">Information received through this process may identify other Department supports available to schools. These may be offered in addition to, or instead of, the Fund. </w:t>
      </w:r>
    </w:p>
    <w:p w14:paraId="595AE8AF" w14:textId="4887BD08" w:rsidR="00B22654" w:rsidRPr="00E5621D" w:rsidRDefault="00B22654" w:rsidP="00B22654">
      <w:pPr>
        <w:pStyle w:val="Heading4"/>
        <w:spacing w:after="120"/>
        <w:rPr>
          <w:b/>
          <w:lang w:val="en-AU"/>
        </w:rPr>
      </w:pPr>
      <w:r w:rsidRPr="00E5621D">
        <w:rPr>
          <w:b/>
          <w:lang w:val="en-AU"/>
        </w:rPr>
        <w:t xml:space="preserve">How will EOIs be assessed? </w:t>
      </w:r>
    </w:p>
    <w:p w14:paraId="1A6BC27D" w14:textId="6D298100" w:rsidR="00B22654" w:rsidRDefault="00B22654" w:rsidP="00B22654">
      <w:pPr>
        <w:rPr>
          <w:lang w:val="en-AU"/>
        </w:rPr>
      </w:pPr>
      <w:r>
        <w:rPr>
          <w:lang w:val="en-AU"/>
        </w:rPr>
        <w:t>EOI applications will be assessed against the following criteria:</w:t>
      </w:r>
    </w:p>
    <w:p w14:paraId="6C46DB54" w14:textId="2EAC4188" w:rsidR="00B22654" w:rsidRDefault="00F07542" w:rsidP="00B22654">
      <w:pPr>
        <w:pStyle w:val="Bullet1"/>
      </w:pPr>
      <w:r>
        <w:t xml:space="preserve">demonstrated </w:t>
      </w:r>
      <w:r w:rsidR="00B22654">
        <w:t>school need for additional resourcing</w:t>
      </w:r>
    </w:p>
    <w:p w14:paraId="09C54C21" w14:textId="74013258" w:rsidR="00F07542" w:rsidRDefault="00F07542" w:rsidP="00F07542">
      <w:pPr>
        <w:pStyle w:val="Bullet1"/>
      </w:pPr>
      <w:r>
        <w:t xml:space="preserve">level of implementation challenges faced by the school </w:t>
      </w:r>
      <w:r w:rsidR="006968C2">
        <w:t>and availability of other supports to overcome challenges</w:t>
      </w:r>
    </w:p>
    <w:p w14:paraId="73F2D85E" w14:textId="3570220C" w:rsidR="00F07542" w:rsidRDefault="00F07542" w:rsidP="00F07542">
      <w:pPr>
        <w:pStyle w:val="Bullet1"/>
      </w:pPr>
      <w:r>
        <w:t>history of providing the Victorian Certificate of Applied Learning, including enrolments, levels and whether it was previously provided at the school</w:t>
      </w:r>
    </w:p>
    <w:p w14:paraId="75682135" w14:textId="77777777" w:rsidR="00F07542" w:rsidRDefault="00F07542" w:rsidP="00F07542">
      <w:pPr>
        <w:pStyle w:val="Bullet1"/>
      </w:pPr>
      <w:r>
        <w:t>sustainability of proposed approach</w:t>
      </w:r>
    </w:p>
    <w:p w14:paraId="64900760" w14:textId="2B3C2EAD" w:rsidR="006968C2" w:rsidRDefault="00F07542" w:rsidP="00F07542">
      <w:pPr>
        <w:pStyle w:val="Bullet1"/>
      </w:pPr>
      <w:r>
        <w:t>overall characteristics of the school, including school size and location</w:t>
      </w:r>
      <w:r w:rsidR="006968C2">
        <w:t>.</w:t>
      </w:r>
    </w:p>
    <w:p w14:paraId="3ED76CA7" w14:textId="299CD2FF" w:rsidR="006968C2" w:rsidRPr="00E5621D" w:rsidRDefault="006968C2" w:rsidP="006968C2">
      <w:pPr>
        <w:pStyle w:val="Heading4"/>
        <w:spacing w:after="120"/>
        <w:rPr>
          <w:b/>
          <w:lang w:val="en-AU"/>
        </w:rPr>
      </w:pPr>
      <w:r w:rsidRPr="00E5621D">
        <w:rPr>
          <w:b/>
          <w:lang w:val="en-AU"/>
        </w:rPr>
        <w:t>When will my school be notified about the assessment outcome?</w:t>
      </w:r>
    </w:p>
    <w:p w14:paraId="7DD5207E" w14:textId="671635C0" w:rsidR="006968C2" w:rsidRDefault="006968C2" w:rsidP="00874C9B">
      <w:pPr>
        <w:spacing w:after="0"/>
        <w:rPr>
          <w:lang w:val="en-AU"/>
        </w:rPr>
      </w:pPr>
      <w:r w:rsidRPr="007A0C02">
        <w:rPr>
          <w:lang w:val="en-AU"/>
        </w:rPr>
        <w:t xml:space="preserve">The Department will notify you </w:t>
      </w:r>
      <w:r>
        <w:rPr>
          <w:lang w:val="en-AU"/>
        </w:rPr>
        <w:t xml:space="preserve">via email regarding </w:t>
      </w:r>
      <w:r w:rsidRPr="007A0C02">
        <w:rPr>
          <w:lang w:val="en-AU"/>
        </w:rPr>
        <w:t xml:space="preserve">the outcome of your </w:t>
      </w:r>
      <w:r>
        <w:rPr>
          <w:lang w:val="en-AU"/>
        </w:rPr>
        <w:t xml:space="preserve">EOI </w:t>
      </w:r>
      <w:r w:rsidRPr="007A0C02">
        <w:rPr>
          <w:lang w:val="en-AU"/>
        </w:rPr>
        <w:t>application in Phase One</w:t>
      </w:r>
      <w:r w:rsidR="00794684">
        <w:rPr>
          <w:lang w:val="en-AU"/>
        </w:rPr>
        <w:t xml:space="preserve">. </w:t>
      </w:r>
      <w:r w:rsidR="00374997">
        <w:rPr>
          <w:lang w:val="en-AU"/>
        </w:rPr>
        <w:t xml:space="preserve">Your school should expect to hear about the outcome </w:t>
      </w:r>
      <w:r w:rsidR="0084368C">
        <w:rPr>
          <w:lang w:val="en-AU"/>
        </w:rPr>
        <w:t>on</w:t>
      </w:r>
      <w:r w:rsidR="00374997">
        <w:rPr>
          <w:lang w:val="en-AU"/>
        </w:rPr>
        <w:t xml:space="preserve"> 31 October 2022. </w:t>
      </w:r>
      <w:r w:rsidR="00794684">
        <w:rPr>
          <w:lang w:val="en-AU"/>
        </w:rPr>
        <w:t xml:space="preserve">This email will let you know if your school’s application will </w:t>
      </w:r>
      <w:r w:rsidRPr="007A0C02">
        <w:rPr>
          <w:lang w:val="en-AU"/>
        </w:rPr>
        <w:t xml:space="preserve">progress </w:t>
      </w:r>
      <w:r>
        <w:rPr>
          <w:lang w:val="en-AU"/>
        </w:rPr>
        <w:t>to</w:t>
      </w:r>
      <w:r w:rsidRPr="007A0C02">
        <w:rPr>
          <w:lang w:val="en-AU"/>
        </w:rPr>
        <w:t xml:space="preserve"> Phase Two</w:t>
      </w:r>
      <w:r>
        <w:rPr>
          <w:lang w:val="en-AU"/>
        </w:rPr>
        <w:t>.</w:t>
      </w:r>
    </w:p>
    <w:p w14:paraId="44959EAE" w14:textId="488A2586" w:rsidR="00C94074" w:rsidRDefault="004A742C" w:rsidP="00E4699D">
      <w:pPr>
        <w:pStyle w:val="Heading1"/>
        <w:rPr>
          <w:sz w:val="24"/>
          <w:lang w:val="en-AU"/>
        </w:rPr>
      </w:pPr>
      <w:r w:rsidRPr="00E4699D">
        <w:rPr>
          <w:sz w:val="24"/>
          <w:lang w:val="en-AU"/>
        </w:rPr>
        <w:t>Phase Two</w:t>
      </w:r>
      <w:r w:rsidR="00883765" w:rsidRPr="00E4699D">
        <w:rPr>
          <w:sz w:val="24"/>
          <w:lang w:val="en-AU"/>
        </w:rPr>
        <w:t>: Planning</w:t>
      </w:r>
    </w:p>
    <w:p w14:paraId="0D43585D" w14:textId="0F78B72D" w:rsidR="000B41FC" w:rsidRPr="000B41FC" w:rsidRDefault="001A78A2" w:rsidP="000B41FC">
      <w:pPr>
        <w:rPr>
          <w:lang w:val="en-AU"/>
        </w:rPr>
      </w:pPr>
      <w:r>
        <w:rPr>
          <w:lang w:val="en-AU"/>
        </w:rPr>
        <w:t>Phase Two involves completing a detailed plan to outline how the Fund will be used. Schools will be provided with a Phase Two planning document to complete</w:t>
      </w:r>
      <w:r w:rsidR="00CC3B4D">
        <w:rPr>
          <w:lang w:val="en-AU"/>
        </w:rPr>
        <w:t xml:space="preserve"> and submit to the Department</w:t>
      </w:r>
      <w:r>
        <w:rPr>
          <w:lang w:val="en-AU"/>
        </w:rPr>
        <w:t xml:space="preserve">. </w:t>
      </w:r>
    </w:p>
    <w:p w14:paraId="4F1A54E0" w14:textId="3CFC8AA5" w:rsidR="006968C2" w:rsidRDefault="00621B65" w:rsidP="00DA4006">
      <w:r w:rsidDel="002A122F">
        <w:t xml:space="preserve">Applicants that </w:t>
      </w:r>
      <w:r w:rsidR="006968C2" w:rsidDel="002A122F">
        <w:t>progress to</w:t>
      </w:r>
      <w:r w:rsidDel="002A122F">
        <w:t xml:space="preserve"> </w:t>
      </w:r>
      <w:r w:rsidR="006968C2" w:rsidDel="002A122F">
        <w:t>Phase Two</w:t>
      </w:r>
      <w:r w:rsidDel="002A122F">
        <w:t xml:space="preserve"> will be provided with 1 day of casual relief teacher (CRT) time release to </w:t>
      </w:r>
      <w:r w:rsidR="00CC3B4D" w:rsidDel="002A122F">
        <w:t>complete the Phase Two planning document.</w:t>
      </w:r>
    </w:p>
    <w:p w14:paraId="529B3FB3" w14:textId="089BFC71" w:rsidR="006968C2" w:rsidRDefault="00621B65" w:rsidP="006968C2">
      <w:r>
        <w:t xml:space="preserve">The CRT time release can be claimed via the </w:t>
      </w:r>
      <w:hyperlink r:id="rId16" w:history="1">
        <w:r w:rsidRPr="00006E2F">
          <w:rPr>
            <w:rStyle w:val="Hyperlink"/>
          </w:rPr>
          <w:t>School Targeted Funding Portal</w:t>
        </w:r>
      </w:hyperlink>
      <w:r>
        <w:t>.</w:t>
      </w:r>
      <w:r w:rsidR="006968C2">
        <w:t xml:space="preserve"> </w:t>
      </w:r>
      <w:r w:rsidR="006968C2" w:rsidRPr="006968C2">
        <w:t>The reimbursement process is outlined in the ‘How can funding be accessed’ section below.</w:t>
      </w:r>
    </w:p>
    <w:p w14:paraId="63302B3A" w14:textId="42AB510F" w:rsidR="00B61A49" w:rsidRDefault="00B61A49" w:rsidP="006968C2">
      <w:r>
        <w:t>The Department will work with the school</w:t>
      </w:r>
      <w:r w:rsidR="00874C9B">
        <w:t xml:space="preserve"> </w:t>
      </w:r>
      <w:r>
        <w:t>to confirm the total funding available for the school</w:t>
      </w:r>
      <w:r w:rsidR="009D214B">
        <w:t>(s)</w:t>
      </w:r>
      <w:r>
        <w:t xml:space="preserve"> and approve the expenditure categories.</w:t>
      </w:r>
      <w:r w:rsidR="00874C9B">
        <w:t xml:space="preserve"> </w:t>
      </w:r>
    </w:p>
    <w:p w14:paraId="68EF2B66" w14:textId="77777777" w:rsidR="00440EDD" w:rsidRPr="00071A28" w:rsidRDefault="00440EDD" w:rsidP="00DA4006">
      <w:pPr>
        <w:pStyle w:val="Heading3"/>
        <w:rPr>
          <w:lang w:val="en-AU"/>
        </w:rPr>
      </w:pPr>
      <w:r>
        <w:rPr>
          <w:lang w:val="en-AU"/>
        </w:rPr>
        <w:lastRenderedPageBreak/>
        <w:t>Privacy of information</w:t>
      </w:r>
    </w:p>
    <w:p w14:paraId="3A60E7BC" w14:textId="77777777" w:rsidR="00440EDD" w:rsidRDefault="00440EDD" w:rsidP="00440EDD">
      <w:pPr>
        <w:rPr>
          <w:lang w:val="en-AU"/>
        </w:rPr>
      </w:pPr>
      <w:r>
        <w:rPr>
          <w:lang w:val="en-AU"/>
        </w:rPr>
        <w:t>The Department collects the information contained in the EOI application and the Phase Two planning document. We will contact your school’s representative about the EOI application and planning document if necessary. We will not disclose this information without your consent, except where required to do so by law. You may contact us if you have any concerns about the privacy of your information.</w:t>
      </w:r>
    </w:p>
    <w:p w14:paraId="6031CA74" w14:textId="3F752A7D" w:rsidR="000A2772" w:rsidRDefault="003E78A4" w:rsidP="00736EE9">
      <w:pPr>
        <w:pStyle w:val="Heading2"/>
        <w:rPr>
          <w:lang w:val="en-AU"/>
        </w:rPr>
      </w:pPr>
      <w:r>
        <w:rPr>
          <w:lang w:val="en-AU"/>
        </w:rPr>
        <w:t xml:space="preserve">How </w:t>
      </w:r>
      <w:r w:rsidR="00F62B5D">
        <w:rPr>
          <w:lang w:val="en-AU"/>
        </w:rPr>
        <w:t>can funding be accessed?</w:t>
      </w:r>
    </w:p>
    <w:p w14:paraId="0CEBD741" w14:textId="7BDF340F" w:rsidR="00B61A49" w:rsidRDefault="00B61A49" w:rsidP="00B61A49">
      <w:pPr>
        <w:rPr>
          <w:lang w:val="en-AU"/>
        </w:rPr>
      </w:pPr>
      <w:r>
        <w:rPr>
          <w:lang w:val="en-AU"/>
        </w:rPr>
        <w:t>All Victorian government schools will access funding by reimbursements up to the grant amount, and as agreed with the Department.</w:t>
      </w:r>
    </w:p>
    <w:p w14:paraId="3CDD2EE4" w14:textId="762B7885" w:rsidR="00B61A49" w:rsidRDefault="00B61A49" w:rsidP="00B61A49">
      <w:pPr>
        <w:rPr>
          <w:lang w:val="en-AU"/>
        </w:rPr>
      </w:pPr>
      <w:r>
        <w:rPr>
          <w:lang w:val="en-AU"/>
        </w:rPr>
        <w:t xml:space="preserve">Schools will be required to submit claims for reimbursements through the </w:t>
      </w:r>
      <w:hyperlink r:id="rId17" w:history="1">
        <w:r>
          <w:rPr>
            <w:rStyle w:val="Hyperlink"/>
            <w:lang w:val="en-AU"/>
          </w:rPr>
          <w:t>Schools Targeted Funding Portal</w:t>
        </w:r>
      </w:hyperlink>
      <w:r>
        <w:rPr>
          <w:lang w:val="en-AU"/>
        </w:rPr>
        <w:t xml:space="preserve"> on the last day of each term.</w:t>
      </w:r>
    </w:p>
    <w:p w14:paraId="7CBB6DF0" w14:textId="478C5D09" w:rsidR="004029F9" w:rsidRDefault="004029F9" w:rsidP="00B61A49">
      <w:pPr>
        <w:rPr>
          <w:lang w:val="en-AU"/>
        </w:rPr>
      </w:pPr>
      <w:r>
        <w:rPr>
          <w:lang w:val="en-AU"/>
        </w:rPr>
        <w:t>Retrospective expenses cannot be reimbursed.</w:t>
      </w:r>
    </w:p>
    <w:p w14:paraId="11709914" w14:textId="2170EC97" w:rsidR="004029F9" w:rsidRDefault="004029F9" w:rsidP="004029F9">
      <w:pPr>
        <w:rPr>
          <w:lang w:val="en-AU"/>
        </w:rPr>
      </w:pPr>
      <w:r>
        <w:rPr>
          <w:lang w:val="en-AU"/>
        </w:rPr>
        <w:t xml:space="preserve">The Department will establish an Initiative Agreement with each </w:t>
      </w:r>
      <w:r w:rsidR="00374997">
        <w:rPr>
          <w:lang w:val="en-AU"/>
        </w:rPr>
        <w:t xml:space="preserve">lead eligible </w:t>
      </w:r>
      <w:r>
        <w:rPr>
          <w:lang w:val="en-AU"/>
        </w:rPr>
        <w:t xml:space="preserve">government school for the operational budget amount agreed with the Department. Schools will be required to manage reimbursement request submissions against the Initiative Agreement. Invoices to the Department of evidence of expenditure in the form of receipts will be required before funds can be reimbursed. </w:t>
      </w:r>
    </w:p>
    <w:p w14:paraId="0B495B4D" w14:textId="77777777" w:rsidR="004029F9" w:rsidRDefault="004029F9" w:rsidP="004029F9">
      <w:pPr>
        <w:rPr>
          <w:lang w:val="en-AU"/>
        </w:rPr>
      </w:pPr>
      <w:r>
        <w:rPr>
          <w:lang w:val="en-AU"/>
        </w:rPr>
        <w:t xml:space="preserve">Should a school wish to use the funds to employ staff, the school will be the direct employer and have direct responsibility for the staff member under their employ. Staff will be employed through their ‘base’ school as per school recruitment guidelines and conditions. </w:t>
      </w:r>
    </w:p>
    <w:p w14:paraId="259C87D0" w14:textId="77777777" w:rsidR="000A2772" w:rsidRDefault="000A2772" w:rsidP="00E4699D">
      <w:pPr>
        <w:pStyle w:val="Heading2"/>
        <w:rPr>
          <w:lang w:val="en-AU"/>
        </w:rPr>
      </w:pPr>
      <w:r>
        <w:rPr>
          <w:lang w:val="en-AU"/>
        </w:rPr>
        <w:t xml:space="preserve">Reporting and evaluation </w:t>
      </w:r>
    </w:p>
    <w:p w14:paraId="13D07865" w14:textId="3E68C68D" w:rsidR="00440EDD" w:rsidRDefault="004029F9" w:rsidP="00FF0E8F">
      <w:pPr>
        <w:rPr>
          <w:lang w:val="en-AU"/>
        </w:rPr>
      </w:pPr>
      <w:r>
        <w:rPr>
          <w:lang w:val="en-AU"/>
        </w:rPr>
        <w:t xml:space="preserve">Funded schools </w:t>
      </w:r>
      <w:r w:rsidR="000A2772">
        <w:rPr>
          <w:lang w:val="en-AU"/>
        </w:rPr>
        <w:t>are required to provide a</w:t>
      </w:r>
      <w:r w:rsidR="00FF0E8F">
        <w:rPr>
          <w:lang w:val="en-AU"/>
        </w:rPr>
        <w:t xml:space="preserve"> </w:t>
      </w:r>
      <w:r w:rsidR="00440EDD">
        <w:rPr>
          <w:lang w:val="en-AU"/>
        </w:rPr>
        <w:t xml:space="preserve">summary report and a final acquittal of funding at the end of the project. </w:t>
      </w:r>
      <w:r w:rsidR="005439C3">
        <w:rPr>
          <w:lang w:val="en-AU"/>
        </w:rPr>
        <w:t>The Department will provide schools with a reporting template to complete.</w:t>
      </w:r>
    </w:p>
    <w:p w14:paraId="3945D704" w14:textId="1EF41400" w:rsidR="00440EDD" w:rsidRDefault="00440EDD" w:rsidP="00FF0E8F">
      <w:pPr>
        <w:rPr>
          <w:lang w:val="en-AU"/>
        </w:rPr>
      </w:pPr>
      <w:r>
        <w:rPr>
          <w:lang w:val="en-AU"/>
        </w:rPr>
        <w:t>Funded schools may be asked to participate in formative and summative evaluation</w:t>
      </w:r>
      <w:r w:rsidR="00874C9B">
        <w:rPr>
          <w:lang w:val="en-AU"/>
        </w:rPr>
        <w:t>s</w:t>
      </w:r>
      <w:r>
        <w:rPr>
          <w:lang w:val="en-AU"/>
        </w:rPr>
        <w:t xml:space="preserve"> (e.g. surveys and focus groups) to:</w:t>
      </w:r>
    </w:p>
    <w:p w14:paraId="2A36AFD0" w14:textId="1AD07BF0" w:rsidR="00440EDD" w:rsidRDefault="00440EDD" w:rsidP="00440EDD">
      <w:pPr>
        <w:pStyle w:val="Bullet1"/>
      </w:pPr>
      <w:r>
        <w:t>evaluate the operation and impact of the Fund</w:t>
      </w:r>
    </w:p>
    <w:p w14:paraId="4B2F5FBC" w14:textId="351D9A06" w:rsidR="00440EDD" w:rsidRDefault="00440EDD" w:rsidP="00DA4006">
      <w:pPr>
        <w:pStyle w:val="Bullet1"/>
      </w:pPr>
      <w:r>
        <w:t>support continuous improvement over the life of the project</w:t>
      </w:r>
    </w:p>
    <w:p w14:paraId="4BAA98B1" w14:textId="6D06957A" w:rsidR="00440EDD" w:rsidRPr="00440EDD" w:rsidRDefault="00440EDD" w:rsidP="00DA4006">
      <w:pPr>
        <w:pStyle w:val="Bullet1"/>
      </w:pPr>
      <w:r>
        <w:t>identify shared learning opportunities and deliver insights that can be applied to other programs and initiatives.</w:t>
      </w:r>
    </w:p>
    <w:p w14:paraId="4A6D0107" w14:textId="16833D5B" w:rsidR="000738A6" w:rsidRDefault="000738A6" w:rsidP="000738A6">
      <w:pPr>
        <w:pStyle w:val="Heading2"/>
        <w:rPr>
          <w:lang w:val="en-AU"/>
        </w:rPr>
      </w:pPr>
      <w:r>
        <w:rPr>
          <w:lang w:val="en-AU"/>
        </w:rPr>
        <w:t>Review and amendment</w:t>
      </w:r>
    </w:p>
    <w:p w14:paraId="43D58800" w14:textId="3DCF5C9D" w:rsidR="000738A6" w:rsidRPr="000738A6" w:rsidRDefault="000738A6" w:rsidP="000738A6">
      <w:pPr>
        <w:rPr>
          <w:lang w:val="en-AU"/>
        </w:rPr>
      </w:pPr>
      <w:r>
        <w:rPr>
          <w:lang w:val="en-AU"/>
        </w:rPr>
        <w:t>This guidance and eligibility information is correct at the time of publishing. The Department may review and amend the Fund at any time.</w:t>
      </w:r>
    </w:p>
    <w:p w14:paraId="6AEF4B31" w14:textId="772A0CEA" w:rsidR="004D52E5" w:rsidRDefault="001F5160" w:rsidP="00E4699D">
      <w:pPr>
        <w:pStyle w:val="Heading2"/>
        <w:rPr>
          <w:lang w:val="en-AU"/>
        </w:rPr>
      </w:pPr>
      <w:r>
        <w:rPr>
          <w:lang w:val="en-AU"/>
        </w:rPr>
        <w:t xml:space="preserve">Additional information </w:t>
      </w:r>
    </w:p>
    <w:p w14:paraId="44E2F5E8" w14:textId="28FBE91A" w:rsidR="00071A28" w:rsidRPr="00071A28" w:rsidRDefault="001F5160" w:rsidP="00071A28">
      <w:pPr>
        <w:rPr>
          <w:lang w:val="en-AU"/>
        </w:rPr>
      </w:pPr>
      <w:r>
        <w:rPr>
          <w:lang w:val="en-AU"/>
        </w:rPr>
        <w:t xml:space="preserve">For more information: </w:t>
      </w:r>
      <w:hyperlink r:id="rId18" w:history="1">
        <w:r w:rsidRPr="007A2B5F">
          <w:rPr>
            <w:rStyle w:val="Hyperlink"/>
            <w:lang w:val="en-AU"/>
          </w:rPr>
          <w:t>sspr.provision@education.vic.gov.au</w:t>
        </w:r>
      </w:hyperlink>
      <w:r>
        <w:rPr>
          <w:lang w:val="en-AU"/>
        </w:rPr>
        <w:t xml:space="preserve"> </w:t>
      </w:r>
    </w:p>
    <w:sectPr w:rsidR="00071A28" w:rsidRPr="00071A28" w:rsidSect="006E2B9A">
      <w:headerReference w:type="default" r:id="rId19"/>
      <w:footerReference w:type="even" r:id="rId20"/>
      <w:footerReference w:type="default" r:id="rId21"/>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2236" w14:textId="77777777" w:rsidR="008831D8" w:rsidRDefault="008831D8" w:rsidP="003967DD">
      <w:pPr>
        <w:spacing w:after="0"/>
      </w:pPr>
      <w:r>
        <w:separator/>
      </w:r>
    </w:p>
  </w:endnote>
  <w:endnote w:type="continuationSeparator" w:id="0">
    <w:p w14:paraId="6F9A2418" w14:textId="77777777" w:rsidR="008831D8" w:rsidRDefault="008831D8" w:rsidP="003967DD">
      <w:pPr>
        <w:spacing w:after="0"/>
      </w:pPr>
      <w:r>
        <w:continuationSeparator/>
      </w:r>
    </w:p>
  </w:endnote>
  <w:endnote w:type="continuationNotice" w:id="1">
    <w:p w14:paraId="2C622DF0" w14:textId="77777777" w:rsidR="008831D8" w:rsidRDefault="008831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309D" w14:textId="77777777" w:rsidR="008831D8" w:rsidRDefault="008831D8" w:rsidP="003967DD">
      <w:pPr>
        <w:spacing w:after="0"/>
      </w:pPr>
      <w:r>
        <w:separator/>
      </w:r>
    </w:p>
  </w:footnote>
  <w:footnote w:type="continuationSeparator" w:id="0">
    <w:p w14:paraId="49C23042" w14:textId="77777777" w:rsidR="008831D8" w:rsidRDefault="008831D8" w:rsidP="003967DD">
      <w:pPr>
        <w:spacing w:after="0"/>
      </w:pPr>
      <w:r>
        <w:continuationSeparator/>
      </w:r>
    </w:p>
  </w:footnote>
  <w:footnote w:type="continuationNotice" w:id="1">
    <w:p w14:paraId="69EB9684" w14:textId="77777777" w:rsidR="008831D8" w:rsidRDefault="008831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0D3B323C">
          <wp:simplePos x="0" y="0"/>
          <wp:positionH relativeFrom="page">
            <wp:posOffset>2858</wp:posOffset>
          </wp:positionH>
          <wp:positionV relativeFrom="page">
            <wp:posOffset>0</wp:posOffset>
          </wp:positionV>
          <wp:extent cx="7544705" cy="106721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4705"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65FB4"/>
    <w:multiLevelType w:val="hybridMultilevel"/>
    <w:tmpl w:val="AF084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DD0631"/>
    <w:multiLevelType w:val="hybridMultilevel"/>
    <w:tmpl w:val="56CC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5627EF"/>
    <w:multiLevelType w:val="hybridMultilevel"/>
    <w:tmpl w:val="78D4B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AF6C68"/>
    <w:multiLevelType w:val="hybridMultilevel"/>
    <w:tmpl w:val="3230B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6346AF"/>
    <w:multiLevelType w:val="hybridMultilevel"/>
    <w:tmpl w:val="BE7656AC"/>
    <w:lvl w:ilvl="0" w:tplc="857A2DE8">
      <w:start w:val="1"/>
      <w:numFmt w:val="bullet"/>
      <w:lvlText w:val="•"/>
      <w:lvlJc w:val="left"/>
      <w:pPr>
        <w:tabs>
          <w:tab w:val="num" w:pos="720"/>
        </w:tabs>
        <w:ind w:left="720" w:hanging="360"/>
      </w:pPr>
      <w:rPr>
        <w:rFonts w:ascii="Arial" w:hAnsi="Arial" w:hint="default"/>
      </w:rPr>
    </w:lvl>
    <w:lvl w:ilvl="1" w:tplc="A77A8250" w:tentative="1">
      <w:start w:val="1"/>
      <w:numFmt w:val="bullet"/>
      <w:lvlText w:val="•"/>
      <w:lvlJc w:val="left"/>
      <w:pPr>
        <w:tabs>
          <w:tab w:val="num" w:pos="1440"/>
        </w:tabs>
        <w:ind w:left="1440" w:hanging="360"/>
      </w:pPr>
      <w:rPr>
        <w:rFonts w:ascii="Arial" w:hAnsi="Arial" w:hint="default"/>
      </w:rPr>
    </w:lvl>
    <w:lvl w:ilvl="2" w:tplc="A6AA6318" w:tentative="1">
      <w:start w:val="1"/>
      <w:numFmt w:val="bullet"/>
      <w:lvlText w:val="•"/>
      <w:lvlJc w:val="left"/>
      <w:pPr>
        <w:tabs>
          <w:tab w:val="num" w:pos="2160"/>
        </w:tabs>
        <w:ind w:left="2160" w:hanging="360"/>
      </w:pPr>
      <w:rPr>
        <w:rFonts w:ascii="Arial" w:hAnsi="Arial" w:hint="default"/>
      </w:rPr>
    </w:lvl>
    <w:lvl w:ilvl="3" w:tplc="ECF05580" w:tentative="1">
      <w:start w:val="1"/>
      <w:numFmt w:val="bullet"/>
      <w:lvlText w:val="•"/>
      <w:lvlJc w:val="left"/>
      <w:pPr>
        <w:tabs>
          <w:tab w:val="num" w:pos="2880"/>
        </w:tabs>
        <w:ind w:left="2880" w:hanging="360"/>
      </w:pPr>
      <w:rPr>
        <w:rFonts w:ascii="Arial" w:hAnsi="Arial" w:hint="default"/>
      </w:rPr>
    </w:lvl>
    <w:lvl w:ilvl="4" w:tplc="61FC8A20" w:tentative="1">
      <w:start w:val="1"/>
      <w:numFmt w:val="bullet"/>
      <w:lvlText w:val="•"/>
      <w:lvlJc w:val="left"/>
      <w:pPr>
        <w:tabs>
          <w:tab w:val="num" w:pos="3600"/>
        </w:tabs>
        <w:ind w:left="3600" w:hanging="360"/>
      </w:pPr>
      <w:rPr>
        <w:rFonts w:ascii="Arial" w:hAnsi="Arial" w:hint="default"/>
      </w:rPr>
    </w:lvl>
    <w:lvl w:ilvl="5" w:tplc="7F52E944" w:tentative="1">
      <w:start w:val="1"/>
      <w:numFmt w:val="bullet"/>
      <w:lvlText w:val="•"/>
      <w:lvlJc w:val="left"/>
      <w:pPr>
        <w:tabs>
          <w:tab w:val="num" w:pos="4320"/>
        </w:tabs>
        <w:ind w:left="4320" w:hanging="360"/>
      </w:pPr>
      <w:rPr>
        <w:rFonts w:ascii="Arial" w:hAnsi="Arial" w:hint="default"/>
      </w:rPr>
    </w:lvl>
    <w:lvl w:ilvl="6" w:tplc="68AC1B80" w:tentative="1">
      <w:start w:val="1"/>
      <w:numFmt w:val="bullet"/>
      <w:lvlText w:val="•"/>
      <w:lvlJc w:val="left"/>
      <w:pPr>
        <w:tabs>
          <w:tab w:val="num" w:pos="5040"/>
        </w:tabs>
        <w:ind w:left="5040" w:hanging="360"/>
      </w:pPr>
      <w:rPr>
        <w:rFonts w:ascii="Arial" w:hAnsi="Arial" w:hint="default"/>
      </w:rPr>
    </w:lvl>
    <w:lvl w:ilvl="7" w:tplc="46E88D40" w:tentative="1">
      <w:start w:val="1"/>
      <w:numFmt w:val="bullet"/>
      <w:lvlText w:val="•"/>
      <w:lvlJc w:val="left"/>
      <w:pPr>
        <w:tabs>
          <w:tab w:val="num" w:pos="5760"/>
        </w:tabs>
        <w:ind w:left="5760" w:hanging="360"/>
      </w:pPr>
      <w:rPr>
        <w:rFonts w:ascii="Arial" w:hAnsi="Arial" w:hint="default"/>
      </w:rPr>
    </w:lvl>
    <w:lvl w:ilvl="8" w:tplc="776E2E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6E6B6D"/>
    <w:multiLevelType w:val="hybridMultilevel"/>
    <w:tmpl w:val="59183F96"/>
    <w:lvl w:ilvl="0" w:tplc="341690B8">
      <w:start w:val="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C09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E296781"/>
    <w:multiLevelType w:val="hybridMultilevel"/>
    <w:tmpl w:val="FEAC9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3D2DB5"/>
    <w:multiLevelType w:val="hybridMultilevel"/>
    <w:tmpl w:val="8A72B90C"/>
    <w:lvl w:ilvl="0" w:tplc="786EB1E6">
      <w:start w:val="1"/>
      <w:numFmt w:val="bullet"/>
      <w:lvlText w:val="-"/>
      <w:lvlJc w:val="left"/>
      <w:pPr>
        <w:tabs>
          <w:tab w:val="num" w:pos="720"/>
        </w:tabs>
        <w:ind w:left="720" w:hanging="360"/>
      </w:pPr>
      <w:rPr>
        <w:rFonts w:ascii=".AppleSystemUIFont" w:hAnsi=".AppleSystemUIFont" w:hint="default"/>
      </w:rPr>
    </w:lvl>
    <w:lvl w:ilvl="1" w:tplc="52DEA874" w:tentative="1">
      <w:start w:val="1"/>
      <w:numFmt w:val="bullet"/>
      <w:lvlText w:val="-"/>
      <w:lvlJc w:val="left"/>
      <w:pPr>
        <w:tabs>
          <w:tab w:val="num" w:pos="1440"/>
        </w:tabs>
        <w:ind w:left="1440" w:hanging="360"/>
      </w:pPr>
      <w:rPr>
        <w:rFonts w:ascii=".AppleSystemUIFont" w:hAnsi=".AppleSystemUIFont" w:hint="default"/>
      </w:rPr>
    </w:lvl>
    <w:lvl w:ilvl="2" w:tplc="F8FC6536" w:tentative="1">
      <w:start w:val="1"/>
      <w:numFmt w:val="bullet"/>
      <w:lvlText w:val="-"/>
      <w:lvlJc w:val="left"/>
      <w:pPr>
        <w:tabs>
          <w:tab w:val="num" w:pos="2160"/>
        </w:tabs>
        <w:ind w:left="2160" w:hanging="360"/>
      </w:pPr>
      <w:rPr>
        <w:rFonts w:ascii=".AppleSystemUIFont" w:hAnsi=".AppleSystemUIFont" w:hint="default"/>
      </w:rPr>
    </w:lvl>
    <w:lvl w:ilvl="3" w:tplc="43EE9276">
      <w:start w:val="1"/>
      <w:numFmt w:val="bullet"/>
      <w:lvlText w:val="-"/>
      <w:lvlJc w:val="left"/>
      <w:pPr>
        <w:tabs>
          <w:tab w:val="num" w:pos="2880"/>
        </w:tabs>
        <w:ind w:left="2880" w:hanging="360"/>
      </w:pPr>
      <w:rPr>
        <w:rFonts w:ascii=".AppleSystemUIFont" w:hAnsi=".AppleSystemUIFont" w:hint="default"/>
      </w:rPr>
    </w:lvl>
    <w:lvl w:ilvl="4" w:tplc="60287376" w:tentative="1">
      <w:start w:val="1"/>
      <w:numFmt w:val="bullet"/>
      <w:lvlText w:val="-"/>
      <w:lvlJc w:val="left"/>
      <w:pPr>
        <w:tabs>
          <w:tab w:val="num" w:pos="3600"/>
        </w:tabs>
        <w:ind w:left="3600" w:hanging="360"/>
      </w:pPr>
      <w:rPr>
        <w:rFonts w:ascii=".AppleSystemUIFont" w:hAnsi=".AppleSystemUIFont" w:hint="default"/>
      </w:rPr>
    </w:lvl>
    <w:lvl w:ilvl="5" w:tplc="D30C1AD0" w:tentative="1">
      <w:start w:val="1"/>
      <w:numFmt w:val="bullet"/>
      <w:lvlText w:val="-"/>
      <w:lvlJc w:val="left"/>
      <w:pPr>
        <w:tabs>
          <w:tab w:val="num" w:pos="4320"/>
        </w:tabs>
        <w:ind w:left="4320" w:hanging="360"/>
      </w:pPr>
      <w:rPr>
        <w:rFonts w:ascii=".AppleSystemUIFont" w:hAnsi=".AppleSystemUIFont" w:hint="default"/>
      </w:rPr>
    </w:lvl>
    <w:lvl w:ilvl="6" w:tplc="0454748E" w:tentative="1">
      <w:start w:val="1"/>
      <w:numFmt w:val="bullet"/>
      <w:lvlText w:val="-"/>
      <w:lvlJc w:val="left"/>
      <w:pPr>
        <w:tabs>
          <w:tab w:val="num" w:pos="5040"/>
        </w:tabs>
        <w:ind w:left="5040" w:hanging="360"/>
      </w:pPr>
      <w:rPr>
        <w:rFonts w:ascii=".AppleSystemUIFont" w:hAnsi=".AppleSystemUIFont" w:hint="default"/>
      </w:rPr>
    </w:lvl>
    <w:lvl w:ilvl="7" w:tplc="EC10E980" w:tentative="1">
      <w:start w:val="1"/>
      <w:numFmt w:val="bullet"/>
      <w:lvlText w:val="-"/>
      <w:lvlJc w:val="left"/>
      <w:pPr>
        <w:tabs>
          <w:tab w:val="num" w:pos="5760"/>
        </w:tabs>
        <w:ind w:left="5760" w:hanging="360"/>
      </w:pPr>
      <w:rPr>
        <w:rFonts w:ascii=".AppleSystemUIFont" w:hAnsi=".AppleSystemUIFont" w:hint="default"/>
      </w:rPr>
    </w:lvl>
    <w:lvl w:ilvl="8" w:tplc="7902BF7E" w:tentative="1">
      <w:start w:val="1"/>
      <w:numFmt w:val="bullet"/>
      <w:lvlText w:val="-"/>
      <w:lvlJc w:val="left"/>
      <w:pPr>
        <w:tabs>
          <w:tab w:val="num" w:pos="6480"/>
        </w:tabs>
        <w:ind w:left="6480" w:hanging="360"/>
      </w:pPr>
      <w:rPr>
        <w:rFonts w:ascii=".AppleSystemUIFont" w:hAnsi=".AppleSystemUIFont"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A87329"/>
    <w:multiLevelType w:val="hybridMultilevel"/>
    <w:tmpl w:val="67824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BD7116"/>
    <w:multiLevelType w:val="hybridMultilevel"/>
    <w:tmpl w:val="43849236"/>
    <w:lvl w:ilvl="0" w:tplc="CDD0435E">
      <w:start w:val="1"/>
      <w:numFmt w:val="bullet"/>
      <w:lvlText w:val="•"/>
      <w:lvlJc w:val="left"/>
      <w:pPr>
        <w:tabs>
          <w:tab w:val="num" w:pos="720"/>
        </w:tabs>
        <w:ind w:left="720" w:hanging="360"/>
      </w:pPr>
      <w:rPr>
        <w:rFonts w:ascii="Arial" w:hAnsi="Arial" w:hint="default"/>
      </w:rPr>
    </w:lvl>
    <w:lvl w:ilvl="1" w:tplc="022A835A" w:tentative="1">
      <w:start w:val="1"/>
      <w:numFmt w:val="bullet"/>
      <w:lvlText w:val="•"/>
      <w:lvlJc w:val="left"/>
      <w:pPr>
        <w:tabs>
          <w:tab w:val="num" w:pos="1440"/>
        </w:tabs>
        <w:ind w:left="1440" w:hanging="360"/>
      </w:pPr>
      <w:rPr>
        <w:rFonts w:ascii="Arial" w:hAnsi="Arial" w:hint="default"/>
      </w:rPr>
    </w:lvl>
    <w:lvl w:ilvl="2" w:tplc="836C5DBC" w:tentative="1">
      <w:start w:val="1"/>
      <w:numFmt w:val="bullet"/>
      <w:lvlText w:val="•"/>
      <w:lvlJc w:val="left"/>
      <w:pPr>
        <w:tabs>
          <w:tab w:val="num" w:pos="2160"/>
        </w:tabs>
        <w:ind w:left="2160" w:hanging="360"/>
      </w:pPr>
      <w:rPr>
        <w:rFonts w:ascii="Arial" w:hAnsi="Arial" w:hint="default"/>
      </w:rPr>
    </w:lvl>
    <w:lvl w:ilvl="3" w:tplc="83A0289E" w:tentative="1">
      <w:start w:val="1"/>
      <w:numFmt w:val="bullet"/>
      <w:lvlText w:val="•"/>
      <w:lvlJc w:val="left"/>
      <w:pPr>
        <w:tabs>
          <w:tab w:val="num" w:pos="2880"/>
        </w:tabs>
        <w:ind w:left="2880" w:hanging="360"/>
      </w:pPr>
      <w:rPr>
        <w:rFonts w:ascii="Arial" w:hAnsi="Arial" w:hint="default"/>
      </w:rPr>
    </w:lvl>
    <w:lvl w:ilvl="4" w:tplc="92623156" w:tentative="1">
      <w:start w:val="1"/>
      <w:numFmt w:val="bullet"/>
      <w:lvlText w:val="•"/>
      <w:lvlJc w:val="left"/>
      <w:pPr>
        <w:tabs>
          <w:tab w:val="num" w:pos="3600"/>
        </w:tabs>
        <w:ind w:left="3600" w:hanging="360"/>
      </w:pPr>
      <w:rPr>
        <w:rFonts w:ascii="Arial" w:hAnsi="Arial" w:hint="default"/>
      </w:rPr>
    </w:lvl>
    <w:lvl w:ilvl="5" w:tplc="01CADB12" w:tentative="1">
      <w:start w:val="1"/>
      <w:numFmt w:val="bullet"/>
      <w:lvlText w:val="•"/>
      <w:lvlJc w:val="left"/>
      <w:pPr>
        <w:tabs>
          <w:tab w:val="num" w:pos="4320"/>
        </w:tabs>
        <w:ind w:left="4320" w:hanging="360"/>
      </w:pPr>
      <w:rPr>
        <w:rFonts w:ascii="Arial" w:hAnsi="Arial" w:hint="default"/>
      </w:rPr>
    </w:lvl>
    <w:lvl w:ilvl="6" w:tplc="E1BCA93A" w:tentative="1">
      <w:start w:val="1"/>
      <w:numFmt w:val="bullet"/>
      <w:lvlText w:val="•"/>
      <w:lvlJc w:val="left"/>
      <w:pPr>
        <w:tabs>
          <w:tab w:val="num" w:pos="5040"/>
        </w:tabs>
        <w:ind w:left="5040" w:hanging="360"/>
      </w:pPr>
      <w:rPr>
        <w:rFonts w:ascii="Arial" w:hAnsi="Arial" w:hint="default"/>
      </w:rPr>
    </w:lvl>
    <w:lvl w:ilvl="7" w:tplc="C268A17A" w:tentative="1">
      <w:start w:val="1"/>
      <w:numFmt w:val="bullet"/>
      <w:lvlText w:val="•"/>
      <w:lvlJc w:val="left"/>
      <w:pPr>
        <w:tabs>
          <w:tab w:val="num" w:pos="5760"/>
        </w:tabs>
        <w:ind w:left="5760" w:hanging="360"/>
      </w:pPr>
      <w:rPr>
        <w:rFonts w:ascii="Arial" w:hAnsi="Arial" w:hint="default"/>
      </w:rPr>
    </w:lvl>
    <w:lvl w:ilvl="8" w:tplc="4EFC78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052130">
    <w:abstractNumId w:val="0"/>
  </w:num>
  <w:num w:numId="2" w16cid:durableId="467553283">
    <w:abstractNumId w:val="1"/>
  </w:num>
  <w:num w:numId="3" w16cid:durableId="284652757">
    <w:abstractNumId w:val="2"/>
  </w:num>
  <w:num w:numId="4" w16cid:durableId="2109353160">
    <w:abstractNumId w:val="3"/>
  </w:num>
  <w:num w:numId="5" w16cid:durableId="254167629">
    <w:abstractNumId w:val="4"/>
  </w:num>
  <w:num w:numId="6" w16cid:durableId="8258157">
    <w:abstractNumId w:val="9"/>
  </w:num>
  <w:num w:numId="7" w16cid:durableId="1878203817">
    <w:abstractNumId w:val="5"/>
  </w:num>
  <w:num w:numId="8" w16cid:durableId="1579055464">
    <w:abstractNumId w:val="6"/>
  </w:num>
  <w:num w:numId="9" w16cid:durableId="292370825">
    <w:abstractNumId w:val="7"/>
  </w:num>
  <w:num w:numId="10" w16cid:durableId="259489016">
    <w:abstractNumId w:val="8"/>
  </w:num>
  <w:num w:numId="11" w16cid:durableId="1621302409">
    <w:abstractNumId w:val="10"/>
  </w:num>
  <w:num w:numId="12" w16cid:durableId="926764022">
    <w:abstractNumId w:val="19"/>
  </w:num>
  <w:num w:numId="13" w16cid:durableId="735857340">
    <w:abstractNumId w:val="26"/>
  </w:num>
  <w:num w:numId="14" w16cid:durableId="1583100580">
    <w:abstractNumId w:val="27"/>
  </w:num>
  <w:num w:numId="15" w16cid:durableId="1786851223">
    <w:abstractNumId w:val="17"/>
  </w:num>
  <w:num w:numId="16" w16cid:durableId="1499349813">
    <w:abstractNumId w:val="23"/>
  </w:num>
  <w:num w:numId="17" w16cid:durableId="665858688">
    <w:abstractNumId w:val="18"/>
  </w:num>
  <w:num w:numId="18" w16cid:durableId="1774861529">
    <w:abstractNumId w:val="12"/>
  </w:num>
  <w:num w:numId="19" w16cid:durableId="434135099">
    <w:abstractNumId w:val="11"/>
  </w:num>
  <w:num w:numId="20" w16cid:durableId="2033528084">
    <w:abstractNumId w:val="13"/>
  </w:num>
  <w:num w:numId="21" w16cid:durableId="18088773">
    <w:abstractNumId w:val="16"/>
  </w:num>
  <w:num w:numId="22" w16cid:durableId="210923747">
    <w:abstractNumId w:val="22"/>
  </w:num>
  <w:num w:numId="23" w16cid:durableId="22170515">
    <w:abstractNumId w:val="15"/>
  </w:num>
  <w:num w:numId="24" w16cid:durableId="41029333">
    <w:abstractNumId w:val="25"/>
  </w:num>
  <w:num w:numId="25" w16cid:durableId="1515992548">
    <w:abstractNumId w:val="20"/>
  </w:num>
  <w:num w:numId="26" w16cid:durableId="766459487">
    <w:abstractNumId w:val="21"/>
  </w:num>
  <w:num w:numId="27" w16cid:durableId="752893667">
    <w:abstractNumId w:val="24"/>
  </w:num>
  <w:num w:numId="28" w16cid:durableId="5395114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44E"/>
    <w:rsid w:val="00006E2F"/>
    <w:rsid w:val="00011F31"/>
    <w:rsid w:val="00011F6A"/>
    <w:rsid w:val="00013339"/>
    <w:rsid w:val="00021CA9"/>
    <w:rsid w:val="000256E2"/>
    <w:rsid w:val="00025995"/>
    <w:rsid w:val="0002770E"/>
    <w:rsid w:val="0003385C"/>
    <w:rsid w:val="00033BC8"/>
    <w:rsid w:val="000462F2"/>
    <w:rsid w:val="00047CB2"/>
    <w:rsid w:val="0005217C"/>
    <w:rsid w:val="0005550A"/>
    <w:rsid w:val="000605B2"/>
    <w:rsid w:val="0006105B"/>
    <w:rsid w:val="00071A28"/>
    <w:rsid w:val="000738A6"/>
    <w:rsid w:val="00080DA9"/>
    <w:rsid w:val="00083742"/>
    <w:rsid w:val="000861DD"/>
    <w:rsid w:val="0009028C"/>
    <w:rsid w:val="000A2772"/>
    <w:rsid w:val="000A479E"/>
    <w:rsid w:val="000A47D4"/>
    <w:rsid w:val="000A5CBF"/>
    <w:rsid w:val="000A6A7E"/>
    <w:rsid w:val="000A79F4"/>
    <w:rsid w:val="000B41FC"/>
    <w:rsid w:val="000C600E"/>
    <w:rsid w:val="000D7F3B"/>
    <w:rsid w:val="000D7F9A"/>
    <w:rsid w:val="000E2007"/>
    <w:rsid w:val="000E72A3"/>
    <w:rsid w:val="00100121"/>
    <w:rsid w:val="0010716D"/>
    <w:rsid w:val="00111FC9"/>
    <w:rsid w:val="00112122"/>
    <w:rsid w:val="00116A26"/>
    <w:rsid w:val="00122369"/>
    <w:rsid w:val="00142286"/>
    <w:rsid w:val="00143BB1"/>
    <w:rsid w:val="0014785A"/>
    <w:rsid w:val="00150E0F"/>
    <w:rsid w:val="00156B17"/>
    <w:rsid w:val="00157212"/>
    <w:rsid w:val="00161DBE"/>
    <w:rsid w:val="0016287D"/>
    <w:rsid w:val="00163F89"/>
    <w:rsid w:val="001765D7"/>
    <w:rsid w:val="001845A5"/>
    <w:rsid w:val="00192F2D"/>
    <w:rsid w:val="0019577F"/>
    <w:rsid w:val="001A2C0A"/>
    <w:rsid w:val="001A78A2"/>
    <w:rsid w:val="001D0B1E"/>
    <w:rsid w:val="001D0D94"/>
    <w:rsid w:val="001D13F9"/>
    <w:rsid w:val="001E033F"/>
    <w:rsid w:val="001F39DD"/>
    <w:rsid w:val="001F3FC0"/>
    <w:rsid w:val="001F5160"/>
    <w:rsid w:val="0020723C"/>
    <w:rsid w:val="002145EB"/>
    <w:rsid w:val="00220493"/>
    <w:rsid w:val="0022282E"/>
    <w:rsid w:val="00224903"/>
    <w:rsid w:val="00225520"/>
    <w:rsid w:val="00227DC4"/>
    <w:rsid w:val="00232723"/>
    <w:rsid w:val="00240B13"/>
    <w:rsid w:val="002512BE"/>
    <w:rsid w:val="00254A58"/>
    <w:rsid w:val="00256091"/>
    <w:rsid w:val="002614A8"/>
    <w:rsid w:val="00270B1C"/>
    <w:rsid w:val="00275FB8"/>
    <w:rsid w:val="002800BA"/>
    <w:rsid w:val="002821D5"/>
    <w:rsid w:val="00282258"/>
    <w:rsid w:val="0029550E"/>
    <w:rsid w:val="002973A8"/>
    <w:rsid w:val="002978A5"/>
    <w:rsid w:val="002A122F"/>
    <w:rsid w:val="002A2A60"/>
    <w:rsid w:val="002A4A96"/>
    <w:rsid w:val="002D27C8"/>
    <w:rsid w:val="002E3BED"/>
    <w:rsid w:val="002F6115"/>
    <w:rsid w:val="002F7A52"/>
    <w:rsid w:val="0031065D"/>
    <w:rsid w:val="00312720"/>
    <w:rsid w:val="00323613"/>
    <w:rsid w:val="00327FC6"/>
    <w:rsid w:val="00331140"/>
    <w:rsid w:val="00343AFC"/>
    <w:rsid w:val="0034745C"/>
    <w:rsid w:val="00353A5C"/>
    <w:rsid w:val="00364176"/>
    <w:rsid w:val="00374997"/>
    <w:rsid w:val="00376FC7"/>
    <w:rsid w:val="00377D9D"/>
    <w:rsid w:val="003962AF"/>
    <w:rsid w:val="003967DD"/>
    <w:rsid w:val="003A3B9D"/>
    <w:rsid w:val="003A4C39"/>
    <w:rsid w:val="003C1EE1"/>
    <w:rsid w:val="003C74BF"/>
    <w:rsid w:val="003E5564"/>
    <w:rsid w:val="003E78A4"/>
    <w:rsid w:val="004029F9"/>
    <w:rsid w:val="004062FE"/>
    <w:rsid w:val="00407F80"/>
    <w:rsid w:val="00410D99"/>
    <w:rsid w:val="0042333B"/>
    <w:rsid w:val="00435990"/>
    <w:rsid w:val="00440EDD"/>
    <w:rsid w:val="00443E58"/>
    <w:rsid w:val="00455A68"/>
    <w:rsid w:val="00462748"/>
    <w:rsid w:val="00473C2C"/>
    <w:rsid w:val="00483C16"/>
    <w:rsid w:val="00490176"/>
    <w:rsid w:val="00490441"/>
    <w:rsid w:val="00491D04"/>
    <w:rsid w:val="00496284"/>
    <w:rsid w:val="00496552"/>
    <w:rsid w:val="004A20AF"/>
    <w:rsid w:val="004A2E74"/>
    <w:rsid w:val="004A5783"/>
    <w:rsid w:val="004A742C"/>
    <w:rsid w:val="004B2ED6"/>
    <w:rsid w:val="004B2EDE"/>
    <w:rsid w:val="004B6EB2"/>
    <w:rsid w:val="004D133A"/>
    <w:rsid w:val="004D2CF9"/>
    <w:rsid w:val="004D4388"/>
    <w:rsid w:val="004D5138"/>
    <w:rsid w:val="004D52E5"/>
    <w:rsid w:val="004D7685"/>
    <w:rsid w:val="004D7FB0"/>
    <w:rsid w:val="004E3128"/>
    <w:rsid w:val="004E7B4C"/>
    <w:rsid w:val="00500ADA"/>
    <w:rsid w:val="00512134"/>
    <w:rsid w:val="00512BBA"/>
    <w:rsid w:val="00514423"/>
    <w:rsid w:val="00520DED"/>
    <w:rsid w:val="0053490E"/>
    <w:rsid w:val="00534B36"/>
    <w:rsid w:val="005439C3"/>
    <w:rsid w:val="0054766E"/>
    <w:rsid w:val="005529FA"/>
    <w:rsid w:val="00555277"/>
    <w:rsid w:val="0055774C"/>
    <w:rsid w:val="00567CF0"/>
    <w:rsid w:val="005724A7"/>
    <w:rsid w:val="00583623"/>
    <w:rsid w:val="00584366"/>
    <w:rsid w:val="00590F0D"/>
    <w:rsid w:val="00591499"/>
    <w:rsid w:val="00591C88"/>
    <w:rsid w:val="005A193D"/>
    <w:rsid w:val="005A4F12"/>
    <w:rsid w:val="005B193F"/>
    <w:rsid w:val="005B7814"/>
    <w:rsid w:val="005C38C6"/>
    <w:rsid w:val="005E0713"/>
    <w:rsid w:val="005E2A38"/>
    <w:rsid w:val="005E61B5"/>
    <w:rsid w:val="0062020E"/>
    <w:rsid w:val="00621B65"/>
    <w:rsid w:val="00624A55"/>
    <w:rsid w:val="006354A2"/>
    <w:rsid w:val="00641C2A"/>
    <w:rsid w:val="006433A8"/>
    <w:rsid w:val="006436A5"/>
    <w:rsid w:val="00645EE9"/>
    <w:rsid w:val="006523D7"/>
    <w:rsid w:val="00653F86"/>
    <w:rsid w:val="00657136"/>
    <w:rsid w:val="00661671"/>
    <w:rsid w:val="00662401"/>
    <w:rsid w:val="006666A7"/>
    <w:rsid w:val="006671CE"/>
    <w:rsid w:val="006968C2"/>
    <w:rsid w:val="006A1F8A"/>
    <w:rsid w:val="006A25AC"/>
    <w:rsid w:val="006A2A4D"/>
    <w:rsid w:val="006B444A"/>
    <w:rsid w:val="006C45C0"/>
    <w:rsid w:val="006E2B9A"/>
    <w:rsid w:val="006E7F88"/>
    <w:rsid w:val="007039EF"/>
    <w:rsid w:val="00710CED"/>
    <w:rsid w:val="00710E47"/>
    <w:rsid w:val="00720455"/>
    <w:rsid w:val="00730628"/>
    <w:rsid w:val="00735566"/>
    <w:rsid w:val="007369FE"/>
    <w:rsid w:val="00736EE9"/>
    <w:rsid w:val="00760A25"/>
    <w:rsid w:val="00767573"/>
    <w:rsid w:val="00767B43"/>
    <w:rsid w:val="00787CED"/>
    <w:rsid w:val="00794684"/>
    <w:rsid w:val="007A0C02"/>
    <w:rsid w:val="007A460F"/>
    <w:rsid w:val="007B0815"/>
    <w:rsid w:val="007B1153"/>
    <w:rsid w:val="007B556E"/>
    <w:rsid w:val="007B7031"/>
    <w:rsid w:val="007D3E38"/>
    <w:rsid w:val="007D5C25"/>
    <w:rsid w:val="007E14AC"/>
    <w:rsid w:val="007F435F"/>
    <w:rsid w:val="007F5F6D"/>
    <w:rsid w:val="008004F1"/>
    <w:rsid w:val="00800F0F"/>
    <w:rsid w:val="008065DA"/>
    <w:rsid w:val="00814836"/>
    <w:rsid w:val="00840F84"/>
    <w:rsid w:val="00843075"/>
    <w:rsid w:val="0084368C"/>
    <w:rsid w:val="00853716"/>
    <w:rsid w:val="00861033"/>
    <w:rsid w:val="00874C9B"/>
    <w:rsid w:val="00876DED"/>
    <w:rsid w:val="008831D8"/>
    <w:rsid w:val="00883765"/>
    <w:rsid w:val="00885906"/>
    <w:rsid w:val="00890680"/>
    <w:rsid w:val="0089122E"/>
    <w:rsid w:val="00892E24"/>
    <w:rsid w:val="008B1737"/>
    <w:rsid w:val="008C7D53"/>
    <w:rsid w:val="008E67D9"/>
    <w:rsid w:val="008E763F"/>
    <w:rsid w:val="008F3D35"/>
    <w:rsid w:val="008F7CC2"/>
    <w:rsid w:val="009044BA"/>
    <w:rsid w:val="00914B90"/>
    <w:rsid w:val="00917737"/>
    <w:rsid w:val="00925250"/>
    <w:rsid w:val="009263E9"/>
    <w:rsid w:val="009263EC"/>
    <w:rsid w:val="00936FFB"/>
    <w:rsid w:val="00945235"/>
    <w:rsid w:val="00945732"/>
    <w:rsid w:val="00952690"/>
    <w:rsid w:val="00954B9A"/>
    <w:rsid w:val="00965047"/>
    <w:rsid w:val="009824F4"/>
    <w:rsid w:val="00984E75"/>
    <w:rsid w:val="009852F5"/>
    <w:rsid w:val="00991658"/>
    <w:rsid w:val="0099358C"/>
    <w:rsid w:val="009B5517"/>
    <w:rsid w:val="009D214B"/>
    <w:rsid w:val="009E1206"/>
    <w:rsid w:val="009E651B"/>
    <w:rsid w:val="009F1647"/>
    <w:rsid w:val="009F5AAD"/>
    <w:rsid w:val="009F6A77"/>
    <w:rsid w:val="00A1536A"/>
    <w:rsid w:val="00A2237A"/>
    <w:rsid w:val="00A31926"/>
    <w:rsid w:val="00A34E5B"/>
    <w:rsid w:val="00A36E70"/>
    <w:rsid w:val="00A46C16"/>
    <w:rsid w:val="00A5383E"/>
    <w:rsid w:val="00A53EDC"/>
    <w:rsid w:val="00A56848"/>
    <w:rsid w:val="00A710DF"/>
    <w:rsid w:val="00A71DDF"/>
    <w:rsid w:val="00A74F26"/>
    <w:rsid w:val="00A816CA"/>
    <w:rsid w:val="00A916D2"/>
    <w:rsid w:val="00AA4A82"/>
    <w:rsid w:val="00AB45A0"/>
    <w:rsid w:val="00AE39A8"/>
    <w:rsid w:val="00AE4A20"/>
    <w:rsid w:val="00AE6A07"/>
    <w:rsid w:val="00AF01DD"/>
    <w:rsid w:val="00AF1F5E"/>
    <w:rsid w:val="00B14EB1"/>
    <w:rsid w:val="00B21562"/>
    <w:rsid w:val="00B22654"/>
    <w:rsid w:val="00B23EC1"/>
    <w:rsid w:val="00B26BEE"/>
    <w:rsid w:val="00B34DA6"/>
    <w:rsid w:val="00B53C89"/>
    <w:rsid w:val="00B61A49"/>
    <w:rsid w:val="00B63746"/>
    <w:rsid w:val="00B65C04"/>
    <w:rsid w:val="00B66331"/>
    <w:rsid w:val="00B77AFE"/>
    <w:rsid w:val="00B84301"/>
    <w:rsid w:val="00BA02B7"/>
    <w:rsid w:val="00BB55A5"/>
    <w:rsid w:val="00BD3643"/>
    <w:rsid w:val="00BE7404"/>
    <w:rsid w:val="00C03A38"/>
    <w:rsid w:val="00C13447"/>
    <w:rsid w:val="00C40174"/>
    <w:rsid w:val="00C50175"/>
    <w:rsid w:val="00C539BB"/>
    <w:rsid w:val="00C56E22"/>
    <w:rsid w:val="00C6440D"/>
    <w:rsid w:val="00C81BDE"/>
    <w:rsid w:val="00C94074"/>
    <w:rsid w:val="00C95C2F"/>
    <w:rsid w:val="00CA2AA0"/>
    <w:rsid w:val="00CA323C"/>
    <w:rsid w:val="00CB2055"/>
    <w:rsid w:val="00CB5400"/>
    <w:rsid w:val="00CB790F"/>
    <w:rsid w:val="00CC0FA9"/>
    <w:rsid w:val="00CC3B4D"/>
    <w:rsid w:val="00CC5AA8"/>
    <w:rsid w:val="00CC7207"/>
    <w:rsid w:val="00CD379C"/>
    <w:rsid w:val="00CD5993"/>
    <w:rsid w:val="00CE31A5"/>
    <w:rsid w:val="00CE4C9F"/>
    <w:rsid w:val="00CE52BD"/>
    <w:rsid w:val="00CE76A8"/>
    <w:rsid w:val="00CE7916"/>
    <w:rsid w:val="00CE7E98"/>
    <w:rsid w:val="00CF2793"/>
    <w:rsid w:val="00D0476C"/>
    <w:rsid w:val="00D11D2F"/>
    <w:rsid w:val="00D14B08"/>
    <w:rsid w:val="00D15BA3"/>
    <w:rsid w:val="00D23BC4"/>
    <w:rsid w:val="00D246A7"/>
    <w:rsid w:val="00D5500C"/>
    <w:rsid w:val="00D96D5D"/>
    <w:rsid w:val="00D9777A"/>
    <w:rsid w:val="00DA4006"/>
    <w:rsid w:val="00DB2BCB"/>
    <w:rsid w:val="00DB3C41"/>
    <w:rsid w:val="00DC4D0D"/>
    <w:rsid w:val="00DD31CD"/>
    <w:rsid w:val="00DD515D"/>
    <w:rsid w:val="00DE2D37"/>
    <w:rsid w:val="00E34263"/>
    <w:rsid w:val="00E34721"/>
    <w:rsid w:val="00E355E8"/>
    <w:rsid w:val="00E4317E"/>
    <w:rsid w:val="00E4699D"/>
    <w:rsid w:val="00E5030B"/>
    <w:rsid w:val="00E5621D"/>
    <w:rsid w:val="00E56B80"/>
    <w:rsid w:val="00E60053"/>
    <w:rsid w:val="00E6100B"/>
    <w:rsid w:val="00E64758"/>
    <w:rsid w:val="00E67135"/>
    <w:rsid w:val="00E73AE1"/>
    <w:rsid w:val="00E77EB9"/>
    <w:rsid w:val="00E83EB2"/>
    <w:rsid w:val="00E91946"/>
    <w:rsid w:val="00EA403E"/>
    <w:rsid w:val="00EB2087"/>
    <w:rsid w:val="00ED025D"/>
    <w:rsid w:val="00EF0D35"/>
    <w:rsid w:val="00F0610A"/>
    <w:rsid w:val="00F07542"/>
    <w:rsid w:val="00F14CDE"/>
    <w:rsid w:val="00F23CA3"/>
    <w:rsid w:val="00F23FF5"/>
    <w:rsid w:val="00F37987"/>
    <w:rsid w:val="00F5189C"/>
    <w:rsid w:val="00F5271F"/>
    <w:rsid w:val="00F538D5"/>
    <w:rsid w:val="00F62B5D"/>
    <w:rsid w:val="00F728B5"/>
    <w:rsid w:val="00F74159"/>
    <w:rsid w:val="00F77D23"/>
    <w:rsid w:val="00F82B63"/>
    <w:rsid w:val="00F8636F"/>
    <w:rsid w:val="00F94715"/>
    <w:rsid w:val="00FC33BE"/>
    <w:rsid w:val="00FC766C"/>
    <w:rsid w:val="00FD0F1F"/>
    <w:rsid w:val="00FD158E"/>
    <w:rsid w:val="00FF0E8F"/>
    <w:rsid w:val="00FF6B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143BB1"/>
    <w:pPr>
      <w:keepNext/>
      <w:keepLines/>
      <w:spacing w:before="240"/>
      <w:outlineLvl w:val="0"/>
    </w:pPr>
    <w:rPr>
      <w:rFonts w:asciiTheme="majorHAnsi" w:eastAsiaTheme="majorEastAsia" w:hAnsiTheme="majorHAnsi" w:cs="Times New Roman (Headings CS)"/>
      <w:b/>
      <w:color w:val="0071CE" w:themeColor="accent3"/>
      <w:sz w:val="48"/>
      <w:szCs w:val="32"/>
    </w:rPr>
  </w:style>
  <w:style w:type="paragraph" w:styleId="Heading2">
    <w:name w:val="heading 2"/>
    <w:basedOn w:val="Normal"/>
    <w:next w:val="Normal"/>
    <w:link w:val="Heading2Char"/>
    <w:uiPriority w:val="9"/>
    <w:unhideWhenUsed/>
    <w:qFormat/>
    <w:rsid w:val="00143BB1"/>
    <w:pPr>
      <w:keepNext/>
      <w:keepLines/>
      <w:spacing w:before="40"/>
      <w:outlineLvl w:val="1"/>
    </w:pPr>
    <w:rPr>
      <w:rFonts w:asciiTheme="majorHAnsi" w:eastAsiaTheme="majorEastAsia" w:hAnsiTheme="majorHAnsi" w:cs="Times New Roman (Headings CS)"/>
      <w:b/>
      <w:color w:val="00B2A8" w:themeColor="accent1"/>
      <w:sz w:val="32"/>
      <w:szCs w:val="26"/>
    </w:rPr>
  </w:style>
  <w:style w:type="paragraph" w:styleId="Heading3">
    <w:name w:val="heading 3"/>
    <w:basedOn w:val="Normal"/>
    <w:next w:val="Normal"/>
    <w:link w:val="Heading3Char"/>
    <w:uiPriority w:val="9"/>
    <w:unhideWhenUsed/>
    <w:qFormat/>
    <w:rsid w:val="00143BB1"/>
    <w:pPr>
      <w:keepNext/>
      <w:keepLines/>
      <w:spacing w:before="40"/>
      <w:outlineLvl w:val="2"/>
    </w:pPr>
    <w:rPr>
      <w:rFonts w:asciiTheme="majorHAnsi" w:eastAsiaTheme="majorEastAsia" w:hAnsiTheme="majorHAnsi" w:cstheme="majorBidi"/>
      <w:b/>
      <w:color w:val="0071CE" w:themeColor="accent3"/>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43BB1"/>
    <w:rPr>
      <w:rFonts w:asciiTheme="majorHAnsi" w:eastAsiaTheme="majorEastAsia" w:hAnsiTheme="majorHAnsi" w:cs="Times New Roman (Headings CS)"/>
      <w:b/>
      <w:color w:val="0071CE" w:themeColor="accent3"/>
      <w:sz w:val="48"/>
      <w:szCs w:val="32"/>
    </w:rPr>
  </w:style>
  <w:style w:type="paragraph" w:customStyle="1" w:styleId="Intro">
    <w:name w:val="Intro"/>
    <w:basedOn w:val="Normal"/>
    <w:qFormat/>
    <w:rsid w:val="00143BB1"/>
    <w:pPr>
      <w:pBdr>
        <w:top w:val="single" w:sz="4" w:space="1" w:color="0071CE" w:themeColor="accent3"/>
      </w:pBdr>
    </w:pPr>
    <w:rPr>
      <w:b/>
      <w:color w:val="0071CE" w:themeColor="accent3"/>
      <w:sz w:val="24"/>
      <w:lang w:val="en-AU"/>
    </w:rPr>
  </w:style>
  <w:style w:type="character" w:customStyle="1" w:styleId="Heading2Char">
    <w:name w:val="Heading 2 Char"/>
    <w:basedOn w:val="DefaultParagraphFont"/>
    <w:link w:val="Heading2"/>
    <w:uiPriority w:val="9"/>
    <w:rsid w:val="00143BB1"/>
    <w:rPr>
      <w:rFonts w:asciiTheme="majorHAnsi" w:eastAsiaTheme="majorEastAsia" w:hAnsiTheme="majorHAnsi" w:cs="Times New Roman (Headings CS)"/>
      <w:b/>
      <w:color w:val="00B2A8" w:themeColor="accent1"/>
      <w:sz w:val="32"/>
      <w:szCs w:val="26"/>
    </w:rPr>
  </w:style>
  <w:style w:type="character" w:customStyle="1" w:styleId="Heading3Char">
    <w:name w:val="Heading 3 Char"/>
    <w:basedOn w:val="DefaultParagraphFont"/>
    <w:link w:val="Heading3"/>
    <w:uiPriority w:val="9"/>
    <w:rsid w:val="00143BB1"/>
    <w:rPr>
      <w:rFonts w:asciiTheme="majorHAnsi" w:eastAsiaTheme="majorEastAsia" w:hAnsiTheme="majorHAnsi" w:cstheme="majorBidi"/>
      <w:b/>
      <w:color w:val="0071CE" w:themeColor="accent3"/>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143BB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4A2E74"/>
    <w:rPr>
      <w:b/>
      <w:iCs/>
      <w:color w:val="00B2A8"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071A28"/>
    <w:pPr>
      <w:ind w:left="720"/>
      <w:contextualSpacing/>
    </w:pPr>
  </w:style>
  <w:style w:type="paragraph" w:styleId="Revision">
    <w:name w:val="Revision"/>
    <w:hidden/>
    <w:uiPriority w:val="99"/>
    <w:semiHidden/>
    <w:rsid w:val="00E60053"/>
    <w:rPr>
      <w:sz w:val="22"/>
    </w:rPr>
  </w:style>
  <w:style w:type="character" w:styleId="CommentReference">
    <w:name w:val="annotation reference"/>
    <w:basedOn w:val="DefaultParagraphFont"/>
    <w:uiPriority w:val="99"/>
    <w:semiHidden/>
    <w:unhideWhenUsed/>
    <w:rsid w:val="00D14B08"/>
    <w:rPr>
      <w:sz w:val="16"/>
      <w:szCs w:val="16"/>
    </w:rPr>
  </w:style>
  <w:style w:type="paragraph" w:styleId="CommentText">
    <w:name w:val="annotation text"/>
    <w:basedOn w:val="Normal"/>
    <w:link w:val="CommentTextChar"/>
    <w:uiPriority w:val="99"/>
    <w:semiHidden/>
    <w:unhideWhenUsed/>
    <w:rsid w:val="00D14B08"/>
    <w:rPr>
      <w:sz w:val="20"/>
      <w:szCs w:val="20"/>
    </w:rPr>
  </w:style>
  <w:style w:type="character" w:customStyle="1" w:styleId="CommentTextChar">
    <w:name w:val="Comment Text Char"/>
    <w:basedOn w:val="DefaultParagraphFont"/>
    <w:link w:val="CommentText"/>
    <w:uiPriority w:val="99"/>
    <w:semiHidden/>
    <w:rsid w:val="00D14B08"/>
    <w:rPr>
      <w:sz w:val="20"/>
      <w:szCs w:val="20"/>
    </w:rPr>
  </w:style>
  <w:style w:type="paragraph" w:styleId="CommentSubject">
    <w:name w:val="annotation subject"/>
    <w:basedOn w:val="CommentText"/>
    <w:next w:val="CommentText"/>
    <w:link w:val="CommentSubjectChar"/>
    <w:uiPriority w:val="99"/>
    <w:semiHidden/>
    <w:unhideWhenUsed/>
    <w:rsid w:val="00D14B08"/>
    <w:rPr>
      <w:b/>
      <w:bCs/>
    </w:rPr>
  </w:style>
  <w:style w:type="character" w:customStyle="1" w:styleId="CommentSubjectChar">
    <w:name w:val="Comment Subject Char"/>
    <w:basedOn w:val="CommentTextChar"/>
    <w:link w:val="CommentSubject"/>
    <w:uiPriority w:val="99"/>
    <w:semiHidden/>
    <w:rsid w:val="00D14B08"/>
    <w:rPr>
      <w:b/>
      <w:bCs/>
      <w:sz w:val="20"/>
      <w:szCs w:val="20"/>
    </w:rPr>
  </w:style>
  <w:style w:type="paragraph" w:styleId="NormalWeb">
    <w:name w:val="Normal (Web)"/>
    <w:basedOn w:val="Normal"/>
    <w:uiPriority w:val="99"/>
    <w:semiHidden/>
    <w:unhideWhenUsed/>
    <w:rsid w:val="00033BC8"/>
    <w:pPr>
      <w:spacing w:before="100" w:beforeAutospacing="1" w:after="100" w:afterAutospacing="1"/>
    </w:pPr>
    <w:rPr>
      <w:rFonts w:ascii="Times New Roman" w:eastAsia="Times New Roman" w:hAnsi="Times New Roman" w:cs="Times New Roman"/>
      <w:sz w:val="24"/>
      <w:lang w:val="en-AU" w:eastAsia="zh-CN"/>
    </w:rPr>
  </w:style>
  <w:style w:type="paragraph" w:customStyle="1" w:styleId="Default">
    <w:name w:val="Default"/>
    <w:rsid w:val="00CE7E98"/>
    <w:pPr>
      <w:autoSpaceDE w:val="0"/>
      <w:autoSpaceDN w:val="0"/>
      <w:adjustRightInd w:val="0"/>
    </w:pPr>
    <w:rPr>
      <w:rFonts w:ascii="Arial" w:hAnsi="Arial" w:cs="Arial"/>
      <w:color w:val="000000"/>
      <w:lang w:val="en-AU"/>
    </w:rPr>
  </w:style>
  <w:style w:type="table" w:styleId="TableGridLight">
    <w:name w:val="Grid Table Light"/>
    <w:basedOn w:val="TableNormal"/>
    <w:uiPriority w:val="40"/>
    <w:rsid w:val="00CE7E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3943880">
      <w:bodyDiv w:val="1"/>
      <w:marLeft w:val="0"/>
      <w:marRight w:val="0"/>
      <w:marTop w:val="0"/>
      <w:marBottom w:val="0"/>
      <w:divBdr>
        <w:top w:val="none" w:sz="0" w:space="0" w:color="auto"/>
        <w:left w:val="none" w:sz="0" w:space="0" w:color="auto"/>
        <w:bottom w:val="none" w:sz="0" w:space="0" w:color="auto"/>
        <w:right w:val="none" w:sz="0" w:space="0" w:color="auto"/>
      </w:divBdr>
      <w:divsChild>
        <w:div w:id="1673679524">
          <w:marLeft w:val="274"/>
          <w:marRight w:val="0"/>
          <w:marTop w:val="120"/>
          <w:marBottom w:val="0"/>
          <w:divBdr>
            <w:top w:val="none" w:sz="0" w:space="0" w:color="auto"/>
            <w:left w:val="none" w:sz="0" w:space="0" w:color="auto"/>
            <w:bottom w:val="none" w:sz="0" w:space="0" w:color="auto"/>
            <w:right w:val="none" w:sz="0" w:space="0" w:color="auto"/>
          </w:divBdr>
        </w:div>
      </w:divsChild>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0242112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28128735">
      <w:bodyDiv w:val="1"/>
      <w:marLeft w:val="0"/>
      <w:marRight w:val="0"/>
      <w:marTop w:val="0"/>
      <w:marBottom w:val="0"/>
      <w:divBdr>
        <w:top w:val="none" w:sz="0" w:space="0" w:color="auto"/>
        <w:left w:val="none" w:sz="0" w:space="0" w:color="auto"/>
        <w:bottom w:val="none" w:sz="0" w:space="0" w:color="auto"/>
        <w:right w:val="none" w:sz="0" w:space="0" w:color="auto"/>
      </w:divBdr>
      <w:divsChild>
        <w:div w:id="366418975">
          <w:marLeft w:val="835"/>
          <w:marRight w:val="0"/>
          <w:marTop w:val="120"/>
          <w:marBottom w:val="0"/>
          <w:divBdr>
            <w:top w:val="none" w:sz="0" w:space="0" w:color="auto"/>
            <w:left w:val="none" w:sz="0" w:space="0" w:color="auto"/>
            <w:bottom w:val="none" w:sz="0" w:space="0" w:color="auto"/>
            <w:right w:val="none" w:sz="0" w:space="0" w:color="auto"/>
          </w:divBdr>
        </w:div>
      </w:divsChild>
    </w:div>
    <w:div w:id="2086491890">
      <w:bodyDiv w:val="1"/>
      <w:marLeft w:val="0"/>
      <w:marRight w:val="0"/>
      <w:marTop w:val="0"/>
      <w:marBottom w:val="0"/>
      <w:divBdr>
        <w:top w:val="none" w:sz="0" w:space="0" w:color="auto"/>
        <w:left w:val="none" w:sz="0" w:space="0" w:color="auto"/>
        <w:bottom w:val="none" w:sz="0" w:space="0" w:color="auto"/>
        <w:right w:val="none" w:sz="0" w:space="0" w:color="auto"/>
      </w:divBdr>
      <w:divsChild>
        <w:div w:id="1187719861">
          <w:marLeft w:val="274"/>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edugate-cms.eduweb.vic.gov.au/Documents/about/programs/Collaboration-and-Curriculum-Access-Fund-EOI-form.docx" TargetMode="External"/><Relationship Id="rId18" Type="http://schemas.openxmlformats.org/officeDocument/2006/relationships/hyperlink" Target="mailto:sspr.provision@education.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2.education.vic.gov.au/pal/partnerships/policy" TargetMode="External"/><Relationship Id="rId17" Type="http://schemas.openxmlformats.org/officeDocument/2006/relationships/hyperlink" Target="https://edugate.eduweb.vic.gov.au/edrms/keyprocess/stfg/Pages/default.aspx" TargetMode="External"/><Relationship Id="rId2" Type="http://schemas.openxmlformats.org/officeDocument/2006/relationships/customXml" Target="../customXml/item2.xml"/><Relationship Id="rId16" Type="http://schemas.openxmlformats.org/officeDocument/2006/relationships/hyperlink" Target="https://edugate.eduweb.vic.gov.au/edrms/keyprocess/stfg/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spr.provision@education.vic.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mailto:sspr.provision@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1128EB97EED81647AA02E42B54D7C7B0" ma:contentTypeVersion="8" ma:contentTypeDescription="DET Document" ma:contentTypeScope="" ma:versionID="b531d3cdfb47f7789687ece382f3c45e">
  <xsd:schema xmlns:xsd="http://www.w3.org/2001/XMLSchema" xmlns:xs="http://www.w3.org/2001/XMLSchema" xmlns:p="http://schemas.microsoft.com/office/2006/metadata/properties" xmlns:ns1="http://schemas.microsoft.com/sharepoint/v3" xmlns:ns2="http://schemas.microsoft.com/Sharepoint/v3" xmlns:ns3="0c36ff92-d041-4586-a8be-cc68f7f52222" xmlns:ns4="http://schemas.microsoft.com/sharepoint/v4" xmlns:ns5="6f6ee68f-6b49-4657-a16b-8046bbdfe8d3" targetNamespace="http://schemas.microsoft.com/office/2006/metadata/properties" ma:root="true" ma:fieldsID="f11e29745fa4272c145e5951d4e2f8b8" ns1:_="" ns2:_="" ns3:_="" ns4:_="" ns5:_="">
    <xsd:import namespace="http://schemas.microsoft.com/sharepoint/v3"/>
    <xsd:import namespace="http://schemas.microsoft.com/Sharepoint/v3"/>
    <xsd:import namespace="0c36ff92-d041-4586-a8be-cc68f7f52222"/>
    <xsd:import namespace="http://schemas.microsoft.com/sharepoint/v4"/>
    <xsd:import namespace="6f6ee68f-6b49-4657-a16b-8046bbdfe8d3"/>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36ff92-d041-4586-a8be-cc68f7f52222"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e5b762f4-b7b3-4adc-83fc-7be5a33ffa68}" ma:internalName="TaxCatchAll" ma:readOnly="false" ma:showField="CatchAllData" ma:web="0c36ff92-d041-4586-a8be-cc68f7f5222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5b762f4-b7b3-4adc-83fc-7be5a33ffa68}" ma:internalName="TaxCatchAllLabel" ma:readOnly="true" ma:showField="CatchAllDataLabel" ma:web="0c36ff92-d041-4586-a8be-cc68f7f522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ee68f-6b49-4657-a16b-8046bbdfe8d3" elementFormDefault="qualified">
    <xsd:import namespace="http://schemas.microsoft.com/office/2006/documentManagement/types"/>
    <xsd:import namespace="http://schemas.microsoft.com/office/infopath/2007/PartnerControls"/>
    <xsd:element name="Approval" ma:index="22" nillable="true" ma:displayName="Approval Status" ma:format="Dropdown" ma:internalName="Approval">
      <xsd:simpleType>
        <xsd:restriction base="dms:Choice">
          <xsd:enumeration value="Draft"/>
          <xsd:enumeration value="Pending Approval"/>
          <xsd:enumeration value="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Collaboration-and-Curriculum-Access-Fund-2022-Guidance-and-Eligibility</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E502FAE-57FD-49D3-B600-E56F606D36BA}"/>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EAE84750-5B68-4F14-B2AA-F90540DB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c36ff92-d041-4586-a8be-cc68f7f52222"/>
    <ds:schemaRef ds:uri="http://schemas.microsoft.com/sharepoint/v4"/>
    <ds:schemaRef ds:uri="6f6ee68f-6b49-4657-a16b-8046bbdfe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0c36ff92-d041-4586-a8be-cc68f7f52222"/>
    <ds:schemaRef ds:uri="http://schemas.microsoft.com/sharepoint/v3"/>
    <ds:schemaRef ds:uri="6f6ee68f-6b49-4657-a16b-8046bbdfe8d3"/>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4</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Kate Nichols 3</cp:lastModifiedBy>
  <cp:revision>72</cp:revision>
  <dcterms:created xsi:type="dcterms:W3CDTF">2022-06-30T00:18:00Z</dcterms:created>
  <dcterms:modified xsi:type="dcterms:W3CDTF">2022-10-06T04:28:00Z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