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A2694" w14:textId="0A794FBB" w:rsidR="00E65101" w:rsidRPr="00540209" w:rsidRDefault="001A4FC2" w:rsidP="00C15701">
      <w:pPr>
        <w:pStyle w:val="Heading1"/>
        <w:spacing w:before="0"/>
        <w:rPr>
          <w:b w:val="0"/>
          <w:lang w:val="en-AU"/>
        </w:rPr>
      </w:pPr>
      <w:bookmarkStart w:id="0" w:name="_GoBack"/>
      <w:bookmarkEnd w:id="0"/>
      <w:r w:rsidRPr="00540209">
        <w:rPr>
          <w:b w:val="0"/>
          <w:lang w:val="en-AU"/>
        </w:rPr>
        <w:t>TEACHER TIP</w:t>
      </w:r>
      <w:r w:rsidR="00885951" w:rsidRPr="00540209">
        <w:rPr>
          <w:b w:val="0"/>
          <w:lang w:val="en-AU"/>
        </w:rPr>
        <w:t xml:space="preserve"> – </w:t>
      </w:r>
      <w:r w:rsidR="00E65101" w:rsidRPr="00540209">
        <w:rPr>
          <w:b w:val="0"/>
        </w:rPr>
        <w:t xml:space="preserve">Using data walls </w:t>
      </w:r>
    </w:p>
    <w:p w14:paraId="439B9F8C" w14:textId="7909B652" w:rsidR="008F2DDF" w:rsidRDefault="008F2DDF" w:rsidP="00BA67AA">
      <w:pPr>
        <w:jc w:val="both"/>
      </w:pPr>
      <w:r w:rsidRPr="008F2DDF">
        <w:t xml:space="preserve">A </w:t>
      </w:r>
      <w:r w:rsidRPr="008F2DDF">
        <w:rPr>
          <w:b/>
        </w:rPr>
        <w:t>data wall</w:t>
      </w:r>
      <w:r w:rsidR="00772AC2">
        <w:t xml:space="preserve"> </w:t>
      </w:r>
      <w:r w:rsidR="00D32A8E">
        <w:t xml:space="preserve">can </w:t>
      </w:r>
      <w:r w:rsidR="00772AC2">
        <w:t xml:space="preserve">use simple </w:t>
      </w:r>
      <w:r w:rsidR="00BA67AA" w:rsidRPr="00336D08">
        <w:t>materials such as sticky</w:t>
      </w:r>
      <w:r w:rsidRPr="008F2DDF">
        <w:t xml:space="preserve"> notes and masking tape to visualise </w:t>
      </w:r>
      <w:r>
        <w:t xml:space="preserve">student </w:t>
      </w:r>
      <w:r w:rsidRPr="008F2DDF">
        <w:t>achieveme</w:t>
      </w:r>
      <w:r>
        <w:t xml:space="preserve">nt over time. </w:t>
      </w:r>
      <w:r w:rsidRPr="008F2DDF">
        <w:t xml:space="preserve">Any grouping of students, from a single class to </w:t>
      </w:r>
      <w:r w:rsidR="00772AC2">
        <w:t>a</w:t>
      </w:r>
      <w:r w:rsidRPr="008F2DDF">
        <w:t xml:space="preserve"> whole school, can form the basis of a data wall. </w:t>
      </w:r>
      <w:r w:rsidR="00C15701">
        <w:t xml:space="preserve">Many schools are already </w:t>
      </w:r>
      <w:r w:rsidR="00810BF3">
        <w:t xml:space="preserve">using </w:t>
      </w:r>
      <w:r w:rsidR="00C15701">
        <w:t>this powerful tool to monitor teaching im</w:t>
      </w:r>
      <w:r w:rsidR="00FB4973">
        <w:t>pact on student learning growth, and centre professional conversations on identifying the classroom strategies need</w:t>
      </w:r>
      <w:r w:rsidR="00681C11">
        <w:t>ed</w:t>
      </w:r>
      <w:r w:rsidR="00FB4973">
        <w:t xml:space="preserve"> to keep every student progressing.</w:t>
      </w:r>
    </w:p>
    <w:p w14:paraId="704F18AC" w14:textId="206C3A4D" w:rsidR="008F2DDF" w:rsidRDefault="008F2DDF" w:rsidP="00BA67AA">
      <w:pPr>
        <w:pStyle w:val="Heading2"/>
        <w:jc w:val="both"/>
      </w:pPr>
      <w:r>
        <w:t>BENEFITS FOR TEACHERS</w:t>
      </w:r>
    </w:p>
    <w:p w14:paraId="73055F41" w14:textId="77B10FA3" w:rsidR="008F2DDF" w:rsidRDefault="00043DB5" w:rsidP="00BA67AA">
      <w:pPr>
        <w:pStyle w:val="Redindented"/>
        <w:jc w:val="both"/>
      </w:pPr>
      <w:r w:rsidRPr="00043DB5">
        <w:t>See the impact of your teaching</w:t>
      </w:r>
    </w:p>
    <w:p w14:paraId="5EB1CFC8" w14:textId="31E5C2F4" w:rsidR="00043DB5" w:rsidRPr="00C15701" w:rsidRDefault="0017236C" w:rsidP="00BA67AA">
      <w:pPr>
        <w:pStyle w:val="Indentedparagraph"/>
        <w:jc w:val="both"/>
      </w:pPr>
      <w:r>
        <w:t xml:space="preserve">By </w:t>
      </w:r>
      <w:r w:rsidR="00B102D1">
        <w:t>“</w:t>
      </w:r>
      <w:r>
        <w:t>p</w:t>
      </w:r>
      <w:r w:rsidR="00B102D1">
        <w:t>utting faces on the data”</w:t>
      </w:r>
      <w:r w:rsidR="00B102D1">
        <w:rPr>
          <w:rStyle w:val="FootnoteReference"/>
        </w:rPr>
        <w:footnoteReference w:id="1"/>
      </w:r>
      <w:r w:rsidR="00B102D1">
        <w:t xml:space="preserve"> a data wall reconnects </w:t>
      </w:r>
      <w:r>
        <w:t xml:space="preserve">numbers and percentages </w:t>
      </w:r>
      <w:r w:rsidR="00B102D1">
        <w:t xml:space="preserve">to </w:t>
      </w:r>
      <w:r w:rsidR="00E344A0">
        <w:t>real</w:t>
      </w:r>
      <w:r w:rsidR="00B102D1">
        <w:t xml:space="preserve"> students.</w:t>
      </w:r>
      <w:r>
        <w:t xml:space="preserve"> </w:t>
      </w:r>
      <w:r w:rsidR="00DD1FB7" w:rsidRPr="00C15701">
        <w:t>Physically</w:t>
      </w:r>
      <w:r w:rsidR="00043DB5" w:rsidRPr="00C15701">
        <w:t xml:space="preserve"> moving a</w:t>
      </w:r>
      <w:r w:rsidR="00E344A0">
        <w:t>n individual</w:t>
      </w:r>
      <w:r>
        <w:t xml:space="preserve"> </w:t>
      </w:r>
      <w:r w:rsidR="00043DB5" w:rsidRPr="00C15701">
        <w:t>student’s sticky note along a wall is a</w:t>
      </w:r>
      <w:r>
        <w:t>n active and</w:t>
      </w:r>
      <w:r w:rsidR="00043DB5" w:rsidRPr="00C15701">
        <w:t xml:space="preserve"> tangible </w:t>
      </w:r>
      <w:r>
        <w:t xml:space="preserve">way to track </w:t>
      </w:r>
      <w:r w:rsidR="00043DB5" w:rsidRPr="00C15701">
        <w:t xml:space="preserve">their progress </w:t>
      </w:r>
      <w:r w:rsidR="00810BF3">
        <w:t xml:space="preserve">on </w:t>
      </w:r>
      <w:r w:rsidR="00E344A0">
        <w:t>a</w:t>
      </w:r>
      <w:r w:rsidR="00810BF3">
        <w:t xml:space="preserve"> learning continuum.</w:t>
      </w:r>
    </w:p>
    <w:p w14:paraId="633C2984" w14:textId="07FAD80A" w:rsidR="00043DB5" w:rsidRDefault="00D50A24" w:rsidP="00BA67AA">
      <w:pPr>
        <w:pStyle w:val="Redindented"/>
        <w:jc w:val="both"/>
      </w:pPr>
      <w:r>
        <w:t xml:space="preserve">Improve your teaching </w:t>
      </w:r>
    </w:p>
    <w:p w14:paraId="4950ED38" w14:textId="63237C4A" w:rsidR="00D50A24" w:rsidRDefault="0017236C" w:rsidP="00BA67AA">
      <w:pPr>
        <w:pStyle w:val="Indentedparagraph"/>
        <w:jc w:val="both"/>
      </w:pPr>
      <w:r>
        <w:t xml:space="preserve">A data wall </w:t>
      </w:r>
      <w:r w:rsidR="00D50A24">
        <w:t>includ</w:t>
      </w:r>
      <w:r>
        <w:t>es</w:t>
      </w:r>
      <w:r w:rsidR="00D50A24">
        <w:t xml:space="preserve"> every student</w:t>
      </w:r>
      <w:r>
        <w:t xml:space="preserve">, </w:t>
      </w:r>
      <w:r w:rsidR="00D50A24">
        <w:t>shift</w:t>
      </w:r>
      <w:r>
        <w:t>ing</w:t>
      </w:r>
      <w:r w:rsidR="00D50A24">
        <w:t xml:space="preserve"> the conversation from ‘my students in my classroom’ to ‘our students in our school’. It </w:t>
      </w:r>
      <w:r w:rsidR="00772AC2">
        <w:t>can be</w:t>
      </w:r>
      <w:r w:rsidR="00D50A24">
        <w:t xml:space="preserve"> the place where you gather with your </w:t>
      </w:r>
      <w:r w:rsidR="00D50A24" w:rsidRPr="00336D08">
        <w:t>Profes</w:t>
      </w:r>
      <w:r w:rsidR="00D106E3" w:rsidRPr="00336D08">
        <w:t xml:space="preserve">sional Learning (PL) </w:t>
      </w:r>
      <w:r w:rsidR="00D50A24" w:rsidRPr="00336D08">
        <w:t>team to transform data into actionable classroom</w:t>
      </w:r>
      <w:r w:rsidR="00D50A24">
        <w:t xml:space="preserve"> strategies</w:t>
      </w:r>
      <w:r w:rsidR="00772AC2">
        <w:t>.</w:t>
      </w:r>
      <w:r w:rsidR="00D50A24">
        <w:t xml:space="preserve"> </w:t>
      </w:r>
    </w:p>
    <w:p w14:paraId="2EA6ECFC" w14:textId="33C42C05" w:rsidR="008F2DDF" w:rsidRPr="00C15701" w:rsidRDefault="008F2DDF" w:rsidP="00BA67AA">
      <w:pPr>
        <w:pStyle w:val="Heading2"/>
        <w:jc w:val="both"/>
      </w:pPr>
      <w:r w:rsidRPr="00C15701">
        <w:t>ADVICE FOR TEACHERS</w:t>
      </w:r>
    </w:p>
    <w:p w14:paraId="02A2AE6A" w14:textId="00933147" w:rsidR="00043DB5" w:rsidRDefault="00043DB5" w:rsidP="00BA67AA">
      <w:pPr>
        <w:pStyle w:val="Redindented"/>
        <w:jc w:val="both"/>
      </w:pPr>
      <w:r>
        <w:t>Start small</w:t>
      </w:r>
    </w:p>
    <w:p w14:paraId="769C3478" w14:textId="04D131D9" w:rsidR="00AB181B" w:rsidRDefault="00772AC2" w:rsidP="00BA67AA">
      <w:pPr>
        <w:pStyle w:val="Indentedparagraph"/>
        <w:jc w:val="both"/>
      </w:pPr>
      <w:r>
        <w:t>S</w:t>
      </w:r>
      <w:r w:rsidR="008F2DDF" w:rsidRPr="008F2DDF">
        <w:t xml:space="preserve">et up a data wall </w:t>
      </w:r>
      <w:r>
        <w:t>a</w:t>
      </w:r>
      <w:r w:rsidR="008F2DDF" w:rsidRPr="008F2DDF">
        <w:t xml:space="preserve">t any time. </w:t>
      </w:r>
      <w:r w:rsidR="00AB181B" w:rsidRPr="00AB181B">
        <w:t xml:space="preserve">It </w:t>
      </w:r>
      <w:r w:rsidR="00AB181B">
        <w:t xml:space="preserve">is a great way for </w:t>
      </w:r>
      <w:r>
        <w:t>a</w:t>
      </w:r>
      <w:r w:rsidR="00BA67AA">
        <w:t xml:space="preserve"> </w:t>
      </w:r>
      <w:r w:rsidR="00D106E3" w:rsidRPr="00336D08">
        <w:t>PL</w:t>
      </w:r>
      <w:r w:rsidR="00AB181B" w:rsidRPr="00336D08">
        <w:t xml:space="preserve"> team to </w:t>
      </w:r>
      <w:r w:rsidR="002E56BA" w:rsidRPr="00336D08">
        <w:t>start</w:t>
      </w:r>
      <w:r w:rsidR="00AB181B" w:rsidRPr="00336D08">
        <w:t xml:space="preserve"> an inquiry-based improvement cycle.</w:t>
      </w:r>
      <w:r w:rsidRPr="00336D08">
        <w:t xml:space="preserve"> </w:t>
      </w:r>
      <w:r w:rsidR="00AB181B" w:rsidRPr="00336D08">
        <w:t>Start with a single</w:t>
      </w:r>
      <w:r w:rsidR="00AB181B">
        <w:t xml:space="preserve"> curriculum standard or </w:t>
      </w:r>
      <w:r>
        <w:t xml:space="preserve">set </w:t>
      </w:r>
      <w:r w:rsidR="00AB181B">
        <w:t>of students</w:t>
      </w:r>
      <w:r>
        <w:t xml:space="preserve"> and build it up.</w:t>
      </w:r>
      <w:r w:rsidR="00AB181B">
        <w:t xml:space="preserve"> Tal</w:t>
      </w:r>
      <w:r w:rsidR="002E56BA">
        <w:t>k to school leaders</w:t>
      </w:r>
      <w:r w:rsidR="00AB181B">
        <w:t xml:space="preserve"> about introducing data walls across the school.</w:t>
      </w:r>
    </w:p>
    <w:p w14:paraId="61826035" w14:textId="58017DB9" w:rsidR="00F84799" w:rsidRPr="00F84799" w:rsidRDefault="00F84799" w:rsidP="00BA67AA">
      <w:pPr>
        <w:pStyle w:val="Headingbullet"/>
        <w:numPr>
          <w:ilvl w:val="0"/>
          <w:numId w:val="21"/>
        </w:numPr>
        <w:ind w:left="284" w:hanging="284"/>
        <w:jc w:val="both"/>
      </w:pPr>
      <w:r w:rsidRPr="00F84799">
        <w:t>Use data from common, moderated assessments</w:t>
      </w:r>
    </w:p>
    <w:p w14:paraId="7332D70A" w14:textId="6F620DB5" w:rsidR="00AB181B" w:rsidRDefault="00F84799" w:rsidP="00BA67AA">
      <w:pPr>
        <w:pStyle w:val="Indentedparagraph"/>
        <w:jc w:val="both"/>
      </w:pPr>
      <w:r w:rsidRPr="00F84799">
        <w:t xml:space="preserve">Common assessments are the foundation of a data wall – providing the achievement yardstick to measure student </w:t>
      </w:r>
      <w:r w:rsidR="0017236C">
        <w:t xml:space="preserve">learning </w:t>
      </w:r>
      <w:r w:rsidRPr="00F84799">
        <w:t>growth.</w:t>
      </w:r>
      <w:r>
        <w:t xml:space="preserve"> </w:t>
      </w:r>
      <w:r w:rsidRPr="00F84799">
        <w:t xml:space="preserve">Moderation ensures </w:t>
      </w:r>
      <w:r w:rsidR="00DC7D26">
        <w:t>each student’s place on the relevant learning continuum is displayed accurately</w:t>
      </w:r>
      <w:r w:rsidR="0017236C">
        <w:t>.</w:t>
      </w:r>
    </w:p>
    <w:p w14:paraId="1FB4DBB9" w14:textId="58625BF2" w:rsidR="00BA67AA" w:rsidRDefault="00BA67AA" w:rsidP="00BA67AA">
      <w:pPr>
        <w:pStyle w:val="Indentedparagraph"/>
        <w:jc w:val="both"/>
      </w:pPr>
    </w:p>
    <w:p w14:paraId="506E2C61" w14:textId="77777777" w:rsidR="00BA67AA" w:rsidRDefault="00BA67AA" w:rsidP="00BA67AA">
      <w:pPr>
        <w:pStyle w:val="Indentedparagraph"/>
        <w:jc w:val="both"/>
        <w:rPr>
          <w:b/>
        </w:rPr>
      </w:pPr>
    </w:p>
    <w:p w14:paraId="69A22BA6" w14:textId="0DD90EDF" w:rsidR="00DC7D26" w:rsidRDefault="00DC7D26" w:rsidP="00BA67AA">
      <w:pPr>
        <w:pStyle w:val="Redindented"/>
        <w:jc w:val="both"/>
      </w:pPr>
      <w:r>
        <w:t>Look for patterns</w:t>
      </w:r>
      <w:r w:rsidR="00772AC2">
        <w:t xml:space="preserve"> in the data</w:t>
      </w:r>
    </w:p>
    <w:p w14:paraId="0E77A73B" w14:textId="6785FF95" w:rsidR="002E56BA" w:rsidRDefault="00BA67AA" w:rsidP="00BA67AA">
      <w:pPr>
        <w:pStyle w:val="Indentedparagraph"/>
        <w:spacing w:after="0"/>
        <w:jc w:val="both"/>
      </w:pPr>
      <w:r>
        <w:t xml:space="preserve">Pattern-spot in </w:t>
      </w:r>
      <w:r w:rsidRPr="00336D08">
        <w:t>your PL</w:t>
      </w:r>
      <w:r w:rsidR="00772AC2" w:rsidRPr="00336D08">
        <w:t xml:space="preserve"> team,</w:t>
      </w:r>
      <w:r w:rsidR="00DC7D26" w:rsidRPr="00336D08">
        <w:t xml:space="preserve"> using</w:t>
      </w:r>
      <w:r w:rsidR="002E56BA" w:rsidRPr="00336D08">
        <w:t xml:space="preserve"> the</w:t>
      </w:r>
      <w:r w:rsidR="002E56BA">
        <w:t xml:space="preserve"> following prompts to guide </w:t>
      </w:r>
      <w:r w:rsidR="00BF2056">
        <w:t xml:space="preserve">the </w:t>
      </w:r>
      <w:r w:rsidR="002E56BA">
        <w:t>discussion</w:t>
      </w:r>
      <w:r w:rsidR="00DC7D26">
        <w:rPr>
          <w:rStyle w:val="FootnoteReference"/>
        </w:rPr>
        <w:footnoteReference w:id="2"/>
      </w:r>
      <w:r w:rsidR="002E56BA">
        <w:t>:</w:t>
      </w:r>
    </w:p>
    <w:p w14:paraId="1F57372F" w14:textId="61CDE03F" w:rsidR="002E56BA" w:rsidRDefault="002E56BA" w:rsidP="00BA67AA">
      <w:pPr>
        <w:pStyle w:val="Idented2"/>
        <w:spacing w:after="60"/>
        <w:ind w:left="568" w:hanging="284"/>
        <w:jc w:val="both"/>
      </w:pPr>
      <w:r w:rsidRPr="002E56BA">
        <w:rPr>
          <w:i/>
        </w:rPr>
        <w:t>Generalisations</w:t>
      </w:r>
      <w:r>
        <w:t>: “In general, I noticed...”</w:t>
      </w:r>
    </w:p>
    <w:p w14:paraId="6FECDB1D" w14:textId="0AAA6B1F" w:rsidR="002E56BA" w:rsidRDefault="002E56BA" w:rsidP="00BA67AA">
      <w:pPr>
        <w:pStyle w:val="Idented2"/>
        <w:spacing w:after="60"/>
        <w:ind w:left="568" w:hanging="284"/>
        <w:jc w:val="both"/>
      </w:pPr>
      <w:r w:rsidRPr="002E56BA">
        <w:rPr>
          <w:i/>
        </w:rPr>
        <w:t>Exceptions</w:t>
      </w:r>
      <w:r>
        <w:t>: “Exceptions to this were...”</w:t>
      </w:r>
    </w:p>
    <w:p w14:paraId="6C9EEDF4" w14:textId="46DC4BF8" w:rsidR="002E56BA" w:rsidRDefault="002E56BA" w:rsidP="00BA67AA">
      <w:pPr>
        <w:pStyle w:val="Idented2"/>
        <w:spacing w:after="60"/>
        <w:ind w:left="568" w:hanging="284"/>
        <w:jc w:val="both"/>
      </w:pPr>
      <w:r w:rsidRPr="002E56BA">
        <w:rPr>
          <w:i/>
        </w:rPr>
        <w:t>Contradictions</w:t>
      </w:r>
      <w:r>
        <w:t>: “On the one hand....but on the other hand...”</w:t>
      </w:r>
    </w:p>
    <w:p w14:paraId="281BA4C0" w14:textId="0C5B3C6B" w:rsidR="002E56BA" w:rsidRDefault="002E56BA" w:rsidP="00BA67AA">
      <w:pPr>
        <w:pStyle w:val="Idented2"/>
        <w:spacing w:after="60"/>
        <w:ind w:left="568" w:hanging="284"/>
        <w:jc w:val="both"/>
      </w:pPr>
      <w:r w:rsidRPr="002E56BA">
        <w:rPr>
          <w:i/>
        </w:rPr>
        <w:t>Surprises</w:t>
      </w:r>
      <w:r>
        <w:t>: “Things I was (wasn’t) expecting to see, but didn’t (did) see were…”</w:t>
      </w:r>
    </w:p>
    <w:p w14:paraId="0C150E76" w14:textId="232987C0" w:rsidR="00AB181B" w:rsidRDefault="002E56BA" w:rsidP="00BA67AA">
      <w:pPr>
        <w:pStyle w:val="Idented2"/>
        <w:jc w:val="both"/>
      </w:pPr>
      <w:r w:rsidRPr="002E56BA">
        <w:rPr>
          <w:i/>
        </w:rPr>
        <w:t>Puzzles</w:t>
      </w:r>
      <w:r>
        <w:t>: “Things that still puzzle me that may need following up on are…”</w:t>
      </w:r>
    </w:p>
    <w:p w14:paraId="0F1E04CC" w14:textId="6277BC1A" w:rsidR="002E56BA" w:rsidRDefault="00F84799" w:rsidP="00BA67AA">
      <w:pPr>
        <w:pStyle w:val="Redindented"/>
        <w:jc w:val="both"/>
      </w:pPr>
      <w:r>
        <w:t>Ask</w:t>
      </w:r>
      <w:r w:rsidR="0019358C">
        <w:t xml:space="preserve"> what each student is ready to learn</w:t>
      </w:r>
      <w:r>
        <w:t xml:space="preserve"> next</w:t>
      </w:r>
    </w:p>
    <w:p w14:paraId="422089AB" w14:textId="584F795B" w:rsidR="00E344A0" w:rsidRDefault="00E0403A" w:rsidP="00BA67AA">
      <w:pPr>
        <w:pStyle w:val="Indentedparagraph"/>
        <w:jc w:val="both"/>
      </w:pPr>
      <w:r>
        <w:t>R</w:t>
      </w:r>
      <w:r w:rsidR="00E344A0">
        <w:t xml:space="preserve">efer to the data wall </w:t>
      </w:r>
      <w:r w:rsidR="00BA67AA">
        <w:t xml:space="preserve">in </w:t>
      </w:r>
      <w:r w:rsidR="00BA67AA" w:rsidRPr="00336D08">
        <w:t>every PL team</w:t>
      </w:r>
      <w:r w:rsidR="00E344A0" w:rsidRPr="00336D08">
        <w:t>, asking</w:t>
      </w:r>
      <w:r w:rsidR="00E344A0">
        <w:t xml:space="preserve">: </w:t>
      </w:r>
      <w:r w:rsidR="00E344A0" w:rsidRPr="00F84799">
        <w:t>What are students at each level of proficiency ready to learn?</w:t>
      </w:r>
      <w:r w:rsidR="00E344A0">
        <w:t xml:space="preserve"> </w:t>
      </w:r>
      <w:r w:rsidR="00E344A0" w:rsidRPr="00F84799">
        <w:t>What might these students do with scaffolding, modelling, or the support of a more capable peer or the teacher?</w:t>
      </w:r>
      <w:r w:rsidR="00E344A0">
        <w:rPr>
          <w:rStyle w:val="FootnoteReference"/>
        </w:rPr>
        <w:footnoteReference w:id="3"/>
      </w:r>
    </w:p>
    <w:p w14:paraId="50068F57" w14:textId="59AB066A" w:rsidR="0017236C" w:rsidRDefault="00E344A0" w:rsidP="00BA67AA">
      <w:pPr>
        <w:pStyle w:val="Indentedparagraph"/>
        <w:jc w:val="both"/>
      </w:pPr>
      <w:r>
        <w:t xml:space="preserve">This centres conversation </w:t>
      </w:r>
      <w:r w:rsidR="00E0403A">
        <w:t xml:space="preserve">on evaluating teaching impact and identifying </w:t>
      </w:r>
      <w:r>
        <w:t>teaching interventions and learning strategies</w:t>
      </w:r>
      <w:r w:rsidR="00E0403A">
        <w:t xml:space="preserve"> to move every student forward</w:t>
      </w:r>
      <w:r>
        <w:t xml:space="preserve">, </w:t>
      </w:r>
      <w:r w:rsidR="00E0403A">
        <w:t>especially those making little or no progress.</w:t>
      </w:r>
      <w:r>
        <w:t xml:space="preserve"> </w:t>
      </w:r>
      <w:r w:rsidR="00E0403A">
        <w:t xml:space="preserve">   </w:t>
      </w:r>
    </w:p>
    <w:p w14:paraId="6751B533" w14:textId="3055F539" w:rsidR="00DC7D26" w:rsidRDefault="00DC7D26" w:rsidP="00BA67AA">
      <w:pPr>
        <w:pStyle w:val="Redindented"/>
        <w:jc w:val="both"/>
      </w:pPr>
      <w:r>
        <w:t>Use high impact teaching interventions</w:t>
      </w:r>
    </w:p>
    <w:p w14:paraId="4CE34C13" w14:textId="3B773894" w:rsidR="00DC7D26" w:rsidRPr="00802866" w:rsidRDefault="00802866" w:rsidP="00BA67AA">
      <w:pPr>
        <w:pStyle w:val="Indentedparagraph"/>
        <w:jc w:val="both"/>
      </w:pPr>
      <w:r w:rsidRPr="00802866">
        <w:t xml:space="preserve">The search for </w:t>
      </w:r>
      <w:r w:rsidR="00E0403A">
        <w:t>teaching</w:t>
      </w:r>
      <w:r w:rsidRPr="00802866">
        <w:t xml:space="preserve"> interventions to keep students moving along the </w:t>
      </w:r>
      <w:r w:rsidR="0017236C">
        <w:t xml:space="preserve">learning continuum </w:t>
      </w:r>
      <w:r w:rsidRPr="00802866">
        <w:t xml:space="preserve">should be guided by reliable principles and strategies. The </w:t>
      </w:r>
      <w:hyperlink r:id="rId11" w:history="1">
        <w:r w:rsidRPr="00DD1FB7">
          <w:rPr>
            <w:rStyle w:val="Hyperlink"/>
          </w:rPr>
          <w:t>Practice Principles for Excellence in Teaching</w:t>
        </w:r>
        <w:r w:rsidR="00DD1FB7" w:rsidRPr="00DD1FB7">
          <w:rPr>
            <w:rStyle w:val="Hyperlink"/>
          </w:rPr>
          <w:t xml:space="preserve"> and</w:t>
        </w:r>
        <w:r w:rsidRPr="00DD1FB7">
          <w:rPr>
            <w:rStyle w:val="Hyperlink"/>
          </w:rPr>
          <w:t xml:space="preserve"> Learning</w:t>
        </w:r>
      </w:hyperlink>
      <w:r w:rsidR="00DD1FB7">
        <w:t xml:space="preserve">, </w:t>
      </w:r>
      <w:hyperlink r:id="rId12" w:history="1">
        <w:r w:rsidRPr="00DD1FB7">
          <w:rPr>
            <w:rStyle w:val="Hyperlink"/>
          </w:rPr>
          <w:t>High Impact Teaching Strategies</w:t>
        </w:r>
      </w:hyperlink>
      <w:r w:rsidRPr="00802866">
        <w:t xml:space="preserve"> and </w:t>
      </w:r>
      <w:hyperlink r:id="rId13" w:history="1">
        <w:r w:rsidRPr="00DD1FB7">
          <w:rPr>
            <w:rStyle w:val="Hyperlink"/>
          </w:rPr>
          <w:t>Literacy Teaching Toolkit</w:t>
        </w:r>
      </w:hyperlink>
      <w:r w:rsidRPr="00802866">
        <w:t xml:space="preserve"> draw on the best available evidence from international research, leading experts and high-performing Victorian schools.</w:t>
      </w:r>
    </w:p>
    <w:p w14:paraId="36C088D9" w14:textId="77777777" w:rsidR="00DD1FB7" w:rsidRDefault="00DD1FB7" w:rsidP="00BA67AA">
      <w:pPr>
        <w:pStyle w:val="Heading2"/>
        <w:jc w:val="both"/>
        <w:rPr>
          <w:lang w:val="en-AU"/>
        </w:rPr>
      </w:pPr>
      <w:r>
        <w:rPr>
          <w:lang w:val="en-AU"/>
        </w:rPr>
        <w:t>RESOURCES FOR TEACHERS</w:t>
      </w:r>
    </w:p>
    <w:p w14:paraId="4EE80F8C" w14:textId="24FEA9FA" w:rsidR="00DD1FB7" w:rsidRDefault="00DD1FB7" w:rsidP="00BA67AA">
      <w:pPr>
        <w:spacing w:after="240"/>
        <w:jc w:val="both"/>
      </w:pPr>
      <w:r>
        <w:rPr>
          <w:lang w:val="en-AU"/>
        </w:rPr>
        <w:t>To access the full resource this Teacher Tip is based</w:t>
      </w:r>
      <w:r w:rsidR="00BF2056">
        <w:rPr>
          <w:lang w:val="en-AU"/>
        </w:rPr>
        <w:t xml:space="preserve"> on</w:t>
      </w:r>
      <w:r>
        <w:rPr>
          <w:lang w:val="en-AU"/>
        </w:rPr>
        <w:t xml:space="preserve">, see: </w:t>
      </w:r>
      <w:hyperlink r:id="rId14" w:history="1">
        <w:r w:rsidRPr="00DD1FB7">
          <w:rPr>
            <w:rStyle w:val="Hyperlink"/>
            <w:i/>
          </w:rPr>
          <w:t>Professional Practice Note 5: Using data walls to turn data into instruction</w:t>
        </w:r>
      </w:hyperlink>
      <w:r>
        <w:t xml:space="preserve">. </w:t>
      </w:r>
    </w:p>
    <w:p w14:paraId="30E13D25" w14:textId="46F34783" w:rsidR="00DD1FB7" w:rsidRDefault="00DD1FB7" w:rsidP="00BA67AA">
      <w:pPr>
        <w:spacing w:after="240"/>
        <w:jc w:val="both"/>
      </w:pPr>
      <w:r>
        <w:t xml:space="preserve">To hear a leading </w:t>
      </w:r>
      <w:r w:rsidR="00772AC2">
        <w:t xml:space="preserve">international </w:t>
      </w:r>
      <w:r>
        <w:t xml:space="preserve">expert talk about using data walls, see: </w:t>
      </w:r>
      <w:hyperlink r:id="rId15" w:history="1">
        <w:r w:rsidRPr="00DD1FB7">
          <w:rPr>
            <w:rStyle w:val="Hyperlink"/>
          </w:rPr>
          <w:t>Dr Lyn Sharratt on data walls</w:t>
        </w:r>
      </w:hyperlink>
      <w:r>
        <w:t>.</w:t>
      </w:r>
    </w:p>
    <w:p w14:paraId="74E0F55A" w14:textId="74F0A49D" w:rsidR="00DC7D26" w:rsidRPr="00BF03F7" w:rsidRDefault="00DC7D26" w:rsidP="00C15701">
      <w:pPr>
        <w:pStyle w:val="Heading2"/>
        <w:rPr>
          <w:lang w:val="en-AU"/>
        </w:rPr>
      </w:pPr>
      <w:r>
        <w:rPr>
          <w:lang w:val="en-AU"/>
        </w:rPr>
        <w:lastRenderedPageBreak/>
        <w:t>FEEDBACK WELCOME</w:t>
      </w:r>
    </w:p>
    <w:p w14:paraId="75317C19" w14:textId="77777777" w:rsidR="00DC7D26" w:rsidRPr="00BF03F7" w:rsidRDefault="00DC7D26" w:rsidP="00DC7D26">
      <w:pPr>
        <w:rPr>
          <w:rFonts w:cstheme="minorHAnsi"/>
          <w:szCs w:val="18"/>
        </w:rPr>
      </w:pPr>
      <w:r w:rsidRPr="00BF03F7">
        <w:rPr>
          <w:rFonts w:cstheme="minorHAnsi"/>
          <w:szCs w:val="18"/>
        </w:rPr>
        <w:t xml:space="preserve">For more information, or to share your feedback, email: </w:t>
      </w:r>
      <w:hyperlink r:id="rId16" w:history="1">
        <w:r w:rsidRPr="00BF03F7">
          <w:rPr>
            <w:rStyle w:val="Hyperlink"/>
            <w:rFonts w:cstheme="minorHAnsi"/>
            <w:szCs w:val="18"/>
          </w:rPr>
          <w:t>professional.practice@edumail.vic.gov.au</w:t>
        </w:r>
      </w:hyperlink>
      <w:r w:rsidRPr="00BF03F7">
        <w:rPr>
          <w:rFonts w:cstheme="minorHAnsi"/>
          <w:szCs w:val="18"/>
        </w:rPr>
        <w:t>.</w:t>
      </w:r>
    </w:p>
    <w:sectPr w:rsidR="00DC7D26" w:rsidRPr="00BF03F7" w:rsidSect="00B47C76">
      <w:headerReference w:type="default" r:id="rId17"/>
      <w:footerReference w:type="even" r:id="rId18"/>
      <w:footerReference w:type="default" r:id="rId19"/>
      <w:type w:val="continuous"/>
      <w:pgSz w:w="11900" w:h="16840"/>
      <w:pgMar w:top="2835" w:right="1077" w:bottom="1814" w:left="107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84866" w14:textId="77777777" w:rsidR="00C13C04" w:rsidRDefault="00C13C04" w:rsidP="003967DD">
      <w:pPr>
        <w:spacing w:after="0"/>
      </w:pPr>
      <w:r>
        <w:separator/>
      </w:r>
    </w:p>
  </w:endnote>
  <w:endnote w:type="continuationSeparator" w:id="0">
    <w:p w14:paraId="7354B947" w14:textId="77777777" w:rsidR="00C13C04" w:rsidRDefault="00C13C04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E0F14" w14:textId="0E4DFF3E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2BEF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7AF28" w14:textId="77777777" w:rsidR="00C13C04" w:rsidRDefault="00C13C04" w:rsidP="003967DD">
      <w:pPr>
        <w:spacing w:after="0"/>
      </w:pPr>
      <w:r>
        <w:separator/>
      </w:r>
    </w:p>
  </w:footnote>
  <w:footnote w:type="continuationSeparator" w:id="0">
    <w:p w14:paraId="6C8918A2" w14:textId="77777777" w:rsidR="00C13C04" w:rsidRDefault="00C13C04" w:rsidP="003967DD">
      <w:pPr>
        <w:spacing w:after="0"/>
      </w:pPr>
      <w:r>
        <w:continuationSeparator/>
      </w:r>
    </w:p>
  </w:footnote>
  <w:footnote w:id="1">
    <w:p w14:paraId="39C26BF4" w14:textId="2BA33678" w:rsidR="00B102D1" w:rsidRPr="00B102D1" w:rsidRDefault="00B102D1">
      <w:pPr>
        <w:pStyle w:val="FootnoteText"/>
        <w:rPr>
          <w:sz w:val="16"/>
          <w:szCs w:val="16"/>
          <w:lang w:val="en-AU"/>
        </w:rPr>
      </w:pPr>
      <w:r w:rsidRPr="00B102D1">
        <w:rPr>
          <w:rStyle w:val="FootnoteReference"/>
          <w:sz w:val="16"/>
          <w:szCs w:val="16"/>
        </w:rPr>
        <w:footnoteRef/>
      </w:r>
      <w:r w:rsidRPr="00B102D1">
        <w:rPr>
          <w:sz w:val="16"/>
          <w:szCs w:val="16"/>
        </w:rPr>
        <w:t xml:space="preserve"> Sharratt, L. and Fullan, M. (2012). </w:t>
      </w:r>
      <w:r w:rsidRPr="00B102D1">
        <w:rPr>
          <w:i/>
          <w:sz w:val="16"/>
          <w:szCs w:val="16"/>
        </w:rPr>
        <w:t>Putting FACES on the data: What great leaders do!</w:t>
      </w:r>
      <w:r w:rsidRPr="00B102D1">
        <w:rPr>
          <w:sz w:val="16"/>
          <w:szCs w:val="16"/>
        </w:rPr>
        <w:t xml:space="preserve"> Thousand Oaks, CA: Corwin.</w:t>
      </w:r>
    </w:p>
  </w:footnote>
  <w:footnote w:id="2">
    <w:p w14:paraId="3FE0FCC2" w14:textId="44ABC596" w:rsidR="00DC7D26" w:rsidRPr="00DC7D26" w:rsidRDefault="00DC7D26" w:rsidP="00DC7D26">
      <w:pPr>
        <w:pStyle w:val="FootnoteText"/>
        <w:rPr>
          <w:sz w:val="16"/>
          <w:szCs w:val="16"/>
        </w:rPr>
      </w:pPr>
      <w:r w:rsidRPr="00DC7D26">
        <w:rPr>
          <w:rStyle w:val="FootnoteReference"/>
          <w:sz w:val="16"/>
          <w:szCs w:val="16"/>
        </w:rPr>
        <w:footnoteRef/>
      </w:r>
      <w:r w:rsidRPr="00DC7D26">
        <w:rPr>
          <w:sz w:val="16"/>
          <w:szCs w:val="16"/>
        </w:rPr>
        <w:t xml:space="preserve"> The Knowledge Institute: </w:t>
      </w:r>
      <w:hyperlink r:id="rId1" w:history="1">
        <w:r w:rsidRPr="00B218C0">
          <w:rPr>
            <w:rStyle w:val="Hyperlink"/>
            <w:sz w:val="16"/>
            <w:szCs w:val="16"/>
          </w:rPr>
          <w:t>https://knowledgeinstitute.co.nz/</w:t>
        </w:r>
      </w:hyperlink>
      <w:r>
        <w:rPr>
          <w:sz w:val="16"/>
          <w:szCs w:val="16"/>
        </w:rPr>
        <w:t xml:space="preserve"> </w:t>
      </w:r>
    </w:p>
  </w:footnote>
  <w:footnote w:id="3">
    <w:p w14:paraId="754E3D15" w14:textId="77777777" w:rsidR="00E344A0" w:rsidRPr="00DC7D26" w:rsidRDefault="00E344A0" w:rsidP="00E344A0">
      <w:pPr>
        <w:pStyle w:val="FootnoteText"/>
        <w:rPr>
          <w:sz w:val="16"/>
          <w:szCs w:val="16"/>
          <w:lang w:val="en-AU"/>
        </w:rPr>
      </w:pPr>
      <w:r w:rsidRPr="00DC7D26">
        <w:rPr>
          <w:rStyle w:val="FootnoteReference"/>
          <w:sz w:val="16"/>
          <w:szCs w:val="16"/>
        </w:rPr>
        <w:footnoteRef/>
      </w:r>
      <w:r w:rsidRPr="00DC7D26">
        <w:rPr>
          <w:sz w:val="16"/>
          <w:szCs w:val="16"/>
        </w:rPr>
        <w:t xml:space="preserve"> Adapted from Griffin, P. E. (2018). </w:t>
      </w:r>
      <w:r w:rsidRPr="00DC7D26">
        <w:rPr>
          <w:i/>
          <w:sz w:val="16"/>
          <w:szCs w:val="16"/>
        </w:rPr>
        <w:t>Assessment for teaching. Cambridge</w:t>
      </w:r>
      <w:r w:rsidRPr="00DC7D26">
        <w:rPr>
          <w:sz w:val="16"/>
          <w:szCs w:val="16"/>
        </w:rPr>
        <w:t>, United Kingdom: Cambridge University Press.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C1E50" w14:textId="07C79C04" w:rsidR="003967DD" w:rsidRDefault="00326D7E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06FE1BCF" wp14:editId="53FC768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9344"/>
          <wp:effectExtent l="0" t="0" r="952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actsheet_portrait_school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2E23DF"/>
    <w:multiLevelType w:val="hybridMultilevel"/>
    <w:tmpl w:val="0B0AB89A"/>
    <w:lvl w:ilvl="0" w:tplc="6AA81410">
      <w:start w:val="1"/>
      <w:numFmt w:val="bullet"/>
      <w:pStyle w:val="IndentedLis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2" w15:restartNumberingAfterBreak="0">
    <w:nsid w:val="2BA35373"/>
    <w:multiLevelType w:val="hybridMultilevel"/>
    <w:tmpl w:val="467A483A"/>
    <w:lvl w:ilvl="0" w:tplc="1F32384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9645D"/>
    <w:multiLevelType w:val="hybridMultilevel"/>
    <w:tmpl w:val="333CE98C"/>
    <w:lvl w:ilvl="0" w:tplc="6BC4D1C8">
      <w:start w:val="1"/>
      <w:numFmt w:val="lowerLetter"/>
      <w:pStyle w:val="Alphabetlist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D4721"/>
    <w:multiLevelType w:val="hybridMultilevel"/>
    <w:tmpl w:val="F83495A6"/>
    <w:lvl w:ilvl="0" w:tplc="7E2CE3DC">
      <w:start w:val="1"/>
      <w:numFmt w:val="bullet"/>
      <w:pStyle w:val="Redindented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8F7804"/>
    <w:multiLevelType w:val="hybridMultilevel"/>
    <w:tmpl w:val="64405A54"/>
    <w:lvl w:ilvl="0" w:tplc="F52074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C7103768">
      <w:numFmt w:val="bullet"/>
      <w:lvlText w:val="•"/>
      <w:lvlJc w:val="left"/>
      <w:pPr>
        <w:ind w:left="1155" w:hanging="435"/>
      </w:pPr>
      <w:rPr>
        <w:rFonts w:ascii="Arial" w:eastAsiaTheme="minorEastAsia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01023"/>
    <w:multiLevelType w:val="hybridMultilevel"/>
    <w:tmpl w:val="FD2C0F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9199B"/>
    <w:multiLevelType w:val="hybridMultilevel"/>
    <w:tmpl w:val="FA067DE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C272EE9"/>
    <w:multiLevelType w:val="hybridMultilevel"/>
    <w:tmpl w:val="26F84460"/>
    <w:lvl w:ilvl="0" w:tplc="6ABC0848">
      <w:start w:val="1"/>
      <w:numFmt w:val="bullet"/>
      <w:pStyle w:val="Idented2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4"/>
  </w:num>
  <w:num w:numId="13">
    <w:abstractNumId w:val="17"/>
  </w:num>
  <w:num w:numId="14">
    <w:abstractNumId w:val="19"/>
  </w:num>
  <w:num w:numId="15">
    <w:abstractNumId w:val="12"/>
  </w:num>
  <w:num w:numId="16">
    <w:abstractNumId w:val="12"/>
    <w:lvlOverride w:ilvl="0">
      <w:startOverride w:val="1"/>
    </w:lvlOverride>
  </w:num>
  <w:num w:numId="17">
    <w:abstractNumId w:val="13"/>
  </w:num>
  <w:num w:numId="18">
    <w:abstractNumId w:val="11"/>
  </w:num>
  <w:num w:numId="19">
    <w:abstractNumId w:val="18"/>
  </w:num>
  <w:num w:numId="20">
    <w:abstractNumId w:val="15"/>
  </w:num>
  <w:num w:numId="21">
    <w:abstractNumId w:val="16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3339"/>
    <w:rsid w:val="00043DB5"/>
    <w:rsid w:val="00092530"/>
    <w:rsid w:val="000A47D4"/>
    <w:rsid w:val="000A673A"/>
    <w:rsid w:val="00122369"/>
    <w:rsid w:val="001266FF"/>
    <w:rsid w:val="001358EE"/>
    <w:rsid w:val="0017236C"/>
    <w:rsid w:val="001863CC"/>
    <w:rsid w:val="0019358C"/>
    <w:rsid w:val="001A4FC2"/>
    <w:rsid w:val="001E6D40"/>
    <w:rsid w:val="002300C1"/>
    <w:rsid w:val="002E3BED"/>
    <w:rsid w:val="002E486E"/>
    <w:rsid w:val="002E56BA"/>
    <w:rsid w:val="00312720"/>
    <w:rsid w:val="00326D7E"/>
    <w:rsid w:val="00336D08"/>
    <w:rsid w:val="003967DD"/>
    <w:rsid w:val="0041236C"/>
    <w:rsid w:val="00475245"/>
    <w:rsid w:val="004C6402"/>
    <w:rsid w:val="00540209"/>
    <w:rsid w:val="00576FB6"/>
    <w:rsid w:val="005B3516"/>
    <w:rsid w:val="005E1753"/>
    <w:rsid w:val="0060441B"/>
    <w:rsid w:val="00612C6C"/>
    <w:rsid w:val="00624A55"/>
    <w:rsid w:val="0065184D"/>
    <w:rsid w:val="006778E6"/>
    <w:rsid w:val="00681C11"/>
    <w:rsid w:val="006C2519"/>
    <w:rsid w:val="006E6A28"/>
    <w:rsid w:val="00772AC2"/>
    <w:rsid w:val="007B556E"/>
    <w:rsid w:val="007D3E38"/>
    <w:rsid w:val="00802866"/>
    <w:rsid w:val="00810BF3"/>
    <w:rsid w:val="008129BF"/>
    <w:rsid w:val="00885951"/>
    <w:rsid w:val="008C6723"/>
    <w:rsid w:val="008D2952"/>
    <w:rsid w:val="008F2DDF"/>
    <w:rsid w:val="009468FC"/>
    <w:rsid w:val="00972DC8"/>
    <w:rsid w:val="00A31926"/>
    <w:rsid w:val="00A42BEF"/>
    <w:rsid w:val="00A83318"/>
    <w:rsid w:val="00AA1E1F"/>
    <w:rsid w:val="00AB181B"/>
    <w:rsid w:val="00AC29CB"/>
    <w:rsid w:val="00B102D1"/>
    <w:rsid w:val="00B47C76"/>
    <w:rsid w:val="00B72D32"/>
    <w:rsid w:val="00BA67AA"/>
    <w:rsid w:val="00BF03F7"/>
    <w:rsid w:val="00BF2056"/>
    <w:rsid w:val="00C13C04"/>
    <w:rsid w:val="00C15701"/>
    <w:rsid w:val="00C44E62"/>
    <w:rsid w:val="00C956F3"/>
    <w:rsid w:val="00CC2A9A"/>
    <w:rsid w:val="00D106E3"/>
    <w:rsid w:val="00D1480E"/>
    <w:rsid w:val="00D2089B"/>
    <w:rsid w:val="00D32A8E"/>
    <w:rsid w:val="00D50A24"/>
    <w:rsid w:val="00D858C0"/>
    <w:rsid w:val="00DB7600"/>
    <w:rsid w:val="00DC7BA8"/>
    <w:rsid w:val="00DC7D26"/>
    <w:rsid w:val="00DD1FB7"/>
    <w:rsid w:val="00DE34D1"/>
    <w:rsid w:val="00DE5200"/>
    <w:rsid w:val="00E0403A"/>
    <w:rsid w:val="00E344A0"/>
    <w:rsid w:val="00E65101"/>
    <w:rsid w:val="00E67152"/>
    <w:rsid w:val="00E958B7"/>
    <w:rsid w:val="00EB214E"/>
    <w:rsid w:val="00EE3A8E"/>
    <w:rsid w:val="00F14C6A"/>
    <w:rsid w:val="00F256C9"/>
    <w:rsid w:val="00F60B5F"/>
    <w:rsid w:val="00F84799"/>
    <w:rsid w:val="00FB4973"/>
    <w:rsid w:val="00FE3766"/>
    <w:rsid w:val="00FE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A24"/>
    <w:pPr>
      <w:spacing w:after="120" w:line="240" w:lineRule="atLeast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5701"/>
    <w:pPr>
      <w:keepNext/>
      <w:keepLines/>
      <w:spacing w:before="60" w:after="6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C15701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2E3BED"/>
    <w:pPr>
      <w:numPr>
        <w:numId w:val="15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ormal"/>
    <w:qFormat/>
    <w:rsid w:val="00A83318"/>
    <w:pPr>
      <w:numPr>
        <w:numId w:val="17"/>
      </w:numPr>
      <w:ind w:left="568" w:hanging="284"/>
    </w:pPr>
    <w:rPr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80E"/>
    <w:pPr>
      <w:numPr>
        <w:ilvl w:val="1"/>
      </w:numPr>
      <w:spacing w:after="480"/>
    </w:pPr>
    <w:rPr>
      <w:rFonts w:ascii="Arial" w:eastAsiaTheme="majorEastAsia" w:hAnsi="Arial" w:cstheme="majorBidi"/>
      <w:color w:val="5A5A59"/>
      <w:sz w:val="27"/>
      <w:szCs w:val="27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1480E"/>
    <w:rPr>
      <w:rFonts w:ascii="Arial" w:eastAsiaTheme="majorEastAsia" w:hAnsi="Arial" w:cstheme="majorBidi"/>
      <w:color w:val="5A5A59"/>
      <w:sz w:val="27"/>
      <w:szCs w:val="27"/>
      <w:lang w:val="en-US"/>
    </w:rPr>
  </w:style>
  <w:style w:type="character" w:styleId="SubtleEmphasis">
    <w:name w:val="Subtle Emphasis"/>
    <w:basedOn w:val="DefaultParagraphFont"/>
    <w:uiPriority w:val="19"/>
    <w:rsid w:val="00D1480E"/>
    <w:rPr>
      <w:i/>
      <w:iCs/>
      <w:color w:val="808080" w:themeColor="text1" w:themeTint="7F"/>
    </w:rPr>
  </w:style>
  <w:style w:type="paragraph" w:styleId="Title">
    <w:name w:val="Title"/>
    <w:next w:val="Subtitle"/>
    <w:link w:val="TitleChar"/>
    <w:uiPriority w:val="10"/>
    <w:qFormat/>
    <w:rsid w:val="00D1480E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 w:themeColor="accent1"/>
      <w:spacing w:val="5"/>
      <w:kern w:val="28"/>
      <w:sz w:val="44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1480E"/>
    <w:rPr>
      <w:rFonts w:ascii="Arial" w:eastAsiaTheme="majorEastAsia" w:hAnsi="Arial" w:cstheme="majorBidi"/>
      <w:b/>
      <w:color w:val="AF272F" w:themeColor="accent1"/>
      <w:spacing w:val="5"/>
      <w:kern w:val="28"/>
      <w:sz w:val="44"/>
      <w:szCs w:val="5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480E"/>
    <w:pPr>
      <w:spacing w:after="0"/>
    </w:pPr>
    <w:rPr>
      <w:rFonts w:ascii="Arial" w:eastAsiaTheme="minorEastAsia" w:hAnsi="Arial" w:cs="Arial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480E"/>
    <w:rPr>
      <w:rFonts w:ascii="Arial" w:eastAsiaTheme="minorEastAsia" w:hAnsi="Arial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1480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1480E"/>
    <w:rPr>
      <w:color w:val="004EA8" w:themeColor="hyperlink"/>
      <w:u w:val="single"/>
    </w:rPr>
  </w:style>
  <w:style w:type="paragraph" w:customStyle="1" w:styleId="Indentedparagraph">
    <w:name w:val="Indented paragraph"/>
    <w:basedOn w:val="Normal"/>
    <w:link w:val="IndentedparagraphChar"/>
    <w:qFormat/>
    <w:rsid w:val="00C15701"/>
    <w:pPr>
      <w:spacing w:before="60"/>
      <w:ind w:left="284"/>
    </w:pPr>
    <w:rPr>
      <w:rFonts w:ascii="Arial" w:eastAsiaTheme="minorEastAsia" w:hAnsi="Arial" w:cs="Arial"/>
      <w:szCs w:val="18"/>
      <w:lang w:val="en-US"/>
    </w:rPr>
  </w:style>
  <w:style w:type="paragraph" w:customStyle="1" w:styleId="IndentedList">
    <w:name w:val="Indented List"/>
    <w:basedOn w:val="Indentedparagraph"/>
    <w:link w:val="IndentedListChar"/>
    <w:qFormat/>
    <w:rsid w:val="00D1480E"/>
    <w:pPr>
      <w:numPr>
        <w:numId w:val="18"/>
      </w:numPr>
    </w:pPr>
  </w:style>
  <w:style w:type="character" w:customStyle="1" w:styleId="IndentedparagraphChar">
    <w:name w:val="Indented paragraph Char"/>
    <w:basedOn w:val="DefaultParagraphFont"/>
    <w:link w:val="Indentedparagraph"/>
    <w:rsid w:val="00C15701"/>
    <w:rPr>
      <w:rFonts w:ascii="Arial" w:eastAsiaTheme="minorEastAsia" w:hAnsi="Arial" w:cs="Arial"/>
      <w:sz w:val="18"/>
      <w:szCs w:val="18"/>
      <w:lang w:val="en-US"/>
    </w:rPr>
  </w:style>
  <w:style w:type="character" w:customStyle="1" w:styleId="IndentedListChar">
    <w:name w:val="Indented List Char"/>
    <w:basedOn w:val="IndentedparagraphChar"/>
    <w:link w:val="IndentedList"/>
    <w:rsid w:val="00D1480E"/>
    <w:rPr>
      <w:rFonts w:ascii="Arial" w:eastAsiaTheme="minorEastAsia" w:hAnsi="Arial" w:cs="Arial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A28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A28"/>
    <w:rPr>
      <w:rFonts w:ascii="Segoe UI" w:hAnsi="Segoe UI" w:cs="Segoe UI"/>
      <w:sz w:val="18"/>
      <w:szCs w:val="18"/>
    </w:rPr>
  </w:style>
  <w:style w:type="paragraph" w:customStyle="1" w:styleId="Headingbullet">
    <w:name w:val="Heading bullet"/>
    <w:basedOn w:val="ListParagraph"/>
    <w:link w:val="HeadingbulletChar"/>
    <w:qFormat/>
    <w:rsid w:val="00043DB5"/>
    <w:pPr>
      <w:spacing w:before="180" w:after="60"/>
      <w:ind w:left="360"/>
      <w:contextualSpacing w:val="0"/>
    </w:pPr>
    <w:rPr>
      <w:rFonts w:ascii="Arial" w:eastAsiaTheme="minorEastAsia" w:hAnsi="Arial" w:cs="Arial"/>
      <w:b/>
      <w:szCs w:val="18"/>
      <w:lang w:val="en-US"/>
    </w:rPr>
  </w:style>
  <w:style w:type="character" w:customStyle="1" w:styleId="HeadingbulletChar">
    <w:name w:val="Heading bullet Char"/>
    <w:basedOn w:val="DefaultParagraphFont"/>
    <w:link w:val="Headingbullet"/>
    <w:rsid w:val="00043DB5"/>
    <w:rPr>
      <w:rFonts w:ascii="Arial" w:eastAsiaTheme="minorEastAsia" w:hAnsi="Arial" w:cs="Arial"/>
      <w:b/>
      <w:sz w:val="18"/>
      <w:szCs w:val="1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43DB5"/>
    <w:pPr>
      <w:ind w:left="720"/>
      <w:contextualSpacing/>
    </w:pPr>
  </w:style>
  <w:style w:type="paragraph" w:customStyle="1" w:styleId="Redindented">
    <w:name w:val="Red indented"/>
    <w:basedOn w:val="ListParagraph"/>
    <w:link w:val="RedindentedChar"/>
    <w:qFormat/>
    <w:rsid w:val="00772AC2"/>
    <w:pPr>
      <w:numPr>
        <w:numId w:val="20"/>
      </w:numPr>
      <w:spacing w:after="60"/>
      <w:ind w:left="284" w:hanging="284"/>
      <w:contextualSpacing w:val="0"/>
    </w:pPr>
    <w:rPr>
      <w:b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DB5"/>
    <w:rPr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43DB5"/>
    <w:rPr>
      <w:sz w:val="20"/>
    </w:rPr>
  </w:style>
  <w:style w:type="character" w:customStyle="1" w:styleId="RedindentedChar">
    <w:name w:val="Red indented Char"/>
    <w:basedOn w:val="ListParagraphChar"/>
    <w:link w:val="Redindented"/>
    <w:rsid w:val="00772AC2"/>
    <w:rPr>
      <w:b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D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DB5"/>
    <w:rPr>
      <w:rFonts w:ascii="Arial" w:eastAsiaTheme="minorEastAsia" w:hAnsi="Arial" w:cs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DB5"/>
    <w:rPr>
      <w:rFonts w:ascii="Arial" w:eastAsiaTheme="minorEastAsia" w:hAnsi="Arial" w:cs="Arial"/>
      <w:b/>
      <w:bCs/>
      <w:sz w:val="20"/>
      <w:szCs w:val="20"/>
      <w:lang w:val="en-US"/>
    </w:rPr>
  </w:style>
  <w:style w:type="paragraph" w:customStyle="1" w:styleId="Idented2">
    <w:name w:val="Idented #2"/>
    <w:basedOn w:val="Indentedparagraph"/>
    <w:link w:val="Idented2Char"/>
    <w:qFormat/>
    <w:rsid w:val="002E56BA"/>
    <w:pPr>
      <w:numPr>
        <w:numId w:val="23"/>
      </w:numPr>
      <w:ind w:left="567" w:hanging="283"/>
    </w:pPr>
  </w:style>
  <w:style w:type="character" w:customStyle="1" w:styleId="Idented2Char">
    <w:name w:val="Idented #2 Char"/>
    <w:basedOn w:val="IndentedparagraphChar"/>
    <w:link w:val="Idented2"/>
    <w:rsid w:val="002E56BA"/>
    <w:rPr>
      <w:rFonts w:ascii="Arial" w:eastAsiaTheme="minorEastAsia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ducation.vic.gov.au/school/teachers/teachingresources/discipline/english/literacy/Pages/default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education.vic.gov.au/school/teachers/teachingresources/practice/Pages/hits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rofessional.practice@edumail.vic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ducation.vic.gov.au/school/teachers/teachingresources/practice/Pages/principlesexcellence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imeo.com/258562802/f12086a909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gate.eduweb.vic.gov.au/edrms/collaboration/PPLD/WSEU_Public_Documents/Professional_practice_note_5_data_walls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nowledgeinstitute.co.n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124F65-9CDE-46DD-8C91-5B101AA8D791}"/>
</file>

<file path=customXml/itemProps2.xml><?xml version="1.0" encoding="utf-8"?>
<ds:datastoreItem xmlns:ds="http://schemas.openxmlformats.org/officeDocument/2006/customXml" ds:itemID="{A6CE509D-4BBB-4FA3-8AA7-894D3A492017}"/>
</file>

<file path=customXml/itemProps3.xml><?xml version="1.0" encoding="utf-8"?>
<ds:datastoreItem xmlns:ds="http://schemas.openxmlformats.org/officeDocument/2006/customXml" ds:itemID="{1B8743AD-772E-4EA1-9AF5-1C6A337E1859}"/>
</file>

<file path=customXml/itemProps4.xml><?xml version="1.0" encoding="utf-8"?>
<ds:datastoreItem xmlns:ds="http://schemas.openxmlformats.org/officeDocument/2006/customXml" ds:itemID="{02B2171A-7DE6-4B92-BBA6-7966DC8A41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O'Donnell, Manda J</cp:lastModifiedBy>
  <cp:revision>2</cp:revision>
  <cp:lastPrinted>2018-03-08T03:51:00Z</cp:lastPrinted>
  <dcterms:created xsi:type="dcterms:W3CDTF">2018-03-13T04:56:00Z</dcterms:created>
  <dcterms:modified xsi:type="dcterms:W3CDTF">2018-03-13T04:56:00Z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20;#1.2.2 Project Documentation|a3ce4c3c-7960-4756-834e-8cbbf9028802</vt:lpwstr>
  </property>
  <property fmtid="{D5CDD505-2E9C-101B-9397-08002B2CF9AE}" pid="4" name="RecordPoint_RecordNumberSubmitted">
    <vt:lpwstr>R0001003790</vt:lpwstr>
  </property>
  <property fmtid="{D5CDD505-2E9C-101B-9397-08002B2CF9AE}" pid="5" name="RecordPoint_ActiveItemSiteId">
    <vt:lpwstr>{03dc8113-b288-4f44-a289-6e7ea0196235}</vt:lpwstr>
  </property>
  <property fmtid="{D5CDD505-2E9C-101B-9397-08002B2CF9AE}" pid="6" name="RecordPoint_ActiveItemListId">
    <vt:lpwstr>{f5368c2d-903c-42e4-9422-50d6891e545d}</vt:lpwstr>
  </property>
  <property fmtid="{D5CDD505-2E9C-101B-9397-08002B2CF9AE}" pid="7" name="RecordPoint_ActiveItemUniqueId">
    <vt:lpwstr>{237b5e99-feae-469e-99f5-c30939b5f72f}</vt:lpwstr>
  </property>
  <property fmtid="{D5CDD505-2E9C-101B-9397-08002B2CF9AE}" pid="8" name="RecordPoint_SubmissionCompleted">
    <vt:lpwstr>2017-09-05T12:51:41.8552186+10:00</vt:lpwstr>
  </property>
  <property fmtid="{D5CDD505-2E9C-101B-9397-08002B2CF9AE}" pid="9" name="RecordPoint_ActiveItemWebId">
    <vt:lpwstr>{69c6d17e-4966-4cea-b47f-eb6dea2170e9}</vt:lpwstr>
  </property>
  <property fmtid="{D5CDD505-2E9C-101B-9397-08002B2CF9AE}" pid="10" name="DET_EDRMS_SecClassTaxHTField0">
    <vt:lpwstr/>
  </property>
  <property fmtid="{D5CDD505-2E9C-101B-9397-08002B2CF9AE}" pid="11" name="RecordPoint_WorkflowType">
    <vt:lpwstr>ActiveSubmitStub</vt:lpwstr>
  </property>
  <property fmtid="{D5CDD505-2E9C-101B-9397-08002B2CF9AE}" pid="12" name="DET_EDRMS_SecClass">
    <vt:lpwstr/>
  </property>
  <property fmtid="{D5CDD505-2E9C-101B-9397-08002B2CF9AE}" pid="13" name="DEECD_Author">
    <vt:lpwstr>94;#Education|5232e41c-5101-41fe-b638-7d41d1371531</vt:lpwstr>
  </property>
  <property fmtid="{D5CDD505-2E9C-101B-9397-08002B2CF9AE}" pid="14" name="DEECD_ItemType">
    <vt:lpwstr>101;#Page|eb523acf-a821-456c-a76b-7607578309d7</vt:lpwstr>
  </property>
  <property fmtid="{D5CDD505-2E9C-101B-9397-08002B2CF9AE}" pid="15" name="DEECD_SubjectCategory">
    <vt:lpwstr/>
  </property>
  <property fmtid="{D5CDD505-2E9C-101B-9397-08002B2CF9AE}" pid="16" name="DEECD_Audience">
    <vt:lpwstr/>
  </property>
</Properties>
</file>