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8E02F" w14:textId="285F521A" w:rsidR="00923788" w:rsidRDefault="00923788" w:rsidP="00923788">
      <w:pPr>
        <w:pStyle w:val="Heading3"/>
        <w:jc w:val="center"/>
        <w:rPr>
          <w:rFonts w:asciiTheme="minorHAnsi" w:hAnsiTheme="minorHAnsi" w:cstheme="minorHAnsi"/>
          <w:sz w:val="28"/>
          <w:szCs w:val="28"/>
          <w:lang w:val="en-AU"/>
        </w:rPr>
      </w:pPr>
      <w:r w:rsidRPr="005A6AE0">
        <w:rPr>
          <w:rFonts w:asciiTheme="minorHAnsi" w:hAnsiTheme="minorHAnsi" w:cstheme="minorHAnsi"/>
          <w:sz w:val="28"/>
          <w:szCs w:val="28"/>
          <w:lang w:val="en-AU"/>
        </w:rPr>
        <w:t xml:space="preserve">Navigator </w:t>
      </w:r>
      <w:proofErr w:type="spellStart"/>
      <w:r w:rsidR="00F6376E" w:rsidRPr="005A6AE0">
        <w:rPr>
          <w:rFonts w:asciiTheme="minorHAnsi" w:hAnsiTheme="minorHAnsi" w:cstheme="minorHAnsi"/>
          <w:sz w:val="28"/>
          <w:szCs w:val="28"/>
          <w:lang w:val="en-AU"/>
        </w:rPr>
        <w:t>EOI</w:t>
      </w:r>
      <w:proofErr w:type="spellEnd"/>
      <w:r w:rsidR="00F6376E" w:rsidRPr="005A6AE0">
        <w:rPr>
          <w:rFonts w:asciiTheme="minorHAnsi" w:hAnsiTheme="minorHAnsi" w:cstheme="minorHAnsi"/>
          <w:sz w:val="28"/>
          <w:szCs w:val="28"/>
          <w:lang w:val="en-AU"/>
        </w:rPr>
        <w:t xml:space="preserve"> F</w:t>
      </w:r>
      <w:r w:rsidRPr="005A6AE0">
        <w:rPr>
          <w:rFonts w:asciiTheme="minorHAnsi" w:hAnsiTheme="minorHAnsi" w:cstheme="minorHAnsi"/>
          <w:sz w:val="28"/>
          <w:szCs w:val="28"/>
          <w:lang w:val="en-AU"/>
        </w:rPr>
        <w:t>A</w:t>
      </w:r>
      <w:r w:rsidR="00F6376E" w:rsidRPr="005A6AE0">
        <w:rPr>
          <w:rFonts w:asciiTheme="minorHAnsi" w:hAnsiTheme="minorHAnsi" w:cstheme="minorHAnsi"/>
          <w:sz w:val="28"/>
          <w:szCs w:val="28"/>
          <w:lang w:val="en-AU"/>
        </w:rPr>
        <w:t>Qs</w:t>
      </w:r>
      <w:r w:rsidRPr="005A6AE0">
        <w:rPr>
          <w:rFonts w:asciiTheme="minorHAnsi" w:hAnsiTheme="minorHAnsi" w:cstheme="minorHAnsi"/>
          <w:sz w:val="28"/>
          <w:szCs w:val="28"/>
          <w:lang w:val="en-AU"/>
        </w:rPr>
        <w:t xml:space="preserve"> </w:t>
      </w:r>
    </w:p>
    <w:p w14:paraId="6DFFDAB5" w14:textId="77777777" w:rsidR="00613C35" w:rsidRDefault="00613C35" w:rsidP="00613C35">
      <w:pPr>
        <w:pStyle w:val="Heading2"/>
        <w:jc w:val="both"/>
        <w:rPr>
          <w:rFonts w:asciiTheme="minorHAnsi" w:hAnsiTheme="minorHAnsi" w:cstheme="minorHAnsi"/>
          <w:caps w:val="0"/>
          <w:sz w:val="24"/>
          <w:szCs w:val="24"/>
          <w:lang w:val="en-AU"/>
        </w:rPr>
      </w:pPr>
    </w:p>
    <w:p w14:paraId="0F18174F" w14:textId="5D645AE5" w:rsidR="00613C35" w:rsidRPr="00613C35" w:rsidRDefault="00613C35" w:rsidP="00613C35">
      <w:pPr>
        <w:pStyle w:val="Heading2"/>
        <w:jc w:val="both"/>
        <w:rPr>
          <w:rFonts w:asciiTheme="minorHAnsi" w:hAnsiTheme="minorHAnsi" w:cstheme="minorHAnsi"/>
          <w:caps w:val="0"/>
          <w:sz w:val="24"/>
          <w:szCs w:val="24"/>
          <w:lang w:val="en-AU"/>
        </w:rPr>
      </w:pPr>
      <w:r w:rsidRPr="00613C35">
        <w:rPr>
          <w:rFonts w:asciiTheme="minorHAnsi" w:hAnsiTheme="minorHAnsi" w:cstheme="minorHAnsi"/>
          <w:caps w:val="0"/>
          <w:sz w:val="24"/>
          <w:szCs w:val="24"/>
          <w:lang w:val="en-AU"/>
        </w:rPr>
        <w:t>A</w:t>
      </w:r>
      <w:r w:rsidRPr="00613C35">
        <w:rPr>
          <w:rFonts w:asciiTheme="minorHAnsi" w:hAnsiTheme="minorHAnsi" w:cstheme="minorHAnsi"/>
          <w:caps w:val="0"/>
          <w:sz w:val="24"/>
          <w:szCs w:val="24"/>
          <w:lang w:val="en-AU"/>
        </w:rPr>
        <w:t xml:space="preserve">re </w:t>
      </w:r>
      <w:r w:rsidRPr="00613C35">
        <w:rPr>
          <w:rFonts w:asciiTheme="minorHAnsi" w:hAnsiTheme="minorHAnsi" w:cstheme="minorHAnsi"/>
          <w:caps w:val="0"/>
          <w:sz w:val="24"/>
          <w:szCs w:val="24"/>
          <w:lang w:val="en-AU"/>
        </w:rPr>
        <w:t xml:space="preserve">you </w:t>
      </w:r>
      <w:r w:rsidRPr="00613C35">
        <w:rPr>
          <w:rFonts w:asciiTheme="minorHAnsi" w:hAnsiTheme="minorHAnsi" w:cstheme="minorHAnsi"/>
          <w:caps w:val="0"/>
          <w:sz w:val="24"/>
          <w:szCs w:val="24"/>
          <w:lang w:val="en-AU"/>
        </w:rPr>
        <w:t>accepting additional supporting documentation</w:t>
      </w:r>
      <w:r w:rsidRPr="00613C35">
        <w:rPr>
          <w:rFonts w:asciiTheme="minorHAnsi" w:hAnsiTheme="minorHAnsi" w:cstheme="minorHAnsi"/>
          <w:caps w:val="0"/>
          <w:sz w:val="24"/>
          <w:szCs w:val="24"/>
          <w:lang w:val="en-AU"/>
        </w:rPr>
        <w:t xml:space="preserve"> as part of applications</w:t>
      </w:r>
      <w:r w:rsidRPr="00613C35">
        <w:rPr>
          <w:rFonts w:asciiTheme="minorHAnsi" w:hAnsiTheme="minorHAnsi" w:cstheme="minorHAnsi"/>
          <w:caps w:val="0"/>
          <w:sz w:val="24"/>
          <w:szCs w:val="24"/>
          <w:lang w:val="en-AU"/>
        </w:rPr>
        <w:t>? For example</w:t>
      </w:r>
      <w:r w:rsidRPr="00613C35">
        <w:rPr>
          <w:rFonts w:asciiTheme="minorHAnsi" w:hAnsiTheme="minorHAnsi" w:cstheme="minorHAnsi"/>
          <w:caps w:val="0"/>
          <w:sz w:val="24"/>
          <w:szCs w:val="24"/>
          <w:lang w:val="en-AU"/>
        </w:rPr>
        <w:t>,</w:t>
      </w:r>
      <w:r w:rsidRPr="00613C35">
        <w:rPr>
          <w:rFonts w:asciiTheme="minorHAnsi" w:hAnsiTheme="minorHAnsi" w:cstheme="minorHAnsi"/>
          <w:caps w:val="0"/>
          <w:sz w:val="24"/>
          <w:szCs w:val="24"/>
          <w:lang w:val="en-AU"/>
        </w:rPr>
        <w:t xml:space="preserve"> letters of support, case studies and other information to support the application?</w:t>
      </w:r>
    </w:p>
    <w:p w14:paraId="363D0137" w14:textId="77777777" w:rsidR="00613C35" w:rsidRPr="00613C35" w:rsidRDefault="00613C35" w:rsidP="00613C35">
      <w:pPr>
        <w:rPr>
          <w:sz w:val="24"/>
        </w:rPr>
      </w:pPr>
      <w:r w:rsidRPr="00613C35">
        <w:rPr>
          <w:sz w:val="24"/>
        </w:rPr>
        <w:t xml:space="preserve">We are not requesting supporting documents, however if you feel they assist you to demonstrate how you meet the </w:t>
      </w:r>
      <w:proofErr w:type="spellStart"/>
      <w:r w:rsidRPr="00613C35">
        <w:rPr>
          <w:sz w:val="24"/>
        </w:rPr>
        <w:t>KSC</w:t>
      </w:r>
      <w:proofErr w:type="spellEnd"/>
      <w:r w:rsidRPr="00613C35">
        <w:rPr>
          <w:sz w:val="24"/>
        </w:rPr>
        <w:t xml:space="preserve">, please feel free to provide them and we will consider them in that context. </w:t>
      </w:r>
    </w:p>
    <w:p w14:paraId="4A435E25" w14:textId="77777777" w:rsidR="00613C35" w:rsidRDefault="00613C35" w:rsidP="00923788">
      <w:pPr>
        <w:pStyle w:val="Heading2"/>
        <w:jc w:val="both"/>
        <w:rPr>
          <w:rFonts w:asciiTheme="minorHAnsi" w:hAnsiTheme="minorHAnsi" w:cstheme="minorHAnsi"/>
          <w:caps w:val="0"/>
          <w:sz w:val="24"/>
          <w:szCs w:val="24"/>
          <w:lang w:val="en-AU"/>
        </w:rPr>
      </w:pPr>
      <w:bookmarkStart w:id="0" w:name="_GoBack"/>
      <w:bookmarkEnd w:id="0"/>
    </w:p>
    <w:p w14:paraId="44DEA4CA" w14:textId="54BF4EEB" w:rsidR="00F6376E" w:rsidRPr="005A6AE0" w:rsidRDefault="00F6376E" w:rsidP="00923788">
      <w:pPr>
        <w:pStyle w:val="Heading2"/>
        <w:jc w:val="both"/>
        <w:rPr>
          <w:rFonts w:asciiTheme="minorHAnsi" w:hAnsiTheme="minorHAnsi" w:cstheme="minorHAnsi"/>
          <w:caps w:val="0"/>
          <w:sz w:val="24"/>
          <w:szCs w:val="24"/>
          <w:lang w:val="en-AU"/>
        </w:rPr>
      </w:pPr>
      <w:r w:rsidRPr="005A6AE0">
        <w:rPr>
          <w:rFonts w:asciiTheme="minorHAnsi" w:hAnsiTheme="minorHAnsi" w:cstheme="minorHAnsi"/>
          <w:caps w:val="0"/>
          <w:sz w:val="24"/>
          <w:szCs w:val="24"/>
          <w:lang w:val="en-AU"/>
        </w:rPr>
        <w:t xml:space="preserve">What are some of the barriers Navigator Coordinators have experienced while delivering the program? </w:t>
      </w:r>
    </w:p>
    <w:p w14:paraId="1B14DD3C" w14:textId="068260BF" w:rsidR="00F07FEA" w:rsidRPr="00F07FEA" w:rsidRDefault="00F07FEA" w:rsidP="00F07FEA">
      <w:pPr>
        <w:rPr>
          <w:sz w:val="24"/>
          <w:lang w:val="en-AU"/>
        </w:rPr>
      </w:pPr>
      <w:r w:rsidRPr="00F07FEA">
        <w:rPr>
          <w:sz w:val="24"/>
        </w:rPr>
        <w:t>Geographic spread can be difficult in some areas. Loddon Campaspe has dealt with this by having case managers based in specific areas across the region where there was a high number of student population.</w:t>
      </w:r>
    </w:p>
    <w:p w14:paraId="66092ECE" w14:textId="57B08508" w:rsidR="00F8424F" w:rsidRDefault="00F07FEA" w:rsidP="00F07FEA">
      <w:pPr>
        <w:rPr>
          <w:sz w:val="24"/>
        </w:rPr>
      </w:pPr>
      <w:r w:rsidRPr="00F07FEA">
        <w:rPr>
          <w:sz w:val="24"/>
        </w:rPr>
        <w:t xml:space="preserve">Some parents/carers </w:t>
      </w:r>
      <w:r w:rsidR="00C66368">
        <w:rPr>
          <w:sz w:val="24"/>
        </w:rPr>
        <w:t>can be</w:t>
      </w:r>
      <w:r w:rsidRPr="00F07FEA">
        <w:rPr>
          <w:sz w:val="24"/>
        </w:rPr>
        <w:t xml:space="preserve"> </w:t>
      </w:r>
      <w:r w:rsidR="00C66368" w:rsidRPr="00F07FEA">
        <w:rPr>
          <w:sz w:val="24"/>
        </w:rPr>
        <w:t>reluctan</w:t>
      </w:r>
      <w:r w:rsidR="00C66368">
        <w:rPr>
          <w:sz w:val="24"/>
        </w:rPr>
        <w:t>t</w:t>
      </w:r>
      <w:r w:rsidR="00C66368" w:rsidRPr="00F07FEA">
        <w:rPr>
          <w:sz w:val="24"/>
        </w:rPr>
        <w:t xml:space="preserve"> to participate in Navigator and/or support their child’s reengagement with education</w:t>
      </w:r>
      <w:r w:rsidR="00C66368">
        <w:rPr>
          <w:sz w:val="24"/>
        </w:rPr>
        <w:t>.  This can be due to</w:t>
      </w:r>
      <w:r w:rsidR="00C66368" w:rsidRPr="00F07FEA">
        <w:rPr>
          <w:sz w:val="24"/>
        </w:rPr>
        <w:t xml:space="preserve"> </w:t>
      </w:r>
      <w:proofErr w:type="gramStart"/>
      <w:r w:rsidR="00C66368">
        <w:rPr>
          <w:sz w:val="24"/>
        </w:rPr>
        <w:t>a number of</w:t>
      </w:r>
      <w:proofErr w:type="gramEnd"/>
      <w:r w:rsidR="00C66368">
        <w:rPr>
          <w:sz w:val="24"/>
        </w:rPr>
        <w:t xml:space="preserve"> complex challenges </w:t>
      </w:r>
      <w:r w:rsidR="000F41EC">
        <w:rPr>
          <w:sz w:val="24"/>
        </w:rPr>
        <w:t>families may</w:t>
      </w:r>
      <w:r w:rsidR="00C66368">
        <w:rPr>
          <w:sz w:val="24"/>
        </w:rPr>
        <w:t xml:space="preserve"> fac</w:t>
      </w:r>
      <w:r w:rsidR="000F41EC">
        <w:rPr>
          <w:sz w:val="24"/>
        </w:rPr>
        <w:t>e</w:t>
      </w:r>
      <w:r w:rsidR="00C66368">
        <w:rPr>
          <w:sz w:val="24"/>
        </w:rPr>
        <w:t>, such as</w:t>
      </w:r>
      <w:r w:rsidRPr="00F07FEA">
        <w:rPr>
          <w:sz w:val="24"/>
        </w:rPr>
        <w:t xml:space="preserve"> </w:t>
      </w:r>
      <w:r w:rsidR="00C66368" w:rsidRPr="00F07FEA">
        <w:rPr>
          <w:sz w:val="24"/>
        </w:rPr>
        <w:t>financial and housing insecurity</w:t>
      </w:r>
      <w:r w:rsidR="00C66368" w:rsidRPr="00F07FEA" w:rsidDel="00C66368">
        <w:rPr>
          <w:sz w:val="24"/>
        </w:rPr>
        <w:t xml:space="preserve"> </w:t>
      </w:r>
      <w:r w:rsidR="00C66368">
        <w:rPr>
          <w:sz w:val="24"/>
        </w:rPr>
        <w:t>or mental health issues</w:t>
      </w:r>
      <w:r w:rsidRPr="00F07FEA">
        <w:rPr>
          <w:sz w:val="24"/>
        </w:rPr>
        <w:t xml:space="preserve">. Sometimes </w:t>
      </w:r>
      <w:r w:rsidR="000F41EC" w:rsidRPr="00F07FEA">
        <w:rPr>
          <w:sz w:val="24"/>
        </w:rPr>
        <w:t>th</w:t>
      </w:r>
      <w:r w:rsidR="000F41EC">
        <w:rPr>
          <w:sz w:val="24"/>
        </w:rPr>
        <w:t>ese</w:t>
      </w:r>
      <w:r w:rsidR="000F41EC" w:rsidRPr="00F07FEA">
        <w:rPr>
          <w:sz w:val="24"/>
        </w:rPr>
        <w:t xml:space="preserve"> </w:t>
      </w:r>
      <w:r w:rsidR="00C66368">
        <w:rPr>
          <w:sz w:val="24"/>
        </w:rPr>
        <w:t>may result</w:t>
      </w:r>
      <w:r w:rsidRPr="00F07FEA">
        <w:rPr>
          <w:sz w:val="24"/>
        </w:rPr>
        <w:t xml:space="preserve"> in parents/carers not responding to contact attempts</w:t>
      </w:r>
      <w:r>
        <w:rPr>
          <w:sz w:val="24"/>
        </w:rPr>
        <w:t>.</w:t>
      </w:r>
    </w:p>
    <w:p w14:paraId="29EC5821" w14:textId="77777777" w:rsidR="000A6FF1" w:rsidRDefault="000A6FF1" w:rsidP="00F07FEA">
      <w:pPr>
        <w:rPr>
          <w:sz w:val="24"/>
        </w:rPr>
      </w:pPr>
    </w:p>
    <w:p w14:paraId="30E4ED98" w14:textId="395EF50B" w:rsidR="00F8424F" w:rsidRPr="003916D1" w:rsidRDefault="000A6FF1" w:rsidP="00F07FEA">
      <w:pPr>
        <w:rPr>
          <w:sz w:val="24"/>
        </w:rPr>
      </w:pPr>
      <w:r w:rsidRPr="003916D1">
        <w:rPr>
          <w:sz w:val="24"/>
        </w:rPr>
        <w:t xml:space="preserve">Some young people do not want to re-engage with education at their current school, and it can be challenging in some areas to identify an appropriate alternative school or </w:t>
      </w:r>
      <w:r w:rsidR="00F8424F" w:rsidRPr="003916D1">
        <w:rPr>
          <w:sz w:val="24"/>
        </w:rPr>
        <w:t>education provi</w:t>
      </w:r>
      <w:r w:rsidRPr="003916D1">
        <w:rPr>
          <w:sz w:val="24"/>
        </w:rPr>
        <w:t xml:space="preserve">der. </w:t>
      </w:r>
    </w:p>
    <w:p w14:paraId="401DD697" w14:textId="77777777" w:rsidR="008D1D96" w:rsidRPr="003916D1" w:rsidRDefault="008D1D96" w:rsidP="00F6376E">
      <w:pPr>
        <w:rPr>
          <w:rFonts w:cstheme="minorHAnsi"/>
          <w:sz w:val="24"/>
          <w:lang w:val="en-AU"/>
        </w:rPr>
      </w:pPr>
    </w:p>
    <w:p w14:paraId="54B53181" w14:textId="26433A8C" w:rsidR="00F6376E" w:rsidRPr="003916D1" w:rsidRDefault="00F6376E" w:rsidP="00F6376E">
      <w:pPr>
        <w:rPr>
          <w:rFonts w:eastAsiaTheme="majorEastAsia" w:cstheme="minorHAnsi"/>
          <w:b/>
          <w:color w:val="4472C4" w:themeColor="accent1"/>
          <w:sz w:val="24"/>
          <w:lang w:val="en-AU"/>
        </w:rPr>
      </w:pPr>
      <w:r w:rsidRPr="003916D1">
        <w:rPr>
          <w:rFonts w:eastAsiaTheme="majorEastAsia" w:cstheme="minorHAnsi"/>
          <w:b/>
          <w:color w:val="4472C4" w:themeColor="accent1"/>
          <w:sz w:val="24"/>
          <w:lang w:val="en-AU"/>
        </w:rPr>
        <w:t xml:space="preserve">What is the scale of the issue in the three Areas? Can any data around disengagement and early school leaving be shared? </w:t>
      </w:r>
    </w:p>
    <w:p w14:paraId="1CC885B0" w14:textId="7B27D4E0" w:rsidR="00F6376E" w:rsidRPr="003916D1" w:rsidRDefault="0019024B" w:rsidP="00F6376E">
      <w:pPr>
        <w:rPr>
          <w:rFonts w:cstheme="minorHAnsi"/>
          <w:sz w:val="24"/>
        </w:rPr>
      </w:pPr>
      <w:r w:rsidRPr="003916D1">
        <w:t>The Department expects that demand for Navigator will outstrip supply</w:t>
      </w:r>
      <w:r w:rsidRPr="003916D1">
        <w:rPr>
          <w:rFonts w:cstheme="minorHAnsi"/>
          <w:sz w:val="24"/>
        </w:rPr>
        <w:t xml:space="preserve">. </w:t>
      </w:r>
      <w:r w:rsidR="00550A95" w:rsidRPr="003916D1">
        <w:rPr>
          <w:rFonts w:cstheme="minorHAnsi"/>
          <w:sz w:val="24"/>
        </w:rPr>
        <w:t>The Department is</w:t>
      </w:r>
      <w:r w:rsidR="009F78C5" w:rsidRPr="003916D1">
        <w:rPr>
          <w:rFonts w:cstheme="minorHAnsi"/>
          <w:sz w:val="24"/>
        </w:rPr>
        <w:t xml:space="preserve"> limited in the data that it can </w:t>
      </w:r>
      <w:r w:rsidRPr="003916D1">
        <w:rPr>
          <w:rFonts w:cstheme="minorHAnsi"/>
          <w:sz w:val="24"/>
        </w:rPr>
        <w:t>release, however p</w:t>
      </w:r>
      <w:r w:rsidR="008D6CBE" w:rsidRPr="003916D1">
        <w:rPr>
          <w:rFonts w:cstheme="minorHAnsi"/>
          <w:sz w:val="24"/>
        </w:rPr>
        <w:t xml:space="preserve">ublicly available data can be found on the Victorian governments Data Vic website. </w:t>
      </w:r>
      <w:hyperlink r:id="rId12" w:history="1">
        <w:r w:rsidR="009F78C5" w:rsidRPr="003916D1">
          <w:rPr>
            <w:rStyle w:val="Hyperlink"/>
          </w:rPr>
          <w:t>https://discover.data.vic.gov.au/organization/department-of-education-and-training</w:t>
        </w:r>
      </w:hyperlink>
      <w:r w:rsidR="009F78C5" w:rsidRPr="003916D1">
        <w:t xml:space="preserve"> </w:t>
      </w:r>
    </w:p>
    <w:p w14:paraId="421E944E" w14:textId="77777777" w:rsidR="0019024B" w:rsidRPr="003916D1" w:rsidRDefault="0019024B" w:rsidP="00F6376E">
      <w:pPr>
        <w:rPr>
          <w:rFonts w:cstheme="minorHAnsi"/>
          <w:sz w:val="24"/>
        </w:rPr>
      </w:pPr>
    </w:p>
    <w:p w14:paraId="5F09D5E1" w14:textId="32B5893A" w:rsidR="00FF18AE" w:rsidRPr="003916D1" w:rsidRDefault="00FF18AE" w:rsidP="00F6376E">
      <w:pPr>
        <w:rPr>
          <w:rFonts w:eastAsiaTheme="majorEastAsia" w:cstheme="minorHAnsi"/>
          <w:b/>
          <w:color w:val="4472C4" w:themeColor="accent1"/>
          <w:sz w:val="24"/>
          <w:lang w:val="en-AU"/>
        </w:rPr>
      </w:pPr>
      <w:r w:rsidRPr="003916D1">
        <w:rPr>
          <w:rFonts w:eastAsiaTheme="majorEastAsia" w:cstheme="minorHAnsi"/>
          <w:b/>
          <w:color w:val="4472C4" w:themeColor="accent1"/>
          <w:sz w:val="24"/>
          <w:lang w:val="en-AU"/>
        </w:rPr>
        <w:t xml:space="preserve">What data is available to help inform the level of staff FTE required to support disengaged Koori young people?  </w:t>
      </w:r>
    </w:p>
    <w:p w14:paraId="77976034" w14:textId="3BA31BC4" w:rsidR="00FF18AE" w:rsidRPr="003916D1" w:rsidRDefault="0019024B" w:rsidP="00FF18AE">
      <w:pPr>
        <w:rPr>
          <w:rFonts w:eastAsiaTheme="majorEastAsia" w:cstheme="minorHAnsi"/>
          <w:b/>
          <w:color w:val="4472C4" w:themeColor="accent1"/>
          <w:sz w:val="24"/>
          <w:lang w:val="en-AU"/>
        </w:rPr>
      </w:pPr>
      <w:r w:rsidRPr="003916D1">
        <w:rPr>
          <w:rFonts w:cstheme="minorHAnsi"/>
          <w:sz w:val="24"/>
        </w:rPr>
        <w:t xml:space="preserve">The Department is limited in the data that it can release, however publicly available data, including Government school </w:t>
      </w:r>
      <w:proofErr w:type="spellStart"/>
      <w:r w:rsidRPr="003916D1">
        <w:rPr>
          <w:rFonts w:cstheme="minorHAnsi"/>
          <w:sz w:val="24"/>
        </w:rPr>
        <w:t>ATSI</w:t>
      </w:r>
      <w:proofErr w:type="spellEnd"/>
      <w:r w:rsidRPr="003916D1">
        <w:rPr>
          <w:rFonts w:cstheme="minorHAnsi"/>
          <w:sz w:val="24"/>
        </w:rPr>
        <w:t xml:space="preserve"> enrolments by </w:t>
      </w:r>
      <w:proofErr w:type="spellStart"/>
      <w:r w:rsidRPr="003916D1">
        <w:rPr>
          <w:rFonts w:cstheme="minorHAnsi"/>
          <w:sz w:val="24"/>
        </w:rPr>
        <w:t>LGA</w:t>
      </w:r>
      <w:proofErr w:type="spellEnd"/>
      <w:r w:rsidRPr="003916D1">
        <w:rPr>
          <w:rFonts w:cstheme="minorHAnsi"/>
          <w:sz w:val="24"/>
        </w:rPr>
        <w:t xml:space="preserve">  can be found </w:t>
      </w:r>
      <w:r w:rsidR="008C45AA" w:rsidRPr="003916D1">
        <w:rPr>
          <w:rFonts w:cstheme="minorHAnsi"/>
          <w:sz w:val="24"/>
        </w:rPr>
        <w:t xml:space="preserve">on the </w:t>
      </w:r>
      <w:r w:rsidR="00FF18AE" w:rsidRPr="003916D1">
        <w:rPr>
          <w:rFonts w:cstheme="minorHAnsi"/>
          <w:sz w:val="24"/>
        </w:rPr>
        <w:t xml:space="preserve">Data Vic </w:t>
      </w:r>
      <w:r w:rsidR="008C45AA" w:rsidRPr="003916D1">
        <w:rPr>
          <w:rFonts w:cstheme="minorHAnsi"/>
          <w:sz w:val="24"/>
        </w:rPr>
        <w:t xml:space="preserve">website: </w:t>
      </w:r>
      <w:hyperlink r:id="rId13" w:history="1">
        <w:r w:rsidR="008D6CBE" w:rsidRPr="003916D1">
          <w:rPr>
            <w:rStyle w:val="Hyperlink"/>
          </w:rPr>
          <w:t>https://discover.data.vic.gov.au/dataset/government-school-atsi-enrolments-by-lga</w:t>
        </w:r>
      </w:hyperlink>
      <w:r w:rsidR="00FF18AE" w:rsidRPr="003916D1">
        <w:t xml:space="preserve"> </w:t>
      </w:r>
    </w:p>
    <w:p w14:paraId="672D87CB" w14:textId="77777777" w:rsidR="00FF18AE" w:rsidRPr="003916D1" w:rsidRDefault="00FF18AE" w:rsidP="00F6376E">
      <w:pPr>
        <w:rPr>
          <w:rFonts w:eastAsiaTheme="majorEastAsia" w:cstheme="minorHAnsi"/>
          <w:b/>
          <w:color w:val="4472C4" w:themeColor="accent1"/>
          <w:sz w:val="24"/>
          <w:lang w:val="en-AU"/>
        </w:rPr>
      </w:pPr>
    </w:p>
    <w:p w14:paraId="23D62747" w14:textId="3D531A0C" w:rsidR="00F6376E" w:rsidRPr="003916D1" w:rsidRDefault="00F6376E" w:rsidP="00F6376E">
      <w:pPr>
        <w:rPr>
          <w:rFonts w:eastAsiaTheme="majorEastAsia" w:cstheme="minorHAnsi"/>
          <w:b/>
          <w:color w:val="4472C4" w:themeColor="accent1"/>
          <w:sz w:val="24"/>
          <w:lang w:val="en-AU"/>
        </w:rPr>
      </w:pPr>
      <w:r w:rsidRPr="003916D1">
        <w:rPr>
          <w:rFonts w:eastAsiaTheme="majorEastAsia" w:cstheme="minorHAnsi"/>
          <w:b/>
          <w:color w:val="4472C4" w:themeColor="accent1"/>
          <w:sz w:val="24"/>
          <w:lang w:val="en-AU"/>
        </w:rPr>
        <w:t>What are the caseloads in current</w:t>
      </w:r>
      <w:r w:rsidR="005A6AE0" w:rsidRPr="003916D1">
        <w:rPr>
          <w:rFonts w:eastAsiaTheme="majorEastAsia" w:cstheme="minorHAnsi"/>
          <w:b/>
          <w:color w:val="4472C4" w:themeColor="accent1"/>
          <w:sz w:val="24"/>
          <w:lang w:val="en-AU"/>
        </w:rPr>
        <w:t xml:space="preserve"> Navigator</w:t>
      </w:r>
      <w:r w:rsidRPr="003916D1">
        <w:rPr>
          <w:rFonts w:eastAsiaTheme="majorEastAsia" w:cstheme="minorHAnsi"/>
          <w:b/>
          <w:color w:val="4472C4" w:themeColor="accent1"/>
          <w:sz w:val="24"/>
          <w:lang w:val="en-AU"/>
        </w:rPr>
        <w:t xml:space="preserve"> sites like? </w:t>
      </w:r>
    </w:p>
    <w:p w14:paraId="75E1E338" w14:textId="2940E3BE" w:rsidR="008D1D96" w:rsidRPr="003916D1" w:rsidRDefault="0088236C" w:rsidP="008D1D96">
      <w:pPr>
        <w:jc w:val="both"/>
        <w:rPr>
          <w:rStyle w:val="PageNumber"/>
          <w:rFonts w:eastAsia="Calibri" w:cstheme="minorHAnsi"/>
          <w:sz w:val="24"/>
        </w:rPr>
      </w:pPr>
      <w:r w:rsidRPr="003916D1">
        <w:rPr>
          <w:rStyle w:val="PageNumber"/>
          <w:rFonts w:eastAsia="Calibri" w:cstheme="minorHAnsi"/>
          <w:sz w:val="24"/>
        </w:rPr>
        <w:t>Caseloads</w:t>
      </w:r>
      <w:r w:rsidR="008D1D96" w:rsidRPr="003916D1">
        <w:rPr>
          <w:rStyle w:val="PageNumber"/>
          <w:rFonts w:eastAsia="Calibri" w:cstheme="minorHAnsi"/>
          <w:sz w:val="24"/>
        </w:rPr>
        <w:t xml:space="preserve"> differ for each Area and </w:t>
      </w:r>
      <w:r w:rsidR="00C66368" w:rsidRPr="003916D1">
        <w:rPr>
          <w:rStyle w:val="PageNumber"/>
          <w:rFonts w:eastAsia="Calibri" w:cstheme="minorHAnsi"/>
          <w:sz w:val="24"/>
        </w:rPr>
        <w:t xml:space="preserve">are </w:t>
      </w:r>
      <w:r w:rsidR="008D1D96" w:rsidRPr="003916D1">
        <w:rPr>
          <w:rStyle w:val="PageNumber"/>
          <w:rFonts w:eastAsia="Calibri" w:cstheme="minorHAnsi"/>
          <w:sz w:val="24"/>
        </w:rPr>
        <w:t xml:space="preserve">dependent on varying factors. Current Navigator case managers have caseloads of between 15 – 25 young people, dependent on complexity, level of intervention and type of service delivery model (i.e. their intake/assessment/ brief intervention, Active Hold and case management models and processes).  </w:t>
      </w:r>
    </w:p>
    <w:p w14:paraId="56C95ECB" w14:textId="77777777" w:rsidR="00FC6EFF" w:rsidRPr="003916D1" w:rsidRDefault="00FC6EFF" w:rsidP="00FC6EFF">
      <w:pPr>
        <w:jc w:val="both"/>
        <w:rPr>
          <w:rStyle w:val="PageNumber"/>
          <w:rFonts w:eastAsia="Calibri" w:cstheme="minorHAnsi"/>
          <w:sz w:val="24"/>
        </w:rPr>
      </w:pPr>
      <w:r w:rsidRPr="003916D1">
        <w:rPr>
          <w:rStyle w:val="PageNumber"/>
          <w:rFonts w:eastAsia="Calibri" w:cstheme="minorHAnsi"/>
          <w:sz w:val="24"/>
        </w:rPr>
        <w:lastRenderedPageBreak/>
        <w:t xml:space="preserve">Navigator works with highly disengaged learners who often present with complex needs and issues. Within service delivery models, complexity is a factor to consider in terms of the proposed model of service delivery. Over the duration of the program we have seen the development of differentiated levels of support to support the variation of complexity in the client population, and in order to address the varying support needs of young people and their families. </w:t>
      </w:r>
    </w:p>
    <w:p w14:paraId="7C5C9873" w14:textId="07516A2B" w:rsidR="00F6376E" w:rsidRPr="003916D1" w:rsidRDefault="00F6376E" w:rsidP="00F6376E">
      <w:pPr>
        <w:rPr>
          <w:rFonts w:eastAsiaTheme="majorEastAsia" w:cstheme="minorHAnsi"/>
          <w:b/>
          <w:color w:val="4472C4" w:themeColor="accent1"/>
          <w:sz w:val="24"/>
          <w:lang w:val="en-AU"/>
        </w:rPr>
      </w:pPr>
    </w:p>
    <w:p w14:paraId="24FE5D62" w14:textId="064664FF" w:rsidR="00F6376E" w:rsidRPr="003916D1" w:rsidRDefault="00F6376E" w:rsidP="00F6376E">
      <w:pPr>
        <w:rPr>
          <w:rFonts w:eastAsiaTheme="majorEastAsia" w:cstheme="minorHAnsi"/>
          <w:b/>
          <w:color w:val="4472C4" w:themeColor="accent1"/>
          <w:sz w:val="24"/>
          <w:lang w:val="en-AU"/>
        </w:rPr>
      </w:pPr>
      <w:r w:rsidRPr="003916D1">
        <w:rPr>
          <w:rFonts w:eastAsiaTheme="majorEastAsia" w:cstheme="minorHAnsi"/>
          <w:b/>
          <w:color w:val="4472C4" w:themeColor="accent1"/>
          <w:sz w:val="24"/>
          <w:lang w:val="en-AU"/>
        </w:rPr>
        <w:t xml:space="preserve">Is there a minimum and maximum time a young person can remain in case management and active hold? </w:t>
      </w:r>
    </w:p>
    <w:p w14:paraId="2F3F47FD" w14:textId="223BA75D" w:rsidR="008D1D96" w:rsidRPr="003916D1" w:rsidRDefault="005026D0" w:rsidP="00F6376E">
      <w:pPr>
        <w:rPr>
          <w:rStyle w:val="PageNumber"/>
          <w:rFonts w:eastAsia="Calibri" w:cstheme="minorHAnsi"/>
          <w:sz w:val="24"/>
        </w:rPr>
      </w:pPr>
      <w:r w:rsidRPr="003916D1">
        <w:rPr>
          <w:rStyle w:val="PageNumber"/>
          <w:rFonts w:eastAsia="Calibri" w:cstheme="minorHAnsi"/>
          <w:sz w:val="24"/>
        </w:rPr>
        <w:t xml:space="preserve">Due to the complexities and variance of different cases, </w:t>
      </w:r>
      <w:r w:rsidR="000F41EC" w:rsidRPr="003916D1">
        <w:rPr>
          <w:rStyle w:val="PageNumber"/>
          <w:rFonts w:eastAsia="Calibri" w:cstheme="minorHAnsi"/>
          <w:sz w:val="24"/>
        </w:rPr>
        <w:t>it is not possible to prescribe</w:t>
      </w:r>
      <w:r w:rsidRPr="003916D1">
        <w:rPr>
          <w:rStyle w:val="PageNumber"/>
          <w:rFonts w:eastAsia="Calibri" w:cstheme="minorHAnsi"/>
          <w:sz w:val="24"/>
        </w:rPr>
        <w:t xml:space="preserve"> </w:t>
      </w:r>
      <w:r w:rsidR="000F41EC" w:rsidRPr="003916D1">
        <w:rPr>
          <w:rStyle w:val="PageNumber"/>
          <w:rFonts w:eastAsia="Calibri" w:cstheme="minorHAnsi"/>
          <w:sz w:val="24"/>
        </w:rPr>
        <w:t>the length of time</w:t>
      </w:r>
      <w:r w:rsidRPr="003916D1">
        <w:rPr>
          <w:rStyle w:val="PageNumber"/>
          <w:rFonts w:eastAsia="Calibri" w:cstheme="minorHAnsi"/>
          <w:sz w:val="24"/>
        </w:rPr>
        <w:t xml:space="preserve"> a young person </w:t>
      </w:r>
      <w:r w:rsidR="000F41EC" w:rsidRPr="003916D1">
        <w:rPr>
          <w:rStyle w:val="PageNumber"/>
          <w:rFonts w:eastAsia="Calibri" w:cstheme="minorHAnsi"/>
          <w:sz w:val="24"/>
        </w:rPr>
        <w:t xml:space="preserve">to </w:t>
      </w:r>
      <w:r w:rsidRPr="003916D1">
        <w:rPr>
          <w:rStyle w:val="PageNumber"/>
          <w:rFonts w:eastAsia="Calibri" w:cstheme="minorHAnsi"/>
          <w:sz w:val="24"/>
        </w:rPr>
        <w:t xml:space="preserve">remain in case management or Active Hold. </w:t>
      </w:r>
      <w:r w:rsidR="000F41EC" w:rsidRPr="003916D1">
        <w:rPr>
          <w:rStyle w:val="PageNumber"/>
          <w:rFonts w:eastAsia="Calibri" w:cstheme="minorHAnsi"/>
          <w:sz w:val="24"/>
        </w:rPr>
        <w:t>Service</w:t>
      </w:r>
      <w:r w:rsidRPr="003916D1">
        <w:rPr>
          <w:rStyle w:val="PageNumber"/>
          <w:rFonts w:eastAsia="Calibri" w:cstheme="minorHAnsi"/>
          <w:sz w:val="24"/>
        </w:rPr>
        <w:t xml:space="preserve"> providers </w:t>
      </w:r>
      <w:r w:rsidR="000F41EC" w:rsidRPr="003916D1">
        <w:rPr>
          <w:rStyle w:val="PageNumber"/>
          <w:rFonts w:eastAsia="Calibri" w:cstheme="minorHAnsi"/>
          <w:sz w:val="24"/>
        </w:rPr>
        <w:t>are expected</w:t>
      </w:r>
      <w:r w:rsidRPr="003916D1">
        <w:rPr>
          <w:rStyle w:val="PageNumber"/>
          <w:rFonts w:eastAsia="Calibri" w:cstheme="minorHAnsi"/>
          <w:sz w:val="24"/>
        </w:rPr>
        <w:t xml:space="preserve"> to hold case conferences for their participants after 6 months of support, to assess if Navigator remains the right program for the young person. </w:t>
      </w:r>
    </w:p>
    <w:p w14:paraId="258198A4" w14:textId="77777777" w:rsidR="004B1D77" w:rsidRPr="003916D1" w:rsidRDefault="004B1D77" w:rsidP="00F6376E">
      <w:pPr>
        <w:rPr>
          <w:rFonts w:eastAsia="Calibri" w:cstheme="minorHAnsi"/>
          <w:sz w:val="24"/>
        </w:rPr>
      </w:pPr>
    </w:p>
    <w:p w14:paraId="300ACCAA" w14:textId="0EA13E1B" w:rsidR="00F6376E" w:rsidRPr="003916D1" w:rsidRDefault="00F6376E" w:rsidP="00F6376E">
      <w:pPr>
        <w:rPr>
          <w:rFonts w:eastAsiaTheme="majorEastAsia" w:cstheme="minorHAnsi"/>
          <w:b/>
          <w:color w:val="4472C4" w:themeColor="accent1"/>
          <w:sz w:val="24"/>
          <w:lang w:val="en-AU"/>
        </w:rPr>
      </w:pPr>
      <w:r w:rsidRPr="003916D1">
        <w:rPr>
          <w:rFonts w:eastAsiaTheme="majorEastAsia" w:cstheme="minorHAnsi"/>
          <w:b/>
          <w:color w:val="4472C4" w:themeColor="accent1"/>
          <w:sz w:val="24"/>
          <w:lang w:val="en-AU"/>
        </w:rPr>
        <w:t>Who are the current Service Providers in other Navigator areas?</w:t>
      </w:r>
      <w:r w:rsidR="007C31B4" w:rsidRPr="003916D1">
        <w:rPr>
          <w:rFonts w:eastAsiaTheme="majorEastAsia" w:cstheme="minorHAnsi"/>
          <w:b/>
          <w:color w:val="4472C4" w:themeColor="accent1"/>
          <w:sz w:val="24"/>
          <w:lang w:val="en-AU"/>
        </w:rPr>
        <w:t xml:space="preserve"> </w:t>
      </w:r>
    </w:p>
    <w:p w14:paraId="7B40347B" w14:textId="692A4758" w:rsidR="00F6376E" w:rsidRPr="003916D1" w:rsidRDefault="00F6376E" w:rsidP="00F6376E">
      <w:pPr>
        <w:rPr>
          <w:rFonts w:cstheme="minorHAnsi"/>
          <w:lang w:val="en-AU"/>
        </w:rPr>
      </w:pPr>
    </w:p>
    <w:tbl>
      <w:tblPr>
        <w:tblStyle w:val="TableGrid"/>
        <w:tblW w:w="4714" w:type="pct"/>
        <w:tblInd w:w="-5" w:type="dxa"/>
        <w:tblLayout w:type="fixed"/>
        <w:tblLook w:val="04A0" w:firstRow="1" w:lastRow="0" w:firstColumn="1" w:lastColumn="0" w:noHBand="0" w:noVBand="1"/>
      </w:tblPr>
      <w:tblGrid>
        <w:gridCol w:w="1560"/>
        <w:gridCol w:w="3402"/>
        <w:gridCol w:w="4110"/>
      </w:tblGrid>
      <w:tr w:rsidR="00DF2ED0" w:rsidRPr="003916D1" w14:paraId="6D6EEF1E" w14:textId="77777777" w:rsidTr="007C31B4">
        <w:trPr>
          <w:cantSplit/>
          <w:trHeight w:val="426"/>
        </w:trPr>
        <w:tc>
          <w:tcPr>
            <w:tcW w:w="860" w:type="pct"/>
            <w:shd w:val="clear" w:color="auto" w:fill="A6A6A6" w:themeFill="background1" w:themeFillShade="A6"/>
            <w:vAlign w:val="center"/>
          </w:tcPr>
          <w:p w14:paraId="01B4A5B5" w14:textId="77777777" w:rsidR="00DF2ED0" w:rsidRPr="003916D1" w:rsidRDefault="00DF2ED0" w:rsidP="006A0F35">
            <w:pPr>
              <w:jc w:val="center"/>
              <w:rPr>
                <w:rFonts w:cstheme="minorHAnsi"/>
                <w:b/>
              </w:rPr>
            </w:pPr>
            <w:bookmarkStart w:id="1" w:name="_Hlk48650999"/>
            <w:r w:rsidRPr="003916D1">
              <w:rPr>
                <w:rFonts w:cstheme="minorHAnsi"/>
                <w:b/>
              </w:rPr>
              <w:t>Region</w:t>
            </w:r>
          </w:p>
        </w:tc>
        <w:tc>
          <w:tcPr>
            <w:tcW w:w="1875" w:type="pct"/>
            <w:shd w:val="clear" w:color="auto" w:fill="A6A6A6" w:themeFill="background1" w:themeFillShade="A6"/>
            <w:vAlign w:val="center"/>
          </w:tcPr>
          <w:p w14:paraId="0A45C68E" w14:textId="77777777" w:rsidR="00DF2ED0" w:rsidRPr="003916D1" w:rsidRDefault="00DF2ED0" w:rsidP="006A0F35">
            <w:pPr>
              <w:jc w:val="center"/>
              <w:rPr>
                <w:rFonts w:cstheme="minorHAnsi"/>
                <w:b/>
              </w:rPr>
            </w:pPr>
            <w:r w:rsidRPr="003916D1">
              <w:rPr>
                <w:rFonts w:cstheme="minorHAnsi"/>
                <w:b/>
              </w:rPr>
              <w:t>DET area</w:t>
            </w:r>
          </w:p>
        </w:tc>
        <w:tc>
          <w:tcPr>
            <w:tcW w:w="2265" w:type="pct"/>
            <w:shd w:val="clear" w:color="auto" w:fill="A6A6A6" w:themeFill="background1" w:themeFillShade="A6"/>
            <w:vAlign w:val="center"/>
          </w:tcPr>
          <w:p w14:paraId="7528FB5C" w14:textId="31124F09" w:rsidR="00DF2ED0" w:rsidRPr="003916D1" w:rsidRDefault="00DF2ED0" w:rsidP="006A0F35">
            <w:pPr>
              <w:jc w:val="center"/>
              <w:rPr>
                <w:rFonts w:cstheme="minorHAnsi"/>
                <w:b/>
              </w:rPr>
            </w:pPr>
            <w:r w:rsidRPr="003916D1">
              <w:rPr>
                <w:rFonts w:cstheme="minorHAnsi"/>
                <w:b/>
              </w:rPr>
              <w:t xml:space="preserve">Service Provider  </w:t>
            </w:r>
          </w:p>
        </w:tc>
      </w:tr>
      <w:tr w:rsidR="00DF2ED0" w:rsidRPr="003916D1" w14:paraId="2FEF4FFF" w14:textId="77777777" w:rsidTr="007C31B4">
        <w:trPr>
          <w:trHeight w:val="244"/>
        </w:trPr>
        <w:tc>
          <w:tcPr>
            <w:tcW w:w="860" w:type="pct"/>
            <w:vMerge w:val="restart"/>
            <w:shd w:val="clear" w:color="auto" w:fill="DEEAF6" w:themeFill="accent5" w:themeFillTint="33"/>
            <w:vAlign w:val="center"/>
          </w:tcPr>
          <w:p w14:paraId="53D85120" w14:textId="77777777" w:rsidR="00DF2ED0" w:rsidRPr="003916D1" w:rsidRDefault="00DF2ED0" w:rsidP="006A0F35">
            <w:pPr>
              <w:jc w:val="center"/>
              <w:rPr>
                <w:rFonts w:cstheme="minorHAnsi"/>
              </w:rPr>
            </w:pPr>
            <w:r w:rsidRPr="003916D1">
              <w:rPr>
                <w:rFonts w:cstheme="minorHAnsi"/>
              </w:rPr>
              <w:t>North West Victoria Region</w:t>
            </w:r>
          </w:p>
          <w:p w14:paraId="2CAD22F3" w14:textId="77777777" w:rsidR="00DF2ED0" w:rsidRPr="003916D1" w:rsidRDefault="00DF2ED0" w:rsidP="006A0F35">
            <w:pPr>
              <w:jc w:val="center"/>
              <w:rPr>
                <w:rFonts w:cstheme="minorHAnsi"/>
              </w:rPr>
            </w:pPr>
          </w:p>
          <w:p w14:paraId="09229474" w14:textId="4F503424" w:rsidR="00DF2ED0" w:rsidRPr="003916D1" w:rsidRDefault="00DF2ED0" w:rsidP="006A0F35">
            <w:pPr>
              <w:jc w:val="center"/>
              <w:rPr>
                <w:rFonts w:cstheme="minorHAnsi"/>
              </w:rPr>
            </w:pPr>
          </w:p>
        </w:tc>
        <w:tc>
          <w:tcPr>
            <w:tcW w:w="1875" w:type="pct"/>
            <w:shd w:val="clear" w:color="auto" w:fill="DEEAF6" w:themeFill="accent5" w:themeFillTint="33"/>
          </w:tcPr>
          <w:p w14:paraId="0EA5E742" w14:textId="77777777" w:rsidR="00DF2ED0" w:rsidRPr="003916D1" w:rsidRDefault="00DF2ED0" w:rsidP="006A0F35">
            <w:pPr>
              <w:rPr>
                <w:rFonts w:cstheme="minorHAnsi"/>
              </w:rPr>
            </w:pPr>
            <w:r w:rsidRPr="003916D1">
              <w:rPr>
                <w:rFonts w:cstheme="minorHAnsi"/>
              </w:rPr>
              <w:t>Hume Moreland</w:t>
            </w:r>
          </w:p>
        </w:tc>
        <w:tc>
          <w:tcPr>
            <w:tcW w:w="2265" w:type="pct"/>
            <w:shd w:val="clear" w:color="auto" w:fill="DEEAF6" w:themeFill="accent5" w:themeFillTint="33"/>
          </w:tcPr>
          <w:p w14:paraId="52AC44C9" w14:textId="6E02FD93" w:rsidR="00DF2ED0" w:rsidRPr="003916D1" w:rsidRDefault="00DF2ED0" w:rsidP="006A0F35">
            <w:pPr>
              <w:rPr>
                <w:rFonts w:cstheme="minorHAnsi"/>
                <w:u w:val="single"/>
                <w:lang w:val="en-US" w:eastAsia="en-AU"/>
              </w:rPr>
            </w:pPr>
            <w:r w:rsidRPr="003916D1">
              <w:rPr>
                <w:rFonts w:cstheme="minorHAnsi"/>
              </w:rPr>
              <w:t>Jesuit Social Services</w:t>
            </w:r>
            <w:r w:rsidRPr="003916D1">
              <w:rPr>
                <w:rStyle w:val="Hyperlink"/>
                <w:rFonts w:cstheme="minorHAnsi"/>
                <w:color w:val="auto"/>
                <w:lang w:val="en-US" w:eastAsia="en-AU"/>
              </w:rPr>
              <w:t xml:space="preserve"> </w:t>
            </w:r>
          </w:p>
        </w:tc>
      </w:tr>
      <w:tr w:rsidR="00DF2ED0" w:rsidRPr="003916D1" w14:paraId="29F33570" w14:textId="77777777" w:rsidTr="007C31B4">
        <w:trPr>
          <w:trHeight w:val="170"/>
        </w:trPr>
        <w:tc>
          <w:tcPr>
            <w:tcW w:w="860" w:type="pct"/>
            <w:vMerge/>
            <w:shd w:val="clear" w:color="auto" w:fill="DEEAF6" w:themeFill="accent5" w:themeFillTint="33"/>
          </w:tcPr>
          <w:p w14:paraId="0ADCC55A" w14:textId="77777777" w:rsidR="00DF2ED0" w:rsidRPr="003916D1" w:rsidRDefault="00DF2ED0" w:rsidP="006A0F35">
            <w:pPr>
              <w:rPr>
                <w:rFonts w:cstheme="minorHAnsi"/>
              </w:rPr>
            </w:pPr>
          </w:p>
        </w:tc>
        <w:tc>
          <w:tcPr>
            <w:tcW w:w="1875" w:type="pct"/>
            <w:shd w:val="clear" w:color="auto" w:fill="DEEAF6" w:themeFill="accent5" w:themeFillTint="33"/>
          </w:tcPr>
          <w:p w14:paraId="586170EE" w14:textId="03C6D689" w:rsidR="00DF2ED0" w:rsidRPr="003916D1" w:rsidRDefault="00DF2ED0" w:rsidP="006A0F35">
            <w:pPr>
              <w:rPr>
                <w:rFonts w:cstheme="minorHAnsi"/>
              </w:rPr>
            </w:pPr>
            <w:proofErr w:type="spellStart"/>
            <w:r w:rsidRPr="003916D1">
              <w:rPr>
                <w:rFonts w:cstheme="minorHAnsi"/>
              </w:rPr>
              <w:t>Mallee</w:t>
            </w:r>
            <w:proofErr w:type="spellEnd"/>
          </w:p>
        </w:tc>
        <w:tc>
          <w:tcPr>
            <w:tcW w:w="2265" w:type="pct"/>
            <w:shd w:val="clear" w:color="auto" w:fill="DEEAF6" w:themeFill="accent5" w:themeFillTint="33"/>
          </w:tcPr>
          <w:p w14:paraId="18BC0311" w14:textId="7B127D56" w:rsidR="00DF2ED0" w:rsidRPr="003916D1" w:rsidRDefault="00DF2ED0" w:rsidP="00DF2ED0">
            <w:pPr>
              <w:rPr>
                <w:rFonts w:cstheme="minorHAnsi"/>
              </w:rPr>
            </w:pPr>
            <w:r w:rsidRPr="003916D1">
              <w:rPr>
                <w:rFonts w:cstheme="minorHAnsi"/>
              </w:rPr>
              <w:t xml:space="preserve">Northern </w:t>
            </w:r>
            <w:proofErr w:type="spellStart"/>
            <w:r w:rsidRPr="003916D1">
              <w:rPr>
                <w:rFonts w:cstheme="minorHAnsi"/>
              </w:rPr>
              <w:t>Mallee</w:t>
            </w:r>
            <w:proofErr w:type="spellEnd"/>
            <w:r w:rsidRPr="003916D1">
              <w:rPr>
                <w:rFonts w:cstheme="minorHAnsi"/>
              </w:rPr>
              <w:t xml:space="preserve"> Local Learning and Employment Network </w:t>
            </w:r>
          </w:p>
        </w:tc>
      </w:tr>
      <w:tr w:rsidR="00DF2ED0" w:rsidRPr="003916D1" w14:paraId="1FE5E145" w14:textId="77777777" w:rsidTr="007C31B4">
        <w:trPr>
          <w:trHeight w:val="359"/>
        </w:trPr>
        <w:tc>
          <w:tcPr>
            <w:tcW w:w="860" w:type="pct"/>
            <w:vMerge/>
            <w:shd w:val="clear" w:color="auto" w:fill="DEEAF6" w:themeFill="accent5" w:themeFillTint="33"/>
          </w:tcPr>
          <w:p w14:paraId="7255C64D" w14:textId="77777777" w:rsidR="00DF2ED0" w:rsidRPr="003916D1" w:rsidRDefault="00DF2ED0" w:rsidP="006A0F35">
            <w:pPr>
              <w:rPr>
                <w:rFonts w:cstheme="minorHAnsi"/>
              </w:rPr>
            </w:pPr>
          </w:p>
        </w:tc>
        <w:tc>
          <w:tcPr>
            <w:tcW w:w="1875" w:type="pct"/>
            <w:shd w:val="clear" w:color="auto" w:fill="DEEAF6" w:themeFill="accent5" w:themeFillTint="33"/>
          </w:tcPr>
          <w:p w14:paraId="5FA57626" w14:textId="77777777" w:rsidR="00DF2ED0" w:rsidRPr="003916D1" w:rsidRDefault="00DF2ED0" w:rsidP="006A0F35">
            <w:pPr>
              <w:rPr>
                <w:rFonts w:cstheme="minorHAnsi"/>
              </w:rPr>
            </w:pPr>
            <w:r w:rsidRPr="003916D1">
              <w:rPr>
                <w:rFonts w:cstheme="minorHAnsi"/>
              </w:rPr>
              <w:t xml:space="preserve">Loddon Campaspe </w:t>
            </w:r>
          </w:p>
        </w:tc>
        <w:tc>
          <w:tcPr>
            <w:tcW w:w="2265" w:type="pct"/>
            <w:shd w:val="clear" w:color="auto" w:fill="DEEAF6" w:themeFill="accent5" w:themeFillTint="33"/>
          </w:tcPr>
          <w:p w14:paraId="0B86F873" w14:textId="555AEAB7" w:rsidR="00DF2ED0" w:rsidRPr="003916D1" w:rsidRDefault="00DF2ED0" w:rsidP="006A0F35">
            <w:pPr>
              <w:rPr>
                <w:rFonts w:cstheme="minorHAnsi"/>
              </w:rPr>
            </w:pPr>
            <w:r w:rsidRPr="003916D1">
              <w:rPr>
                <w:rFonts w:cstheme="minorHAnsi"/>
              </w:rPr>
              <w:t xml:space="preserve">Anglicare </w:t>
            </w:r>
          </w:p>
        </w:tc>
      </w:tr>
      <w:tr w:rsidR="00DF2ED0" w:rsidRPr="003916D1" w14:paraId="6535D2FB" w14:textId="77777777" w:rsidTr="007C31B4">
        <w:trPr>
          <w:trHeight w:val="334"/>
        </w:trPr>
        <w:tc>
          <w:tcPr>
            <w:tcW w:w="860" w:type="pct"/>
            <w:vMerge/>
            <w:shd w:val="clear" w:color="auto" w:fill="DEEAF6" w:themeFill="accent5" w:themeFillTint="33"/>
          </w:tcPr>
          <w:p w14:paraId="50FFE5D0" w14:textId="77777777" w:rsidR="00DF2ED0" w:rsidRPr="003916D1" w:rsidRDefault="00DF2ED0" w:rsidP="006A0F35">
            <w:pPr>
              <w:rPr>
                <w:rFonts w:cstheme="minorHAnsi"/>
              </w:rPr>
            </w:pPr>
          </w:p>
        </w:tc>
        <w:tc>
          <w:tcPr>
            <w:tcW w:w="1875" w:type="pct"/>
            <w:shd w:val="clear" w:color="auto" w:fill="DEEAF6" w:themeFill="accent5" w:themeFillTint="33"/>
          </w:tcPr>
          <w:p w14:paraId="04203CED" w14:textId="3CCDFBB2" w:rsidR="00DF2ED0" w:rsidRPr="003916D1" w:rsidRDefault="00DF2ED0" w:rsidP="006A0F35">
            <w:pPr>
              <w:rPr>
                <w:rFonts w:cstheme="minorHAnsi"/>
              </w:rPr>
            </w:pPr>
            <w:r w:rsidRPr="003916D1">
              <w:rPr>
                <w:rFonts w:cstheme="minorHAnsi"/>
              </w:rPr>
              <w:t xml:space="preserve">North East Melbourne </w:t>
            </w:r>
          </w:p>
        </w:tc>
        <w:tc>
          <w:tcPr>
            <w:tcW w:w="2265" w:type="pct"/>
            <w:shd w:val="clear" w:color="auto" w:fill="DEEAF6" w:themeFill="accent5" w:themeFillTint="33"/>
          </w:tcPr>
          <w:p w14:paraId="5902BFA2" w14:textId="453DAACA" w:rsidR="00DF2ED0" w:rsidRPr="003916D1" w:rsidRDefault="00DF2ED0" w:rsidP="006A0F35">
            <w:pPr>
              <w:rPr>
                <w:rFonts w:cstheme="minorHAnsi"/>
              </w:rPr>
            </w:pPr>
            <w:r w:rsidRPr="003916D1">
              <w:rPr>
                <w:rFonts w:cstheme="minorHAnsi"/>
              </w:rPr>
              <w:t xml:space="preserve">Jesuit Social Services </w:t>
            </w:r>
          </w:p>
        </w:tc>
      </w:tr>
      <w:tr w:rsidR="00DF2ED0" w:rsidRPr="003916D1" w14:paraId="61CACD44" w14:textId="77777777" w:rsidTr="007C31B4">
        <w:trPr>
          <w:trHeight w:val="413"/>
        </w:trPr>
        <w:tc>
          <w:tcPr>
            <w:tcW w:w="860" w:type="pct"/>
            <w:vMerge w:val="restart"/>
            <w:shd w:val="clear" w:color="auto" w:fill="E2EFD9" w:themeFill="accent6" w:themeFillTint="33"/>
            <w:vAlign w:val="center"/>
          </w:tcPr>
          <w:p w14:paraId="5CEBCD3C" w14:textId="77777777" w:rsidR="00DF2ED0" w:rsidRPr="003916D1" w:rsidRDefault="00DF2ED0" w:rsidP="006A0F35">
            <w:pPr>
              <w:jc w:val="center"/>
              <w:rPr>
                <w:rFonts w:cstheme="minorHAnsi"/>
              </w:rPr>
            </w:pPr>
            <w:r w:rsidRPr="003916D1">
              <w:rPr>
                <w:rFonts w:cstheme="minorHAnsi"/>
              </w:rPr>
              <w:t>South West Victoria Region</w:t>
            </w:r>
          </w:p>
          <w:p w14:paraId="5D2D5FC5" w14:textId="77777777" w:rsidR="00DF2ED0" w:rsidRPr="003916D1" w:rsidRDefault="00DF2ED0" w:rsidP="006A0F35">
            <w:pPr>
              <w:jc w:val="center"/>
              <w:rPr>
                <w:rFonts w:cstheme="minorHAnsi"/>
              </w:rPr>
            </w:pPr>
          </w:p>
          <w:p w14:paraId="4F1DC1C5" w14:textId="52ED2D2E" w:rsidR="00DF2ED0" w:rsidRPr="003916D1" w:rsidRDefault="00DF2ED0" w:rsidP="006A0F35">
            <w:pPr>
              <w:rPr>
                <w:rFonts w:cstheme="minorHAnsi"/>
              </w:rPr>
            </w:pPr>
            <w:r w:rsidRPr="003916D1">
              <w:rPr>
                <w:rFonts w:cstheme="minorHAnsi"/>
              </w:rPr>
              <w:t xml:space="preserve"> </w:t>
            </w:r>
          </w:p>
        </w:tc>
        <w:tc>
          <w:tcPr>
            <w:tcW w:w="1875" w:type="pct"/>
            <w:shd w:val="clear" w:color="auto" w:fill="E2EFD9" w:themeFill="accent6" w:themeFillTint="33"/>
          </w:tcPr>
          <w:p w14:paraId="439F6FBE" w14:textId="77777777" w:rsidR="00DF2ED0" w:rsidRPr="003916D1" w:rsidRDefault="00DF2ED0" w:rsidP="006A0F35">
            <w:pPr>
              <w:rPr>
                <w:rFonts w:cstheme="minorHAnsi"/>
              </w:rPr>
            </w:pPr>
            <w:r w:rsidRPr="003916D1">
              <w:rPr>
                <w:rFonts w:cstheme="minorHAnsi"/>
              </w:rPr>
              <w:t>Central Highlands</w:t>
            </w:r>
          </w:p>
        </w:tc>
        <w:tc>
          <w:tcPr>
            <w:tcW w:w="2265" w:type="pct"/>
            <w:shd w:val="clear" w:color="auto" w:fill="E2EFD9" w:themeFill="accent6" w:themeFillTint="33"/>
          </w:tcPr>
          <w:p w14:paraId="4FBCAE67" w14:textId="69CDDA07" w:rsidR="00DF2ED0" w:rsidRPr="003916D1" w:rsidRDefault="00DF2ED0" w:rsidP="00DF2ED0">
            <w:pPr>
              <w:rPr>
                <w:rFonts w:cstheme="minorHAnsi"/>
              </w:rPr>
            </w:pPr>
            <w:r w:rsidRPr="003916D1">
              <w:rPr>
                <w:rFonts w:cstheme="minorHAnsi"/>
              </w:rPr>
              <w:t xml:space="preserve">Berry Street </w:t>
            </w:r>
          </w:p>
        </w:tc>
      </w:tr>
      <w:tr w:rsidR="00DF2ED0" w:rsidRPr="003916D1" w14:paraId="794F5366" w14:textId="77777777" w:rsidTr="007C31B4">
        <w:trPr>
          <w:trHeight w:val="419"/>
        </w:trPr>
        <w:tc>
          <w:tcPr>
            <w:tcW w:w="860" w:type="pct"/>
            <w:vMerge/>
            <w:shd w:val="clear" w:color="auto" w:fill="E2EFD9" w:themeFill="accent6" w:themeFillTint="33"/>
          </w:tcPr>
          <w:p w14:paraId="3C319813" w14:textId="77777777" w:rsidR="00DF2ED0" w:rsidRPr="003916D1" w:rsidRDefault="00DF2ED0" w:rsidP="006A0F35">
            <w:pPr>
              <w:rPr>
                <w:rFonts w:cstheme="minorHAnsi"/>
              </w:rPr>
            </w:pPr>
          </w:p>
        </w:tc>
        <w:tc>
          <w:tcPr>
            <w:tcW w:w="1875" w:type="pct"/>
            <w:shd w:val="clear" w:color="auto" w:fill="E2EFD9" w:themeFill="accent6" w:themeFillTint="33"/>
          </w:tcPr>
          <w:p w14:paraId="55A3D9BB" w14:textId="77777777" w:rsidR="00DF2ED0" w:rsidRPr="003916D1" w:rsidRDefault="00DF2ED0" w:rsidP="006A0F35">
            <w:pPr>
              <w:rPr>
                <w:rFonts w:cstheme="minorHAnsi"/>
              </w:rPr>
            </w:pPr>
            <w:r w:rsidRPr="003916D1">
              <w:rPr>
                <w:rFonts w:cstheme="minorHAnsi"/>
              </w:rPr>
              <w:t>Western Melbourne</w:t>
            </w:r>
          </w:p>
        </w:tc>
        <w:tc>
          <w:tcPr>
            <w:tcW w:w="2265" w:type="pct"/>
            <w:shd w:val="clear" w:color="auto" w:fill="E2EFD9" w:themeFill="accent6" w:themeFillTint="33"/>
          </w:tcPr>
          <w:p w14:paraId="33ECBB73" w14:textId="3A36AE46" w:rsidR="00DF2ED0" w:rsidRPr="003916D1" w:rsidRDefault="00DF2ED0" w:rsidP="00DF2ED0">
            <w:pPr>
              <w:rPr>
                <w:rFonts w:cstheme="minorHAnsi"/>
              </w:rPr>
            </w:pPr>
            <w:r w:rsidRPr="003916D1">
              <w:rPr>
                <w:rFonts w:cstheme="minorHAnsi"/>
              </w:rPr>
              <w:t>Anglicare</w:t>
            </w:r>
          </w:p>
        </w:tc>
      </w:tr>
      <w:tr w:rsidR="00DF2ED0" w:rsidRPr="003916D1" w14:paraId="2A93DDB1" w14:textId="77777777" w:rsidTr="007C31B4">
        <w:trPr>
          <w:trHeight w:val="412"/>
        </w:trPr>
        <w:tc>
          <w:tcPr>
            <w:tcW w:w="860" w:type="pct"/>
            <w:vMerge/>
            <w:shd w:val="clear" w:color="auto" w:fill="E2EFD9" w:themeFill="accent6" w:themeFillTint="33"/>
          </w:tcPr>
          <w:p w14:paraId="733F6A43" w14:textId="77777777" w:rsidR="00DF2ED0" w:rsidRPr="003916D1" w:rsidRDefault="00DF2ED0" w:rsidP="006A0F35">
            <w:pPr>
              <w:rPr>
                <w:rFonts w:cstheme="minorHAnsi"/>
              </w:rPr>
            </w:pPr>
          </w:p>
        </w:tc>
        <w:tc>
          <w:tcPr>
            <w:tcW w:w="1875" w:type="pct"/>
            <w:shd w:val="clear" w:color="auto" w:fill="E2EFD9" w:themeFill="accent6" w:themeFillTint="33"/>
          </w:tcPr>
          <w:p w14:paraId="62DC7011" w14:textId="4E6D66E9" w:rsidR="00DF2ED0" w:rsidRPr="003916D1" w:rsidRDefault="00DF2ED0" w:rsidP="006A0F35">
            <w:pPr>
              <w:rPr>
                <w:rFonts w:cstheme="minorHAnsi"/>
              </w:rPr>
            </w:pPr>
            <w:proofErr w:type="spellStart"/>
            <w:r w:rsidRPr="003916D1">
              <w:rPr>
                <w:rFonts w:cstheme="minorHAnsi"/>
              </w:rPr>
              <w:t>Brimbank</w:t>
            </w:r>
            <w:proofErr w:type="spellEnd"/>
            <w:r w:rsidRPr="003916D1">
              <w:rPr>
                <w:rFonts w:cstheme="minorHAnsi"/>
              </w:rPr>
              <w:t xml:space="preserve"> Melton </w:t>
            </w:r>
          </w:p>
        </w:tc>
        <w:tc>
          <w:tcPr>
            <w:tcW w:w="2265" w:type="pct"/>
            <w:shd w:val="clear" w:color="auto" w:fill="E2EFD9" w:themeFill="accent6" w:themeFillTint="33"/>
          </w:tcPr>
          <w:p w14:paraId="1DB6AB30" w14:textId="12DFBB78" w:rsidR="00DF2ED0" w:rsidRPr="003916D1" w:rsidRDefault="00DF2ED0" w:rsidP="00DF2ED0">
            <w:pPr>
              <w:rPr>
                <w:rFonts w:cstheme="minorHAnsi"/>
              </w:rPr>
            </w:pPr>
            <w:r w:rsidRPr="003916D1">
              <w:rPr>
                <w:rFonts w:cstheme="minorHAnsi"/>
              </w:rPr>
              <w:t>Jesuit Social Services</w:t>
            </w:r>
          </w:p>
        </w:tc>
      </w:tr>
      <w:tr w:rsidR="00DF2ED0" w:rsidRPr="003916D1" w14:paraId="2738C37C" w14:textId="77777777" w:rsidTr="007C31B4">
        <w:trPr>
          <w:trHeight w:val="334"/>
        </w:trPr>
        <w:tc>
          <w:tcPr>
            <w:tcW w:w="860" w:type="pct"/>
            <w:vMerge/>
            <w:shd w:val="clear" w:color="auto" w:fill="D9D9D9" w:themeFill="background1" w:themeFillShade="D9"/>
          </w:tcPr>
          <w:p w14:paraId="05AC8EFE" w14:textId="77777777" w:rsidR="00DF2ED0" w:rsidRPr="003916D1" w:rsidRDefault="00DF2ED0" w:rsidP="006A0F35">
            <w:pPr>
              <w:rPr>
                <w:rFonts w:cstheme="minorHAnsi"/>
              </w:rPr>
            </w:pPr>
          </w:p>
        </w:tc>
        <w:tc>
          <w:tcPr>
            <w:tcW w:w="1875" w:type="pct"/>
            <w:shd w:val="clear" w:color="auto" w:fill="E2EFD9" w:themeFill="accent6" w:themeFillTint="33"/>
          </w:tcPr>
          <w:p w14:paraId="70535289" w14:textId="2C27B00E" w:rsidR="00DF2ED0" w:rsidRPr="003916D1" w:rsidRDefault="00DF2ED0" w:rsidP="006A0F35">
            <w:pPr>
              <w:rPr>
                <w:rFonts w:cstheme="minorHAnsi"/>
              </w:rPr>
            </w:pPr>
            <w:r w:rsidRPr="003916D1">
              <w:rPr>
                <w:rFonts w:cstheme="minorHAnsi"/>
              </w:rPr>
              <w:t>Wimmera South West</w:t>
            </w:r>
          </w:p>
        </w:tc>
        <w:tc>
          <w:tcPr>
            <w:tcW w:w="2265" w:type="pct"/>
            <w:shd w:val="clear" w:color="auto" w:fill="E2EFD9" w:themeFill="accent6" w:themeFillTint="33"/>
          </w:tcPr>
          <w:p w14:paraId="0B1C3564" w14:textId="0999CB2D" w:rsidR="00DF2ED0" w:rsidRPr="003916D1" w:rsidRDefault="00DF2ED0" w:rsidP="00DF2ED0">
            <w:pPr>
              <w:rPr>
                <w:rFonts w:cstheme="minorHAnsi"/>
              </w:rPr>
            </w:pPr>
            <w:r w:rsidRPr="003916D1">
              <w:rPr>
                <w:rFonts w:cstheme="minorHAnsi"/>
              </w:rPr>
              <w:t xml:space="preserve">Anglicare Victoria </w:t>
            </w:r>
          </w:p>
        </w:tc>
      </w:tr>
      <w:tr w:rsidR="00DF2ED0" w:rsidRPr="003916D1" w14:paraId="7ADE5946" w14:textId="77777777" w:rsidTr="007C31B4">
        <w:trPr>
          <w:trHeight w:val="437"/>
        </w:trPr>
        <w:tc>
          <w:tcPr>
            <w:tcW w:w="860" w:type="pct"/>
            <w:vMerge/>
            <w:shd w:val="clear" w:color="auto" w:fill="D9D9D9" w:themeFill="background1" w:themeFillShade="D9"/>
          </w:tcPr>
          <w:p w14:paraId="47B03121" w14:textId="77777777" w:rsidR="00DF2ED0" w:rsidRPr="003916D1" w:rsidRDefault="00DF2ED0" w:rsidP="006A0F35">
            <w:pPr>
              <w:rPr>
                <w:rFonts w:cstheme="minorHAnsi"/>
              </w:rPr>
            </w:pPr>
          </w:p>
        </w:tc>
        <w:tc>
          <w:tcPr>
            <w:tcW w:w="1875" w:type="pct"/>
            <w:shd w:val="clear" w:color="auto" w:fill="E2EFD9" w:themeFill="accent6" w:themeFillTint="33"/>
          </w:tcPr>
          <w:p w14:paraId="1FBE28DF" w14:textId="0CC48791" w:rsidR="00DF2ED0" w:rsidRPr="003916D1" w:rsidRDefault="00DF2ED0" w:rsidP="006A0F35">
            <w:pPr>
              <w:rPr>
                <w:rFonts w:cstheme="minorHAnsi"/>
              </w:rPr>
            </w:pPr>
            <w:proofErr w:type="spellStart"/>
            <w:r w:rsidRPr="003916D1">
              <w:rPr>
                <w:rFonts w:cstheme="minorHAnsi"/>
              </w:rPr>
              <w:t>Barwon</w:t>
            </w:r>
            <w:proofErr w:type="spellEnd"/>
            <w:r w:rsidRPr="003916D1">
              <w:rPr>
                <w:rFonts w:cstheme="minorHAnsi"/>
              </w:rPr>
              <w:t xml:space="preserve"> </w:t>
            </w:r>
          </w:p>
        </w:tc>
        <w:tc>
          <w:tcPr>
            <w:tcW w:w="2265" w:type="pct"/>
            <w:shd w:val="clear" w:color="auto" w:fill="E2EFD9" w:themeFill="accent6" w:themeFillTint="33"/>
          </w:tcPr>
          <w:p w14:paraId="01DBFCD5" w14:textId="5ED2929D" w:rsidR="00DF2ED0" w:rsidRPr="003916D1" w:rsidRDefault="00DF2ED0" w:rsidP="006A0F35">
            <w:pPr>
              <w:rPr>
                <w:rFonts w:cstheme="minorHAnsi"/>
              </w:rPr>
            </w:pPr>
            <w:proofErr w:type="spellStart"/>
            <w:r w:rsidRPr="003916D1">
              <w:rPr>
                <w:rFonts w:cstheme="minorHAnsi"/>
              </w:rPr>
              <w:t>Barwon</w:t>
            </w:r>
            <w:proofErr w:type="spellEnd"/>
            <w:r w:rsidRPr="003916D1">
              <w:rPr>
                <w:rFonts w:cstheme="minorHAnsi"/>
              </w:rPr>
              <w:t xml:space="preserve"> Child Youth and Family Services</w:t>
            </w:r>
          </w:p>
        </w:tc>
      </w:tr>
      <w:tr w:rsidR="00DF2ED0" w:rsidRPr="003916D1" w14:paraId="28C47F5A" w14:textId="77777777" w:rsidTr="007C31B4">
        <w:trPr>
          <w:trHeight w:val="244"/>
        </w:trPr>
        <w:tc>
          <w:tcPr>
            <w:tcW w:w="860" w:type="pct"/>
            <w:vMerge w:val="restart"/>
            <w:shd w:val="clear" w:color="auto" w:fill="FBE4D5" w:themeFill="accent2" w:themeFillTint="33"/>
            <w:vAlign w:val="center"/>
          </w:tcPr>
          <w:p w14:paraId="3F13DBC6" w14:textId="77777777" w:rsidR="00DF2ED0" w:rsidRPr="003916D1" w:rsidRDefault="00DF2ED0" w:rsidP="006A0F35">
            <w:pPr>
              <w:jc w:val="center"/>
              <w:rPr>
                <w:rFonts w:cstheme="minorHAnsi"/>
              </w:rPr>
            </w:pPr>
            <w:r w:rsidRPr="003916D1">
              <w:rPr>
                <w:rFonts w:cstheme="minorHAnsi"/>
              </w:rPr>
              <w:t>North East Victoria Region</w:t>
            </w:r>
          </w:p>
          <w:p w14:paraId="77E312D1" w14:textId="77777777" w:rsidR="00DF2ED0" w:rsidRPr="003916D1" w:rsidRDefault="00DF2ED0" w:rsidP="006A0F35">
            <w:pPr>
              <w:jc w:val="center"/>
              <w:rPr>
                <w:rFonts w:cstheme="minorHAnsi"/>
              </w:rPr>
            </w:pPr>
          </w:p>
          <w:p w14:paraId="5D55DE99" w14:textId="6FEB3153" w:rsidR="00DF2ED0" w:rsidRPr="003916D1" w:rsidRDefault="00DF2ED0" w:rsidP="006A0F35">
            <w:pPr>
              <w:jc w:val="center"/>
              <w:rPr>
                <w:rFonts w:cstheme="minorHAnsi"/>
              </w:rPr>
            </w:pPr>
          </w:p>
        </w:tc>
        <w:tc>
          <w:tcPr>
            <w:tcW w:w="1875" w:type="pct"/>
            <w:shd w:val="clear" w:color="auto" w:fill="FBE4D5" w:themeFill="accent2" w:themeFillTint="33"/>
          </w:tcPr>
          <w:p w14:paraId="1A75662E" w14:textId="6A9187FC" w:rsidR="00DF2ED0" w:rsidRPr="003916D1" w:rsidRDefault="00DF2ED0" w:rsidP="006A0F35">
            <w:pPr>
              <w:rPr>
                <w:rFonts w:cstheme="minorHAnsi"/>
              </w:rPr>
            </w:pPr>
            <w:r w:rsidRPr="003916D1">
              <w:rPr>
                <w:rFonts w:cstheme="minorHAnsi"/>
              </w:rPr>
              <w:t>Goulburn</w:t>
            </w:r>
          </w:p>
        </w:tc>
        <w:tc>
          <w:tcPr>
            <w:tcW w:w="2265" w:type="pct"/>
            <w:shd w:val="clear" w:color="auto" w:fill="FBE4D5" w:themeFill="accent2" w:themeFillTint="33"/>
          </w:tcPr>
          <w:p w14:paraId="27AAF6F2" w14:textId="6C1AC53B" w:rsidR="00DF2ED0" w:rsidRPr="003916D1" w:rsidRDefault="00DF2ED0" w:rsidP="00DF2ED0">
            <w:pPr>
              <w:rPr>
                <w:rFonts w:cstheme="minorHAnsi"/>
              </w:rPr>
            </w:pPr>
            <w:r w:rsidRPr="003916D1">
              <w:rPr>
                <w:rFonts w:cstheme="minorHAnsi"/>
              </w:rPr>
              <w:t>Bridge Youth Services</w:t>
            </w:r>
          </w:p>
        </w:tc>
      </w:tr>
      <w:tr w:rsidR="00DF2ED0" w:rsidRPr="003916D1" w14:paraId="3270E5B1" w14:textId="77777777" w:rsidTr="007C31B4">
        <w:trPr>
          <w:trHeight w:val="244"/>
        </w:trPr>
        <w:tc>
          <w:tcPr>
            <w:tcW w:w="860" w:type="pct"/>
            <w:vMerge/>
            <w:shd w:val="clear" w:color="auto" w:fill="FBE4D5" w:themeFill="accent2" w:themeFillTint="33"/>
          </w:tcPr>
          <w:p w14:paraId="1556792A" w14:textId="77777777" w:rsidR="00DF2ED0" w:rsidRPr="003916D1" w:rsidRDefault="00DF2ED0" w:rsidP="006A0F35">
            <w:pPr>
              <w:rPr>
                <w:rFonts w:cstheme="minorHAnsi"/>
              </w:rPr>
            </w:pPr>
          </w:p>
        </w:tc>
        <w:tc>
          <w:tcPr>
            <w:tcW w:w="1875" w:type="pct"/>
            <w:shd w:val="clear" w:color="auto" w:fill="FBE4D5" w:themeFill="accent2" w:themeFillTint="33"/>
          </w:tcPr>
          <w:p w14:paraId="3172EF17" w14:textId="77777777" w:rsidR="00DF2ED0" w:rsidRPr="003916D1" w:rsidRDefault="00DF2ED0" w:rsidP="006A0F35">
            <w:pPr>
              <w:rPr>
                <w:rFonts w:cstheme="minorHAnsi"/>
              </w:rPr>
            </w:pPr>
            <w:r w:rsidRPr="003916D1">
              <w:rPr>
                <w:rFonts w:cstheme="minorHAnsi"/>
              </w:rPr>
              <w:t>Ovens Murray</w:t>
            </w:r>
          </w:p>
        </w:tc>
        <w:tc>
          <w:tcPr>
            <w:tcW w:w="2265" w:type="pct"/>
            <w:shd w:val="clear" w:color="auto" w:fill="FBE4D5" w:themeFill="accent2" w:themeFillTint="33"/>
          </w:tcPr>
          <w:p w14:paraId="51D5F0B6" w14:textId="5A0D5DD8" w:rsidR="00DF2ED0" w:rsidRPr="003916D1" w:rsidRDefault="00DF2ED0" w:rsidP="00DF2ED0">
            <w:pPr>
              <w:spacing w:before="100" w:beforeAutospacing="1" w:after="100" w:afterAutospacing="1"/>
              <w:rPr>
                <w:rFonts w:cstheme="minorHAnsi"/>
                <w:b/>
                <w:bCs/>
              </w:rPr>
            </w:pPr>
            <w:r w:rsidRPr="003916D1">
              <w:rPr>
                <w:rFonts w:cstheme="minorHAnsi"/>
              </w:rPr>
              <w:t>Junction Support Services</w:t>
            </w:r>
            <w:r w:rsidRPr="003916D1">
              <w:rPr>
                <w:rFonts w:cstheme="minorHAnsi"/>
                <w:b/>
                <w:bCs/>
              </w:rPr>
              <w:t xml:space="preserve"> </w:t>
            </w:r>
          </w:p>
        </w:tc>
      </w:tr>
      <w:tr w:rsidR="00DF2ED0" w:rsidRPr="003916D1" w14:paraId="09C20A2B" w14:textId="77777777" w:rsidTr="007C31B4">
        <w:trPr>
          <w:trHeight w:val="244"/>
        </w:trPr>
        <w:tc>
          <w:tcPr>
            <w:tcW w:w="860" w:type="pct"/>
            <w:vMerge/>
            <w:shd w:val="clear" w:color="auto" w:fill="FBE4D5" w:themeFill="accent2" w:themeFillTint="33"/>
          </w:tcPr>
          <w:p w14:paraId="302886A7" w14:textId="77777777" w:rsidR="00DF2ED0" w:rsidRPr="003916D1" w:rsidRDefault="00DF2ED0" w:rsidP="006A0F35">
            <w:pPr>
              <w:rPr>
                <w:rFonts w:cstheme="minorHAnsi"/>
              </w:rPr>
            </w:pPr>
          </w:p>
        </w:tc>
        <w:tc>
          <w:tcPr>
            <w:tcW w:w="1875" w:type="pct"/>
            <w:shd w:val="clear" w:color="auto" w:fill="FBE4D5" w:themeFill="accent2" w:themeFillTint="33"/>
          </w:tcPr>
          <w:p w14:paraId="1DC275DC" w14:textId="77777777" w:rsidR="00DF2ED0" w:rsidRPr="003916D1" w:rsidRDefault="00DF2ED0" w:rsidP="006A0F35">
            <w:pPr>
              <w:rPr>
                <w:rFonts w:cstheme="minorHAnsi"/>
              </w:rPr>
            </w:pPr>
            <w:r w:rsidRPr="003916D1">
              <w:rPr>
                <w:rFonts w:cstheme="minorHAnsi"/>
              </w:rPr>
              <w:t>Inner Eastern Melbourne</w:t>
            </w:r>
          </w:p>
        </w:tc>
        <w:tc>
          <w:tcPr>
            <w:tcW w:w="2265" w:type="pct"/>
            <w:shd w:val="clear" w:color="auto" w:fill="FBE4D5" w:themeFill="accent2" w:themeFillTint="33"/>
          </w:tcPr>
          <w:p w14:paraId="700C2C81" w14:textId="6A40A358" w:rsidR="00DF2ED0" w:rsidRPr="003916D1" w:rsidRDefault="007C31B4" w:rsidP="006A0F35">
            <w:pPr>
              <w:spacing w:before="100" w:beforeAutospacing="1" w:after="100" w:afterAutospacing="1"/>
              <w:rPr>
                <w:rFonts w:cstheme="minorHAnsi"/>
              </w:rPr>
            </w:pPr>
            <w:r w:rsidRPr="003916D1">
              <w:rPr>
                <w:rFonts w:cstheme="minorHAnsi"/>
              </w:rPr>
              <w:t xml:space="preserve">Navigator not yet operating </w:t>
            </w:r>
          </w:p>
        </w:tc>
      </w:tr>
      <w:tr w:rsidR="00DF2ED0" w:rsidRPr="003916D1" w14:paraId="2521FBCC" w14:textId="77777777" w:rsidTr="007C31B4">
        <w:trPr>
          <w:trHeight w:val="244"/>
        </w:trPr>
        <w:tc>
          <w:tcPr>
            <w:tcW w:w="860" w:type="pct"/>
            <w:vMerge/>
            <w:shd w:val="clear" w:color="auto" w:fill="FBE4D5" w:themeFill="accent2" w:themeFillTint="33"/>
          </w:tcPr>
          <w:p w14:paraId="740CD04F" w14:textId="77777777" w:rsidR="00DF2ED0" w:rsidRPr="003916D1" w:rsidRDefault="00DF2ED0" w:rsidP="006A0F35">
            <w:pPr>
              <w:rPr>
                <w:rFonts w:cstheme="minorHAnsi"/>
              </w:rPr>
            </w:pPr>
          </w:p>
        </w:tc>
        <w:tc>
          <w:tcPr>
            <w:tcW w:w="1875" w:type="pct"/>
            <w:shd w:val="clear" w:color="auto" w:fill="FBE4D5" w:themeFill="accent2" w:themeFillTint="33"/>
          </w:tcPr>
          <w:p w14:paraId="2AA06BD9" w14:textId="77777777" w:rsidR="00DF2ED0" w:rsidRPr="003916D1" w:rsidRDefault="00DF2ED0" w:rsidP="006A0F35">
            <w:pPr>
              <w:rPr>
                <w:rFonts w:cstheme="minorHAnsi"/>
              </w:rPr>
            </w:pPr>
            <w:r w:rsidRPr="003916D1">
              <w:rPr>
                <w:rFonts w:cstheme="minorHAnsi"/>
              </w:rPr>
              <w:t xml:space="preserve">Outer Eastern Melbourne </w:t>
            </w:r>
          </w:p>
        </w:tc>
        <w:tc>
          <w:tcPr>
            <w:tcW w:w="2265" w:type="pct"/>
            <w:shd w:val="clear" w:color="auto" w:fill="FBE4D5" w:themeFill="accent2" w:themeFillTint="33"/>
          </w:tcPr>
          <w:p w14:paraId="27D318EC" w14:textId="16F949BD" w:rsidR="00DF2ED0" w:rsidRPr="003916D1" w:rsidRDefault="007C31B4" w:rsidP="00DF2ED0">
            <w:pPr>
              <w:spacing w:before="100" w:beforeAutospacing="1" w:after="100" w:afterAutospacing="1"/>
              <w:rPr>
                <w:rFonts w:cstheme="minorHAnsi"/>
              </w:rPr>
            </w:pPr>
            <w:r w:rsidRPr="003916D1">
              <w:rPr>
                <w:rFonts w:cstheme="minorHAnsi"/>
              </w:rPr>
              <w:t>Navigator not yet operating</w:t>
            </w:r>
          </w:p>
        </w:tc>
      </w:tr>
      <w:tr w:rsidR="00DF2ED0" w:rsidRPr="003916D1" w14:paraId="4D05C8D4" w14:textId="77777777" w:rsidTr="007C31B4">
        <w:trPr>
          <w:trHeight w:val="253"/>
        </w:trPr>
        <w:tc>
          <w:tcPr>
            <w:tcW w:w="860" w:type="pct"/>
            <w:vMerge w:val="restart"/>
            <w:shd w:val="clear" w:color="auto" w:fill="FFF2CC" w:themeFill="accent4" w:themeFillTint="33"/>
            <w:vAlign w:val="center"/>
          </w:tcPr>
          <w:p w14:paraId="23C58CA4" w14:textId="77777777" w:rsidR="00DF2ED0" w:rsidRPr="003916D1" w:rsidRDefault="00DF2ED0" w:rsidP="006A0F35">
            <w:pPr>
              <w:jc w:val="center"/>
              <w:rPr>
                <w:rFonts w:cstheme="minorHAnsi"/>
              </w:rPr>
            </w:pPr>
            <w:r w:rsidRPr="003916D1">
              <w:rPr>
                <w:rFonts w:cstheme="minorHAnsi"/>
              </w:rPr>
              <w:t>South East Victoria Region</w:t>
            </w:r>
          </w:p>
          <w:p w14:paraId="6CB126A6" w14:textId="77777777" w:rsidR="00DF2ED0" w:rsidRPr="003916D1" w:rsidRDefault="00DF2ED0" w:rsidP="006A0F35">
            <w:pPr>
              <w:jc w:val="center"/>
              <w:rPr>
                <w:rFonts w:cstheme="minorHAnsi"/>
              </w:rPr>
            </w:pPr>
          </w:p>
          <w:p w14:paraId="63249B8C" w14:textId="2CD02168" w:rsidR="00DF2ED0" w:rsidRPr="003916D1" w:rsidRDefault="00DF2ED0" w:rsidP="006A0F35">
            <w:pPr>
              <w:jc w:val="center"/>
              <w:rPr>
                <w:rFonts w:cstheme="minorHAnsi"/>
              </w:rPr>
            </w:pPr>
          </w:p>
        </w:tc>
        <w:tc>
          <w:tcPr>
            <w:tcW w:w="1875" w:type="pct"/>
            <w:shd w:val="clear" w:color="auto" w:fill="FFF2CC" w:themeFill="accent4" w:themeFillTint="33"/>
          </w:tcPr>
          <w:p w14:paraId="0E7043C5" w14:textId="77777777" w:rsidR="00DF2ED0" w:rsidRPr="003916D1" w:rsidRDefault="00DF2ED0" w:rsidP="006A0F35">
            <w:pPr>
              <w:rPr>
                <w:rFonts w:cstheme="minorHAnsi"/>
              </w:rPr>
            </w:pPr>
            <w:proofErr w:type="spellStart"/>
            <w:r w:rsidRPr="003916D1">
              <w:rPr>
                <w:rFonts w:cstheme="minorHAnsi"/>
              </w:rPr>
              <w:t>Bayside</w:t>
            </w:r>
            <w:proofErr w:type="spellEnd"/>
            <w:r w:rsidRPr="003916D1">
              <w:rPr>
                <w:rFonts w:cstheme="minorHAnsi"/>
              </w:rPr>
              <w:t xml:space="preserve"> Peninsula</w:t>
            </w:r>
          </w:p>
        </w:tc>
        <w:tc>
          <w:tcPr>
            <w:tcW w:w="2265" w:type="pct"/>
            <w:shd w:val="clear" w:color="auto" w:fill="FFF2CC" w:themeFill="accent4" w:themeFillTint="33"/>
          </w:tcPr>
          <w:p w14:paraId="6D7CE68D" w14:textId="4DD61996" w:rsidR="00DF2ED0" w:rsidRPr="003916D1" w:rsidRDefault="00DF2ED0" w:rsidP="006A0F35">
            <w:pPr>
              <w:rPr>
                <w:rFonts w:cstheme="minorHAnsi"/>
              </w:rPr>
            </w:pPr>
            <w:r w:rsidRPr="003916D1">
              <w:rPr>
                <w:rFonts w:cstheme="minorHAnsi"/>
              </w:rPr>
              <w:t xml:space="preserve">Mission Australia </w:t>
            </w:r>
          </w:p>
        </w:tc>
      </w:tr>
      <w:tr w:rsidR="00DF2ED0" w:rsidRPr="003916D1" w14:paraId="2E253845" w14:textId="77777777" w:rsidTr="007C31B4">
        <w:trPr>
          <w:trHeight w:val="170"/>
        </w:trPr>
        <w:tc>
          <w:tcPr>
            <w:tcW w:w="860" w:type="pct"/>
            <w:vMerge/>
            <w:shd w:val="clear" w:color="auto" w:fill="FFF2CC" w:themeFill="accent4" w:themeFillTint="33"/>
          </w:tcPr>
          <w:p w14:paraId="71F64EA5" w14:textId="77777777" w:rsidR="00DF2ED0" w:rsidRPr="003916D1" w:rsidRDefault="00DF2ED0" w:rsidP="006A0F35">
            <w:pPr>
              <w:rPr>
                <w:rFonts w:cstheme="minorHAnsi"/>
              </w:rPr>
            </w:pPr>
          </w:p>
        </w:tc>
        <w:tc>
          <w:tcPr>
            <w:tcW w:w="1875" w:type="pct"/>
            <w:shd w:val="clear" w:color="auto" w:fill="FFF2CC" w:themeFill="accent4" w:themeFillTint="33"/>
          </w:tcPr>
          <w:p w14:paraId="113403C9" w14:textId="77777777" w:rsidR="00DF2ED0" w:rsidRPr="003916D1" w:rsidRDefault="00DF2ED0" w:rsidP="006A0F35">
            <w:pPr>
              <w:rPr>
                <w:rFonts w:cstheme="minorHAnsi"/>
              </w:rPr>
            </w:pPr>
            <w:r w:rsidRPr="003916D1">
              <w:rPr>
                <w:rFonts w:cstheme="minorHAnsi"/>
              </w:rPr>
              <w:t>Southern Melbourne</w:t>
            </w:r>
          </w:p>
        </w:tc>
        <w:tc>
          <w:tcPr>
            <w:tcW w:w="2265" w:type="pct"/>
            <w:shd w:val="clear" w:color="auto" w:fill="FFF2CC" w:themeFill="accent4" w:themeFillTint="33"/>
          </w:tcPr>
          <w:p w14:paraId="30F2C214" w14:textId="1C60B1B3" w:rsidR="00DF2ED0" w:rsidRPr="003916D1" w:rsidRDefault="00DF2ED0" w:rsidP="006A0F35">
            <w:pPr>
              <w:rPr>
                <w:rFonts w:cstheme="minorHAnsi"/>
              </w:rPr>
            </w:pPr>
            <w:r w:rsidRPr="003916D1">
              <w:rPr>
                <w:rFonts w:cstheme="minorHAnsi"/>
              </w:rPr>
              <w:t>S</w:t>
            </w:r>
            <w:r w:rsidR="00431329" w:rsidRPr="003916D1">
              <w:rPr>
                <w:rFonts w:cstheme="minorHAnsi"/>
              </w:rPr>
              <w:t>o</w:t>
            </w:r>
            <w:r w:rsidR="00431329" w:rsidRPr="003916D1">
              <w:t xml:space="preserve">uth </w:t>
            </w:r>
            <w:r w:rsidRPr="003916D1">
              <w:rPr>
                <w:rFonts w:cstheme="minorHAnsi"/>
              </w:rPr>
              <w:t>E</w:t>
            </w:r>
            <w:r w:rsidR="00431329" w:rsidRPr="003916D1">
              <w:rPr>
                <w:rFonts w:cstheme="minorHAnsi"/>
              </w:rPr>
              <w:t>ast Local Learning and Employment Network</w:t>
            </w:r>
          </w:p>
        </w:tc>
      </w:tr>
      <w:tr w:rsidR="00DF2ED0" w:rsidRPr="003916D1" w14:paraId="562071AE" w14:textId="77777777" w:rsidTr="007C31B4">
        <w:trPr>
          <w:trHeight w:val="326"/>
        </w:trPr>
        <w:tc>
          <w:tcPr>
            <w:tcW w:w="860" w:type="pct"/>
            <w:vMerge/>
            <w:shd w:val="clear" w:color="auto" w:fill="FFF2CC" w:themeFill="accent4" w:themeFillTint="33"/>
          </w:tcPr>
          <w:p w14:paraId="64EC72E0" w14:textId="77777777" w:rsidR="00DF2ED0" w:rsidRPr="003916D1" w:rsidRDefault="00DF2ED0" w:rsidP="006A0F35">
            <w:pPr>
              <w:rPr>
                <w:rFonts w:cstheme="minorHAnsi"/>
              </w:rPr>
            </w:pPr>
          </w:p>
        </w:tc>
        <w:tc>
          <w:tcPr>
            <w:tcW w:w="1875" w:type="pct"/>
            <w:shd w:val="clear" w:color="auto" w:fill="FFF2CC" w:themeFill="accent4" w:themeFillTint="33"/>
          </w:tcPr>
          <w:p w14:paraId="5DFFE3F9" w14:textId="77777777" w:rsidR="00DF2ED0" w:rsidRPr="003916D1" w:rsidRDefault="00DF2ED0" w:rsidP="006A0F35">
            <w:pPr>
              <w:rPr>
                <w:rFonts w:cstheme="minorHAnsi"/>
              </w:rPr>
            </w:pPr>
            <w:r w:rsidRPr="003916D1">
              <w:rPr>
                <w:rFonts w:cstheme="minorHAnsi"/>
              </w:rPr>
              <w:t xml:space="preserve">Inner Gippsland </w:t>
            </w:r>
          </w:p>
        </w:tc>
        <w:tc>
          <w:tcPr>
            <w:tcW w:w="2265" w:type="pct"/>
            <w:shd w:val="clear" w:color="auto" w:fill="FFF2CC" w:themeFill="accent4" w:themeFillTint="33"/>
          </w:tcPr>
          <w:p w14:paraId="70721A2F" w14:textId="07E1EB7B" w:rsidR="00DF2ED0" w:rsidRPr="003916D1" w:rsidRDefault="00DF2ED0" w:rsidP="00DF2ED0">
            <w:pPr>
              <w:rPr>
                <w:rFonts w:cstheme="minorHAnsi"/>
              </w:rPr>
            </w:pPr>
            <w:r w:rsidRPr="003916D1">
              <w:rPr>
                <w:rFonts w:cstheme="minorHAnsi"/>
              </w:rPr>
              <w:t xml:space="preserve">Berry Street </w:t>
            </w:r>
          </w:p>
        </w:tc>
      </w:tr>
      <w:tr w:rsidR="00DF2ED0" w:rsidRPr="003916D1" w14:paraId="48AC57C8" w14:textId="77777777" w:rsidTr="007C31B4">
        <w:trPr>
          <w:trHeight w:val="326"/>
        </w:trPr>
        <w:tc>
          <w:tcPr>
            <w:tcW w:w="860" w:type="pct"/>
            <w:vMerge/>
            <w:shd w:val="clear" w:color="auto" w:fill="FFF2CC" w:themeFill="accent4" w:themeFillTint="33"/>
          </w:tcPr>
          <w:p w14:paraId="35B5FCAC" w14:textId="77777777" w:rsidR="00DF2ED0" w:rsidRPr="003916D1" w:rsidRDefault="00DF2ED0" w:rsidP="006A0F35">
            <w:pPr>
              <w:rPr>
                <w:rFonts w:cstheme="minorHAnsi"/>
              </w:rPr>
            </w:pPr>
          </w:p>
        </w:tc>
        <w:tc>
          <w:tcPr>
            <w:tcW w:w="1875" w:type="pct"/>
            <w:shd w:val="clear" w:color="auto" w:fill="FFF2CC" w:themeFill="accent4" w:themeFillTint="33"/>
          </w:tcPr>
          <w:p w14:paraId="21AB31DF" w14:textId="77777777" w:rsidR="00DF2ED0" w:rsidRPr="003916D1" w:rsidRDefault="00DF2ED0" w:rsidP="006A0F35">
            <w:pPr>
              <w:rPr>
                <w:rFonts w:cstheme="minorHAnsi"/>
              </w:rPr>
            </w:pPr>
            <w:r w:rsidRPr="003916D1">
              <w:rPr>
                <w:rFonts w:cstheme="minorHAnsi"/>
              </w:rPr>
              <w:t xml:space="preserve">Outer Gippsland </w:t>
            </w:r>
          </w:p>
        </w:tc>
        <w:tc>
          <w:tcPr>
            <w:tcW w:w="2265" w:type="pct"/>
            <w:shd w:val="clear" w:color="auto" w:fill="FFF2CC" w:themeFill="accent4" w:themeFillTint="33"/>
          </w:tcPr>
          <w:p w14:paraId="624724C3" w14:textId="748E9E3D" w:rsidR="00DF2ED0" w:rsidRPr="003916D1" w:rsidRDefault="007C31B4" w:rsidP="006A0F35">
            <w:pPr>
              <w:rPr>
                <w:rFonts w:cstheme="minorHAnsi"/>
              </w:rPr>
            </w:pPr>
            <w:r w:rsidRPr="003916D1">
              <w:rPr>
                <w:rFonts w:cstheme="minorHAnsi"/>
              </w:rPr>
              <w:t>Navigator not yet operating</w:t>
            </w:r>
          </w:p>
        </w:tc>
      </w:tr>
      <w:bookmarkEnd w:id="1"/>
    </w:tbl>
    <w:p w14:paraId="16B06987" w14:textId="77777777" w:rsidR="00DF2ED0" w:rsidRPr="003916D1" w:rsidRDefault="00DF2ED0" w:rsidP="00DF2ED0">
      <w:pPr>
        <w:rPr>
          <w:rFonts w:cstheme="minorHAnsi"/>
          <w:sz w:val="18"/>
          <w:szCs w:val="18"/>
        </w:rPr>
      </w:pPr>
    </w:p>
    <w:p w14:paraId="15FFF421" w14:textId="77777777" w:rsidR="00F6376E" w:rsidRPr="003916D1" w:rsidRDefault="00F6376E" w:rsidP="00F6376E">
      <w:pPr>
        <w:rPr>
          <w:rFonts w:cstheme="minorHAnsi"/>
          <w:lang w:val="en-AU"/>
        </w:rPr>
      </w:pPr>
    </w:p>
    <w:p w14:paraId="6C6DFDA7" w14:textId="77777777" w:rsidR="004B1D77" w:rsidRPr="003916D1" w:rsidRDefault="004B1D77" w:rsidP="004B1D77">
      <w:pPr>
        <w:rPr>
          <w:rFonts w:eastAsiaTheme="majorEastAsia" w:cstheme="minorHAnsi"/>
          <w:b/>
          <w:color w:val="4472C4" w:themeColor="accent1"/>
          <w:sz w:val="24"/>
          <w:lang w:val="en-AU"/>
        </w:rPr>
      </w:pPr>
      <w:bookmarkStart w:id="2" w:name="_Hlk51922572"/>
      <w:r w:rsidRPr="007F6E50">
        <w:rPr>
          <w:rFonts w:eastAsiaTheme="majorEastAsia" w:cstheme="minorHAnsi"/>
          <w:b/>
          <w:color w:val="4472C4" w:themeColor="accent1"/>
          <w:sz w:val="24"/>
          <w:lang w:val="en-AU"/>
        </w:rPr>
        <w:t>What funding is available to</w:t>
      </w:r>
      <w:r w:rsidRPr="003916D1">
        <w:rPr>
          <w:rFonts w:eastAsiaTheme="majorEastAsia" w:cstheme="minorHAnsi"/>
          <w:b/>
          <w:color w:val="4472C4" w:themeColor="accent1"/>
          <w:sz w:val="24"/>
          <w:lang w:val="en-AU"/>
        </w:rPr>
        <w:t xml:space="preserve"> deliver the Navigator program for each? </w:t>
      </w:r>
    </w:p>
    <w:p w14:paraId="52A8EA53" w14:textId="77777777" w:rsidR="004B1D77" w:rsidRDefault="004B1D77" w:rsidP="004B1D77">
      <w:pPr>
        <w:rPr>
          <w:rFonts w:cstheme="minorHAnsi"/>
          <w:lang w:val="en-AU"/>
        </w:rPr>
      </w:pPr>
      <w:r w:rsidRPr="003916D1">
        <w:rPr>
          <w:rStyle w:val="PageNumber"/>
          <w:rFonts w:eastAsia="Calibri" w:cstheme="minorHAnsi"/>
          <w:sz w:val="24"/>
        </w:rPr>
        <w:t xml:space="preserve">Please refer to the </w:t>
      </w:r>
      <w:proofErr w:type="spellStart"/>
      <w:r w:rsidRPr="003916D1">
        <w:rPr>
          <w:rStyle w:val="PageNumber"/>
          <w:rFonts w:eastAsia="Calibri" w:cstheme="minorHAnsi"/>
          <w:sz w:val="24"/>
        </w:rPr>
        <w:t>EOI</w:t>
      </w:r>
      <w:proofErr w:type="spellEnd"/>
      <w:r w:rsidRPr="003916D1">
        <w:rPr>
          <w:rStyle w:val="PageNumber"/>
          <w:rFonts w:eastAsia="Calibri" w:cstheme="minorHAnsi"/>
          <w:sz w:val="24"/>
        </w:rPr>
        <w:t xml:space="preserve"> Program Overview and Application form for details regarding funding available.</w:t>
      </w:r>
    </w:p>
    <w:p w14:paraId="4A4FA4B1" w14:textId="77777777" w:rsidR="004B1D77" w:rsidRDefault="004B1D77" w:rsidP="004B1D77">
      <w:pPr>
        <w:rPr>
          <w:rFonts w:eastAsiaTheme="majorEastAsia" w:cstheme="minorHAnsi"/>
          <w:b/>
          <w:color w:val="4472C4" w:themeColor="accent1"/>
          <w:sz w:val="24"/>
          <w:lang w:val="en-AU"/>
        </w:rPr>
      </w:pPr>
    </w:p>
    <w:p w14:paraId="21A2AAAD" w14:textId="464E70F1" w:rsidR="004B1D77" w:rsidRPr="003916D1" w:rsidRDefault="004B1D77" w:rsidP="004B1D77">
      <w:pPr>
        <w:rPr>
          <w:rFonts w:eastAsiaTheme="majorEastAsia" w:cstheme="minorHAnsi"/>
          <w:b/>
          <w:color w:val="4472C4" w:themeColor="accent1"/>
          <w:sz w:val="24"/>
          <w:lang w:val="en-AU"/>
        </w:rPr>
      </w:pPr>
      <w:r w:rsidRPr="003916D1">
        <w:rPr>
          <w:rFonts w:eastAsiaTheme="majorEastAsia" w:cstheme="minorHAnsi"/>
          <w:b/>
          <w:color w:val="4472C4" w:themeColor="accent1"/>
          <w:sz w:val="24"/>
          <w:lang w:val="en-AU"/>
        </w:rPr>
        <w:t xml:space="preserve">What might some of the specific cohorts of students that are likely to be involved with Navigator in the Outer Eastern Melbourne Area be? </w:t>
      </w:r>
    </w:p>
    <w:bookmarkEnd w:id="2"/>
    <w:p w14:paraId="787A84A3" w14:textId="77777777" w:rsidR="004B1D77" w:rsidRPr="003916D1" w:rsidRDefault="004B1D77" w:rsidP="004B1D77">
      <w:pPr>
        <w:rPr>
          <w:rStyle w:val="PageNumber"/>
          <w:rFonts w:eastAsia="Calibri" w:cstheme="minorHAnsi"/>
          <w:sz w:val="24"/>
        </w:rPr>
      </w:pPr>
      <w:r w:rsidRPr="003916D1">
        <w:rPr>
          <w:rStyle w:val="PageNumber"/>
          <w:rFonts w:eastAsia="Calibri" w:cstheme="minorHAnsi"/>
          <w:sz w:val="24"/>
        </w:rPr>
        <w:t xml:space="preserve">Students in the Outer Eastern Melbourne Area who are experiencing disengagement from education typically have similar challenges to young people in other DET Areas. These may include issues and risk factors relating to their family, community, personal and school circumstances. There is also a great diversity of socio-economic status across the Outer Eastern Melbourne Area. </w:t>
      </w:r>
    </w:p>
    <w:p w14:paraId="0F3F6099" w14:textId="77777777" w:rsidR="004B1D77" w:rsidRPr="003916D1" w:rsidRDefault="004B1D77" w:rsidP="004B1D77">
      <w:pPr>
        <w:rPr>
          <w:rStyle w:val="PageNumber"/>
          <w:rFonts w:eastAsia="Calibri" w:cstheme="minorHAnsi"/>
          <w:sz w:val="24"/>
        </w:rPr>
      </w:pPr>
    </w:p>
    <w:p w14:paraId="0D6978F8" w14:textId="77777777" w:rsidR="004B1D77" w:rsidRPr="003916D1" w:rsidRDefault="004B1D77" w:rsidP="004B1D77">
      <w:pPr>
        <w:rPr>
          <w:rFonts w:eastAsiaTheme="majorEastAsia" w:cstheme="minorHAnsi"/>
          <w:b/>
          <w:color w:val="4472C4" w:themeColor="accent1"/>
          <w:sz w:val="24"/>
          <w:lang w:val="en-AU"/>
        </w:rPr>
      </w:pPr>
      <w:r w:rsidRPr="003916D1">
        <w:rPr>
          <w:rFonts w:eastAsiaTheme="majorEastAsia" w:cstheme="minorHAnsi"/>
          <w:b/>
          <w:color w:val="4472C4" w:themeColor="accent1"/>
          <w:sz w:val="24"/>
          <w:lang w:val="en-AU"/>
        </w:rPr>
        <w:t xml:space="preserve">How does DET measure success of the program – what are the </w:t>
      </w:r>
      <w:proofErr w:type="spellStart"/>
      <w:r w:rsidRPr="003916D1">
        <w:rPr>
          <w:rFonts w:eastAsiaTheme="majorEastAsia" w:cstheme="minorHAnsi"/>
          <w:b/>
          <w:color w:val="4472C4" w:themeColor="accent1"/>
          <w:sz w:val="24"/>
          <w:lang w:val="en-AU"/>
        </w:rPr>
        <w:t>KPI’s</w:t>
      </w:r>
      <w:proofErr w:type="spellEnd"/>
      <w:r w:rsidRPr="003916D1">
        <w:rPr>
          <w:rFonts w:eastAsiaTheme="majorEastAsia" w:cstheme="minorHAnsi"/>
          <w:b/>
          <w:color w:val="4472C4" w:themeColor="accent1"/>
          <w:sz w:val="24"/>
          <w:lang w:val="en-AU"/>
        </w:rPr>
        <w:t xml:space="preserve"> and reporting requirements?</w:t>
      </w:r>
    </w:p>
    <w:p w14:paraId="22527C17" w14:textId="77777777" w:rsidR="004B1D77" w:rsidRPr="003916D1" w:rsidRDefault="004B1D77" w:rsidP="004B1D77">
      <w:pPr>
        <w:rPr>
          <w:rStyle w:val="PageNumber"/>
          <w:rFonts w:eastAsia="Calibri" w:cstheme="minorHAnsi"/>
          <w:sz w:val="24"/>
        </w:rPr>
      </w:pPr>
      <w:r w:rsidRPr="003916D1">
        <w:rPr>
          <w:rStyle w:val="PageNumber"/>
          <w:rFonts w:eastAsia="Calibri" w:cstheme="minorHAnsi"/>
          <w:sz w:val="24"/>
        </w:rPr>
        <w:t xml:space="preserve">DET collects data about the Navigator program and uses this to assess the impact and success of Navigator. As indicated in the </w:t>
      </w:r>
      <w:proofErr w:type="spellStart"/>
      <w:r w:rsidRPr="003916D1">
        <w:rPr>
          <w:rStyle w:val="PageNumber"/>
          <w:rFonts w:eastAsia="Calibri" w:cstheme="minorHAnsi"/>
          <w:sz w:val="24"/>
        </w:rPr>
        <w:t>EOI</w:t>
      </w:r>
      <w:proofErr w:type="spellEnd"/>
      <w:r w:rsidRPr="003916D1">
        <w:rPr>
          <w:rStyle w:val="PageNumber"/>
          <w:rFonts w:eastAsia="Calibri" w:cstheme="minorHAnsi"/>
          <w:sz w:val="24"/>
        </w:rPr>
        <w:t xml:space="preserve"> Program Overview and Application form, specific </w:t>
      </w:r>
      <w:proofErr w:type="spellStart"/>
      <w:r w:rsidRPr="003916D1">
        <w:rPr>
          <w:rStyle w:val="PageNumber"/>
          <w:rFonts w:eastAsia="Calibri" w:cstheme="minorHAnsi"/>
          <w:sz w:val="24"/>
        </w:rPr>
        <w:t>KPI’s</w:t>
      </w:r>
      <w:proofErr w:type="spellEnd"/>
      <w:r w:rsidRPr="003916D1">
        <w:rPr>
          <w:rStyle w:val="PageNumber"/>
          <w:rFonts w:eastAsia="Calibri" w:cstheme="minorHAnsi"/>
          <w:sz w:val="24"/>
        </w:rPr>
        <w:t xml:space="preserve"> will be discussed with selected Service Providers. All Service Providers will develop a Service Delivery Plan in consultation with DET, which will outline the agreed </w:t>
      </w:r>
      <w:proofErr w:type="spellStart"/>
      <w:r w:rsidRPr="003916D1">
        <w:rPr>
          <w:rStyle w:val="PageNumber"/>
          <w:rFonts w:eastAsia="Calibri" w:cstheme="minorHAnsi"/>
          <w:sz w:val="24"/>
        </w:rPr>
        <w:t>KPI’s</w:t>
      </w:r>
      <w:proofErr w:type="spellEnd"/>
      <w:r w:rsidRPr="003916D1">
        <w:rPr>
          <w:rStyle w:val="PageNumber"/>
          <w:rFonts w:eastAsia="Calibri" w:cstheme="minorHAnsi"/>
          <w:sz w:val="24"/>
        </w:rPr>
        <w:t xml:space="preserve"> and will be expected to provide reports and data to DET when required. </w:t>
      </w:r>
    </w:p>
    <w:p w14:paraId="040FCF79" w14:textId="77777777" w:rsidR="009862F3" w:rsidRPr="005A6AE0" w:rsidRDefault="009862F3" w:rsidP="00F6376E">
      <w:pPr>
        <w:rPr>
          <w:rFonts w:cstheme="minorHAnsi"/>
          <w:lang w:val="en-AU"/>
        </w:rPr>
      </w:pPr>
    </w:p>
    <w:p w14:paraId="514FCFA3" w14:textId="77777777" w:rsidR="00923788" w:rsidRPr="005A6AE0" w:rsidRDefault="00923788" w:rsidP="00923788">
      <w:pPr>
        <w:jc w:val="both"/>
        <w:rPr>
          <w:rFonts w:eastAsia="Calibri" w:cstheme="minorHAnsi"/>
          <w:sz w:val="24"/>
        </w:rPr>
      </w:pPr>
    </w:p>
    <w:p w14:paraId="37B115EA" w14:textId="74570E59" w:rsidR="003916D1" w:rsidRPr="007F6E50" w:rsidRDefault="007F6E50" w:rsidP="003916D1">
      <w:pPr>
        <w:pStyle w:val="Heading2"/>
        <w:jc w:val="both"/>
        <w:rPr>
          <w:rFonts w:asciiTheme="minorHAnsi" w:hAnsiTheme="minorHAnsi" w:cstheme="minorHAnsi"/>
          <w:caps w:val="0"/>
          <w:color w:val="auto"/>
          <w:sz w:val="24"/>
          <w:szCs w:val="24"/>
          <w:lang w:val="en-AU"/>
        </w:rPr>
      </w:pPr>
      <w:r>
        <w:rPr>
          <w:rFonts w:asciiTheme="minorHAnsi" w:hAnsiTheme="minorHAnsi" w:cstheme="minorHAnsi"/>
          <w:caps w:val="0"/>
          <w:color w:val="auto"/>
          <w:sz w:val="24"/>
          <w:szCs w:val="24"/>
          <w:lang w:val="en-AU"/>
        </w:rPr>
        <w:t xml:space="preserve">Prepared </w:t>
      </w:r>
      <w:r w:rsidR="003916D1" w:rsidRPr="007F6E50">
        <w:rPr>
          <w:rFonts w:asciiTheme="minorHAnsi" w:hAnsiTheme="minorHAnsi" w:cstheme="minorHAnsi"/>
          <w:caps w:val="0"/>
          <w:color w:val="auto"/>
          <w:sz w:val="24"/>
          <w:szCs w:val="24"/>
          <w:lang w:val="en-AU"/>
        </w:rPr>
        <w:t>29 September 2020</w:t>
      </w:r>
    </w:p>
    <w:p w14:paraId="23D8D35F" w14:textId="77777777" w:rsidR="0042132B" w:rsidRPr="005A6AE0" w:rsidRDefault="0042132B">
      <w:pPr>
        <w:rPr>
          <w:rFonts w:cstheme="minorHAnsi"/>
        </w:rPr>
      </w:pPr>
    </w:p>
    <w:sectPr w:rsidR="0042132B" w:rsidRPr="005A6AE0" w:rsidSect="00923788">
      <w:headerReference w:type="default" r:id="rId14"/>
      <w:footerReference w:type="even" r:id="rId15"/>
      <w:footerReference w:type="default" r:id="rId16"/>
      <w:pgSz w:w="11900" w:h="16840"/>
      <w:pgMar w:top="170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8791B" w14:textId="77777777" w:rsidR="00A2560F" w:rsidRDefault="00A2560F">
      <w:pPr>
        <w:spacing w:after="0"/>
      </w:pPr>
      <w:r>
        <w:separator/>
      </w:r>
    </w:p>
  </w:endnote>
  <w:endnote w:type="continuationSeparator" w:id="0">
    <w:p w14:paraId="74C3753C" w14:textId="77777777" w:rsidR="00A2560F" w:rsidRDefault="00A2560F">
      <w:pPr>
        <w:spacing w:after="0"/>
      </w:pPr>
      <w:r>
        <w:continuationSeparator/>
      </w:r>
    </w:p>
  </w:endnote>
  <w:endnote w:type="continuationNotice" w:id="1">
    <w:p w14:paraId="77770422" w14:textId="77777777" w:rsidR="00A2560F" w:rsidRDefault="00A2560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A47A5" w14:textId="77777777" w:rsidR="003916D1" w:rsidRDefault="003916D1" w:rsidP="006A0F3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2CB4CCC" w14:textId="77777777" w:rsidR="003916D1" w:rsidRDefault="003916D1" w:rsidP="006A0F3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05A26" w14:textId="77777777" w:rsidR="003916D1" w:rsidRDefault="003916D1" w:rsidP="006A0F3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D7F24D8" w14:textId="77777777" w:rsidR="003916D1" w:rsidRDefault="003916D1" w:rsidP="006A0F35">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3EBC4" w14:textId="77777777" w:rsidR="00A2560F" w:rsidRDefault="00A2560F">
      <w:pPr>
        <w:spacing w:after="0"/>
      </w:pPr>
      <w:r>
        <w:separator/>
      </w:r>
    </w:p>
  </w:footnote>
  <w:footnote w:type="continuationSeparator" w:id="0">
    <w:p w14:paraId="29A41126" w14:textId="77777777" w:rsidR="00A2560F" w:rsidRDefault="00A2560F">
      <w:pPr>
        <w:spacing w:after="0"/>
      </w:pPr>
      <w:r>
        <w:continuationSeparator/>
      </w:r>
    </w:p>
  </w:footnote>
  <w:footnote w:type="continuationNotice" w:id="1">
    <w:p w14:paraId="30CBBBAB" w14:textId="77777777" w:rsidR="00A2560F" w:rsidRDefault="00A2560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6EADB" w14:textId="77777777" w:rsidR="003916D1" w:rsidRDefault="003916D1">
    <w:pPr>
      <w:pStyle w:val="Header"/>
    </w:pPr>
    <w:r>
      <w:rPr>
        <w:noProof/>
        <w:lang w:val="en-AU" w:eastAsia="en-AU"/>
      </w:rPr>
      <w:drawing>
        <wp:anchor distT="0" distB="0" distL="114300" distR="114300" simplePos="0" relativeHeight="251658240" behindDoc="1" locked="0" layoutInCell="1" allowOverlap="1" wp14:anchorId="114EDA9E" wp14:editId="1925A4B6">
          <wp:simplePos x="0" y="0"/>
          <wp:positionH relativeFrom="page">
            <wp:align>left</wp:align>
          </wp:positionH>
          <wp:positionV relativeFrom="page">
            <wp:align>top</wp:align>
          </wp:positionV>
          <wp:extent cx="7556400" cy="10692000"/>
          <wp:effectExtent l="0" t="0" r="63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T Factsheet_narrow_1.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67048"/>
    <w:multiLevelType w:val="hybridMultilevel"/>
    <w:tmpl w:val="A96E53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788"/>
    <w:rsid w:val="00006E52"/>
    <w:rsid w:val="000A6FF1"/>
    <w:rsid w:val="000E03D0"/>
    <w:rsid w:val="000F41EC"/>
    <w:rsid w:val="00106453"/>
    <w:rsid w:val="00113E8F"/>
    <w:rsid w:val="0019024B"/>
    <w:rsid w:val="003916D1"/>
    <w:rsid w:val="0042132B"/>
    <w:rsid w:val="00431329"/>
    <w:rsid w:val="00445FD1"/>
    <w:rsid w:val="004B1D77"/>
    <w:rsid w:val="005026D0"/>
    <w:rsid w:val="00504739"/>
    <w:rsid w:val="005152FB"/>
    <w:rsid w:val="0053637E"/>
    <w:rsid w:val="00550A95"/>
    <w:rsid w:val="005A6AE0"/>
    <w:rsid w:val="005F4164"/>
    <w:rsid w:val="006021FB"/>
    <w:rsid w:val="00613C35"/>
    <w:rsid w:val="006A0F35"/>
    <w:rsid w:val="007C31B4"/>
    <w:rsid w:val="007F6E50"/>
    <w:rsid w:val="00820615"/>
    <w:rsid w:val="0088236C"/>
    <w:rsid w:val="0088276C"/>
    <w:rsid w:val="008C0879"/>
    <w:rsid w:val="008C45AA"/>
    <w:rsid w:val="008D1D96"/>
    <w:rsid w:val="008D6CBE"/>
    <w:rsid w:val="008E6327"/>
    <w:rsid w:val="00923788"/>
    <w:rsid w:val="00955430"/>
    <w:rsid w:val="009862F3"/>
    <w:rsid w:val="009F78C5"/>
    <w:rsid w:val="00A2560F"/>
    <w:rsid w:val="00A407B5"/>
    <w:rsid w:val="00A90428"/>
    <w:rsid w:val="00C43BBC"/>
    <w:rsid w:val="00C62C9D"/>
    <w:rsid w:val="00C66368"/>
    <w:rsid w:val="00DC39FA"/>
    <w:rsid w:val="00DD6813"/>
    <w:rsid w:val="00DF2ED0"/>
    <w:rsid w:val="00EF5B3D"/>
    <w:rsid w:val="00F07FEA"/>
    <w:rsid w:val="00F6376E"/>
    <w:rsid w:val="00F72F4E"/>
    <w:rsid w:val="00F8424F"/>
    <w:rsid w:val="00FC6EFF"/>
    <w:rsid w:val="00FF18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2A789"/>
  <w15:chartTrackingRefBased/>
  <w15:docId w15:val="{3EDD3E11-FEDF-4CB3-BDF8-0D0DC7219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788"/>
    <w:pPr>
      <w:spacing w:after="120" w:line="240" w:lineRule="auto"/>
    </w:pPr>
    <w:rPr>
      <w:szCs w:val="24"/>
      <w:lang w:val="en-GB"/>
    </w:rPr>
  </w:style>
  <w:style w:type="paragraph" w:styleId="Heading1">
    <w:name w:val="heading 1"/>
    <w:basedOn w:val="Normal"/>
    <w:next w:val="Normal"/>
    <w:link w:val="Heading1Char"/>
    <w:uiPriority w:val="9"/>
    <w:qFormat/>
    <w:rsid w:val="00FF18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23788"/>
    <w:pPr>
      <w:keepNext/>
      <w:keepLines/>
      <w:spacing w:before="40"/>
      <w:outlineLvl w:val="1"/>
    </w:pPr>
    <w:rPr>
      <w:rFonts w:asciiTheme="majorHAnsi" w:eastAsiaTheme="majorEastAsia" w:hAnsiTheme="majorHAnsi" w:cstheme="majorBidi"/>
      <w:b/>
      <w:caps/>
      <w:color w:val="4472C4" w:themeColor="accent1"/>
      <w:sz w:val="26"/>
      <w:szCs w:val="26"/>
    </w:rPr>
  </w:style>
  <w:style w:type="paragraph" w:styleId="Heading3">
    <w:name w:val="heading 3"/>
    <w:basedOn w:val="Normal"/>
    <w:next w:val="Normal"/>
    <w:link w:val="Heading3Char"/>
    <w:uiPriority w:val="9"/>
    <w:unhideWhenUsed/>
    <w:qFormat/>
    <w:rsid w:val="00923788"/>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3788"/>
    <w:rPr>
      <w:rFonts w:asciiTheme="majorHAnsi" w:eastAsiaTheme="majorEastAsia" w:hAnsiTheme="majorHAnsi" w:cstheme="majorBidi"/>
      <w:b/>
      <w:caps/>
      <w:color w:val="4472C4" w:themeColor="accent1"/>
      <w:sz w:val="26"/>
      <w:szCs w:val="26"/>
      <w:lang w:val="en-GB"/>
    </w:rPr>
  </w:style>
  <w:style w:type="character" w:customStyle="1" w:styleId="Heading3Char">
    <w:name w:val="Heading 3 Char"/>
    <w:basedOn w:val="DefaultParagraphFont"/>
    <w:link w:val="Heading3"/>
    <w:uiPriority w:val="9"/>
    <w:rsid w:val="00923788"/>
    <w:rPr>
      <w:rFonts w:asciiTheme="majorHAnsi" w:eastAsiaTheme="majorEastAsia" w:hAnsiTheme="majorHAnsi" w:cstheme="majorBidi"/>
      <w:b/>
      <w:color w:val="000000" w:themeColor="text1"/>
      <w:sz w:val="24"/>
      <w:szCs w:val="24"/>
      <w:lang w:val="en-GB"/>
    </w:rPr>
  </w:style>
  <w:style w:type="paragraph" w:styleId="Header">
    <w:name w:val="header"/>
    <w:basedOn w:val="Normal"/>
    <w:link w:val="HeaderChar"/>
    <w:uiPriority w:val="99"/>
    <w:unhideWhenUsed/>
    <w:rsid w:val="00923788"/>
    <w:pPr>
      <w:tabs>
        <w:tab w:val="center" w:pos="4513"/>
        <w:tab w:val="right" w:pos="9026"/>
      </w:tabs>
    </w:pPr>
  </w:style>
  <w:style w:type="character" w:customStyle="1" w:styleId="HeaderChar">
    <w:name w:val="Header Char"/>
    <w:basedOn w:val="DefaultParagraphFont"/>
    <w:link w:val="Header"/>
    <w:uiPriority w:val="99"/>
    <w:rsid w:val="00923788"/>
    <w:rPr>
      <w:szCs w:val="24"/>
      <w:lang w:val="en-GB"/>
    </w:rPr>
  </w:style>
  <w:style w:type="paragraph" w:styleId="Footer">
    <w:name w:val="footer"/>
    <w:basedOn w:val="Normal"/>
    <w:link w:val="FooterChar"/>
    <w:uiPriority w:val="99"/>
    <w:unhideWhenUsed/>
    <w:rsid w:val="00923788"/>
    <w:pPr>
      <w:tabs>
        <w:tab w:val="center" w:pos="4513"/>
        <w:tab w:val="right" w:pos="9026"/>
      </w:tabs>
    </w:pPr>
  </w:style>
  <w:style w:type="character" w:customStyle="1" w:styleId="FooterChar">
    <w:name w:val="Footer Char"/>
    <w:basedOn w:val="DefaultParagraphFont"/>
    <w:link w:val="Footer"/>
    <w:uiPriority w:val="99"/>
    <w:rsid w:val="00923788"/>
    <w:rPr>
      <w:szCs w:val="24"/>
      <w:lang w:val="en-GB"/>
    </w:rPr>
  </w:style>
  <w:style w:type="character" w:styleId="PageNumber">
    <w:name w:val="page number"/>
    <w:basedOn w:val="DefaultParagraphFont"/>
    <w:unhideWhenUsed/>
    <w:rsid w:val="00923788"/>
  </w:style>
  <w:style w:type="table" w:styleId="TableGrid">
    <w:name w:val="Table Grid"/>
    <w:basedOn w:val="TableNormal"/>
    <w:uiPriority w:val="39"/>
    <w:rsid w:val="00DF2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2ED0"/>
    <w:rPr>
      <w:color w:val="0563C1"/>
      <w:u w:val="single"/>
    </w:rPr>
  </w:style>
  <w:style w:type="character" w:styleId="CommentReference">
    <w:name w:val="annotation reference"/>
    <w:basedOn w:val="DefaultParagraphFont"/>
    <w:uiPriority w:val="99"/>
    <w:semiHidden/>
    <w:unhideWhenUsed/>
    <w:rsid w:val="00A90428"/>
    <w:rPr>
      <w:sz w:val="16"/>
      <w:szCs w:val="16"/>
    </w:rPr>
  </w:style>
  <w:style w:type="paragraph" w:styleId="CommentText">
    <w:name w:val="annotation text"/>
    <w:basedOn w:val="Normal"/>
    <w:link w:val="CommentTextChar"/>
    <w:uiPriority w:val="99"/>
    <w:semiHidden/>
    <w:unhideWhenUsed/>
    <w:rsid w:val="00A90428"/>
    <w:rPr>
      <w:sz w:val="20"/>
      <w:szCs w:val="20"/>
    </w:rPr>
  </w:style>
  <w:style w:type="character" w:customStyle="1" w:styleId="CommentTextChar">
    <w:name w:val="Comment Text Char"/>
    <w:basedOn w:val="DefaultParagraphFont"/>
    <w:link w:val="CommentText"/>
    <w:uiPriority w:val="99"/>
    <w:semiHidden/>
    <w:rsid w:val="00A90428"/>
    <w:rPr>
      <w:sz w:val="20"/>
      <w:szCs w:val="20"/>
      <w:lang w:val="en-GB"/>
    </w:rPr>
  </w:style>
  <w:style w:type="paragraph" w:styleId="CommentSubject">
    <w:name w:val="annotation subject"/>
    <w:basedOn w:val="CommentText"/>
    <w:next w:val="CommentText"/>
    <w:link w:val="CommentSubjectChar"/>
    <w:uiPriority w:val="99"/>
    <w:semiHidden/>
    <w:unhideWhenUsed/>
    <w:rsid w:val="00A90428"/>
    <w:rPr>
      <w:b/>
      <w:bCs/>
    </w:rPr>
  </w:style>
  <w:style w:type="character" w:customStyle="1" w:styleId="CommentSubjectChar">
    <w:name w:val="Comment Subject Char"/>
    <w:basedOn w:val="CommentTextChar"/>
    <w:link w:val="CommentSubject"/>
    <w:uiPriority w:val="99"/>
    <w:semiHidden/>
    <w:rsid w:val="00A90428"/>
    <w:rPr>
      <w:b/>
      <w:bCs/>
      <w:sz w:val="20"/>
      <w:szCs w:val="20"/>
      <w:lang w:val="en-GB"/>
    </w:rPr>
  </w:style>
  <w:style w:type="paragraph" w:styleId="BalloonText">
    <w:name w:val="Balloon Text"/>
    <w:basedOn w:val="Normal"/>
    <w:link w:val="BalloonTextChar"/>
    <w:uiPriority w:val="99"/>
    <w:semiHidden/>
    <w:unhideWhenUsed/>
    <w:rsid w:val="00A9042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428"/>
    <w:rPr>
      <w:rFonts w:ascii="Segoe UI" w:hAnsi="Segoe UI" w:cs="Segoe UI"/>
      <w:sz w:val="18"/>
      <w:szCs w:val="18"/>
      <w:lang w:val="en-GB"/>
    </w:rPr>
  </w:style>
  <w:style w:type="paragraph" w:styleId="Revision">
    <w:name w:val="Revision"/>
    <w:hidden/>
    <w:uiPriority w:val="99"/>
    <w:semiHidden/>
    <w:rsid w:val="000E03D0"/>
    <w:pPr>
      <w:spacing w:after="0" w:line="240" w:lineRule="auto"/>
    </w:pPr>
    <w:rPr>
      <w:szCs w:val="24"/>
      <w:lang w:val="en-GB"/>
    </w:rPr>
  </w:style>
  <w:style w:type="character" w:styleId="FollowedHyperlink">
    <w:name w:val="FollowedHyperlink"/>
    <w:basedOn w:val="DefaultParagraphFont"/>
    <w:uiPriority w:val="99"/>
    <w:semiHidden/>
    <w:unhideWhenUsed/>
    <w:rsid w:val="00FF18AE"/>
    <w:rPr>
      <w:color w:val="954F72" w:themeColor="followedHyperlink"/>
      <w:u w:val="single"/>
    </w:rPr>
  </w:style>
  <w:style w:type="character" w:customStyle="1" w:styleId="Heading1Char">
    <w:name w:val="Heading 1 Char"/>
    <w:basedOn w:val="DefaultParagraphFont"/>
    <w:link w:val="Heading1"/>
    <w:uiPriority w:val="9"/>
    <w:rsid w:val="00FF18AE"/>
    <w:rPr>
      <w:rFonts w:asciiTheme="majorHAnsi" w:eastAsiaTheme="majorEastAsia" w:hAnsiTheme="majorHAnsi" w:cstheme="majorBidi"/>
      <w:color w:val="2F5496" w:themeColor="accent1" w:themeShade="BF"/>
      <w:sz w:val="32"/>
      <w:szCs w:val="32"/>
      <w:lang w:val="en-GB"/>
    </w:rPr>
  </w:style>
  <w:style w:type="character" w:styleId="UnresolvedMention">
    <w:name w:val="Unresolved Mention"/>
    <w:basedOn w:val="DefaultParagraphFont"/>
    <w:uiPriority w:val="99"/>
    <w:semiHidden/>
    <w:unhideWhenUsed/>
    <w:rsid w:val="008D6CBE"/>
    <w:rPr>
      <w:color w:val="605E5C"/>
      <w:shd w:val="clear" w:color="auto" w:fill="E1DFDD"/>
    </w:rPr>
  </w:style>
  <w:style w:type="paragraph" w:styleId="ListParagraph">
    <w:name w:val="List Paragraph"/>
    <w:basedOn w:val="Normal"/>
    <w:uiPriority w:val="34"/>
    <w:qFormat/>
    <w:rsid w:val="009862F3"/>
    <w:pPr>
      <w:spacing w:after="0"/>
      <w:ind w:left="720"/>
    </w:pPr>
    <w:rPr>
      <w:rFonts w:ascii="Calibri" w:hAnsi="Calibri" w:cs="Calibri"/>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75504">
      <w:bodyDiv w:val="1"/>
      <w:marLeft w:val="0"/>
      <w:marRight w:val="0"/>
      <w:marTop w:val="0"/>
      <w:marBottom w:val="0"/>
      <w:divBdr>
        <w:top w:val="none" w:sz="0" w:space="0" w:color="auto"/>
        <w:left w:val="none" w:sz="0" w:space="0" w:color="auto"/>
        <w:bottom w:val="none" w:sz="0" w:space="0" w:color="auto"/>
        <w:right w:val="none" w:sz="0" w:space="0" w:color="auto"/>
      </w:divBdr>
    </w:div>
    <w:div w:id="307395185">
      <w:bodyDiv w:val="1"/>
      <w:marLeft w:val="0"/>
      <w:marRight w:val="0"/>
      <w:marTop w:val="0"/>
      <w:marBottom w:val="0"/>
      <w:divBdr>
        <w:top w:val="none" w:sz="0" w:space="0" w:color="auto"/>
        <w:left w:val="none" w:sz="0" w:space="0" w:color="auto"/>
        <w:bottom w:val="none" w:sz="0" w:space="0" w:color="auto"/>
        <w:right w:val="none" w:sz="0" w:space="0" w:color="auto"/>
      </w:divBdr>
    </w:div>
    <w:div w:id="1158351458">
      <w:bodyDiv w:val="1"/>
      <w:marLeft w:val="0"/>
      <w:marRight w:val="0"/>
      <w:marTop w:val="0"/>
      <w:marBottom w:val="0"/>
      <w:divBdr>
        <w:top w:val="none" w:sz="0" w:space="0" w:color="auto"/>
        <w:left w:val="none" w:sz="0" w:space="0" w:color="auto"/>
        <w:bottom w:val="none" w:sz="0" w:space="0" w:color="auto"/>
        <w:right w:val="none" w:sz="0" w:space="0" w:color="auto"/>
      </w:divBdr>
    </w:div>
    <w:div w:id="1443256881">
      <w:bodyDiv w:val="1"/>
      <w:marLeft w:val="0"/>
      <w:marRight w:val="0"/>
      <w:marTop w:val="0"/>
      <w:marBottom w:val="0"/>
      <w:divBdr>
        <w:top w:val="none" w:sz="0" w:space="0" w:color="auto"/>
        <w:left w:val="none" w:sz="0" w:space="0" w:color="auto"/>
        <w:bottom w:val="none" w:sz="0" w:space="0" w:color="auto"/>
        <w:right w:val="none" w:sz="0" w:space="0" w:color="auto"/>
      </w:divBdr>
    </w:div>
    <w:div w:id="2073964472">
      <w:bodyDiv w:val="1"/>
      <w:marLeft w:val="0"/>
      <w:marRight w:val="0"/>
      <w:marTop w:val="0"/>
      <w:marBottom w:val="0"/>
      <w:divBdr>
        <w:top w:val="none" w:sz="0" w:space="0" w:color="auto"/>
        <w:left w:val="none" w:sz="0" w:space="0" w:color="auto"/>
        <w:bottom w:val="none" w:sz="0" w:space="0" w:color="auto"/>
        <w:right w:val="none" w:sz="0" w:space="0" w:color="auto"/>
      </w:divBdr>
      <w:divsChild>
        <w:div w:id="1120032981">
          <w:marLeft w:val="0"/>
          <w:marRight w:val="0"/>
          <w:marTop w:val="0"/>
          <w:marBottom w:val="0"/>
          <w:divBdr>
            <w:top w:val="none" w:sz="0" w:space="0" w:color="auto"/>
            <w:left w:val="none" w:sz="0" w:space="0" w:color="auto"/>
            <w:bottom w:val="none" w:sz="0" w:space="0" w:color="auto"/>
            <w:right w:val="none" w:sz="0" w:space="0" w:color="auto"/>
          </w:divBdr>
        </w:div>
        <w:div w:id="642276573">
          <w:marLeft w:val="0"/>
          <w:marRight w:val="0"/>
          <w:marTop w:val="0"/>
          <w:marBottom w:val="0"/>
          <w:divBdr>
            <w:top w:val="none" w:sz="0" w:space="0" w:color="auto"/>
            <w:left w:val="none" w:sz="0" w:space="0" w:color="auto"/>
            <w:bottom w:val="none" w:sz="0" w:space="0" w:color="auto"/>
            <w:right w:val="none" w:sz="0" w:space="0" w:color="auto"/>
          </w:divBdr>
          <w:divsChild>
            <w:div w:id="878514145">
              <w:marLeft w:val="0"/>
              <w:marRight w:val="0"/>
              <w:marTop w:val="0"/>
              <w:marBottom w:val="0"/>
              <w:divBdr>
                <w:top w:val="none" w:sz="0" w:space="0" w:color="auto"/>
                <w:left w:val="none" w:sz="0" w:space="0" w:color="auto"/>
                <w:bottom w:val="none" w:sz="0" w:space="0" w:color="auto"/>
                <w:right w:val="none" w:sz="0" w:space="0" w:color="auto"/>
              </w:divBdr>
              <w:divsChild>
                <w:div w:id="13934696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942955189">
          <w:marLeft w:val="0"/>
          <w:marRight w:val="0"/>
          <w:marTop w:val="0"/>
          <w:marBottom w:val="0"/>
          <w:divBdr>
            <w:top w:val="none" w:sz="0" w:space="0" w:color="auto"/>
            <w:left w:val="none" w:sz="0" w:space="0" w:color="auto"/>
            <w:bottom w:val="none" w:sz="0" w:space="0" w:color="auto"/>
            <w:right w:val="none" w:sz="0" w:space="0" w:color="auto"/>
          </w:divBdr>
        </w:div>
      </w:divsChild>
    </w:div>
    <w:div w:id="208976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iscover.data.vic.gov.au/dataset/government-school-atsi-enrolments-by-lg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discover.data.vic.gov.au/organization/department-of-education-and-train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4" Type="http://schemas.openxmlformats.org/officeDocument/2006/relationships/header" Target="head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 xsi:nil="true"/>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Navigator Information Sessions QA 2020</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74EAF-6778-4BCF-A125-97DE99BABE8D}">
  <ds:schemaRefs>
    <ds:schemaRef ds:uri="http://schemas.microsoft.com/sharepoint/v3/contenttype/forms"/>
  </ds:schemaRefs>
</ds:datastoreItem>
</file>

<file path=customXml/itemProps2.xml><?xml version="1.0" encoding="utf-8"?>
<ds:datastoreItem xmlns:ds="http://schemas.openxmlformats.org/officeDocument/2006/customXml" ds:itemID="{EBE6D54A-AA09-4639-8302-769AF98A3E8B}">
  <ds:schemaRefs>
    <ds:schemaRef ds:uri="http://schemas.microsoft.com/office/2006/metadata/properties"/>
    <ds:schemaRef ds:uri="http://schemas.microsoft.com/office/infopath/2007/PartnerControls"/>
    <ds:schemaRef ds:uri="http://schemas.microsoft.com/Sharepoint/v3"/>
    <ds:schemaRef ds:uri="1966e606-8b69-4075-9ef8-a409e80aaa70"/>
    <ds:schemaRef ds:uri="http://schemas.microsoft.com/sharepoint/v3"/>
  </ds:schemaRefs>
</ds:datastoreItem>
</file>

<file path=customXml/itemProps3.xml><?xml version="1.0" encoding="utf-8"?>
<ds:datastoreItem xmlns:ds="http://schemas.openxmlformats.org/officeDocument/2006/customXml" ds:itemID="{0A221BD1-DBC9-4E6F-BFB9-D6A21216A305}"/>
</file>

<file path=customXml/itemProps4.xml><?xml version="1.0" encoding="utf-8"?>
<ds:datastoreItem xmlns:ds="http://schemas.openxmlformats.org/officeDocument/2006/customXml" ds:itemID="{E013A61E-786A-493C-9E36-4B0B4E342FC6}">
  <ds:schemaRefs>
    <ds:schemaRef ds:uri="http://schemas.microsoft.com/sharepoint/events"/>
  </ds:schemaRefs>
</ds:datastoreItem>
</file>

<file path=customXml/itemProps5.xml><?xml version="1.0" encoding="utf-8"?>
<ds:datastoreItem xmlns:ds="http://schemas.openxmlformats.org/officeDocument/2006/customXml" ds:itemID="{F24E82AB-EE09-4935-B972-8832EDE7F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Mohita M</dc:creator>
  <cp:keywords/>
  <dc:description/>
  <cp:lastModifiedBy>Jackson, Felicity R</cp:lastModifiedBy>
  <cp:revision>2</cp:revision>
  <dcterms:created xsi:type="dcterms:W3CDTF">2020-10-14T05:45:00Z</dcterms:created>
  <dcterms:modified xsi:type="dcterms:W3CDTF">2020-10-14T05:45:00Z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{b59ccf92-7cc5-4eb7-9b34-df44ed1ca0cd}</vt:lpwstr>
  </property>
  <property fmtid="{D5CDD505-2E9C-101B-9397-08002B2CF9AE}" pid="9" name="RecordPoint_ActiveItemUniqueId">
    <vt:lpwstr>{3cf984de-781d-49cd-a08a-31e417b5e46c}</vt:lpwstr>
  </property>
  <property fmtid="{D5CDD505-2E9C-101B-9397-08002B2CF9AE}" pid="10" name="RecordPoint_ActiveItemWebId">
    <vt:lpwstr>{e0950a65-9c9d-45b8-a42c-b35c0d524b87}</vt:lpwstr>
  </property>
  <property fmtid="{D5CDD505-2E9C-101B-9397-08002B2CF9AE}" pid="11" name="RecordPoint_RecordNumberSubmitted">
    <vt:lpwstr>R20200975118</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2020-09-25T12:43:56.1741217+10:00</vt:lpwstr>
  </property>
  <property fmtid="{D5CDD505-2E9C-101B-9397-08002B2CF9AE}" pid="16" name="DEECD_Author">
    <vt:lpwstr/>
  </property>
  <property fmtid="{D5CDD505-2E9C-101B-9397-08002B2CF9AE}" pid="17" name="DEECD_SubjectCategory">
    <vt:lpwstr/>
  </property>
  <property fmtid="{D5CDD505-2E9C-101B-9397-08002B2CF9AE}" pid="18" name="DEECD_ItemType">
    <vt:lpwstr/>
  </property>
  <property fmtid="{D5CDD505-2E9C-101B-9397-08002B2CF9AE}" pid="19" name="DEECD_Audience">
    <vt:lpwstr/>
  </property>
</Properties>
</file>