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302F6" w14:textId="7862B338" w:rsidR="000936A5" w:rsidRDefault="000936A5" w:rsidP="00A44786">
      <w:pPr>
        <w:pStyle w:val="Subtitle"/>
        <w:spacing w:beforeLines="60" w:before="144" w:afterLines="60" w:after="144"/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</w:pPr>
      <w:bookmarkStart w:id="0" w:name="_GoBack"/>
      <w:bookmarkEnd w:id="0"/>
      <w:r w:rsidRPr="000936A5"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>COMMUNIQUE ONE</w:t>
      </w:r>
    </w:p>
    <w:p w14:paraId="13E4E5DD" w14:textId="3C183873" w:rsidR="000A188D" w:rsidRDefault="000A188D" w:rsidP="00A44786">
      <w:pPr>
        <w:pStyle w:val="Heading1"/>
        <w:spacing w:beforeLines="60" w:before="144" w:afterLines="60" w:after="144" w:line="276" w:lineRule="auto"/>
      </w:pPr>
      <w:r>
        <w:t xml:space="preserve">this is the first communique from the Early years Compact Board which met FOR THE FIRST TIME on 18 August 2017. </w:t>
      </w:r>
    </w:p>
    <w:p w14:paraId="6CA7EC3E" w14:textId="3EE897EF" w:rsidR="00214D97" w:rsidRPr="005508CD" w:rsidRDefault="00214D97" w:rsidP="005508CD">
      <w:pPr>
        <w:spacing w:before="120"/>
      </w:pPr>
      <w:r w:rsidRPr="005508CD">
        <w:t xml:space="preserve">The Early Years Compact, </w:t>
      </w:r>
      <w:r w:rsidR="000A188D" w:rsidRPr="005508CD">
        <w:rPr>
          <w:i/>
        </w:rPr>
        <w:t xml:space="preserve">Supporting children and families in the </w:t>
      </w:r>
      <w:r w:rsidRPr="005508CD">
        <w:rPr>
          <w:i/>
        </w:rPr>
        <w:t>E</w:t>
      </w:r>
      <w:r w:rsidR="000A188D" w:rsidRPr="005508CD">
        <w:rPr>
          <w:i/>
        </w:rPr>
        <w:t xml:space="preserve">arly </w:t>
      </w:r>
      <w:r w:rsidRPr="005508CD">
        <w:rPr>
          <w:i/>
        </w:rPr>
        <w:t>Y</w:t>
      </w:r>
      <w:r w:rsidR="000A188D" w:rsidRPr="005508CD">
        <w:rPr>
          <w:i/>
        </w:rPr>
        <w:t xml:space="preserve">ears: A </w:t>
      </w:r>
      <w:r w:rsidRPr="005508CD">
        <w:rPr>
          <w:i/>
        </w:rPr>
        <w:t>C</w:t>
      </w:r>
      <w:r w:rsidR="000A188D" w:rsidRPr="005508CD">
        <w:rPr>
          <w:i/>
        </w:rPr>
        <w:t>ompact between the Department of Education and Training, Department of Health and Human Services and Local Government (represented by the Municipal Association of Victoria) 2017-2027</w:t>
      </w:r>
      <w:r w:rsidRPr="005508CD">
        <w:rPr>
          <w:i/>
        </w:rPr>
        <w:t xml:space="preserve">, </w:t>
      </w:r>
      <w:r w:rsidRPr="005508CD">
        <w:t>has been developed to establish a closer working relationship between DET, DHHS and Local Government with the aim of lifting outcomes for young children and families.</w:t>
      </w:r>
    </w:p>
    <w:p w14:paraId="35AD3327" w14:textId="77777777" w:rsidR="00214D97" w:rsidRPr="005508CD" w:rsidRDefault="00214D97" w:rsidP="005508CD">
      <w:pPr>
        <w:spacing w:before="120"/>
      </w:pPr>
      <w:r w:rsidRPr="005508CD">
        <w:t xml:space="preserve">Victoria’s State and Local Governments want all children and their families to benefit from the lifelong gains the early years can provide. </w:t>
      </w:r>
    </w:p>
    <w:p w14:paraId="0E2CDDE6" w14:textId="65D226FE" w:rsidR="00214D97" w:rsidRPr="005508CD" w:rsidRDefault="00214D97" w:rsidP="005508CD">
      <w:pPr>
        <w:spacing w:before="120"/>
      </w:pPr>
      <w:r w:rsidRPr="005508CD">
        <w:t xml:space="preserve">The Compact </w:t>
      </w:r>
      <w:proofErr w:type="spellStart"/>
      <w:r w:rsidRPr="005508CD">
        <w:t>recognises</w:t>
      </w:r>
      <w:proofErr w:type="spellEnd"/>
      <w:r w:rsidRPr="005508CD">
        <w:t xml:space="preserve"> the key role local government plays in supporting and responding to the needs of children and families at the local level.</w:t>
      </w:r>
    </w:p>
    <w:p w14:paraId="402D5289" w14:textId="12BD05A4" w:rsidR="000A188D" w:rsidRPr="005508CD" w:rsidRDefault="00214D97" w:rsidP="005508CD">
      <w:pPr>
        <w:spacing w:before="120"/>
      </w:pPr>
      <w:r w:rsidRPr="005508CD">
        <w:t>It provides an opportunity for new ways of working together, to support Victorian families and young children, wherever they live.</w:t>
      </w:r>
      <w:r w:rsidRPr="005508CD">
        <w:rPr>
          <w:i/>
        </w:rPr>
        <w:t xml:space="preserve"> </w:t>
      </w:r>
    </w:p>
    <w:p w14:paraId="7E7EE73C" w14:textId="2D9ED83C" w:rsidR="00066BC0" w:rsidRPr="005508CD" w:rsidRDefault="00066BC0" w:rsidP="0014400B">
      <w:pPr>
        <w:spacing w:before="120"/>
      </w:pPr>
      <w:r w:rsidRPr="005508CD">
        <w:lastRenderedPageBreak/>
        <w:t>In practice the Compact will ensure</w:t>
      </w:r>
      <w:r w:rsidR="00E33BF3">
        <w:t xml:space="preserve"> that</w:t>
      </w:r>
      <w:r w:rsidRPr="005508CD">
        <w:t xml:space="preserve"> planning, coordination and information sharing is integrated across the Victorian early </w:t>
      </w:r>
      <w:proofErr w:type="gramStart"/>
      <w:r w:rsidRPr="005508CD">
        <w:t>years</w:t>
      </w:r>
      <w:proofErr w:type="gramEnd"/>
      <w:r w:rsidRPr="005508CD">
        <w:t xml:space="preserve"> sector.</w:t>
      </w:r>
    </w:p>
    <w:p w14:paraId="619CCA7B" w14:textId="6AB5ED26" w:rsidR="00236EAC" w:rsidRPr="005508CD" w:rsidRDefault="000936A5" w:rsidP="0014400B">
      <w:pPr>
        <w:spacing w:before="120"/>
      </w:pPr>
      <w:r w:rsidRPr="005508CD">
        <w:t>It</w:t>
      </w:r>
      <w:r w:rsidR="0014400B" w:rsidRPr="005508CD">
        <w:t xml:space="preserve"> is</w:t>
      </w:r>
      <w:r w:rsidRPr="005508CD">
        <w:t xml:space="preserve"> a key enabler for </w:t>
      </w:r>
      <w:r w:rsidR="008E4BE4" w:rsidRPr="005508CD">
        <w:t>the Victorian Government’s</w:t>
      </w:r>
      <w:r w:rsidRPr="005508CD">
        <w:rPr>
          <w:i/>
        </w:rPr>
        <w:t xml:space="preserve"> Early Childhood Reform Plan</w:t>
      </w:r>
      <w:r w:rsidRPr="005508CD">
        <w:t xml:space="preserve"> and strengthens </w:t>
      </w:r>
      <w:r w:rsidR="008E4BE4" w:rsidRPr="005508CD">
        <w:rPr>
          <w:i/>
        </w:rPr>
        <w:t xml:space="preserve">Roadmap for Reform: strong families, safe children, </w:t>
      </w:r>
      <w:proofErr w:type="gramStart"/>
      <w:r w:rsidR="008E4BE4" w:rsidRPr="005508CD">
        <w:t>a</w:t>
      </w:r>
      <w:proofErr w:type="gramEnd"/>
      <w:r w:rsidR="008E4BE4" w:rsidRPr="005508CD">
        <w:t xml:space="preserve"> </w:t>
      </w:r>
      <w:r w:rsidRPr="005508CD">
        <w:t>commitment support</w:t>
      </w:r>
      <w:r w:rsidR="00236EAC" w:rsidRPr="005508CD">
        <w:t>ing</w:t>
      </w:r>
      <w:r w:rsidR="008E4BE4" w:rsidRPr="005508CD">
        <w:t xml:space="preserve"> Victoria’s</w:t>
      </w:r>
      <w:r w:rsidRPr="005508CD">
        <w:t xml:space="preserve"> most vulnerable children</w:t>
      </w:r>
      <w:r w:rsidR="008E4BE4" w:rsidRPr="005508CD">
        <w:t>.</w:t>
      </w:r>
      <w:r w:rsidRPr="005508CD">
        <w:t xml:space="preserve"> </w:t>
      </w:r>
    </w:p>
    <w:p w14:paraId="0E9EB489" w14:textId="3EE303DE" w:rsidR="0014400B" w:rsidRDefault="0014400B" w:rsidP="0014400B">
      <w:pPr>
        <w:pStyle w:val="Heading2"/>
        <w:rPr>
          <w:b w:val="0"/>
          <w:color w:val="auto"/>
        </w:rPr>
      </w:pPr>
      <w:r>
        <w:t xml:space="preserve">NEW WAYS OF WORKING TOGETHER   </w:t>
      </w:r>
    </w:p>
    <w:p w14:paraId="79809234" w14:textId="299CD800" w:rsidR="0014400B" w:rsidRDefault="0014400B" w:rsidP="0014400B">
      <w:r>
        <w:t>The Compact is a commitment to work together in new ways to improve outcomes for children and families by:</w:t>
      </w:r>
    </w:p>
    <w:p w14:paraId="5475DC0F" w14:textId="77777777" w:rsidR="0014400B" w:rsidRDefault="0014400B" w:rsidP="0014400B">
      <w:pPr>
        <w:pStyle w:val="DETbullet1"/>
        <w:ind w:left="284" w:hanging="284"/>
      </w:pPr>
      <w:r>
        <w:t>Identifying and implementing what is working well and changing what is not</w:t>
      </w:r>
    </w:p>
    <w:p w14:paraId="48881F5D" w14:textId="77777777" w:rsidR="0014400B" w:rsidRDefault="0014400B" w:rsidP="0014400B">
      <w:pPr>
        <w:pStyle w:val="DETbullet1"/>
        <w:ind w:left="284" w:hanging="284"/>
      </w:pPr>
      <w:r>
        <w:t>Using a systems and place-based approach to deliver well-connected, inclusive and high quality services tailored to local communities, with a particular focus on vulnerable children and families</w:t>
      </w:r>
    </w:p>
    <w:p w14:paraId="29280C8D" w14:textId="77777777" w:rsidR="0014400B" w:rsidRDefault="0014400B" w:rsidP="0014400B">
      <w:pPr>
        <w:pStyle w:val="DETbullet1"/>
        <w:ind w:left="284" w:hanging="284"/>
      </w:pPr>
      <w:r>
        <w:t>Systemic sharing and analysis of information, data and evidence</w:t>
      </w:r>
    </w:p>
    <w:p w14:paraId="007647EE" w14:textId="77777777" w:rsidR="0014400B" w:rsidRDefault="0014400B" w:rsidP="0014400B">
      <w:pPr>
        <w:pStyle w:val="DETbullet1"/>
        <w:ind w:left="284" w:hanging="284"/>
      </w:pPr>
      <w:r>
        <w:t>Engaging families and children in decision making about the services and supports they need</w:t>
      </w:r>
    </w:p>
    <w:p w14:paraId="54B22C9B" w14:textId="3C045F42" w:rsidR="0014400B" w:rsidRDefault="0014400B" w:rsidP="0014400B">
      <w:pPr>
        <w:pStyle w:val="DETbullet1"/>
        <w:ind w:left="284" w:hanging="284"/>
      </w:pPr>
      <w:r>
        <w:t xml:space="preserve">Working in a transparent and mutually accountable way to design, plan and deliver on agreed priorities, respecting each party’s roles and responsibilities. </w:t>
      </w:r>
    </w:p>
    <w:p w14:paraId="0EC73B6D" w14:textId="6B8A3B1D" w:rsidR="00B141A2" w:rsidRDefault="00B141A2" w:rsidP="00B141A2">
      <w:pPr>
        <w:pStyle w:val="DETbullet1"/>
        <w:numPr>
          <w:ilvl w:val="0"/>
          <w:numId w:val="0"/>
        </w:numPr>
        <w:ind w:left="360" w:hanging="360"/>
      </w:pPr>
    </w:p>
    <w:p w14:paraId="310AC5B7" w14:textId="77777777" w:rsidR="00B141A2" w:rsidRDefault="00B141A2" w:rsidP="00B141A2">
      <w:pPr>
        <w:pStyle w:val="DETbullet1"/>
        <w:numPr>
          <w:ilvl w:val="0"/>
          <w:numId w:val="0"/>
        </w:numPr>
        <w:ind w:left="360" w:hanging="360"/>
      </w:pPr>
    </w:p>
    <w:p w14:paraId="1977BDC3" w14:textId="2CDCE6EE" w:rsidR="00B141A2" w:rsidRDefault="00B141A2" w:rsidP="00B141A2">
      <w:pPr>
        <w:pStyle w:val="DETbullet1"/>
        <w:numPr>
          <w:ilvl w:val="0"/>
          <w:numId w:val="0"/>
        </w:numPr>
        <w:ind w:left="360" w:hanging="360"/>
      </w:pPr>
    </w:p>
    <w:p w14:paraId="31941273" w14:textId="77777777" w:rsidR="00B141A2" w:rsidRDefault="00B141A2" w:rsidP="00B141A2">
      <w:pPr>
        <w:pStyle w:val="DETbullet1"/>
        <w:numPr>
          <w:ilvl w:val="0"/>
          <w:numId w:val="0"/>
        </w:numPr>
        <w:ind w:left="360" w:hanging="360"/>
      </w:pPr>
    </w:p>
    <w:p w14:paraId="2B91AC2F" w14:textId="77777777" w:rsidR="00B141A2" w:rsidRPr="00420D55" w:rsidRDefault="00B141A2" w:rsidP="00B141A2">
      <w:pPr>
        <w:pStyle w:val="Heading2"/>
        <w:rPr>
          <w:color w:val="auto"/>
        </w:rPr>
      </w:pPr>
      <w:r w:rsidRPr="00420D55">
        <w:t xml:space="preserve">Compact governance  </w:t>
      </w:r>
    </w:p>
    <w:p w14:paraId="0E8755FA" w14:textId="48D98886" w:rsidR="00B141A2" w:rsidRDefault="00B141A2" w:rsidP="00B141A2">
      <w:pPr>
        <w:pStyle w:val="DETnumberedlist"/>
        <w:numPr>
          <w:ilvl w:val="0"/>
          <w:numId w:val="0"/>
        </w:numPr>
      </w:pPr>
      <w:r>
        <w:t>There are</w:t>
      </w:r>
      <w:r w:rsidRPr="00420D55">
        <w:t xml:space="preserve"> </w:t>
      </w:r>
      <w:r>
        <w:t>three levels of governance for the Compact</w:t>
      </w:r>
      <w:r w:rsidR="00DD2322">
        <w:t>:</w:t>
      </w:r>
      <w:r w:rsidR="00635AB5">
        <w:t xml:space="preserve"> </w:t>
      </w:r>
    </w:p>
    <w:p w14:paraId="78FA158F" w14:textId="7F9672ED" w:rsidR="00B141A2" w:rsidRPr="00DD2322" w:rsidRDefault="00DD2322" w:rsidP="00710994">
      <w:pPr>
        <w:pStyle w:val="DETnumberedlist"/>
        <w:numPr>
          <w:ilvl w:val="0"/>
          <w:numId w:val="25"/>
        </w:numPr>
        <w:spacing w:after="0"/>
        <w:ind w:left="357" w:hanging="357"/>
        <w:rPr>
          <w:b/>
        </w:rPr>
      </w:pPr>
      <w:r w:rsidRPr="00DD2322">
        <w:rPr>
          <w:b/>
        </w:rPr>
        <w:t>Early Years Compact Board</w:t>
      </w:r>
    </w:p>
    <w:p w14:paraId="2D1A0291" w14:textId="4E94F590" w:rsidR="00B141A2" w:rsidRPr="00DD2322" w:rsidRDefault="00DD2322" w:rsidP="00DD2322">
      <w:pPr>
        <w:pStyle w:val="DETnumberedlist"/>
        <w:numPr>
          <w:ilvl w:val="0"/>
          <w:numId w:val="0"/>
        </w:numPr>
        <w:ind w:left="360"/>
      </w:pPr>
      <w:r w:rsidRPr="00DD2322">
        <w:t>Monitors the state-wide implementation of the Compact</w:t>
      </w:r>
    </w:p>
    <w:p w14:paraId="28DCC731" w14:textId="753D4B39" w:rsidR="00B141A2" w:rsidRPr="001E68CF" w:rsidRDefault="00DD2322" w:rsidP="00710994">
      <w:pPr>
        <w:pStyle w:val="DETnumberedlist"/>
        <w:numPr>
          <w:ilvl w:val="0"/>
          <w:numId w:val="25"/>
        </w:numPr>
        <w:spacing w:after="0"/>
        <w:ind w:left="357" w:hanging="357"/>
        <w:rPr>
          <w:b/>
        </w:rPr>
      </w:pPr>
      <w:r w:rsidRPr="001E68CF">
        <w:rPr>
          <w:b/>
        </w:rPr>
        <w:t>Compact Steering Group</w:t>
      </w:r>
    </w:p>
    <w:p w14:paraId="38D258C0" w14:textId="60CD4498" w:rsidR="00B141A2" w:rsidRPr="00DD2322" w:rsidRDefault="00DD2322" w:rsidP="001E68CF">
      <w:pPr>
        <w:pStyle w:val="DETnumberedlist"/>
        <w:numPr>
          <w:ilvl w:val="0"/>
          <w:numId w:val="0"/>
        </w:numPr>
        <w:ind w:left="360"/>
      </w:pPr>
      <w:r>
        <w:t xml:space="preserve">Provides </w:t>
      </w:r>
      <w:r w:rsidR="001E68CF">
        <w:t>advice to the Board on annual priorities</w:t>
      </w:r>
    </w:p>
    <w:p w14:paraId="78A38F32" w14:textId="4B9EABC9" w:rsidR="00B141A2" w:rsidRPr="001E68CF" w:rsidRDefault="001E68CF" w:rsidP="00710994">
      <w:pPr>
        <w:pStyle w:val="DETnumberedlist"/>
        <w:numPr>
          <w:ilvl w:val="0"/>
          <w:numId w:val="25"/>
        </w:numPr>
        <w:spacing w:after="0"/>
        <w:ind w:left="357" w:hanging="357"/>
        <w:rPr>
          <w:b/>
        </w:rPr>
      </w:pPr>
      <w:r w:rsidRPr="001E68CF">
        <w:rPr>
          <w:b/>
        </w:rPr>
        <w:t>Area-based governance</w:t>
      </w:r>
    </w:p>
    <w:p w14:paraId="35B95C03" w14:textId="61D1D0B4" w:rsidR="00B141A2" w:rsidRPr="00DD2322" w:rsidRDefault="001E68CF" w:rsidP="001E68CF">
      <w:pPr>
        <w:pStyle w:val="DETnumberedlist"/>
        <w:numPr>
          <w:ilvl w:val="0"/>
          <w:numId w:val="0"/>
        </w:numPr>
        <w:ind w:left="360"/>
      </w:pPr>
      <w:r>
        <w:t xml:space="preserve">Senior DET, DHHS and LG leaders at local level </w:t>
      </w:r>
      <w:r w:rsidR="00AB1F87">
        <w:t>identify</w:t>
      </w:r>
      <w:r>
        <w:t xml:space="preserve"> local priorities and provide collective accountability for local implementation of state</w:t>
      </w:r>
      <w:r w:rsidR="00AC2EE2">
        <w:t>-</w:t>
      </w:r>
      <w:r>
        <w:t>wide and local priorities</w:t>
      </w:r>
    </w:p>
    <w:p w14:paraId="3D26BAD0" w14:textId="3E554BD2" w:rsidR="000936A5" w:rsidRPr="00FF05B6" w:rsidRDefault="00066BC0" w:rsidP="00236EAC">
      <w:pPr>
        <w:pStyle w:val="Heading2"/>
        <w:spacing w:before="360"/>
      </w:pPr>
      <w:r>
        <w:t xml:space="preserve">LIFTING </w:t>
      </w:r>
      <w:r w:rsidR="000936A5" w:rsidRPr="00FF05B6">
        <w:t>Outcomes</w:t>
      </w:r>
      <w:r>
        <w:t xml:space="preserve"> FOR CHILDREN AND FAMILIES</w:t>
      </w:r>
    </w:p>
    <w:p w14:paraId="190703AB" w14:textId="7D55D994" w:rsidR="00066BC0" w:rsidRDefault="00066BC0" w:rsidP="00066BC0">
      <w:pPr>
        <w:pStyle w:val="DETbullet1"/>
        <w:numPr>
          <w:ilvl w:val="0"/>
          <w:numId w:val="0"/>
        </w:numPr>
      </w:pPr>
      <w:r>
        <w:t xml:space="preserve">Through the Compact we will work to ensure:  </w:t>
      </w:r>
    </w:p>
    <w:p w14:paraId="11D991DC" w14:textId="362087D0" w:rsidR="000936A5" w:rsidRDefault="000936A5" w:rsidP="00E627C1">
      <w:pPr>
        <w:pStyle w:val="DETbullet1"/>
      </w:pPr>
      <w:r>
        <w:t>All young children are engaged, confident and creative learners</w:t>
      </w:r>
    </w:p>
    <w:p w14:paraId="62BD65A8" w14:textId="59BD829C" w:rsidR="000936A5" w:rsidRDefault="000936A5" w:rsidP="00E627C1">
      <w:pPr>
        <w:pStyle w:val="DETbullet1"/>
      </w:pPr>
      <w:r>
        <w:t>All children are safe, cared for and experience optimal health and development</w:t>
      </w:r>
    </w:p>
    <w:p w14:paraId="16F1DBD7" w14:textId="1F648598" w:rsidR="000936A5" w:rsidRDefault="000936A5" w:rsidP="00E627C1">
      <w:pPr>
        <w:pStyle w:val="DETbullet1"/>
      </w:pPr>
      <w:r>
        <w:t>Vulnerability, location and disadvantage do not determine outcomes for young children</w:t>
      </w:r>
    </w:p>
    <w:p w14:paraId="578B799B" w14:textId="20419E70" w:rsidR="000936A5" w:rsidRDefault="000936A5" w:rsidP="00E627C1">
      <w:pPr>
        <w:pStyle w:val="DETbullet1"/>
      </w:pPr>
      <w:r>
        <w:lastRenderedPageBreak/>
        <w:t>Families feel well supported by high quality, inclusive services for children and families in the early years</w:t>
      </w:r>
    </w:p>
    <w:p w14:paraId="6D2122F2" w14:textId="107B705C" w:rsidR="004715DC" w:rsidRDefault="000936A5" w:rsidP="004715DC">
      <w:pPr>
        <w:pStyle w:val="DETbullet1"/>
        <w:spacing w:after="0"/>
      </w:pPr>
      <w:r>
        <w:t>Families are connected to culture, actively participate in community life and can access help when and where they need it.</w:t>
      </w:r>
    </w:p>
    <w:p w14:paraId="506F6C48" w14:textId="33F7F96F" w:rsidR="000936A5" w:rsidRPr="004715DC" w:rsidRDefault="000936A5" w:rsidP="004715DC">
      <w:pPr>
        <w:pStyle w:val="Heading2"/>
      </w:pPr>
      <w:r w:rsidRPr="004715DC">
        <w:t xml:space="preserve">High level strategic priorities </w:t>
      </w:r>
    </w:p>
    <w:p w14:paraId="69CBB1E5" w14:textId="7BE9BB33" w:rsidR="00066BC0" w:rsidRDefault="000732CC" w:rsidP="00066BC0">
      <w:pPr>
        <w:pStyle w:val="DETnumberedlist"/>
        <w:numPr>
          <w:ilvl w:val="0"/>
          <w:numId w:val="0"/>
        </w:numPr>
      </w:pPr>
      <w:r>
        <w:t>The focus of our shared efforts will be:</w:t>
      </w:r>
    </w:p>
    <w:p w14:paraId="5D99F5DF" w14:textId="694A7DDF" w:rsidR="000936A5" w:rsidRDefault="000936A5" w:rsidP="00E627C1">
      <w:pPr>
        <w:pStyle w:val="DETnumberedlist"/>
      </w:pPr>
      <w:r>
        <w:t xml:space="preserve">Driving better outcomes </w:t>
      </w:r>
    </w:p>
    <w:p w14:paraId="767A658B" w14:textId="0874FC3A" w:rsidR="000936A5" w:rsidRPr="00E627C1" w:rsidRDefault="000936A5" w:rsidP="00E627C1">
      <w:pPr>
        <w:pStyle w:val="DETnumberedlist"/>
      </w:pPr>
      <w:r>
        <w:t xml:space="preserve">A more </w:t>
      </w:r>
      <w:r w:rsidRPr="00E627C1">
        <w:t>coherent and empowering system</w:t>
      </w:r>
    </w:p>
    <w:p w14:paraId="50967729" w14:textId="623976B8" w:rsidR="000936A5" w:rsidRPr="00E627C1" w:rsidRDefault="000936A5" w:rsidP="00E627C1">
      <w:pPr>
        <w:pStyle w:val="DETnumberedlist"/>
      </w:pPr>
      <w:r w:rsidRPr="00E627C1">
        <w:t>Stronger place-based governance and planning</w:t>
      </w:r>
    </w:p>
    <w:p w14:paraId="37664EDD" w14:textId="4F656860" w:rsidR="000936A5" w:rsidRDefault="000936A5" w:rsidP="00E627C1">
      <w:pPr>
        <w:pStyle w:val="DETnumberedlist"/>
      </w:pPr>
      <w:r w:rsidRPr="00E627C1">
        <w:t>Promoting early</w:t>
      </w:r>
      <w:r>
        <w:t xml:space="preserve"> childhood</w:t>
      </w:r>
    </w:p>
    <w:p w14:paraId="6AEC4E7F" w14:textId="38D5492B" w:rsidR="000936A5" w:rsidRDefault="000936A5" w:rsidP="00E627C1">
      <w:pPr>
        <w:pStyle w:val="DETnumberedlist"/>
      </w:pPr>
      <w:r>
        <w:t>Supporting service quality</w:t>
      </w:r>
    </w:p>
    <w:p w14:paraId="5C3D465C" w14:textId="5906B6F9" w:rsidR="000936A5" w:rsidRDefault="000936A5" w:rsidP="00E627C1">
      <w:pPr>
        <w:pStyle w:val="DETnumberedlist"/>
      </w:pPr>
      <w:r>
        <w:t>More inclusive services.</w:t>
      </w:r>
    </w:p>
    <w:p w14:paraId="71A65F12" w14:textId="77777777" w:rsidR="00710994" w:rsidRDefault="00710994" w:rsidP="00710994">
      <w:pPr>
        <w:pStyle w:val="DETnumberedlist"/>
        <w:numPr>
          <w:ilvl w:val="0"/>
          <w:numId w:val="0"/>
        </w:numPr>
        <w:ind w:left="360"/>
      </w:pPr>
    </w:p>
    <w:p w14:paraId="714F2941" w14:textId="77777777" w:rsidR="001E68CF" w:rsidRDefault="001E68CF" w:rsidP="001E68CF">
      <w:pPr>
        <w:pStyle w:val="DETnumberedlist"/>
        <w:numPr>
          <w:ilvl w:val="0"/>
          <w:numId w:val="0"/>
        </w:numPr>
        <w:ind w:left="360"/>
      </w:pPr>
    </w:p>
    <w:p w14:paraId="7CCFCD67" w14:textId="08540042" w:rsidR="000732CC" w:rsidRPr="000732CC" w:rsidRDefault="000732CC" w:rsidP="00FB67B3">
      <w:pPr>
        <w:pStyle w:val="Heading2"/>
        <w:spacing w:before="0"/>
      </w:pPr>
      <w:r w:rsidRPr="000732CC">
        <w:t>A TEN YEAR COMMITMENT WITH ANNUAL PRIORIT</w:t>
      </w:r>
      <w:r w:rsidR="00A208BA">
        <w:t>y Activities</w:t>
      </w:r>
    </w:p>
    <w:p w14:paraId="3B38CDEF" w14:textId="0FBF8120" w:rsidR="000732CC" w:rsidRDefault="00A208BA" w:rsidP="000732CC">
      <w:r>
        <w:t xml:space="preserve">To deliver on the strategic priorities and outcomes annual </w:t>
      </w:r>
      <w:r w:rsidR="000732CC">
        <w:t>priorities will be agreed each year. The</w:t>
      </w:r>
      <w:r>
        <w:t>y</w:t>
      </w:r>
      <w:r w:rsidR="000732CC">
        <w:t xml:space="preserve"> will be reviewed and updated through the Compact governance process</w:t>
      </w:r>
      <w:r w:rsidR="00A42A28">
        <w:t>es</w:t>
      </w:r>
      <w:r w:rsidR="00E33BF3">
        <w:t>,</w:t>
      </w:r>
      <w:r w:rsidR="000732CC">
        <w:t xml:space="preserve"> </w:t>
      </w:r>
      <w:r w:rsidR="00FB67B3">
        <w:t>informed by</w:t>
      </w:r>
      <w:r w:rsidR="000732CC">
        <w:t xml:space="preserve"> feedback from the local level.   </w:t>
      </w:r>
    </w:p>
    <w:p w14:paraId="0FB5972E" w14:textId="513D3017" w:rsidR="00E627C1" w:rsidRDefault="00E627C1" w:rsidP="008E0020">
      <w:pPr>
        <w:pStyle w:val="Heading2"/>
      </w:pPr>
      <w:r>
        <w:lastRenderedPageBreak/>
        <w:t xml:space="preserve">State-wide Compact </w:t>
      </w:r>
      <w:r w:rsidRPr="00E627C1">
        <w:t>priorities</w:t>
      </w:r>
      <w:r>
        <w:t xml:space="preserve"> for </w:t>
      </w:r>
      <w:r w:rsidR="00A42A28">
        <w:t xml:space="preserve">    </w:t>
      </w:r>
      <w:r>
        <w:t>2017-2018</w:t>
      </w:r>
    </w:p>
    <w:p w14:paraId="44756999" w14:textId="4B497710" w:rsidR="00E627C1" w:rsidRDefault="00E627C1" w:rsidP="005508CD">
      <w:pPr>
        <w:spacing w:before="120"/>
      </w:pPr>
      <w:r>
        <w:t>The Compact Board</w:t>
      </w:r>
      <w:r w:rsidR="00F37B68">
        <w:t xml:space="preserve"> </w:t>
      </w:r>
      <w:r w:rsidR="00FB67B3">
        <w:t>has</w:t>
      </w:r>
      <w:r>
        <w:t xml:space="preserve"> agreed on three state-wide priorities</w:t>
      </w:r>
      <w:r w:rsidR="00FB67B3">
        <w:t>, focused on supporting vulnerable children and families,</w:t>
      </w:r>
      <w:r>
        <w:t xml:space="preserve"> for the first year</w:t>
      </w:r>
      <w:r w:rsidR="00FB67B3">
        <w:t>:</w:t>
      </w:r>
    </w:p>
    <w:p w14:paraId="6760DAA9" w14:textId="691FD881" w:rsidR="00E627C1" w:rsidRDefault="00E627C1" w:rsidP="00E627C1">
      <w:pPr>
        <w:pStyle w:val="DETnumberedlist"/>
        <w:numPr>
          <w:ilvl w:val="0"/>
          <w:numId w:val="15"/>
        </w:numPr>
      </w:pPr>
      <w:r>
        <w:t>Increase the participation of children in Out of Home Care and children known to Child Protection in early years services – improve sharing of data and information about children</w:t>
      </w:r>
    </w:p>
    <w:p w14:paraId="1F80B2CA" w14:textId="192E98A8" w:rsidR="000D21F2" w:rsidRDefault="00E627C1" w:rsidP="005508CD">
      <w:pPr>
        <w:pStyle w:val="DETnumberedlist"/>
        <w:numPr>
          <w:ilvl w:val="0"/>
          <w:numId w:val="15"/>
        </w:numPr>
      </w:pPr>
      <w:r>
        <w:t>Increase participation of Aboriginal families in early years services, with a focus on Maternal and Child Health and kindergarten services</w:t>
      </w:r>
      <w:r w:rsidR="00A42A28">
        <w:t xml:space="preserve">  </w:t>
      </w:r>
    </w:p>
    <w:p w14:paraId="78DDE195" w14:textId="38167619" w:rsidR="00E627C1" w:rsidRDefault="00E627C1" w:rsidP="005508CD">
      <w:pPr>
        <w:pStyle w:val="DETnumberedlist"/>
        <w:numPr>
          <w:ilvl w:val="0"/>
          <w:numId w:val="15"/>
        </w:numPr>
      </w:pPr>
      <w:r>
        <w:t>Improve the identification and referral of children and families at risk of family violence, including implementing the Maternal and Child Health family violence consultation visit.</w:t>
      </w:r>
    </w:p>
    <w:p w14:paraId="6A81537A" w14:textId="3DD13EB3" w:rsidR="00E627C1" w:rsidRDefault="00E627C1" w:rsidP="00E627C1">
      <w:r>
        <w:t xml:space="preserve">The Compact Board also agreed on </w:t>
      </w:r>
      <w:r w:rsidR="008679D2">
        <w:t xml:space="preserve">a range of </w:t>
      </w:r>
      <w:r>
        <w:t xml:space="preserve">other priorities </w:t>
      </w:r>
      <w:r w:rsidR="008679D2">
        <w:t>to be progressed</w:t>
      </w:r>
      <w:r w:rsidR="00ED4E84">
        <w:t xml:space="preserve"> centrally and locally in 2017-18</w:t>
      </w:r>
      <w:r w:rsidR="00634437">
        <w:t>.</w:t>
      </w:r>
      <w:r w:rsidR="00ED4E84">
        <w:t xml:space="preserve"> </w:t>
      </w:r>
      <w:r w:rsidR="00634437">
        <w:t>P</w:t>
      </w:r>
      <w:r w:rsidR="00ED4E84">
        <w:t xml:space="preserve">rogression of some of these will depend on local circumstances. All priorities sit under </w:t>
      </w:r>
      <w:r w:rsidR="00F37B68">
        <w:t>four themes:</w:t>
      </w:r>
    </w:p>
    <w:p w14:paraId="7E6C5A8A" w14:textId="0BC3A0EF" w:rsidR="00E627C1" w:rsidRDefault="00E627C1" w:rsidP="00E627C1">
      <w:pPr>
        <w:pStyle w:val="DETbullet1"/>
      </w:pPr>
      <w:r>
        <w:t xml:space="preserve">Child and family health and development </w:t>
      </w:r>
    </w:p>
    <w:p w14:paraId="1DDA5D91" w14:textId="1F1438E8" w:rsidR="00E627C1" w:rsidRDefault="00E627C1" w:rsidP="00E627C1">
      <w:pPr>
        <w:pStyle w:val="DETbullet1"/>
      </w:pPr>
      <w:r>
        <w:t xml:space="preserve">Early childhood education and care </w:t>
      </w:r>
    </w:p>
    <w:p w14:paraId="5D4439D9" w14:textId="53143FDE" w:rsidR="00E627C1" w:rsidRDefault="00E627C1" w:rsidP="00E627C1">
      <w:pPr>
        <w:pStyle w:val="DETbullet1"/>
      </w:pPr>
      <w:r>
        <w:t xml:space="preserve">Connected care </w:t>
      </w:r>
    </w:p>
    <w:p w14:paraId="1D6C2030" w14:textId="3CDA9585" w:rsidR="00E627C1" w:rsidRDefault="00E627C1" w:rsidP="00E627C1">
      <w:pPr>
        <w:pStyle w:val="DETbullet1"/>
      </w:pPr>
      <w:r>
        <w:t>Place-based planning.</w:t>
      </w:r>
    </w:p>
    <w:p w14:paraId="581B898F" w14:textId="414F9D68" w:rsidR="00E627C1" w:rsidRDefault="0014400B" w:rsidP="00E627C1">
      <w:r>
        <w:lastRenderedPageBreak/>
        <w:t xml:space="preserve">More information </w:t>
      </w:r>
      <w:r w:rsidR="00E627C1">
        <w:t xml:space="preserve">on the Compact priorities </w:t>
      </w:r>
      <w:r>
        <w:t>is provided in</w:t>
      </w:r>
      <w:r w:rsidR="00E627C1">
        <w:t xml:space="preserve"> supplementary material</w:t>
      </w:r>
      <w:r>
        <w:t>s which</w:t>
      </w:r>
      <w:r w:rsidR="00E627C1">
        <w:t xml:space="preserve"> support this communique.</w:t>
      </w:r>
    </w:p>
    <w:p w14:paraId="2EB004A8" w14:textId="77777777" w:rsidR="00E627C1" w:rsidRDefault="00E627C1" w:rsidP="008E0020">
      <w:pPr>
        <w:pStyle w:val="Heading2"/>
      </w:pPr>
      <w:r>
        <w:t xml:space="preserve">Area based governance and implementation </w:t>
      </w:r>
      <w:r w:rsidRPr="00E627C1">
        <w:t>arrangements</w:t>
      </w:r>
    </w:p>
    <w:p w14:paraId="31AF74A7" w14:textId="54B732DD" w:rsidR="00E627C1" w:rsidRDefault="00E627C1" w:rsidP="00E627C1">
      <w:r>
        <w:t xml:space="preserve">The Compact will be implemented at </w:t>
      </w:r>
      <w:r w:rsidR="00A208BA">
        <w:t>the</w:t>
      </w:r>
      <w:r>
        <w:t xml:space="preserve"> local level</w:t>
      </w:r>
      <w:r w:rsidR="00B90FF5">
        <w:t xml:space="preserve"> – l</w:t>
      </w:r>
      <w:r w:rsidR="00A42A28">
        <w:t xml:space="preserve">everaging off the many </w:t>
      </w:r>
      <w:r w:rsidR="00FB67B3">
        <w:t>successful</w:t>
      </w:r>
      <w:r w:rsidR="00A42A28">
        <w:t xml:space="preserve"> approaches and arrangements that already exist in local areas around the State</w:t>
      </w:r>
      <w:r w:rsidR="00B90FF5">
        <w:t>,</w:t>
      </w:r>
      <w:r w:rsidR="00A42A28">
        <w:t xml:space="preserve"> </w:t>
      </w:r>
      <w:r w:rsidR="00FB67B3">
        <w:t>including</w:t>
      </w:r>
      <w:r w:rsidR="00D2702F">
        <w:t xml:space="preserve"> the</w:t>
      </w:r>
      <w:r>
        <w:t xml:space="preserve"> Child and Youth Area Partnerships and Best Start.</w:t>
      </w:r>
    </w:p>
    <w:p w14:paraId="60EFE8DC" w14:textId="77777777" w:rsidR="00FB67B3" w:rsidRDefault="00FB67B3" w:rsidP="00E627C1"/>
    <w:p w14:paraId="317E30AC" w14:textId="5D0DE65F" w:rsidR="00FB67B3" w:rsidRDefault="00FB67B3" w:rsidP="00E627C1">
      <w:r>
        <w:t>The Board has agreed on a phased approach to area-based governance and implementation arrangements.</w:t>
      </w:r>
    </w:p>
    <w:p w14:paraId="0443918F" w14:textId="77777777" w:rsidR="00FB67B3" w:rsidRDefault="00FB67B3" w:rsidP="00E627C1"/>
    <w:p w14:paraId="6C4EA5FC" w14:textId="7AE5F1DA" w:rsidR="00B141A2" w:rsidRDefault="00B141A2" w:rsidP="00E627C1">
      <w:pPr>
        <w:pStyle w:val="Heading3"/>
      </w:pPr>
    </w:p>
    <w:p w14:paraId="627C400A" w14:textId="516A642A" w:rsidR="00A208BA" w:rsidRDefault="00A208BA" w:rsidP="00A208BA"/>
    <w:p w14:paraId="799183CF" w14:textId="77777777" w:rsidR="00A208BA" w:rsidRPr="00A208BA" w:rsidRDefault="00A208BA" w:rsidP="00A208BA"/>
    <w:p w14:paraId="331AF96B" w14:textId="1E2AD589" w:rsidR="00E627C1" w:rsidRDefault="00E627C1" w:rsidP="00A208BA">
      <w:pPr>
        <w:pStyle w:val="Heading3"/>
        <w:spacing w:after="80"/>
      </w:pPr>
      <w:r>
        <w:t>Phase 1: Initial Compact area-based meetings – by end December 2017</w:t>
      </w:r>
    </w:p>
    <w:p w14:paraId="2CDF540A" w14:textId="1444D968" w:rsidR="00E627C1" w:rsidRDefault="00B90FF5" w:rsidP="00A42A28">
      <w:pPr>
        <w:pStyle w:val="DETbullet1"/>
        <w:numPr>
          <w:ilvl w:val="0"/>
          <w:numId w:val="0"/>
        </w:numPr>
      </w:pPr>
      <w:r>
        <w:t>The p</w:t>
      </w:r>
      <w:r w:rsidR="00E627C1">
        <w:t>urpose</w:t>
      </w:r>
      <w:r>
        <w:t xml:space="preserve"> of the initial meetings</w:t>
      </w:r>
      <w:r w:rsidR="00E627C1">
        <w:t xml:space="preserve"> is to bring</w:t>
      </w:r>
      <w:r w:rsidR="00A24F45">
        <w:t xml:space="preserve"> DET, DHHS and LG</w:t>
      </w:r>
      <w:r w:rsidR="00E627C1">
        <w:t xml:space="preserve"> senior executive leaders together</w:t>
      </w:r>
      <w:r w:rsidR="0082454B">
        <w:t>,</w:t>
      </w:r>
      <w:r w:rsidR="00E627C1">
        <w:t xml:space="preserve"> to discuss the Compact, agree on 2017-18 Compact priorities/activities they will focus on and, identify any </w:t>
      </w:r>
      <w:r>
        <w:t>existing</w:t>
      </w:r>
      <w:r w:rsidR="00E627C1">
        <w:t xml:space="preserve"> </w:t>
      </w:r>
      <w:r>
        <w:t>partnerships/place-based arrangements</w:t>
      </w:r>
      <w:r w:rsidR="00E627C1">
        <w:t xml:space="preserve"> th</w:t>
      </w:r>
      <w:r>
        <w:t xml:space="preserve">ey </w:t>
      </w:r>
      <w:r w:rsidR="00E627C1">
        <w:t>could leverage-off for future Compact meetings.</w:t>
      </w:r>
    </w:p>
    <w:p w14:paraId="0EA7D921" w14:textId="77777777" w:rsidR="00E627C1" w:rsidRPr="00E41B14" w:rsidRDefault="00E627C1" w:rsidP="00A208BA">
      <w:pPr>
        <w:pStyle w:val="Heading3"/>
        <w:spacing w:after="80"/>
      </w:pPr>
      <w:r w:rsidRPr="00E41B14">
        <w:lastRenderedPageBreak/>
        <w:t>Phase 2: Compact area-based governance – initial four sites – by end April 2018</w:t>
      </w:r>
    </w:p>
    <w:p w14:paraId="21DAA649" w14:textId="0BA2B2F0" w:rsidR="00536ADC" w:rsidRDefault="00536ADC" w:rsidP="00536ADC">
      <w:pPr>
        <w:pStyle w:val="DETbullet1"/>
        <w:numPr>
          <w:ilvl w:val="0"/>
          <w:numId w:val="0"/>
        </w:numPr>
        <w:rPr>
          <w:rFonts w:ascii="Calibri" w:hAnsi="Calibri" w:cs="Times New Roman"/>
          <w:color w:val="000000"/>
          <w:sz w:val="22"/>
          <w:szCs w:val="22"/>
        </w:rPr>
      </w:pPr>
      <w:r>
        <w:t>T</w:t>
      </w:r>
      <w:r w:rsidRPr="00536ADC">
        <w:t xml:space="preserve">he initial sites will help us test materials and approaches that best support local areas to have informed discussions and </w:t>
      </w:r>
      <w:r>
        <w:t xml:space="preserve">make evidence based decisions. </w:t>
      </w:r>
    </w:p>
    <w:p w14:paraId="735A2128" w14:textId="36285DE8" w:rsidR="00A208BA" w:rsidRPr="00E41B14" w:rsidRDefault="001E67CA" w:rsidP="00FB67B3">
      <w:pPr>
        <w:pStyle w:val="DETbullet1"/>
        <w:numPr>
          <w:ilvl w:val="0"/>
          <w:numId w:val="0"/>
        </w:numPr>
      </w:pPr>
      <w:r w:rsidRPr="00E41B14">
        <w:t>To facilitate these discussions</w:t>
      </w:r>
      <w:r w:rsidR="00536ADC" w:rsidRPr="00536ADC">
        <w:t xml:space="preserve"> </w:t>
      </w:r>
      <w:r w:rsidR="00536ADC">
        <w:t xml:space="preserve">between </w:t>
      </w:r>
      <w:r w:rsidR="00536ADC" w:rsidRPr="00E41B14">
        <w:t>DET, DHHS and LG senior executive leaders</w:t>
      </w:r>
      <w:r w:rsidRPr="00E41B14">
        <w:t>, d</w:t>
      </w:r>
      <w:r w:rsidR="00033C6E" w:rsidRPr="00E41B14">
        <w:t>ata packs and other materials will be developed</w:t>
      </w:r>
      <w:r w:rsidR="00E41B14" w:rsidRPr="00E41B14">
        <w:t xml:space="preserve"> for the </w:t>
      </w:r>
      <w:r w:rsidR="003E4064" w:rsidRPr="00E41B14">
        <w:t>four</w:t>
      </w:r>
      <w:r w:rsidR="00E41B14" w:rsidRPr="00E41B14">
        <w:t xml:space="preserve"> initial</w:t>
      </w:r>
      <w:r w:rsidR="003E4064" w:rsidRPr="00E41B14">
        <w:t xml:space="preserve"> sites:</w:t>
      </w:r>
    </w:p>
    <w:p w14:paraId="068060E9" w14:textId="77777777" w:rsidR="00FB67B3" w:rsidRPr="00E41B14" w:rsidRDefault="00FB67B3" w:rsidP="00FB67B3">
      <w:pPr>
        <w:pStyle w:val="DETbullet2"/>
      </w:pPr>
      <w:r w:rsidRPr="00E41B14">
        <w:t>Brimbank-Melton</w:t>
      </w:r>
    </w:p>
    <w:p w14:paraId="06128A56" w14:textId="5BA905C6" w:rsidR="00FB67B3" w:rsidRPr="00E41B14" w:rsidRDefault="00FB67B3" w:rsidP="00FB67B3">
      <w:pPr>
        <w:pStyle w:val="DETbullet2"/>
      </w:pPr>
      <w:r w:rsidRPr="00E41B14">
        <w:t>Southern Me</w:t>
      </w:r>
      <w:r w:rsidR="00BD1E5D">
        <w:t>lbourne</w:t>
      </w:r>
    </w:p>
    <w:p w14:paraId="1051C7DB" w14:textId="77777777" w:rsidR="00FB67B3" w:rsidRPr="00E41B14" w:rsidRDefault="00FB67B3" w:rsidP="00FB67B3">
      <w:pPr>
        <w:pStyle w:val="DETbullet2"/>
      </w:pPr>
      <w:r w:rsidRPr="00E41B14">
        <w:t>Ovens Murray</w:t>
      </w:r>
    </w:p>
    <w:p w14:paraId="2C6CE265" w14:textId="77777777" w:rsidR="00FB67B3" w:rsidRPr="00E41B14" w:rsidRDefault="00FB67B3" w:rsidP="00FB67B3">
      <w:pPr>
        <w:pStyle w:val="DETbullet2"/>
      </w:pPr>
      <w:proofErr w:type="spellStart"/>
      <w:r w:rsidRPr="00E41B14">
        <w:t>Loddon-Campaspe</w:t>
      </w:r>
      <w:proofErr w:type="spellEnd"/>
    </w:p>
    <w:p w14:paraId="6980153F" w14:textId="3546B826" w:rsidR="00E627C1" w:rsidRPr="00E41B14" w:rsidRDefault="00E627C1" w:rsidP="00E627C1">
      <w:pPr>
        <w:pStyle w:val="Heading3"/>
      </w:pPr>
      <w:r w:rsidRPr="00E41B14">
        <w:t>Phase 3: Compact area-based governance – full roll out by end December 2018</w:t>
      </w:r>
    </w:p>
    <w:p w14:paraId="71BBFD42" w14:textId="2FC2E5D1" w:rsidR="00E627C1" w:rsidRDefault="00E627C1" w:rsidP="00B90FF5">
      <w:pPr>
        <w:pStyle w:val="DETbullet1"/>
        <w:numPr>
          <w:ilvl w:val="0"/>
          <w:numId w:val="0"/>
        </w:numPr>
      </w:pPr>
      <w:r w:rsidRPr="00E41B14">
        <w:t>Learnings from</w:t>
      </w:r>
      <w:r w:rsidR="00C25765" w:rsidRPr="00E41B14">
        <w:t xml:space="preserve"> Phases one and two will</w:t>
      </w:r>
      <w:r w:rsidRPr="00E41B14">
        <w:t xml:space="preserve"> inform </w:t>
      </w:r>
      <w:r w:rsidR="003E4064" w:rsidRPr="00E41B14">
        <w:t xml:space="preserve">the </w:t>
      </w:r>
      <w:r w:rsidRPr="00E41B14">
        <w:t>full roll-out</w:t>
      </w:r>
      <w:r w:rsidR="003E4064" w:rsidRPr="00E41B14">
        <w:t xml:space="preserve"> in 2018.</w:t>
      </w:r>
    </w:p>
    <w:p w14:paraId="00988724" w14:textId="20D00DCA" w:rsidR="00D2702F" w:rsidRDefault="00D2702F" w:rsidP="00D2702F">
      <w:pPr>
        <w:pStyle w:val="Heading2"/>
      </w:pPr>
      <w:r>
        <w:t>FURTHER INFORMATION</w:t>
      </w:r>
    </w:p>
    <w:p w14:paraId="783DE777" w14:textId="51237CA7" w:rsidR="00D2702F" w:rsidRDefault="00D2702F" w:rsidP="005508CD">
      <w:pPr>
        <w:spacing w:after="0"/>
      </w:pPr>
      <w:r>
        <w:t>Progress on area-base</w:t>
      </w:r>
      <w:r w:rsidR="00FB67B3">
        <w:t>d</w:t>
      </w:r>
      <w:r>
        <w:t xml:space="preserve"> governance and implementation</w:t>
      </w:r>
      <w:r w:rsidR="00E41B14">
        <w:t xml:space="preserve"> </w:t>
      </w:r>
      <w:r>
        <w:t xml:space="preserve">arrangements will be reviewed at the next meeting of the Early Years Compact Board in early 2018. </w:t>
      </w:r>
      <w:r w:rsidR="00FB67B3">
        <w:t>A second communique will be issued after th</w:t>
      </w:r>
      <w:r w:rsidR="00E33BF3">
        <w:t>at</w:t>
      </w:r>
      <w:r w:rsidR="00FB67B3">
        <w:t xml:space="preserve"> meeting.</w:t>
      </w:r>
    </w:p>
    <w:p w14:paraId="7324C363" w14:textId="62213C47" w:rsidR="00E627C1" w:rsidRPr="00531045" w:rsidRDefault="005508CD" w:rsidP="00531045">
      <w:pPr>
        <w:pStyle w:val="Heading2"/>
        <w:spacing w:after="240"/>
        <w:rPr>
          <w:color w:val="auto"/>
          <w:sz w:val="18"/>
          <w:szCs w:val="18"/>
        </w:rPr>
      </w:pPr>
      <w:r w:rsidRPr="00531045">
        <w:rPr>
          <w:color w:val="auto"/>
          <w:sz w:val="16"/>
          <w:szCs w:val="16"/>
        </w:rPr>
        <w:lastRenderedPageBreak/>
        <w:t xml:space="preserve"> </w:t>
      </w:r>
      <w:r w:rsidR="00531045" w:rsidRPr="00531045">
        <w:rPr>
          <w:color w:val="auto"/>
          <w:sz w:val="18"/>
          <w:szCs w:val="16"/>
        </w:rPr>
        <w:t>I</w:t>
      </w:r>
      <w:r w:rsidR="00531045" w:rsidRPr="00531045">
        <w:rPr>
          <w:caps w:val="0"/>
          <w:color w:val="auto"/>
          <w:sz w:val="18"/>
          <w:szCs w:val="18"/>
        </w:rPr>
        <w:t xml:space="preserve">f you have questions about the </w:t>
      </w:r>
      <w:r w:rsidR="00FB67B3">
        <w:rPr>
          <w:caps w:val="0"/>
          <w:color w:val="auto"/>
          <w:sz w:val="18"/>
          <w:szCs w:val="18"/>
        </w:rPr>
        <w:t>C</w:t>
      </w:r>
      <w:r w:rsidR="00531045" w:rsidRPr="00531045">
        <w:rPr>
          <w:caps w:val="0"/>
          <w:color w:val="auto"/>
          <w:sz w:val="18"/>
          <w:szCs w:val="18"/>
        </w:rPr>
        <w:t>ompact, please contact</w:t>
      </w:r>
    </w:p>
    <w:p w14:paraId="17A7A032" w14:textId="560A04C8" w:rsidR="00E627C1" w:rsidRDefault="00E627C1" w:rsidP="00E627C1">
      <w:r>
        <w:t xml:space="preserve">DET regional staff: </w:t>
      </w:r>
    </w:p>
    <w:p w14:paraId="7C77FD16" w14:textId="55897733" w:rsidR="00531045" w:rsidRPr="00E642FD" w:rsidRDefault="00E642FD" w:rsidP="00E627C1">
      <w:pPr>
        <w:rPr>
          <w:b/>
        </w:rPr>
      </w:pPr>
      <w:r>
        <w:rPr>
          <w:b/>
        </w:rPr>
        <w:t>Alison Williams</w:t>
      </w:r>
    </w:p>
    <w:p w14:paraId="1D1F98D7" w14:textId="4FD60420" w:rsidR="00D720C7" w:rsidRDefault="00E642FD" w:rsidP="00E627C1">
      <w:r>
        <w:t xml:space="preserve">Manager, </w:t>
      </w:r>
      <w:r w:rsidR="008A33AE" w:rsidRPr="008A33AE">
        <w:t>Early Childhood Reform Implementation</w:t>
      </w:r>
      <w:r w:rsidR="008A33AE">
        <w:rPr>
          <w:b/>
          <w:bCs/>
          <w:color w:val="1F497D"/>
          <w:lang w:eastAsia="en-AU"/>
        </w:rPr>
        <w:t xml:space="preserve"> </w:t>
      </w:r>
    </w:p>
    <w:p w14:paraId="558ADF39" w14:textId="418E661E" w:rsidR="00E642FD" w:rsidRDefault="00D32FE3" w:rsidP="00E627C1">
      <w:hyperlink r:id="rId12" w:history="1">
        <w:r w:rsidR="00696E55" w:rsidRPr="00525134">
          <w:rPr>
            <w:rStyle w:val="Hyperlink"/>
          </w:rPr>
          <w:t>williams.alison.a2@edumail.vic.gov.au</w:t>
        </w:r>
      </w:hyperlink>
    </w:p>
    <w:p w14:paraId="31746DEE" w14:textId="77777777" w:rsidR="00E642FD" w:rsidRDefault="00E642FD" w:rsidP="00E627C1"/>
    <w:p w14:paraId="21851A0D" w14:textId="7FC8CDC4" w:rsidR="00E627C1" w:rsidRDefault="00E627C1" w:rsidP="00E627C1">
      <w:r>
        <w:t xml:space="preserve">DHHS regional staff: </w:t>
      </w:r>
    </w:p>
    <w:p w14:paraId="0131D0DF" w14:textId="15AAF07E" w:rsidR="00531045" w:rsidRDefault="00C576AF" w:rsidP="00C576AF">
      <w:pPr>
        <w:spacing w:after="0"/>
        <w:rPr>
          <w:b/>
        </w:rPr>
      </w:pPr>
      <w:r>
        <w:rPr>
          <w:b/>
        </w:rPr>
        <w:t>Toni Morton</w:t>
      </w:r>
    </w:p>
    <w:p w14:paraId="6078D3C4" w14:textId="77777777" w:rsidR="00C576AF" w:rsidRPr="00C576AF" w:rsidRDefault="00C576AF" w:rsidP="00C576AF">
      <w:pPr>
        <w:pStyle w:val="PlainText"/>
        <w:rPr>
          <w:rFonts w:ascii="Arial" w:eastAsiaTheme="minorEastAsia" w:hAnsi="Arial" w:cs="Arial"/>
          <w:sz w:val="18"/>
          <w:szCs w:val="18"/>
          <w:lang w:val="en-US"/>
        </w:rPr>
      </w:pPr>
      <w:r w:rsidRPr="00C576AF">
        <w:rPr>
          <w:rFonts w:ascii="Arial" w:eastAsiaTheme="minorEastAsia" w:hAnsi="Arial" w:cs="Arial"/>
          <w:sz w:val="18"/>
          <w:szCs w:val="18"/>
          <w:lang w:val="en-US"/>
        </w:rPr>
        <w:t>Manager, Early Years</w:t>
      </w:r>
    </w:p>
    <w:p w14:paraId="59D8CC71" w14:textId="1660E0B8" w:rsidR="00C576AF" w:rsidRDefault="00D32FE3" w:rsidP="00C576AF">
      <w:hyperlink r:id="rId13" w:history="1">
        <w:r w:rsidR="00C576AF">
          <w:rPr>
            <w:rStyle w:val="Hyperlink"/>
          </w:rPr>
          <w:t>toni.morton@dhhs.vic.gov.au</w:t>
        </w:r>
      </w:hyperlink>
    </w:p>
    <w:p w14:paraId="12A47AD2" w14:textId="7264AB27" w:rsidR="00531045" w:rsidRDefault="00531045" w:rsidP="00E627C1"/>
    <w:p w14:paraId="6E5F2E40" w14:textId="265DAB2D" w:rsidR="00E627C1" w:rsidRDefault="00E627C1" w:rsidP="00E627C1">
      <w:r>
        <w:t xml:space="preserve">For Council staff: </w:t>
      </w:r>
      <w:r w:rsidR="00B97D62">
        <w:br/>
      </w:r>
      <w:r w:rsidRPr="00B97D62">
        <w:rPr>
          <w:b/>
        </w:rPr>
        <w:t>Wendy Allan</w:t>
      </w:r>
      <w:r w:rsidR="00B97D62">
        <w:rPr>
          <w:b/>
        </w:rPr>
        <w:br/>
      </w:r>
      <w:r w:rsidR="00B97D62">
        <w:t>MAV Early Years Policy Adviser</w:t>
      </w:r>
    </w:p>
    <w:p w14:paraId="2862F764" w14:textId="6406EC21" w:rsidR="00980015" w:rsidRDefault="00B97D62" w:rsidP="00E627C1">
      <w:r>
        <w:rPr>
          <w:u w:val="single"/>
        </w:rPr>
        <w:t xml:space="preserve">Email: </w:t>
      </w:r>
      <w:hyperlink r:id="rId14" w:history="1">
        <w:r w:rsidR="003C5D77" w:rsidRPr="002D6115">
          <w:rPr>
            <w:rStyle w:val="Hyperlink"/>
          </w:rPr>
          <w:t>wallan@mav.asn.au</w:t>
        </w:r>
      </w:hyperlink>
    </w:p>
    <w:sectPr w:rsidR="00980015" w:rsidSect="00B141A2">
      <w:headerReference w:type="default" r:id="rId15"/>
      <w:footerReference w:type="default" r:id="rId16"/>
      <w:pgSz w:w="11900" w:h="16840"/>
      <w:pgMar w:top="2977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18AA0" w14:textId="77777777" w:rsidR="008B1F35" w:rsidRDefault="008B1F35" w:rsidP="00E627C1">
      <w:r>
        <w:separator/>
      </w:r>
    </w:p>
  </w:endnote>
  <w:endnote w:type="continuationSeparator" w:id="0">
    <w:p w14:paraId="03C20C60" w14:textId="77777777" w:rsidR="008B1F35" w:rsidRDefault="008B1F35" w:rsidP="00E6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49E2E244" w:rsidR="003E29B5" w:rsidRPr="003E29B5" w:rsidRDefault="00B97D62" w:rsidP="00E627C1">
    <w:r w:rsidRPr="004049EC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5199F7A5" wp14:editId="0FC9099B">
          <wp:simplePos x="0" y="0"/>
          <wp:positionH relativeFrom="column">
            <wp:posOffset>3118485</wp:posOffset>
          </wp:positionH>
          <wp:positionV relativeFrom="paragraph">
            <wp:posOffset>27305</wp:posOffset>
          </wp:positionV>
          <wp:extent cx="1478915" cy="450215"/>
          <wp:effectExtent l="0" t="0" r="0" b="6985"/>
          <wp:wrapNone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91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22D" w:rsidRPr="004049EC"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11B8E224" wp14:editId="1072663E">
          <wp:simplePos x="0" y="0"/>
          <wp:positionH relativeFrom="column">
            <wp:posOffset>4933315</wp:posOffset>
          </wp:positionH>
          <wp:positionV relativeFrom="paragraph">
            <wp:posOffset>17898</wp:posOffset>
          </wp:positionV>
          <wp:extent cx="1427480" cy="529590"/>
          <wp:effectExtent l="0" t="0" r="0" b="3810"/>
          <wp:wrapNone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29B5"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7C33C" w14:textId="77777777" w:rsidR="008B1F35" w:rsidRDefault="008B1F35" w:rsidP="00E627C1">
      <w:r>
        <w:separator/>
      </w:r>
    </w:p>
  </w:footnote>
  <w:footnote w:type="continuationSeparator" w:id="0">
    <w:p w14:paraId="167A2D72" w14:textId="77777777" w:rsidR="008B1F35" w:rsidRDefault="008B1F35" w:rsidP="00E6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3E29B5" w:rsidRPr="003E29B5" w:rsidRDefault="003E29B5" w:rsidP="00E627C1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5437290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8281" cy="1967023"/>
          <wp:effectExtent l="0" t="0" r="508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58281" cy="1967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2474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882D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8063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EC40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CE69F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3A55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129C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D0E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A866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7DA7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84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B0AA1"/>
    <w:multiLevelType w:val="hybridMultilevel"/>
    <w:tmpl w:val="CE22A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C2EAE"/>
    <w:multiLevelType w:val="hybridMultilevel"/>
    <w:tmpl w:val="2D7E9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14896"/>
    <w:multiLevelType w:val="hybridMultilevel"/>
    <w:tmpl w:val="81AADF3E"/>
    <w:lvl w:ilvl="0" w:tplc="34F89848">
      <w:start w:val="1"/>
      <w:numFmt w:val="bullet"/>
      <w:pStyle w:val="DE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4101A"/>
    <w:multiLevelType w:val="hybridMultilevel"/>
    <w:tmpl w:val="BF9EA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2D7713"/>
    <w:multiLevelType w:val="hybridMultilevel"/>
    <w:tmpl w:val="CC1829BA"/>
    <w:lvl w:ilvl="0" w:tplc="4F3626D4">
      <w:start w:val="1"/>
      <w:numFmt w:val="decimal"/>
      <w:pStyle w:val="DETnumberedlist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61CF2"/>
    <w:multiLevelType w:val="hybridMultilevel"/>
    <w:tmpl w:val="7B981C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2A3E2B"/>
    <w:multiLevelType w:val="hybridMultilevel"/>
    <w:tmpl w:val="961C51BA"/>
    <w:lvl w:ilvl="0" w:tplc="2AFEDD40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FF2FF2"/>
    <w:multiLevelType w:val="hybridMultilevel"/>
    <w:tmpl w:val="0E08BB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9A3BA2"/>
    <w:multiLevelType w:val="hybridMultilevel"/>
    <w:tmpl w:val="49721F16"/>
    <w:lvl w:ilvl="0" w:tplc="F36AAB3E">
      <w:start w:val="1"/>
      <w:numFmt w:val="bullet"/>
      <w:pStyle w:val="DE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3"/>
  </w:num>
  <w:num w:numId="17">
    <w:abstractNumId w:val="14"/>
  </w:num>
  <w:num w:numId="18">
    <w:abstractNumId w:val="18"/>
  </w:num>
  <w:num w:numId="19">
    <w:abstractNumId w:val="19"/>
  </w:num>
  <w:num w:numId="20">
    <w:abstractNumId w:val="12"/>
  </w:num>
  <w:num w:numId="21">
    <w:abstractNumId w:val="17"/>
  </w:num>
  <w:num w:numId="22">
    <w:abstractNumId w:val="15"/>
  </w:num>
  <w:num w:numId="23">
    <w:abstractNumId w:val="11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31801"/>
    <w:rsid w:val="00033C6E"/>
    <w:rsid w:val="00066BC0"/>
    <w:rsid w:val="000732CC"/>
    <w:rsid w:val="000936A5"/>
    <w:rsid w:val="000A188D"/>
    <w:rsid w:val="000C499D"/>
    <w:rsid w:val="000D21F2"/>
    <w:rsid w:val="000D3002"/>
    <w:rsid w:val="001042D7"/>
    <w:rsid w:val="0014310A"/>
    <w:rsid w:val="0014400B"/>
    <w:rsid w:val="001E67CA"/>
    <w:rsid w:val="001E68CF"/>
    <w:rsid w:val="00214D97"/>
    <w:rsid w:val="0022212D"/>
    <w:rsid w:val="00236EAC"/>
    <w:rsid w:val="00326F48"/>
    <w:rsid w:val="0039118E"/>
    <w:rsid w:val="003A6E33"/>
    <w:rsid w:val="003B01B0"/>
    <w:rsid w:val="003C5D77"/>
    <w:rsid w:val="003E29B5"/>
    <w:rsid w:val="003E4064"/>
    <w:rsid w:val="004049EC"/>
    <w:rsid w:val="00420D55"/>
    <w:rsid w:val="004478F5"/>
    <w:rsid w:val="004715DC"/>
    <w:rsid w:val="004D6F83"/>
    <w:rsid w:val="00531045"/>
    <w:rsid w:val="00536ADC"/>
    <w:rsid w:val="005508CD"/>
    <w:rsid w:val="005542D4"/>
    <w:rsid w:val="00596923"/>
    <w:rsid w:val="005E3DB5"/>
    <w:rsid w:val="00600EB1"/>
    <w:rsid w:val="00634437"/>
    <w:rsid w:val="00635AB5"/>
    <w:rsid w:val="0066725A"/>
    <w:rsid w:val="00696E55"/>
    <w:rsid w:val="006E73C6"/>
    <w:rsid w:val="00710994"/>
    <w:rsid w:val="007363C7"/>
    <w:rsid w:val="00751081"/>
    <w:rsid w:val="00784798"/>
    <w:rsid w:val="00816ED5"/>
    <w:rsid w:val="0082454B"/>
    <w:rsid w:val="008679D2"/>
    <w:rsid w:val="008766A4"/>
    <w:rsid w:val="008A33AE"/>
    <w:rsid w:val="008B1F35"/>
    <w:rsid w:val="008E0020"/>
    <w:rsid w:val="008E4BE4"/>
    <w:rsid w:val="00957D24"/>
    <w:rsid w:val="00980015"/>
    <w:rsid w:val="009D200C"/>
    <w:rsid w:val="009F2302"/>
    <w:rsid w:val="00A208BA"/>
    <w:rsid w:val="00A24F45"/>
    <w:rsid w:val="00A42A28"/>
    <w:rsid w:val="00A44786"/>
    <w:rsid w:val="00AB1F87"/>
    <w:rsid w:val="00AC2EE2"/>
    <w:rsid w:val="00B141A2"/>
    <w:rsid w:val="00B31451"/>
    <w:rsid w:val="00B32D5C"/>
    <w:rsid w:val="00B90FF5"/>
    <w:rsid w:val="00B97D62"/>
    <w:rsid w:val="00BD1E5D"/>
    <w:rsid w:val="00C052CB"/>
    <w:rsid w:val="00C25765"/>
    <w:rsid w:val="00C40B85"/>
    <w:rsid w:val="00C576AF"/>
    <w:rsid w:val="00CB09A2"/>
    <w:rsid w:val="00CE1342"/>
    <w:rsid w:val="00D070BC"/>
    <w:rsid w:val="00D2702F"/>
    <w:rsid w:val="00D31299"/>
    <w:rsid w:val="00D32FE3"/>
    <w:rsid w:val="00D720C7"/>
    <w:rsid w:val="00D76820"/>
    <w:rsid w:val="00DD022D"/>
    <w:rsid w:val="00DD2322"/>
    <w:rsid w:val="00DE7540"/>
    <w:rsid w:val="00E05151"/>
    <w:rsid w:val="00E33BF3"/>
    <w:rsid w:val="00E37C4D"/>
    <w:rsid w:val="00E41B14"/>
    <w:rsid w:val="00E52F42"/>
    <w:rsid w:val="00E627C1"/>
    <w:rsid w:val="00E642FD"/>
    <w:rsid w:val="00E864C5"/>
    <w:rsid w:val="00EC2D16"/>
    <w:rsid w:val="00ED4E84"/>
    <w:rsid w:val="00F37B68"/>
    <w:rsid w:val="00F5039C"/>
    <w:rsid w:val="00F72012"/>
    <w:rsid w:val="00FB67B3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7C1"/>
    <w:pPr>
      <w:spacing w:after="40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020"/>
    <w:pPr>
      <w:keepNext/>
      <w:keepLines/>
      <w:spacing w:before="200" w:after="16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27C1"/>
    <w:pPr>
      <w:pBdr>
        <w:top w:val="single" w:sz="8" w:space="3" w:color="AF272F"/>
      </w:pBdr>
      <w:spacing w:before="300" w:after="8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E0020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627C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DETbullet1">
    <w:name w:val="DET_bullet 1"/>
    <w:basedOn w:val="Normal"/>
    <w:qFormat/>
    <w:rsid w:val="00E627C1"/>
    <w:pPr>
      <w:numPr>
        <w:numId w:val="12"/>
      </w:numPr>
      <w:spacing w:after="120"/>
    </w:pPr>
  </w:style>
  <w:style w:type="paragraph" w:customStyle="1" w:styleId="DETnumberedlist">
    <w:name w:val="DET_numbered list"/>
    <w:basedOn w:val="DETbullet1"/>
    <w:qFormat/>
    <w:rsid w:val="00E627C1"/>
    <w:pPr>
      <w:numPr>
        <w:numId w:val="13"/>
      </w:numPr>
    </w:pPr>
  </w:style>
  <w:style w:type="paragraph" w:customStyle="1" w:styleId="DETHeading2">
    <w:name w:val="DET_Heading 2"/>
    <w:basedOn w:val="Heading2"/>
    <w:qFormat/>
    <w:rsid w:val="000936A5"/>
    <w:pPr>
      <w:pBdr>
        <w:top w:val="none" w:sz="0" w:space="0" w:color="auto"/>
      </w:pBdr>
      <w:spacing w:before="180" w:after="120"/>
    </w:pPr>
    <w:rPr>
      <w:rFonts w:asciiTheme="majorHAnsi" w:hAnsiTheme="majorHAnsi"/>
      <w:color w:val="595959" w:themeColor="text1" w:themeTint="A6"/>
      <w:sz w:val="24"/>
      <w:szCs w:val="26"/>
      <w:lang w:val="en-GB"/>
    </w:rPr>
  </w:style>
  <w:style w:type="paragraph" w:customStyle="1" w:styleId="DETbullet2">
    <w:name w:val="DET_bullet 2"/>
    <w:basedOn w:val="DETbullet1"/>
    <w:qFormat/>
    <w:rsid w:val="00E627C1"/>
    <w:pPr>
      <w:numPr>
        <w:numId w:val="16"/>
      </w:numPr>
    </w:pPr>
  </w:style>
  <w:style w:type="character" w:styleId="Hyperlink">
    <w:name w:val="Hyperlink"/>
    <w:basedOn w:val="DefaultParagraphFont"/>
    <w:uiPriority w:val="99"/>
    <w:unhideWhenUsed/>
    <w:rsid w:val="00B97D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5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73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6AF"/>
    <w:pPr>
      <w:spacing w:after="0"/>
    </w:pPr>
    <w:rPr>
      <w:rFonts w:ascii="Calibri" w:eastAsiaTheme="minorHAnsi" w:hAnsi="Calibr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6AF"/>
    <w:rPr>
      <w:rFonts w:ascii="Calibri" w:eastAsiaTheme="minorHAnsi" w:hAnsi="Calibri"/>
      <w:sz w:val="22"/>
      <w:szCs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oni.morton@dhhs.vi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illiams.alison.a2@edumail.vi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4" Type="http://schemas.openxmlformats.org/officeDocument/2006/relationships/hyperlink" Target="mailto:wallan@mav.asn.au" TargetMode="Externa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34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Education State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d4cd9dfd-2e16-4d0b-9ceb-3e745a3426f2">2016</Year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TaxCatchAll xmlns="1966e606-8b69-4075-9ef8-a409e80aaa70">
      <Value>34</Value>
    </TaxCatchAll>
    <PublishingContactName xmlns="http://schemas.microsoft.com/sharepoint/v3" xsi:nil="true"/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13.1.1 Outward Facing Policy</TermName>
          <TermId xmlns="http://schemas.microsoft.com/office/infopath/2007/PartnerControls">c167ca3e-8c60-41a9-853e-4dd20761c000</TermId>
        </TermInfo>
      </Terms>
    </DET_EDRMS_RCSTaxHTField0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A66E8-BEDF-4CC9-A9D0-A0D341F95659}"/>
</file>

<file path=customXml/itemProps2.xml><?xml version="1.0" encoding="utf-8"?>
<ds:datastoreItem xmlns:ds="http://schemas.openxmlformats.org/officeDocument/2006/customXml" ds:itemID="{1E21256A-60DF-469F-93A0-4C858601F675}"/>
</file>

<file path=customXml/itemProps3.xml><?xml version="1.0" encoding="utf-8"?>
<ds:datastoreItem xmlns:ds="http://schemas.openxmlformats.org/officeDocument/2006/customXml" ds:itemID="{A11081E9-3CD3-4F5B-803C-61E34248A148}"/>
</file>

<file path=customXml/itemProps4.xml><?xml version="1.0" encoding="utf-8"?>
<ds:datastoreItem xmlns:ds="http://schemas.openxmlformats.org/officeDocument/2006/customXml" ds:itemID="{42BA66E8-BEDF-4CC9-A9D0-A0D341F95659}">
  <ds:schemaRefs>
    <ds:schemaRef ds:uri="http://purl.org/dc/dcmitype/"/>
    <ds:schemaRef ds:uri="d4cd9dfd-2e16-4d0b-9ceb-3e745a3426f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4"/>
    <ds:schemaRef ds:uri="1966e606-8b69-4075-9ef8-a409e80aaa70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6D8BAAE-BEB5-4992-A58B-2B00A3F33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Inglis, Helen H</cp:lastModifiedBy>
  <cp:revision>2</cp:revision>
  <cp:lastPrinted>2018-04-11T01:59:00Z</cp:lastPrinted>
  <dcterms:created xsi:type="dcterms:W3CDTF">2018-04-12T00:41:00Z</dcterms:created>
  <dcterms:modified xsi:type="dcterms:W3CDTF">2018-04-12T00:41:00Z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34;#13.1.1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{b37de515-3549-44b1-9a56-cd327e04a1ea}</vt:lpwstr>
  </property>
  <property fmtid="{D5CDD505-2E9C-101B-9397-08002B2CF9AE}" pid="8" name="RecordPoint_ActiveItemWebId">
    <vt:lpwstr>{47fe8251-ecf1-42a0-aa87-b8a7e5df83b8}</vt:lpwstr>
  </property>
  <property fmtid="{D5CDD505-2E9C-101B-9397-08002B2CF9AE}" pid="9" name="RecordPoint_ActiveItemSiteId">
    <vt:lpwstr>{03dc8113-b288-4f44-a289-6e7ea0196235}</vt:lpwstr>
  </property>
  <property fmtid="{D5CDD505-2E9C-101B-9397-08002B2CF9AE}" pid="10" name="RecordPoint_ActiveItemListId">
    <vt:lpwstr>{d4cd9dfd-2e16-4d0b-9ceb-3e745a3426f2}</vt:lpwstr>
  </property>
  <property fmtid="{D5CDD505-2E9C-101B-9397-08002B2CF9AE}" pid="11" name="RecordPoint_SubmissionCompleted">
    <vt:lpwstr>2018-04-11T12:33:38.4435408+10:00</vt:lpwstr>
  </property>
  <property fmtid="{D5CDD505-2E9C-101B-9397-08002B2CF9AE}" pid="12" name="RecordPoint_RecordNumberSubmitted">
    <vt:lpwstr>R2018/0190032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