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EDF8D" w14:textId="77777777" w:rsidR="00BA1282" w:rsidRDefault="00BA1282">
      <w:pPr>
        <w:pStyle w:val="BodyText"/>
        <w:spacing w:before="9"/>
        <w:ind w:left="0" w:firstLine="0"/>
        <w:rPr>
          <w:rFonts w:ascii="Times New Roman"/>
          <w:sz w:val="5"/>
        </w:rPr>
      </w:pPr>
    </w:p>
    <w:p w14:paraId="5902EB54" w14:textId="77777777" w:rsidR="00BA1282" w:rsidRDefault="00031A58">
      <w:pPr>
        <w:pStyle w:val="BodyText"/>
        <w:spacing w:line="20" w:lineRule="exact"/>
        <w:ind w:left="111" w:right="-29" w:firstLine="0"/>
        <w:rPr>
          <w:rFonts w:ascii="Times New Roman"/>
          <w:sz w:val="2"/>
        </w:rPr>
      </w:pPr>
      <w:r>
        <w:rPr>
          <w:rFonts w:ascii="Times New Roman"/>
          <w:sz w:val="2"/>
        </w:rPr>
      </w:r>
      <w:r>
        <w:rPr>
          <w:rFonts w:ascii="Times New Roman"/>
          <w:sz w:val="2"/>
        </w:rPr>
        <w:pict w14:anchorId="06BB8D2E">
          <v:group id="_x0000_s1028" style="width:454.2pt;height:.5pt;mso-position-horizontal-relative:char;mso-position-vertical-relative:line" coordsize="9084,10">
            <v:rect id="_x0000_s1029" style="position:absolute;width:9084;height:10" fillcolor="gray" stroked="f"/>
            <w10:anchorlock/>
          </v:group>
        </w:pict>
      </w:r>
    </w:p>
    <w:p w14:paraId="600ADDD0" w14:textId="77777777" w:rsidR="00BA1282" w:rsidRDefault="00031A58">
      <w:pPr>
        <w:pStyle w:val="Heading1"/>
        <w:spacing w:before="9" w:line="369" w:lineRule="auto"/>
        <w:ind w:right="3139"/>
      </w:pPr>
      <w:r>
        <w:rPr>
          <w:color w:val="C00000"/>
        </w:rPr>
        <w:t>EDUCATION STATE IN SCHOOLS GUIDING COALITION COMMUNIQUE NO. 2</w:t>
      </w:r>
    </w:p>
    <w:p w14:paraId="1BEC6EC6" w14:textId="77777777" w:rsidR="00BA1282" w:rsidRDefault="00031A58">
      <w:pPr>
        <w:spacing w:before="6"/>
        <w:ind w:left="140"/>
        <w:rPr>
          <w:sz w:val="28"/>
        </w:rPr>
      </w:pPr>
      <w:r>
        <w:pict w14:anchorId="6423E0EB">
          <v:rect id="_x0000_s1027" style="position:absolute;left:0;text-align:left;margin-left:70.55pt;margin-top:19.65pt;width:454.2pt;height:.5pt;z-index:-15728128;mso-wrap-distance-left:0;mso-wrap-distance-right:0;mso-position-horizontal-relative:page" fillcolor="gray" stroked="f">
            <w10:wrap type="topAndBottom" anchorx="page"/>
          </v:rect>
        </w:pict>
      </w:r>
      <w:r>
        <w:rPr>
          <w:color w:val="C00000"/>
          <w:sz w:val="28"/>
        </w:rPr>
        <w:t>2020</w:t>
      </w:r>
    </w:p>
    <w:p w14:paraId="58625F38" w14:textId="77777777" w:rsidR="00BA1282" w:rsidRDefault="00031A58">
      <w:pPr>
        <w:pStyle w:val="Heading1"/>
        <w:spacing w:before="134"/>
      </w:pPr>
      <w:r>
        <w:rPr>
          <w:color w:val="C00000"/>
        </w:rPr>
        <w:t>About</w:t>
      </w:r>
    </w:p>
    <w:p w14:paraId="50EBD783" w14:textId="77777777" w:rsidR="00BA1282" w:rsidRDefault="00031A58">
      <w:pPr>
        <w:pStyle w:val="BodyText"/>
        <w:spacing w:before="145" w:line="259" w:lineRule="auto"/>
        <w:ind w:left="140" w:right="178" w:firstLine="0"/>
      </w:pPr>
      <w:r>
        <w:t>The Education State in Schools Guiding Coalition was established in 2017, as an outcome of the 2016 Education State in Schools Forum.</w:t>
      </w:r>
    </w:p>
    <w:p w14:paraId="02B79336" w14:textId="77777777" w:rsidR="00BA1282" w:rsidRDefault="00031A58">
      <w:pPr>
        <w:pStyle w:val="BodyText"/>
        <w:spacing w:before="118" w:line="259" w:lineRule="auto"/>
        <w:ind w:left="140" w:right="339" w:firstLine="0"/>
      </w:pPr>
      <w:r>
        <w:t xml:space="preserve">The Guiding </w:t>
      </w:r>
      <w:r>
        <w:t>Coalition is comprised of key school stakeholders and critical thinkers. Its purpose is to further the Education State in Schools reform agenda, acknowledging the vital role that our stakeholders play and pursuing the principle of shared responsibility tow</w:t>
      </w:r>
      <w:r>
        <w:t>ards improving student outcomes.</w:t>
      </w:r>
    </w:p>
    <w:p w14:paraId="57973131" w14:textId="77777777" w:rsidR="00BA1282" w:rsidRDefault="00031A58">
      <w:pPr>
        <w:pStyle w:val="BodyText"/>
        <w:spacing w:before="119" w:line="259" w:lineRule="auto"/>
        <w:ind w:left="139" w:right="426" w:firstLine="0"/>
      </w:pPr>
      <w:r>
        <w:t xml:space="preserve">Each year, members have agreed on various working group topics of most interest to them. The working groups meet termly, and a Plenary meeting (chaired by the Secretary) is held to provide a platform for each working group </w:t>
      </w:r>
      <w:r>
        <w:t>to report back.</w:t>
      </w:r>
    </w:p>
    <w:p w14:paraId="5E4715F1" w14:textId="77777777" w:rsidR="00BA1282" w:rsidRDefault="00031A58">
      <w:pPr>
        <w:pStyle w:val="BodyText"/>
        <w:spacing w:before="121" w:line="259" w:lineRule="auto"/>
        <w:ind w:left="139" w:right="367" w:firstLine="0"/>
      </w:pPr>
      <w:r>
        <w:t>At the start of 2020, a consultation with Guiding Coalition members was carried out to plan for the 2020 round of meetings. Members said that they wanted to strengthen the purpose of both the Guiding Coalition and Education State Forum.</w:t>
      </w:r>
    </w:p>
    <w:p w14:paraId="6821BA08" w14:textId="77777777" w:rsidR="00BA1282" w:rsidRDefault="00031A58">
      <w:pPr>
        <w:pStyle w:val="BodyText"/>
        <w:spacing w:before="119"/>
        <w:ind w:left="140" w:firstLine="0"/>
      </w:pPr>
      <w:r>
        <w:t>Eac</w:t>
      </w:r>
      <w:r>
        <w:t>h working group met in Term 1 2020 to begin developing their workplans for the year.</w:t>
      </w:r>
    </w:p>
    <w:p w14:paraId="70EAABEE" w14:textId="77777777" w:rsidR="00BA1282" w:rsidRDefault="00031A58">
      <w:pPr>
        <w:pStyle w:val="BodyText"/>
        <w:spacing w:before="141" w:line="259" w:lineRule="auto"/>
        <w:ind w:left="140" w:right="524" w:firstLine="0"/>
        <w:jc w:val="both"/>
      </w:pPr>
      <w:r>
        <w:pict w14:anchorId="4F7894F3">
          <v:rect id="_x0000_s1026" style="position:absolute;left:0;text-align:left;margin-left:70.55pt;margin-top:56.65pt;width:454.2pt;height:.5pt;z-index:-15727616;mso-wrap-distance-left:0;mso-wrap-distance-right:0;mso-position-horizontal-relative:page" fillcolor="gray" stroked="f">
            <w10:wrap type="topAndBottom" anchorx="page"/>
          </v:rect>
        </w:pict>
      </w:r>
      <w:r>
        <w:t>In Term 2, these draft workplans were further discussed and refined however, priorities for each working group are frequently changing as the COVID-19 pandemic continues, requiring fluidity of response to stakeholder priorities and priorities of the Depart</w:t>
      </w:r>
      <w:r>
        <w:t>ment.</w:t>
      </w:r>
    </w:p>
    <w:p w14:paraId="75D2C04B" w14:textId="77777777" w:rsidR="00BA1282" w:rsidRDefault="00031A58">
      <w:pPr>
        <w:pStyle w:val="Heading1"/>
      </w:pPr>
      <w:r>
        <w:rPr>
          <w:color w:val="C00000"/>
        </w:rPr>
        <w:t>Term 2 Discussions</w:t>
      </w:r>
    </w:p>
    <w:p w14:paraId="312800BF" w14:textId="77777777" w:rsidR="00BA1282" w:rsidRDefault="00031A58">
      <w:pPr>
        <w:pStyle w:val="Heading2"/>
        <w:spacing w:before="145" w:line="259" w:lineRule="auto"/>
        <w:ind w:right="404"/>
      </w:pPr>
      <w:r>
        <w:rPr>
          <w:color w:val="C00000"/>
        </w:rPr>
        <w:t>Health Wellbeing and Inclusion working group – chaired by Justin McDonnell (on behalf of Stephen Gniel)</w:t>
      </w:r>
    </w:p>
    <w:p w14:paraId="66B170D5" w14:textId="77777777" w:rsidR="00BA1282" w:rsidRDefault="00031A58">
      <w:pPr>
        <w:pStyle w:val="ListParagraph"/>
        <w:numPr>
          <w:ilvl w:val="0"/>
          <w:numId w:val="1"/>
        </w:numPr>
        <w:tabs>
          <w:tab w:val="left" w:pos="860"/>
          <w:tab w:val="left" w:pos="861"/>
        </w:tabs>
        <w:spacing w:line="259" w:lineRule="auto"/>
        <w:ind w:right="176"/>
      </w:pPr>
      <w:r>
        <w:t>The group discussed the workplan, agreeing that it needs to be flexible, allowing opportunity to capture and build on lessons f</w:t>
      </w:r>
      <w:r>
        <w:t>rom remote learning such as student agency, improved relationships with parents and other key players in the community</w:t>
      </w:r>
      <w:r>
        <w:rPr>
          <w:spacing w:val="-2"/>
        </w:rPr>
        <w:t xml:space="preserve"> </w:t>
      </w:r>
      <w:r>
        <w:t>sector.</w:t>
      </w:r>
    </w:p>
    <w:p w14:paraId="4042863A" w14:textId="77777777" w:rsidR="00BA1282" w:rsidRDefault="00031A58">
      <w:pPr>
        <w:pStyle w:val="ListParagraph"/>
        <w:numPr>
          <w:ilvl w:val="0"/>
          <w:numId w:val="1"/>
        </w:numPr>
        <w:tabs>
          <w:tab w:val="left" w:pos="860"/>
          <w:tab w:val="left" w:pos="861"/>
        </w:tabs>
        <w:spacing w:before="118" w:line="256" w:lineRule="auto"/>
        <w:ind w:right="759"/>
      </w:pPr>
      <w:r>
        <w:t>It was agreed that key themes of engagement, wellbeing and inclusion should be used adaptively going</w:t>
      </w:r>
      <w:r>
        <w:rPr>
          <w:spacing w:val="-3"/>
        </w:rPr>
        <w:t xml:space="preserve"> </w:t>
      </w:r>
      <w:r>
        <w:t>forward.</w:t>
      </w:r>
    </w:p>
    <w:p w14:paraId="532439A8" w14:textId="77777777" w:rsidR="00BA1282" w:rsidRDefault="00031A58">
      <w:pPr>
        <w:pStyle w:val="ListParagraph"/>
        <w:numPr>
          <w:ilvl w:val="0"/>
          <w:numId w:val="1"/>
        </w:numPr>
        <w:tabs>
          <w:tab w:val="left" w:pos="860"/>
          <w:tab w:val="left" w:pos="861"/>
        </w:tabs>
        <w:spacing w:before="124" w:line="256" w:lineRule="auto"/>
        <w:ind w:right="98" w:hanging="360"/>
      </w:pPr>
      <w:r>
        <w:t>The group reflected</w:t>
      </w:r>
      <w:r>
        <w:t xml:space="preserve"> on the work occurring across the Department during the remote learning period to promote health and wellbeing of students, maintain student engagement and support parents. Discussion</w:t>
      </w:r>
      <w:r>
        <w:rPr>
          <w:spacing w:val="-7"/>
        </w:rPr>
        <w:t xml:space="preserve"> </w:t>
      </w:r>
      <w:r>
        <w:t>included:</w:t>
      </w:r>
    </w:p>
    <w:p w14:paraId="2FC4D306" w14:textId="77777777" w:rsidR="00BA1282" w:rsidRDefault="00031A58">
      <w:pPr>
        <w:pStyle w:val="ListParagraph"/>
        <w:numPr>
          <w:ilvl w:val="1"/>
          <w:numId w:val="1"/>
        </w:numPr>
        <w:tabs>
          <w:tab w:val="left" w:pos="1580"/>
          <w:tab w:val="left" w:pos="1581"/>
        </w:tabs>
        <w:spacing w:before="127" w:line="252" w:lineRule="auto"/>
        <w:ind w:right="208"/>
      </w:pPr>
      <w:r>
        <w:t>The benefits some schools have experienced as a result of usin</w:t>
      </w:r>
      <w:r>
        <w:t>g existing I.T. systems to identify students at</w:t>
      </w:r>
      <w:r>
        <w:rPr>
          <w:spacing w:val="-3"/>
        </w:rPr>
        <w:t xml:space="preserve"> </w:t>
      </w:r>
      <w:r>
        <w:t>risk.</w:t>
      </w:r>
    </w:p>
    <w:p w14:paraId="2CE063B9" w14:textId="77777777" w:rsidR="00BA1282" w:rsidRDefault="00031A58">
      <w:pPr>
        <w:pStyle w:val="ListParagraph"/>
        <w:numPr>
          <w:ilvl w:val="1"/>
          <w:numId w:val="1"/>
        </w:numPr>
        <w:tabs>
          <w:tab w:val="left" w:pos="1580"/>
          <w:tab w:val="left" w:pos="1581"/>
        </w:tabs>
        <w:spacing w:before="130" w:line="254" w:lineRule="auto"/>
        <w:ind w:right="306"/>
      </w:pPr>
      <w:r>
        <w:t>The inconsistency of how engagement is measured, for example, whether students must engage in one online activity or, multiple activities throughout the day to be considered</w:t>
      </w:r>
      <w:r>
        <w:rPr>
          <w:spacing w:val="-3"/>
        </w:rPr>
        <w:t xml:space="preserve"> </w:t>
      </w:r>
      <w:r>
        <w:t>‘engaged’.</w:t>
      </w:r>
    </w:p>
    <w:p w14:paraId="375E822E" w14:textId="77777777" w:rsidR="00BA1282" w:rsidRDefault="00031A58">
      <w:pPr>
        <w:pStyle w:val="ListParagraph"/>
        <w:numPr>
          <w:ilvl w:val="1"/>
          <w:numId w:val="1"/>
        </w:numPr>
        <w:tabs>
          <w:tab w:val="left" w:pos="1580"/>
          <w:tab w:val="left" w:pos="1581"/>
        </w:tabs>
        <w:spacing w:before="128" w:line="252" w:lineRule="auto"/>
        <w:ind w:right="210"/>
      </w:pPr>
      <w:r>
        <w:t>The need to be realistic in terms of what can be incorporated going forward without negatively impacting business as</w:t>
      </w:r>
      <w:r>
        <w:rPr>
          <w:spacing w:val="-5"/>
        </w:rPr>
        <w:t xml:space="preserve"> </w:t>
      </w:r>
      <w:r>
        <w:t>usual.</w:t>
      </w:r>
    </w:p>
    <w:p w14:paraId="3FB4ED9C" w14:textId="77777777" w:rsidR="00BA1282" w:rsidRDefault="00BA1282">
      <w:pPr>
        <w:spacing w:line="252" w:lineRule="auto"/>
        <w:sectPr w:rsidR="00BA1282">
          <w:headerReference w:type="default" r:id="rId7"/>
          <w:footerReference w:type="default" r:id="rId8"/>
          <w:type w:val="continuous"/>
          <w:pgSz w:w="11910" w:h="16840"/>
          <w:pgMar w:top="1360" w:right="1380" w:bottom="1240" w:left="1300" w:header="45" w:footer="1046" w:gutter="0"/>
          <w:cols w:space="720"/>
        </w:sectPr>
      </w:pPr>
    </w:p>
    <w:p w14:paraId="1B0C5DC7" w14:textId="77777777" w:rsidR="00BA1282" w:rsidRDefault="00031A58">
      <w:pPr>
        <w:pStyle w:val="ListParagraph"/>
        <w:numPr>
          <w:ilvl w:val="1"/>
          <w:numId w:val="1"/>
        </w:numPr>
        <w:tabs>
          <w:tab w:val="left" w:pos="1579"/>
          <w:tab w:val="left" w:pos="1581"/>
        </w:tabs>
        <w:spacing w:before="64" w:line="256" w:lineRule="auto"/>
        <w:ind w:right="220"/>
      </w:pPr>
      <w:r>
        <w:lastRenderedPageBreak/>
        <w:t xml:space="preserve">How the language is shifting and becoming more family centric. There is much more knowledge of how </w:t>
      </w:r>
      <w:proofErr w:type="gramStart"/>
      <w:r>
        <w:t>families</w:t>
      </w:r>
      <w:proofErr w:type="gramEnd"/>
      <w:r>
        <w:t xml:space="preserve"> function and the linkages between the school, students and the</w:t>
      </w:r>
      <w:r>
        <w:rPr>
          <w:spacing w:val="-1"/>
        </w:rPr>
        <w:t xml:space="preserve"> </w:t>
      </w:r>
      <w:r>
        <w:t>family.</w:t>
      </w:r>
    </w:p>
    <w:p w14:paraId="4476688B" w14:textId="77777777" w:rsidR="00BA1282" w:rsidRDefault="00031A58">
      <w:pPr>
        <w:pStyle w:val="Heading2"/>
      </w:pPr>
      <w:r>
        <w:rPr>
          <w:color w:val="C00000"/>
        </w:rPr>
        <w:t>Future of Secondary Schooling working group – chaired by Katherine Whetton</w:t>
      </w:r>
    </w:p>
    <w:p w14:paraId="0D9580C1" w14:textId="77777777" w:rsidR="00BA1282" w:rsidRDefault="00031A58">
      <w:pPr>
        <w:pStyle w:val="ListParagraph"/>
        <w:numPr>
          <w:ilvl w:val="0"/>
          <w:numId w:val="1"/>
        </w:numPr>
        <w:tabs>
          <w:tab w:val="left" w:pos="860"/>
          <w:tab w:val="left" w:pos="861"/>
        </w:tabs>
        <w:spacing w:before="144" w:line="256" w:lineRule="auto"/>
        <w:ind w:right="235"/>
      </w:pPr>
      <w:r>
        <w:t>Th</w:t>
      </w:r>
      <w:r>
        <w:t xml:space="preserve">e group discussed their workplan and recommended a review of existing content and material on secondary schooling at the next meeting, </w:t>
      </w:r>
      <w:proofErr w:type="spellStart"/>
      <w:r>
        <w:t>focussing</w:t>
      </w:r>
      <w:proofErr w:type="spellEnd"/>
      <w:r>
        <w:t xml:space="preserve"> on bigger picture thinking of what is happening in the world and the skills required for the</w:t>
      </w:r>
      <w:r>
        <w:rPr>
          <w:spacing w:val="-6"/>
        </w:rPr>
        <w:t xml:space="preserve"> </w:t>
      </w:r>
      <w:r>
        <w:t>future.</w:t>
      </w:r>
    </w:p>
    <w:p w14:paraId="3B7920F0" w14:textId="77777777" w:rsidR="00BA1282" w:rsidRDefault="00031A58">
      <w:pPr>
        <w:pStyle w:val="ListParagraph"/>
        <w:numPr>
          <w:ilvl w:val="0"/>
          <w:numId w:val="1"/>
        </w:numPr>
        <w:tabs>
          <w:tab w:val="left" w:pos="860"/>
          <w:tab w:val="left" w:pos="861"/>
        </w:tabs>
        <w:spacing w:before="127" w:line="259" w:lineRule="auto"/>
        <w:ind w:right="727"/>
      </w:pPr>
      <w:r>
        <w:t>A discussi</w:t>
      </w:r>
      <w:r>
        <w:t>on was also held on the positive and negative experiences of students during remote</w:t>
      </w:r>
      <w:r>
        <w:rPr>
          <w:spacing w:val="-2"/>
        </w:rPr>
        <w:t xml:space="preserve"> </w:t>
      </w:r>
      <w:r>
        <w:t>learning.</w:t>
      </w:r>
    </w:p>
    <w:p w14:paraId="30F17333" w14:textId="77777777" w:rsidR="00BA1282" w:rsidRDefault="00031A58">
      <w:pPr>
        <w:pStyle w:val="ListParagraph"/>
        <w:numPr>
          <w:ilvl w:val="0"/>
          <w:numId w:val="1"/>
        </w:numPr>
        <w:tabs>
          <w:tab w:val="left" w:pos="860"/>
          <w:tab w:val="left" w:pos="861"/>
        </w:tabs>
        <w:spacing w:line="256" w:lineRule="auto"/>
        <w:ind w:right="385"/>
      </w:pPr>
      <w:r>
        <w:t>Members then discussed what the system can adopt and adapt from the period of remote learning, whilst recognising that one singular model of schooling will not suit</w:t>
      </w:r>
      <w:r>
        <w:rPr>
          <w:spacing w:val="-23"/>
        </w:rPr>
        <w:t xml:space="preserve"> </w:t>
      </w:r>
      <w:r>
        <w:t>everyone.</w:t>
      </w:r>
    </w:p>
    <w:p w14:paraId="39DD4777" w14:textId="77777777" w:rsidR="00BA1282" w:rsidRDefault="00031A58">
      <w:pPr>
        <w:pStyle w:val="Heading2"/>
        <w:spacing w:before="124"/>
      </w:pPr>
      <w:r>
        <w:rPr>
          <w:color w:val="C00000"/>
        </w:rPr>
        <w:t>Workforce, Recruitment, Retention and Support working group – chaired by David Ho</w:t>
      </w:r>
      <w:r>
        <w:rPr>
          <w:color w:val="C00000"/>
        </w:rPr>
        <w:t>wes</w:t>
      </w:r>
    </w:p>
    <w:p w14:paraId="790B7532" w14:textId="77777777" w:rsidR="00BA1282" w:rsidRDefault="00031A58">
      <w:pPr>
        <w:pStyle w:val="ListParagraph"/>
        <w:numPr>
          <w:ilvl w:val="0"/>
          <w:numId w:val="1"/>
        </w:numPr>
        <w:tabs>
          <w:tab w:val="left" w:pos="860"/>
          <w:tab w:val="left" w:pos="861"/>
        </w:tabs>
        <w:spacing w:before="144" w:line="256" w:lineRule="auto"/>
        <w:ind w:right="715"/>
      </w:pPr>
      <w:r>
        <w:t>The group considered what has changed in the role of the workforce due to COVID-19, including:</w:t>
      </w:r>
    </w:p>
    <w:p w14:paraId="479BFE9E" w14:textId="77777777" w:rsidR="00BA1282" w:rsidRDefault="00031A58">
      <w:pPr>
        <w:pStyle w:val="ListParagraph"/>
        <w:numPr>
          <w:ilvl w:val="1"/>
          <w:numId w:val="1"/>
        </w:numPr>
        <w:tabs>
          <w:tab w:val="left" w:pos="1580"/>
          <w:tab w:val="left" w:pos="1581"/>
        </w:tabs>
        <w:spacing w:before="123" w:line="252" w:lineRule="auto"/>
        <w:ind w:right="494"/>
      </w:pPr>
      <w:r>
        <w:t>The profile of teachers has increased which may assist recruitment and retention going</w:t>
      </w:r>
      <w:r>
        <w:rPr>
          <w:spacing w:val="-1"/>
        </w:rPr>
        <w:t xml:space="preserve"> </w:t>
      </w:r>
      <w:r>
        <w:t>forward.</w:t>
      </w:r>
    </w:p>
    <w:p w14:paraId="4683CC30" w14:textId="77777777" w:rsidR="00BA1282" w:rsidRDefault="00031A58">
      <w:pPr>
        <w:pStyle w:val="ListParagraph"/>
        <w:numPr>
          <w:ilvl w:val="1"/>
          <w:numId w:val="1"/>
        </w:numPr>
        <w:tabs>
          <w:tab w:val="left" w:pos="1580"/>
          <w:tab w:val="left" w:pos="1581"/>
        </w:tabs>
        <w:spacing w:before="130"/>
      </w:pPr>
      <w:r>
        <w:t>The strengthened partnerships between parents and</w:t>
      </w:r>
      <w:r>
        <w:rPr>
          <w:spacing w:val="-11"/>
        </w:rPr>
        <w:t xml:space="preserve"> </w:t>
      </w:r>
      <w:r>
        <w:t>teachers</w:t>
      </w:r>
    </w:p>
    <w:p w14:paraId="493D30A4" w14:textId="77777777" w:rsidR="00BA1282" w:rsidRDefault="00031A58">
      <w:pPr>
        <w:pStyle w:val="ListParagraph"/>
        <w:numPr>
          <w:ilvl w:val="1"/>
          <w:numId w:val="1"/>
        </w:numPr>
        <w:tabs>
          <w:tab w:val="left" w:pos="1580"/>
          <w:tab w:val="left" w:pos="1581"/>
        </w:tabs>
        <w:spacing w:before="132" w:line="256" w:lineRule="auto"/>
        <w:ind w:right="335"/>
      </w:pPr>
      <w:r>
        <w:t>So</w:t>
      </w:r>
      <w:r>
        <w:t>me students who were previously disengaged from learning, have embraced the remote learning environment. Equally, other students struggled with the remote learning</w:t>
      </w:r>
      <w:r>
        <w:rPr>
          <w:spacing w:val="-4"/>
        </w:rPr>
        <w:t xml:space="preserve"> </w:t>
      </w:r>
      <w:r>
        <w:t>environment.</w:t>
      </w:r>
    </w:p>
    <w:p w14:paraId="4B7FF04C" w14:textId="77777777" w:rsidR="00BA1282" w:rsidRDefault="00031A58">
      <w:pPr>
        <w:pStyle w:val="ListParagraph"/>
        <w:numPr>
          <w:ilvl w:val="1"/>
          <w:numId w:val="1"/>
        </w:numPr>
        <w:tabs>
          <w:tab w:val="left" w:pos="1580"/>
          <w:tab w:val="left" w:pos="1581"/>
        </w:tabs>
        <w:spacing w:before="123" w:line="254" w:lineRule="auto"/>
        <w:ind w:right="277"/>
      </w:pPr>
      <w:r>
        <w:t>Schooling and learning structure going forward needs to be considered, particul</w:t>
      </w:r>
      <w:r>
        <w:t>arly the importance of personalised learning opportunities and re-conceptualising how teachers</w:t>
      </w:r>
      <w:r>
        <w:rPr>
          <w:spacing w:val="-1"/>
        </w:rPr>
        <w:t xml:space="preserve"> </w:t>
      </w:r>
      <w:r>
        <w:t>work.</w:t>
      </w:r>
    </w:p>
    <w:p w14:paraId="063282F5" w14:textId="77777777" w:rsidR="00BA1282" w:rsidRDefault="00031A58">
      <w:pPr>
        <w:pStyle w:val="ListParagraph"/>
        <w:numPr>
          <w:ilvl w:val="0"/>
          <w:numId w:val="1"/>
        </w:numPr>
        <w:tabs>
          <w:tab w:val="left" w:pos="860"/>
          <w:tab w:val="left" w:pos="861"/>
        </w:tabs>
        <w:spacing w:before="128" w:line="256" w:lineRule="auto"/>
        <w:ind w:right="325"/>
      </w:pPr>
      <w:r>
        <w:t>Based on the discussion, the Chair summarised priorities for this working group for 2020 as follows:</w:t>
      </w:r>
    </w:p>
    <w:p w14:paraId="5AD6A155" w14:textId="77777777" w:rsidR="00BA1282" w:rsidRDefault="00031A58">
      <w:pPr>
        <w:pStyle w:val="ListParagraph"/>
        <w:numPr>
          <w:ilvl w:val="1"/>
          <w:numId w:val="1"/>
        </w:numPr>
        <w:tabs>
          <w:tab w:val="left" w:pos="1580"/>
          <w:tab w:val="left" w:pos="1581"/>
        </w:tabs>
        <w:spacing w:before="123"/>
      </w:pPr>
      <w:r>
        <w:t xml:space="preserve">Recruitment – building on the increased esteem of the </w:t>
      </w:r>
      <w:r>
        <w:t>teaching</w:t>
      </w:r>
      <w:r>
        <w:rPr>
          <w:spacing w:val="-18"/>
        </w:rPr>
        <w:t xml:space="preserve"> </w:t>
      </w:r>
      <w:r>
        <w:t>profession</w:t>
      </w:r>
    </w:p>
    <w:p w14:paraId="76F819C9" w14:textId="77777777" w:rsidR="00BA1282" w:rsidRDefault="00031A58">
      <w:pPr>
        <w:pStyle w:val="ListParagraph"/>
        <w:numPr>
          <w:ilvl w:val="1"/>
          <w:numId w:val="1"/>
        </w:numPr>
        <w:tabs>
          <w:tab w:val="left" w:pos="1580"/>
          <w:tab w:val="left" w:pos="1581"/>
        </w:tabs>
        <w:spacing w:before="135" w:line="252" w:lineRule="auto"/>
        <w:ind w:left="1579" w:right="742" w:hanging="360"/>
      </w:pPr>
      <w:r>
        <w:t>Re-conceptualizing how teachers work - building on the improved relationship between teachers and parents and greater use of digital</w:t>
      </w:r>
      <w:r>
        <w:rPr>
          <w:spacing w:val="-12"/>
        </w:rPr>
        <w:t xml:space="preserve"> </w:t>
      </w:r>
      <w:r>
        <w:t>technology.</w:t>
      </w:r>
    </w:p>
    <w:p w14:paraId="2702210B" w14:textId="77777777" w:rsidR="00BA1282" w:rsidRDefault="00031A58">
      <w:pPr>
        <w:pStyle w:val="ListParagraph"/>
        <w:numPr>
          <w:ilvl w:val="0"/>
          <w:numId w:val="1"/>
        </w:numPr>
        <w:tabs>
          <w:tab w:val="left" w:pos="860"/>
          <w:tab w:val="left" w:pos="861"/>
        </w:tabs>
        <w:spacing w:before="128"/>
        <w:ind w:right="357"/>
      </w:pPr>
      <w:r>
        <w:t>The group also discussed the disruption to pre-service teacher (PST) practicum placements caused by COVID-19 an</w:t>
      </w:r>
      <w:r>
        <w:t>d how to resolve this important</w:t>
      </w:r>
      <w:r>
        <w:rPr>
          <w:spacing w:val="-9"/>
        </w:rPr>
        <w:t xml:space="preserve"> </w:t>
      </w:r>
      <w:r>
        <w:t>issue.</w:t>
      </w:r>
    </w:p>
    <w:p w14:paraId="17BA6190" w14:textId="77777777" w:rsidR="00BA1282" w:rsidRDefault="00BA1282">
      <w:pPr>
        <w:pStyle w:val="BodyText"/>
        <w:ind w:left="0" w:firstLine="0"/>
      </w:pPr>
    </w:p>
    <w:p w14:paraId="643D9E7D" w14:textId="77777777" w:rsidR="00BA1282" w:rsidRDefault="00BA1282">
      <w:pPr>
        <w:pStyle w:val="BodyText"/>
        <w:spacing w:before="2"/>
        <w:ind w:left="0" w:firstLine="0"/>
        <w:rPr>
          <w:sz w:val="27"/>
        </w:rPr>
      </w:pPr>
    </w:p>
    <w:p w14:paraId="2AF5FEB3" w14:textId="645F360D" w:rsidR="00BA1282" w:rsidRDefault="00031A58">
      <w:pPr>
        <w:spacing w:line="350" w:lineRule="auto"/>
        <w:ind w:left="140" w:right="5041"/>
        <w:rPr>
          <w:i/>
        </w:rPr>
      </w:pPr>
      <w:r>
        <w:rPr>
          <w:i/>
          <w:color w:val="C00000"/>
          <w:w w:val="95"/>
          <w:sz w:val="23"/>
        </w:rPr>
        <w:t xml:space="preserve">Guiding Coalition Secretariat contact details: </w:t>
      </w:r>
      <w:r>
        <w:rPr>
          <w:i/>
          <w:color w:val="C00000"/>
          <w:sz w:val="23"/>
        </w:rPr>
        <w:t>E:</w:t>
      </w:r>
      <w:hyperlink r:id="rId9" w:history="1">
        <w:r w:rsidR="00D915BF" w:rsidRPr="008908C3">
          <w:rPr>
            <w:rStyle w:val="Hyperlink"/>
            <w:i/>
            <w:sz w:val="23"/>
          </w:rPr>
          <w:t xml:space="preserve"> </w:t>
        </w:r>
        <w:r w:rsidR="00D915BF" w:rsidRPr="008908C3">
          <w:rPr>
            <w:rStyle w:val="Hyperlink"/>
            <w:i/>
          </w:rPr>
          <w:t xml:space="preserve">Guiding.Coalition@education.vic.gov.au </w:t>
        </w:r>
      </w:hyperlink>
    </w:p>
    <w:p w14:paraId="3A38D1F9" w14:textId="77777777" w:rsidR="00BA1282" w:rsidRDefault="00031A58">
      <w:pPr>
        <w:spacing w:line="279" w:lineRule="exact"/>
        <w:ind w:left="140"/>
        <w:rPr>
          <w:i/>
        </w:rPr>
      </w:pPr>
      <w:r>
        <w:rPr>
          <w:i/>
          <w:color w:val="C00000"/>
          <w:sz w:val="23"/>
        </w:rPr>
        <w:t xml:space="preserve">T: </w:t>
      </w:r>
      <w:r>
        <w:rPr>
          <w:i/>
        </w:rPr>
        <w:t xml:space="preserve">+61370221784 </w:t>
      </w:r>
      <w:bookmarkStart w:id="0" w:name="_GoBack"/>
      <w:bookmarkEnd w:id="0"/>
    </w:p>
    <w:sectPr w:rsidR="00BA1282">
      <w:pgSz w:w="11910" w:h="16840"/>
      <w:pgMar w:top="1360" w:right="1380" w:bottom="1240" w:left="1300" w:header="45"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3C887" w14:textId="77777777" w:rsidR="00031A58" w:rsidRDefault="00031A58">
      <w:r>
        <w:separator/>
      </w:r>
    </w:p>
  </w:endnote>
  <w:endnote w:type="continuationSeparator" w:id="0">
    <w:p w14:paraId="4D3F4C87" w14:textId="77777777" w:rsidR="00031A58" w:rsidRDefault="0003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89582" w14:textId="77777777" w:rsidR="00BA1282" w:rsidRDefault="00031A58">
    <w:pPr>
      <w:pStyle w:val="BodyText"/>
      <w:spacing w:line="14" w:lineRule="auto"/>
      <w:ind w:left="0" w:firstLine="0"/>
      <w:rPr>
        <w:sz w:val="20"/>
      </w:rPr>
    </w:pPr>
    <w:r>
      <w:rPr>
        <w:noProof/>
      </w:rPr>
      <w:drawing>
        <wp:anchor distT="0" distB="0" distL="0" distR="0" simplePos="0" relativeHeight="487545856" behindDoc="1" locked="0" layoutInCell="1" allowOverlap="1" wp14:anchorId="504D4CC1" wp14:editId="40865EA8">
          <wp:simplePos x="0" y="0"/>
          <wp:positionH relativeFrom="page">
            <wp:posOffset>5512595</wp:posOffset>
          </wp:positionH>
          <wp:positionV relativeFrom="page">
            <wp:posOffset>9901214</wp:posOffset>
          </wp:positionV>
          <wp:extent cx="1802545" cy="54361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802545" cy="54361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0E55C" w14:textId="77777777" w:rsidR="00031A58" w:rsidRDefault="00031A58">
      <w:r>
        <w:separator/>
      </w:r>
    </w:p>
  </w:footnote>
  <w:footnote w:type="continuationSeparator" w:id="0">
    <w:p w14:paraId="6C4E9788" w14:textId="77777777" w:rsidR="00031A58" w:rsidRDefault="0003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35E76" w14:textId="77777777" w:rsidR="00BA1282" w:rsidRDefault="00031A58">
    <w:pPr>
      <w:pStyle w:val="BodyText"/>
      <w:spacing w:line="14" w:lineRule="auto"/>
      <w:ind w:left="0" w:firstLine="0"/>
      <w:rPr>
        <w:sz w:val="20"/>
      </w:rPr>
    </w:pPr>
    <w:r>
      <w:rPr>
        <w:noProof/>
      </w:rPr>
      <w:drawing>
        <wp:anchor distT="0" distB="0" distL="0" distR="0" simplePos="0" relativeHeight="487545344" behindDoc="1" locked="0" layoutInCell="1" allowOverlap="1" wp14:anchorId="2AFA739D" wp14:editId="6532289F">
          <wp:simplePos x="0" y="0"/>
          <wp:positionH relativeFrom="page">
            <wp:posOffset>0</wp:posOffset>
          </wp:positionH>
          <wp:positionV relativeFrom="page">
            <wp:posOffset>28447</wp:posOffset>
          </wp:positionV>
          <wp:extent cx="7560564" cy="6922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60564" cy="6922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7FC"/>
    <w:multiLevelType w:val="hybridMultilevel"/>
    <w:tmpl w:val="0BE00ABE"/>
    <w:lvl w:ilvl="0" w:tplc="96407B2A">
      <w:numFmt w:val="bullet"/>
      <w:lvlText w:val=""/>
      <w:lvlJc w:val="left"/>
      <w:pPr>
        <w:ind w:left="860" w:hanging="361"/>
      </w:pPr>
      <w:rPr>
        <w:rFonts w:ascii="Symbol" w:eastAsia="Symbol" w:hAnsi="Symbol" w:cs="Symbol" w:hint="default"/>
        <w:w w:val="100"/>
        <w:sz w:val="22"/>
        <w:szCs w:val="22"/>
      </w:rPr>
    </w:lvl>
    <w:lvl w:ilvl="1" w:tplc="5FC8FFCC">
      <w:numFmt w:val="bullet"/>
      <w:lvlText w:val="o"/>
      <w:lvlJc w:val="left"/>
      <w:pPr>
        <w:ind w:left="1580" w:hanging="361"/>
      </w:pPr>
      <w:rPr>
        <w:rFonts w:ascii="Courier New" w:eastAsia="Courier New" w:hAnsi="Courier New" w:cs="Courier New" w:hint="default"/>
        <w:w w:val="100"/>
        <w:sz w:val="22"/>
        <w:szCs w:val="22"/>
      </w:rPr>
    </w:lvl>
    <w:lvl w:ilvl="2" w:tplc="D9BA69FA">
      <w:numFmt w:val="bullet"/>
      <w:lvlText w:val="•"/>
      <w:lvlJc w:val="left"/>
      <w:pPr>
        <w:ind w:left="2429" w:hanging="361"/>
      </w:pPr>
      <w:rPr>
        <w:rFonts w:hint="default"/>
      </w:rPr>
    </w:lvl>
    <w:lvl w:ilvl="3" w:tplc="1A688212">
      <w:numFmt w:val="bullet"/>
      <w:lvlText w:val="•"/>
      <w:lvlJc w:val="left"/>
      <w:pPr>
        <w:ind w:left="3279" w:hanging="361"/>
      </w:pPr>
      <w:rPr>
        <w:rFonts w:hint="default"/>
      </w:rPr>
    </w:lvl>
    <w:lvl w:ilvl="4" w:tplc="5F942A5E">
      <w:numFmt w:val="bullet"/>
      <w:lvlText w:val="•"/>
      <w:lvlJc w:val="left"/>
      <w:pPr>
        <w:ind w:left="4128" w:hanging="361"/>
      </w:pPr>
      <w:rPr>
        <w:rFonts w:hint="default"/>
      </w:rPr>
    </w:lvl>
    <w:lvl w:ilvl="5" w:tplc="BAD0379E">
      <w:numFmt w:val="bullet"/>
      <w:lvlText w:val="•"/>
      <w:lvlJc w:val="left"/>
      <w:pPr>
        <w:ind w:left="4978" w:hanging="361"/>
      </w:pPr>
      <w:rPr>
        <w:rFonts w:hint="default"/>
      </w:rPr>
    </w:lvl>
    <w:lvl w:ilvl="6" w:tplc="2BBE8AF4">
      <w:numFmt w:val="bullet"/>
      <w:lvlText w:val="•"/>
      <w:lvlJc w:val="left"/>
      <w:pPr>
        <w:ind w:left="5828" w:hanging="361"/>
      </w:pPr>
      <w:rPr>
        <w:rFonts w:hint="default"/>
      </w:rPr>
    </w:lvl>
    <w:lvl w:ilvl="7" w:tplc="3B80FBFE">
      <w:numFmt w:val="bullet"/>
      <w:lvlText w:val="•"/>
      <w:lvlJc w:val="left"/>
      <w:pPr>
        <w:ind w:left="6677" w:hanging="361"/>
      </w:pPr>
      <w:rPr>
        <w:rFonts w:hint="default"/>
      </w:rPr>
    </w:lvl>
    <w:lvl w:ilvl="8" w:tplc="FA88D0CE">
      <w:numFmt w:val="bullet"/>
      <w:lvlText w:val="•"/>
      <w:lvlJc w:val="left"/>
      <w:pPr>
        <w:ind w:left="7527"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A1282"/>
    <w:rsid w:val="00031A58"/>
    <w:rsid w:val="00BA1282"/>
    <w:rsid w:val="00D91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A9A6644"/>
  <w15:docId w15:val="{F2D072DB-7D94-4975-8DAA-13433E1E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140"/>
      <w:outlineLvl w:val="0"/>
    </w:pPr>
    <w:rPr>
      <w:sz w:val="28"/>
      <w:szCs w:val="28"/>
    </w:rPr>
  </w:style>
  <w:style w:type="paragraph" w:styleId="Heading2">
    <w:name w:val="heading 2"/>
    <w:basedOn w:val="Normal"/>
    <w:uiPriority w:val="9"/>
    <w:unhideWhenUsed/>
    <w:qFormat/>
    <w:pPr>
      <w:spacing w:before="120"/>
      <w:ind w:left="1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1"/>
    </w:pPr>
  </w:style>
  <w:style w:type="paragraph" w:styleId="ListParagraph">
    <w:name w:val="List Paragraph"/>
    <w:basedOn w:val="Normal"/>
    <w:uiPriority w:val="1"/>
    <w:qFormat/>
    <w:pPr>
      <w:spacing w:before="121"/>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915BF"/>
    <w:rPr>
      <w:color w:val="0000FF" w:themeColor="hyperlink"/>
      <w:u w:val="single"/>
    </w:rPr>
  </w:style>
  <w:style w:type="character" w:styleId="UnresolvedMention">
    <w:name w:val="Unresolved Mention"/>
    <w:basedOn w:val="DefaultParagraphFont"/>
    <w:uiPriority w:val="99"/>
    <w:semiHidden/>
    <w:unhideWhenUsed/>
    <w:rsid w:val="00D91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Guiding.Coalition@education.vic.gov.au%20" TargetMode="Externa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Guiding Coalition - term 2 communique </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F9410E21-3BC7-4F97-AFF4-B0DE95C89378}"/>
</file>

<file path=customXml/itemProps2.xml><?xml version="1.0" encoding="utf-8"?>
<ds:datastoreItem xmlns:ds="http://schemas.openxmlformats.org/officeDocument/2006/customXml" ds:itemID="{C3C6C203-5A2D-41C6-9904-4229D39728D3}"/>
</file>

<file path=customXml/itemProps3.xml><?xml version="1.0" encoding="utf-8"?>
<ds:datastoreItem xmlns:ds="http://schemas.openxmlformats.org/officeDocument/2006/customXml" ds:itemID="{59FCE273-D11D-4F4B-8551-7CFF6709B88C}"/>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Coalition - term 2 communique </dc:title>
  <dc:creator>Rogers, Aisling A</dc:creator>
  <cp:lastModifiedBy>Rogers, Aisling A</cp:lastModifiedBy>
  <cp:revision>2</cp:revision>
  <dcterms:created xsi:type="dcterms:W3CDTF">2020-10-29T08:12:00Z</dcterms:created>
  <dcterms:modified xsi:type="dcterms:W3CDTF">2020-10-29T08:14:00Z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Acrobat PDFMaker 20 for Word</vt:lpwstr>
  </property>
  <property fmtid="{D5CDD505-2E9C-101B-9397-08002B2CF9AE}" pid="4" name="LastSaved">
    <vt:filetime>2020-10-29T00:00:00Z</vt:filetime>
  </property>
  <property fmtid="{D5CDD505-2E9C-101B-9397-08002B2CF9AE}" pid="5" name="ContentTypeId">
    <vt:lpwstr>0x0101008840106FE30D4F50BC61A726A7CA6E3800A01D47DD30CBB54F95863B7DC80A2CEC</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y fmtid="{D5CDD505-2E9C-101B-9397-08002B2CF9AE}" pid="8" name="DEECD_SubjectCategory">
    <vt:lpwstr/>
  </property>
  <property fmtid="{D5CDD505-2E9C-101B-9397-08002B2CF9AE}" pid="9" name="DEECD_Audience">
    <vt:lpwstr/>
  </property>
</Properties>
</file>