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D7FD" w14:textId="586953A0" w:rsidR="00E449B1" w:rsidRDefault="002E6267" w:rsidP="001A2F53">
      <w:pPr>
        <w:pStyle w:val="BodyPRO"/>
      </w:pPr>
      <w:r w:rsidRPr="002E6267">
        <w:rPr>
          <w:noProof/>
          <w:lang w:val="en-AU" w:eastAsia="en-AU"/>
        </w:rPr>
        <w:drawing>
          <wp:anchor distT="0" distB="0" distL="114300" distR="114300" simplePos="0" relativeHeight="251658242" behindDoc="1" locked="0" layoutInCell="1" allowOverlap="1" wp14:anchorId="200A0E4D" wp14:editId="589784D2">
            <wp:simplePos x="0" y="0"/>
            <wp:positionH relativeFrom="column">
              <wp:posOffset>-876300</wp:posOffset>
            </wp:positionH>
            <wp:positionV relativeFrom="paragraph">
              <wp:posOffset>-276225</wp:posOffset>
            </wp:positionV>
            <wp:extent cx="2596551" cy="5686956"/>
            <wp:effectExtent l="0" t="0" r="0" b="9525"/>
            <wp:wrapNone/>
            <wp:docPr id="17" name="Picture 8" descr="x-ray of a light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2" cstate="screen">
                      <a:extLst>
                        <a:ext uri="{28A0092B-C50C-407E-A947-70E740481C1C}">
                          <a14:useLocalDpi xmlns:a14="http://schemas.microsoft.com/office/drawing/2010/main" val="0"/>
                        </a:ext>
                      </a:extLst>
                    </a:blip>
                    <a:srcRect/>
                    <a:stretch/>
                  </pic:blipFill>
                  <pic:spPr>
                    <a:xfrm>
                      <a:off x="0" y="0"/>
                      <a:ext cx="2596551" cy="5686956"/>
                    </a:xfrm>
                    <a:prstGeom prst="rect">
                      <a:avLst/>
                    </a:prstGeom>
                  </pic:spPr>
                </pic:pic>
              </a:graphicData>
            </a:graphic>
            <wp14:sizeRelH relativeFrom="page">
              <wp14:pctWidth>0</wp14:pctWidth>
            </wp14:sizeRelH>
            <wp14:sizeRelV relativeFrom="page">
              <wp14:pctHeight>0</wp14:pctHeight>
            </wp14:sizeRelV>
          </wp:anchor>
        </w:drawing>
      </w:r>
    </w:p>
    <w:p w14:paraId="16117AD4" w14:textId="2E1E0065" w:rsidR="0087151E" w:rsidRDefault="0087151E" w:rsidP="001A2F53">
      <w:pPr>
        <w:pStyle w:val="BodyPRO"/>
        <w:sectPr w:rsidR="0087151E" w:rsidSect="002E6267">
          <w:headerReference w:type="default" r:id="rId13"/>
          <w:footerReference w:type="default" r:id="rId14"/>
          <w:headerReference w:type="first" r:id="rId15"/>
          <w:footerReference w:type="first" r:id="rId16"/>
          <w:type w:val="continuous"/>
          <w:pgSz w:w="11907" w:h="16839" w:code="9"/>
          <w:pgMar w:top="1440" w:right="1440" w:bottom="1440" w:left="1440" w:header="432" w:footer="432" w:gutter="0"/>
          <w:cols w:space="720"/>
          <w:docGrid w:linePitch="360"/>
        </w:sectPr>
      </w:pPr>
    </w:p>
    <w:p w14:paraId="37A1E47E" w14:textId="77777777" w:rsidR="00683D44" w:rsidRDefault="00683D44" w:rsidP="001A2F53">
      <w:pPr>
        <w:pStyle w:val="BodyPRO"/>
      </w:pPr>
    </w:p>
    <w:p w14:paraId="58C78891" w14:textId="77777777" w:rsidR="00E449B1" w:rsidRDefault="00E449B1" w:rsidP="001A2F53">
      <w:pPr>
        <w:pStyle w:val="BodyPRO"/>
      </w:pPr>
    </w:p>
    <w:p w14:paraId="79CF17DC" w14:textId="77777777" w:rsidR="00683D44" w:rsidRDefault="00683D44" w:rsidP="001A2F53">
      <w:pPr>
        <w:pStyle w:val="BodyPRO"/>
      </w:pPr>
    </w:p>
    <w:p w14:paraId="18D3566C" w14:textId="77777777" w:rsidR="00E449B1" w:rsidRDefault="00E449B1" w:rsidP="001A2F53">
      <w:pPr>
        <w:pStyle w:val="BodyPRO"/>
      </w:pPr>
    </w:p>
    <w:p w14:paraId="7EA73EAE" w14:textId="77777777" w:rsidR="00E449B1" w:rsidRDefault="00E449B1" w:rsidP="001A2F53">
      <w:pPr>
        <w:pStyle w:val="BodyPRO"/>
      </w:pPr>
    </w:p>
    <w:p w14:paraId="711C840E" w14:textId="688396CD" w:rsidR="00E449B1" w:rsidRDefault="00E449B1" w:rsidP="001A2F53">
      <w:pPr>
        <w:pStyle w:val="BodyPRO"/>
      </w:pPr>
      <w:r>
        <w:rPr>
          <w:noProof/>
          <w:lang w:val="en-AU" w:eastAsia="en-AU"/>
        </w:rPr>
        <mc:AlternateContent>
          <mc:Choice Requires="wpg">
            <w:drawing>
              <wp:anchor distT="0" distB="0" distL="114300" distR="114300" simplePos="0" relativeHeight="251658240" behindDoc="1" locked="1" layoutInCell="1" allowOverlap="1" wp14:anchorId="195346B3" wp14:editId="193A9D11">
                <wp:simplePos x="0" y="0"/>
                <wp:positionH relativeFrom="page">
                  <wp:posOffset>2543175</wp:posOffset>
                </wp:positionH>
                <wp:positionV relativeFrom="page">
                  <wp:posOffset>1343025</wp:posOffset>
                </wp:positionV>
                <wp:extent cx="5010150" cy="3657600"/>
                <wp:effectExtent l="0" t="0" r="0" b="0"/>
                <wp:wrapTopAndBottom/>
                <wp:docPr id="69" name="Group 69" descr="gradient filled rectangle"/>
                <wp:cNvGraphicFramePr/>
                <a:graphic xmlns:a="http://schemas.openxmlformats.org/drawingml/2006/main">
                  <a:graphicData uri="http://schemas.microsoft.com/office/word/2010/wordprocessingGroup">
                    <wpg:wgp>
                      <wpg:cNvGrpSpPr/>
                      <wpg:grpSpPr>
                        <a:xfrm>
                          <a:off x="0" y="0"/>
                          <a:ext cx="5010150" cy="3657600"/>
                          <a:chOff x="1048787" y="0"/>
                          <a:chExt cx="6030524" cy="3657600"/>
                        </a:xfrm>
                      </wpg:grpSpPr>
                      <wps:wsp>
                        <wps:cNvPr id="68" name="Rectangle 68" descr="gradient filled object" title="gradient filled object"/>
                        <wps:cNvSpPr/>
                        <wps:spPr>
                          <a:xfrm>
                            <a:off x="1048787" y="0"/>
                            <a:ext cx="6030524" cy="3657600"/>
                          </a:xfrm>
                          <a:prstGeom prst="rect">
                            <a:avLst/>
                          </a:prstGeom>
                          <a:gradFill flip="none" rotWithShape="0">
                            <a:gsLst>
                              <a:gs pos="50000">
                                <a:srgbClr val="3897B2"/>
                              </a:gs>
                              <a:gs pos="0">
                                <a:srgbClr val="00BDD2">
                                  <a:lumMod val="100000"/>
                                </a:srgbClr>
                              </a:gs>
                              <a:gs pos="100000">
                                <a:srgbClr val="35678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empty table"/>
                              </w:tblPr>
                              <w:tblGrid>
                                <w:gridCol w:w="9000"/>
                              </w:tblGrid>
                              <w:tr w:rsidR="00297FAD" w14:paraId="34FBA4B4" w14:textId="77777777" w:rsidTr="00901194">
                                <w:trPr>
                                  <w:cnfStyle w:val="100000000000" w:firstRow="1" w:lastRow="0" w:firstColumn="0" w:lastColumn="0" w:oddVBand="0" w:evenVBand="0" w:oddHBand="0" w:evenHBand="0" w:firstRowFirstColumn="0" w:firstRowLastColumn="0" w:lastRowFirstColumn="0" w:lastRowLastColumn="0"/>
                                  <w:cantSplit/>
                                  <w:trHeight w:hRule="exact" w:val="2880"/>
                                  <w:tblHeader/>
                                </w:trPr>
                                <w:tc>
                                  <w:tcPr>
                                    <w:tcW w:w="5000" w:type="pct"/>
                                    <w:vAlign w:val="bottom"/>
                                  </w:tcPr>
                                  <w:p w14:paraId="60795A3D" w14:textId="6370D75A" w:rsidR="00297FAD" w:rsidRPr="00752F65" w:rsidRDefault="00297FAD" w:rsidP="00752F65">
                                    <w:pPr>
                                      <w:pStyle w:val="Title"/>
                                      <w:rPr>
                                        <w:b/>
                                      </w:rPr>
                                    </w:pPr>
                                    <w:bookmarkStart w:id="0" w:name="_GoBack" w:colFirst="0" w:colLast="1"/>
                                    <w:r>
                                      <w:rPr>
                                        <w:b/>
                                      </w:rPr>
                                      <w:t xml:space="preserve">Department of Education </w:t>
                                    </w:r>
                                    <w:r>
                                      <w:rPr>
                                        <w:b/>
                                      </w:rPr>
                                      <w:br/>
                                      <w:t>and Training</w:t>
                                    </w:r>
                                  </w:p>
                                  <w:p w14:paraId="2A87C0C9" w14:textId="5B513EBC" w:rsidR="00297FAD" w:rsidRPr="00D52EEE" w:rsidRDefault="00297FAD" w:rsidP="007869BF">
                                    <w:pPr>
                                      <w:pStyle w:val="Subtitle"/>
                                    </w:pPr>
                                    <w:r w:rsidRPr="002E6267">
                                      <w:rPr>
                                        <w:b/>
                                      </w:rPr>
                                      <w:t xml:space="preserve">Review of the Operation of Part 2.7 of the </w:t>
                                    </w:r>
                                    <w:r>
                                      <w:rPr>
                                        <w:b/>
                                      </w:rPr>
                                      <w:br/>
                                    </w:r>
                                    <w:r w:rsidRPr="002E6267">
                                      <w:rPr>
                                        <w:b/>
                                        <w:i/>
                                        <w:iCs/>
                                      </w:rPr>
                                      <w:t>Education and Training Reform Act 2006</w:t>
                                    </w:r>
                                    <w:r>
                                      <w:rPr>
                                        <w:b/>
                                        <w:i/>
                                        <w:iCs/>
                                      </w:rPr>
                                      <w:t xml:space="preserve"> </w:t>
                                    </w:r>
                                    <w:r>
                                      <w:rPr>
                                        <w:b/>
                                        <w:i/>
                                        <w:iCs/>
                                      </w:rPr>
                                      <w:br/>
                                    </w:r>
                                  </w:p>
                                </w:tc>
                              </w:tr>
                              <w:tr w:rsidR="00297FAD" w14:paraId="1F19D906" w14:textId="77777777" w:rsidTr="00194EB1">
                                <w:trPr>
                                  <w:cantSplit/>
                                  <w:trHeight w:hRule="exact" w:val="2736"/>
                                </w:trPr>
                                <w:tc>
                                  <w:tcPr>
                                    <w:tcW w:w="5000" w:type="pct"/>
                                  </w:tcPr>
                                  <w:p w14:paraId="34EA6462" w14:textId="17C97DA3" w:rsidR="00297FAD" w:rsidRPr="00D52EEE" w:rsidRDefault="007869BF" w:rsidP="009351C9">
                                    <w:pPr>
                                      <w:pStyle w:val="Subtitle"/>
                                      <w:rPr>
                                        <w:b w:val="0"/>
                                      </w:rPr>
                                    </w:pPr>
                                    <w:r>
                                      <w:rPr>
                                        <w:b w:val="0"/>
                                      </w:rPr>
                                      <w:t>22 October</w:t>
                                    </w:r>
                                    <w:r w:rsidR="00297FAD">
                                      <w:rPr>
                                        <w:b w:val="0"/>
                                      </w:rPr>
                                      <w:t xml:space="preserve"> 2018</w:t>
                                    </w:r>
                                  </w:p>
                                </w:tc>
                              </w:tr>
                              <w:bookmarkEnd w:id="0"/>
                            </w:tbl>
                            <w:p w14:paraId="3DA7715A" w14:textId="77777777" w:rsidR="00297FAD" w:rsidRDefault="00297FAD" w:rsidP="00E449B1"/>
                          </w:txbxContent>
                        </wps:txbx>
                        <wps:bodyPr lIns="685800" tIns="0" rIns="0" bIns="0" rtlCol="0" anchor="t"/>
                      </wps:wsp>
                      <wps:wsp>
                        <wps:cNvPr id="8" name="Rectangle 8"/>
                        <wps:cNvSpPr/>
                        <wps:spPr>
                          <a:xfrm>
                            <a:off x="1058150" y="0"/>
                            <a:ext cx="6021161" cy="104775"/>
                          </a:xfrm>
                          <a:prstGeom prst="rect">
                            <a:avLst/>
                          </a:prstGeom>
                          <a:gradFill flip="none" rotWithShape="0">
                            <a:gsLst>
                              <a:gs pos="0">
                                <a:srgbClr val="00AABD"/>
                              </a:gs>
                              <a:gs pos="100000">
                                <a:srgbClr val="00355B"/>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w14:anchorId="195346B3" id="Group 69" o:spid="_x0000_s1026" alt="gradient filled rectangle" style="position:absolute;margin-left:200.25pt;margin-top:105.75pt;width:394.5pt;height:4in;z-index:-251658240;mso-position-horizontal-relative:page;mso-position-vertical-relative:page;mso-width-relative:margin" coordorigin="10487" coordsize="60305,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">
                <v:rect id="Rectangle 68" o:spid="_x0000_s1027" alt="gradient filled object" style="position:absolute;left:10487;width:60306;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" fillcolor="#00bdd2" stroked="f" strokeweight="1pt">
                  <v:fill color2="#356783" angle="90" colors="0 #00bdd2;.5 #3897b2;1 #356783" focus="100%" type="gradient"/>
                  <v:textbox inset="54pt,0,0,0">
                    <w:txbxContent>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empty table"/>
                        </w:tblPr>
                        <w:tblGrid>
                          <w:gridCol w:w="9000"/>
                        </w:tblGrid>
                        <w:tr w:rsidR="00297FAD" w14:paraId="34FBA4B4" w14:textId="77777777" w:rsidTr="00901194">
                          <w:trPr>
                            <w:cnfStyle w:val="100000000000" w:firstRow="1" w:lastRow="0" w:firstColumn="0" w:lastColumn="0" w:oddVBand="0" w:evenVBand="0" w:oddHBand="0" w:evenHBand="0" w:firstRowFirstColumn="0" w:firstRowLastColumn="0" w:lastRowFirstColumn="0" w:lastRowLastColumn="0"/>
                            <w:cantSplit/>
                            <w:trHeight w:hRule="exact" w:val="2880"/>
                            <w:tblHeader/>
                          </w:trPr>
                          <w:tc>
                            <w:tcPr>
                              <w:tcW w:w="5000" w:type="pct"/>
                              <w:vAlign w:val="bottom"/>
                            </w:tcPr>
                            <w:p w14:paraId="60795A3D" w14:textId="6370D75A" w:rsidR="00297FAD" w:rsidRPr="00752F65" w:rsidRDefault="00297FAD" w:rsidP="00752F65">
                              <w:pPr>
                                <w:pStyle w:val="Title"/>
                                <w:rPr>
                                  <w:b/>
                                </w:rPr>
                              </w:pPr>
                              <w:bookmarkStart w:id="1" w:name="_GoBack" w:colFirst="0" w:colLast="1"/>
                              <w:r>
                                <w:rPr>
                                  <w:b/>
                                </w:rPr>
                                <w:t xml:space="preserve">Department of Education </w:t>
                              </w:r>
                              <w:r>
                                <w:rPr>
                                  <w:b/>
                                </w:rPr>
                                <w:br/>
                                <w:t>and Training</w:t>
                              </w:r>
                            </w:p>
                            <w:p w14:paraId="2A87C0C9" w14:textId="5B513EBC" w:rsidR="00297FAD" w:rsidRPr="00D52EEE" w:rsidRDefault="00297FAD" w:rsidP="007869BF">
                              <w:pPr>
                                <w:pStyle w:val="Subtitle"/>
                              </w:pPr>
                              <w:r w:rsidRPr="002E6267">
                                <w:rPr>
                                  <w:b/>
                                </w:rPr>
                                <w:t xml:space="preserve">Review of the Operation of Part 2.7 of the </w:t>
                              </w:r>
                              <w:r>
                                <w:rPr>
                                  <w:b/>
                                </w:rPr>
                                <w:br/>
                              </w:r>
                              <w:r w:rsidRPr="002E6267">
                                <w:rPr>
                                  <w:b/>
                                  <w:i/>
                                  <w:iCs/>
                                </w:rPr>
                                <w:t>Education and Training Reform Act 2006</w:t>
                              </w:r>
                              <w:r>
                                <w:rPr>
                                  <w:b/>
                                  <w:i/>
                                  <w:iCs/>
                                </w:rPr>
                                <w:t xml:space="preserve"> </w:t>
                              </w:r>
                              <w:r>
                                <w:rPr>
                                  <w:b/>
                                  <w:i/>
                                  <w:iCs/>
                                </w:rPr>
                                <w:br/>
                              </w:r>
                            </w:p>
                          </w:tc>
                        </w:tr>
                        <w:tr w:rsidR="00297FAD" w14:paraId="1F19D906" w14:textId="77777777" w:rsidTr="00194EB1">
                          <w:trPr>
                            <w:cantSplit/>
                            <w:trHeight w:hRule="exact" w:val="2736"/>
                          </w:trPr>
                          <w:tc>
                            <w:tcPr>
                              <w:tcW w:w="5000" w:type="pct"/>
                            </w:tcPr>
                            <w:p w14:paraId="34EA6462" w14:textId="17C97DA3" w:rsidR="00297FAD" w:rsidRPr="00D52EEE" w:rsidRDefault="007869BF" w:rsidP="009351C9">
                              <w:pPr>
                                <w:pStyle w:val="Subtitle"/>
                                <w:rPr>
                                  <w:b w:val="0"/>
                                </w:rPr>
                              </w:pPr>
                              <w:r>
                                <w:rPr>
                                  <w:b w:val="0"/>
                                </w:rPr>
                                <w:t>22 October</w:t>
                              </w:r>
                              <w:r w:rsidR="00297FAD">
                                <w:rPr>
                                  <w:b w:val="0"/>
                                </w:rPr>
                                <w:t xml:space="preserve"> 2018</w:t>
                              </w:r>
                            </w:p>
                          </w:tc>
                        </w:tr>
                        <w:bookmarkEnd w:id="1"/>
                      </w:tbl>
                      <w:p w14:paraId="3DA7715A" w14:textId="77777777" w:rsidR="00297FAD" w:rsidRDefault="00297FAD" w:rsidP="00E449B1"/>
                    </w:txbxContent>
                  </v:textbox>
                </v:rect>
                <v:rect id="Rectangle 8" o:spid="_x0000_s1028" style="position:absolute;left:10581;width:60212;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" fillcolor="#00aabd" stroked="f" strokeweight="1pt">
                  <v:fill color2="#00355b" angle="90" focus="100%" type="gradient"/>
                </v:rect>
                <w10:wrap type="topAndBottom" anchorx="page" anchory="page"/>
                <w10:anchorlock/>
              </v:group>
            </w:pict>
          </mc:Fallback>
        </mc:AlternateContent>
      </w:r>
    </w:p>
    <w:p w14:paraId="5BB4700C" w14:textId="4009F0D8" w:rsidR="00E449B1" w:rsidRDefault="00E449B1" w:rsidP="001A2F53">
      <w:pPr>
        <w:pStyle w:val="BodyPRO"/>
      </w:pPr>
    </w:p>
    <w:p w14:paraId="7B02798C" w14:textId="77777777" w:rsidR="002E6267" w:rsidRDefault="002E6267" w:rsidP="00625E5E">
      <w:pPr>
        <w:pStyle w:val="BodyPRO"/>
        <w:ind w:left="1098"/>
      </w:pPr>
    </w:p>
    <w:p w14:paraId="28FDF89B" w14:textId="77777777" w:rsidR="002E6267" w:rsidRDefault="002E6267" w:rsidP="00625E5E">
      <w:pPr>
        <w:pStyle w:val="BodyPRO"/>
        <w:ind w:left="1098"/>
      </w:pPr>
    </w:p>
    <w:p w14:paraId="323718D1" w14:textId="77777777" w:rsidR="002E6267" w:rsidRDefault="002E6267" w:rsidP="00625E5E">
      <w:pPr>
        <w:pStyle w:val="BodyPRO"/>
        <w:ind w:left="1098"/>
      </w:pPr>
    </w:p>
    <w:p w14:paraId="06BFE0D9" w14:textId="77777777" w:rsidR="002E6267" w:rsidRDefault="002E6267" w:rsidP="00625E5E">
      <w:pPr>
        <w:pStyle w:val="BodyPRO"/>
        <w:ind w:left="1098"/>
      </w:pPr>
    </w:p>
    <w:p w14:paraId="0A218CEC" w14:textId="77777777" w:rsidR="002E6267" w:rsidRDefault="002E6267" w:rsidP="00625E5E">
      <w:pPr>
        <w:pStyle w:val="BodyPRO"/>
        <w:ind w:left="1098"/>
      </w:pPr>
    </w:p>
    <w:p w14:paraId="4427F407" w14:textId="77777777" w:rsidR="002E6267" w:rsidRDefault="002E6267" w:rsidP="00625E5E">
      <w:pPr>
        <w:pStyle w:val="BodyPRO"/>
        <w:ind w:left="1098"/>
      </w:pPr>
    </w:p>
    <w:p w14:paraId="343B5AD8" w14:textId="77777777" w:rsidR="00625E5E" w:rsidRPr="002D7301" w:rsidRDefault="00625E5E" w:rsidP="00625E5E">
      <w:pPr>
        <w:pStyle w:val="BodyPRO"/>
        <w:ind w:left="1098"/>
      </w:pPr>
      <w:r w:rsidRPr="002D7301">
        <w:t xml:space="preserve">For additional inquiries, please contact: </w:t>
      </w:r>
      <w:r w:rsidRPr="002D7301">
        <w:softHyphen/>
      </w:r>
      <w:r w:rsidRPr="002D7301">
        <w:softHyphen/>
      </w:r>
    </w:p>
    <w:p w14:paraId="6418EC2E" w14:textId="0FA04E53" w:rsidR="00625E5E" w:rsidRPr="002D7301" w:rsidRDefault="002E6267" w:rsidP="00625E5E">
      <w:pPr>
        <w:pStyle w:val="BodyPRO"/>
        <w:ind w:left="1098"/>
      </w:pPr>
      <w:r>
        <w:t>Mark Harrison</w:t>
      </w:r>
    </w:p>
    <w:p w14:paraId="2B298724" w14:textId="49E36094" w:rsidR="00625E5E" w:rsidRPr="002D7301" w:rsidRDefault="002E6267" w:rsidP="00625E5E">
      <w:pPr>
        <w:pStyle w:val="BodyPRO"/>
        <w:ind w:left="1098"/>
      </w:pPr>
      <w:r>
        <w:t xml:space="preserve">Managing Director, </w:t>
      </w:r>
      <w:proofErr w:type="spellStart"/>
      <w:r>
        <w:t>Protiviti</w:t>
      </w:r>
      <w:proofErr w:type="spellEnd"/>
      <w:r w:rsidRPr="002E6267">
        <w:t xml:space="preserve"> </w:t>
      </w:r>
    </w:p>
    <w:p w14:paraId="73322F2A" w14:textId="298D8B28" w:rsidR="00625E5E" w:rsidRPr="002D7301" w:rsidRDefault="002E6267" w:rsidP="00625E5E">
      <w:pPr>
        <w:pStyle w:val="BodyPRO"/>
        <w:ind w:left="1098"/>
      </w:pPr>
      <w:r>
        <w:t>Level 12, 14 Moore Street, Canberra, ACT, 2600</w:t>
      </w:r>
      <w:r w:rsidR="00F22E1C">
        <w:tab/>
      </w:r>
    </w:p>
    <w:p w14:paraId="67485C36" w14:textId="104EFA00" w:rsidR="00625E5E" w:rsidRPr="002D7301" w:rsidRDefault="002E6267" w:rsidP="00625E5E">
      <w:pPr>
        <w:pStyle w:val="BodyPRO"/>
        <w:ind w:left="1098"/>
      </w:pPr>
      <w:r>
        <w:t xml:space="preserve">Phone: </w:t>
      </w:r>
      <w:r>
        <w:tab/>
        <w:t>(0408) 661 325</w:t>
      </w:r>
    </w:p>
    <w:p w14:paraId="37304CAD" w14:textId="79957E49" w:rsidR="00625E5E" w:rsidRPr="002D7301" w:rsidRDefault="00625E5E" w:rsidP="00625E5E">
      <w:pPr>
        <w:pStyle w:val="BodyPRO"/>
        <w:ind w:left="1098"/>
      </w:pPr>
      <w:r w:rsidRPr="002D7301">
        <w:t>Email:</w:t>
      </w:r>
      <w:r w:rsidRPr="002D7301">
        <w:tab/>
      </w:r>
      <w:r w:rsidR="002E6267">
        <w:t>mark.harrison</w:t>
      </w:r>
      <w:r w:rsidRPr="002D7301">
        <w:t>@protiviti.com</w:t>
      </w:r>
      <w:r w:rsidR="002E6267">
        <w:t>.au</w:t>
      </w:r>
    </w:p>
    <w:p w14:paraId="52FA47B6" w14:textId="77777777" w:rsidR="00CC2769" w:rsidRDefault="00CC2769">
      <w:pPr>
        <w:spacing w:before="0" w:after="160" w:line="259" w:lineRule="auto"/>
        <w:contextualSpacing w:val="0"/>
      </w:pPr>
      <w:r>
        <w:br w:type="page"/>
      </w:r>
    </w:p>
    <w:p w14:paraId="11DD577C" w14:textId="77777777" w:rsidR="00811ACF" w:rsidRPr="00BF3EDE" w:rsidRDefault="00552130" w:rsidP="0015476C">
      <w:pPr>
        <w:pStyle w:val="Heading1Pro"/>
      </w:pPr>
      <w:bookmarkStart w:id="2" w:name="_Toc485122380"/>
      <w:bookmarkStart w:id="3" w:name="_Toc525244599"/>
      <w:r w:rsidRPr="00BF3EDE">
        <w:lastRenderedPageBreak/>
        <w:t>Table of Content</w:t>
      </w:r>
      <w:r w:rsidR="00675CF1" w:rsidRPr="00BF3EDE">
        <w:t>s</w:t>
      </w:r>
      <w:bookmarkEnd w:id="2"/>
      <w:bookmarkEnd w:id="3"/>
    </w:p>
    <w:p w14:paraId="06E9935C" w14:textId="485C596C" w:rsidR="00777F00" w:rsidRDefault="005756C6">
      <w:pPr>
        <w:pStyle w:val="TOC1"/>
        <w:rPr>
          <w:rFonts w:asciiTheme="minorHAnsi" w:eastAsiaTheme="minorEastAsia" w:hAnsiTheme="minorHAnsi"/>
          <w:noProof/>
          <w:color w:val="auto"/>
          <w:lang w:val="en-AU" w:eastAsia="en-AU"/>
        </w:rPr>
      </w:pPr>
      <w:r>
        <w:fldChar w:fldCharType="begin"/>
      </w:r>
      <w:r>
        <w:instrText xml:space="preserve"> TOC \h \z \t "_Heading1_Pro,1,_Heading2_Pro,2" </w:instrText>
      </w:r>
      <w:r>
        <w:fldChar w:fldCharType="separate"/>
      </w:r>
      <w:hyperlink w:anchor="_Toc525244599" w:history="1">
        <w:r w:rsidR="00777F00" w:rsidRPr="00250492">
          <w:rPr>
            <w:rStyle w:val="Hyperlink"/>
            <w:noProof/>
          </w:rPr>
          <w:t>Table of Contents</w:t>
        </w:r>
        <w:r w:rsidR="00777F00">
          <w:rPr>
            <w:noProof/>
            <w:webHidden/>
          </w:rPr>
          <w:tab/>
        </w:r>
        <w:r w:rsidR="00777F00">
          <w:rPr>
            <w:noProof/>
            <w:webHidden/>
          </w:rPr>
          <w:fldChar w:fldCharType="begin"/>
        </w:r>
        <w:r w:rsidR="00777F00">
          <w:rPr>
            <w:noProof/>
            <w:webHidden/>
          </w:rPr>
          <w:instrText xml:space="preserve"> PAGEREF _Toc525244599 \h </w:instrText>
        </w:r>
        <w:r w:rsidR="00777F00">
          <w:rPr>
            <w:noProof/>
            <w:webHidden/>
          </w:rPr>
        </w:r>
        <w:r w:rsidR="00777F00">
          <w:rPr>
            <w:noProof/>
            <w:webHidden/>
          </w:rPr>
          <w:fldChar w:fldCharType="separate"/>
        </w:r>
        <w:r w:rsidR="00096E6F">
          <w:rPr>
            <w:noProof/>
            <w:webHidden/>
          </w:rPr>
          <w:t>2</w:t>
        </w:r>
        <w:r w:rsidR="00777F00">
          <w:rPr>
            <w:noProof/>
            <w:webHidden/>
          </w:rPr>
          <w:fldChar w:fldCharType="end"/>
        </w:r>
      </w:hyperlink>
    </w:p>
    <w:p w14:paraId="49C6ECBD" w14:textId="71B07D65" w:rsidR="00777F00" w:rsidRDefault="00C02A89">
      <w:pPr>
        <w:pStyle w:val="TOC1"/>
        <w:rPr>
          <w:rFonts w:asciiTheme="minorHAnsi" w:eastAsiaTheme="minorEastAsia" w:hAnsiTheme="minorHAnsi"/>
          <w:noProof/>
          <w:color w:val="auto"/>
          <w:lang w:val="en-AU" w:eastAsia="en-AU"/>
        </w:rPr>
      </w:pPr>
      <w:hyperlink w:anchor="_Toc525244600" w:history="1">
        <w:r w:rsidR="00777F00" w:rsidRPr="00250492">
          <w:rPr>
            <w:rStyle w:val="Hyperlink"/>
            <w:noProof/>
          </w:rPr>
          <w:t>Executive Summary</w:t>
        </w:r>
        <w:r w:rsidR="00777F00">
          <w:rPr>
            <w:noProof/>
            <w:webHidden/>
          </w:rPr>
          <w:tab/>
        </w:r>
        <w:r w:rsidR="00777F00">
          <w:rPr>
            <w:noProof/>
            <w:webHidden/>
          </w:rPr>
          <w:fldChar w:fldCharType="begin"/>
        </w:r>
        <w:r w:rsidR="00777F00">
          <w:rPr>
            <w:noProof/>
            <w:webHidden/>
          </w:rPr>
          <w:instrText xml:space="preserve"> PAGEREF _Toc525244600 \h </w:instrText>
        </w:r>
        <w:r w:rsidR="00777F00">
          <w:rPr>
            <w:noProof/>
            <w:webHidden/>
          </w:rPr>
        </w:r>
        <w:r w:rsidR="00777F00">
          <w:rPr>
            <w:noProof/>
            <w:webHidden/>
          </w:rPr>
          <w:fldChar w:fldCharType="separate"/>
        </w:r>
        <w:r w:rsidR="00096E6F">
          <w:rPr>
            <w:noProof/>
            <w:webHidden/>
          </w:rPr>
          <w:t>3</w:t>
        </w:r>
        <w:r w:rsidR="00777F00">
          <w:rPr>
            <w:noProof/>
            <w:webHidden/>
          </w:rPr>
          <w:fldChar w:fldCharType="end"/>
        </w:r>
      </w:hyperlink>
    </w:p>
    <w:p w14:paraId="550B762D" w14:textId="717762BB" w:rsidR="00777F00" w:rsidRDefault="00C02A89">
      <w:pPr>
        <w:pStyle w:val="TOC1"/>
        <w:rPr>
          <w:rFonts w:asciiTheme="minorHAnsi" w:eastAsiaTheme="minorEastAsia" w:hAnsiTheme="minorHAnsi"/>
          <w:noProof/>
          <w:color w:val="auto"/>
          <w:lang w:val="en-AU" w:eastAsia="en-AU"/>
        </w:rPr>
      </w:pPr>
      <w:hyperlink w:anchor="_Toc525244606" w:history="1">
        <w:r w:rsidR="00777F00" w:rsidRPr="00250492">
          <w:rPr>
            <w:rStyle w:val="Hyperlink"/>
            <w:noProof/>
          </w:rPr>
          <w:t>Background</w:t>
        </w:r>
        <w:r w:rsidR="00777F00">
          <w:rPr>
            <w:noProof/>
            <w:webHidden/>
          </w:rPr>
          <w:tab/>
        </w:r>
        <w:r w:rsidR="00777F00">
          <w:rPr>
            <w:noProof/>
            <w:webHidden/>
          </w:rPr>
          <w:fldChar w:fldCharType="begin"/>
        </w:r>
        <w:r w:rsidR="00777F00">
          <w:rPr>
            <w:noProof/>
            <w:webHidden/>
          </w:rPr>
          <w:instrText xml:space="preserve"> PAGEREF _Toc525244606 \h </w:instrText>
        </w:r>
        <w:r w:rsidR="00777F00">
          <w:rPr>
            <w:noProof/>
            <w:webHidden/>
          </w:rPr>
        </w:r>
        <w:r w:rsidR="00777F00">
          <w:rPr>
            <w:noProof/>
            <w:webHidden/>
          </w:rPr>
          <w:fldChar w:fldCharType="separate"/>
        </w:r>
        <w:r w:rsidR="00096E6F">
          <w:rPr>
            <w:noProof/>
            <w:webHidden/>
          </w:rPr>
          <w:t>5</w:t>
        </w:r>
        <w:r w:rsidR="00777F00">
          <w:rPr>
            <w:noProof/>
            <w:webHidden/>
          </w:rPr>
          <w:fldChar w:fldCharType="end"/>
        </w:r>
      </w:hyperlink>
    </w:p>
    <w:p w14:paraId="33C17583" w14:textId="653E6FB4" w:rsidR="00777F00" w:rsidRDefault="00C02A89">
      <w:pPr>
        <w:pStyle w:val="TOC1"/>
        <w:rPr>
          <w:rFonts w:asciiTheme="minorHAnsi" w:eastAsiaTheme="minorEastAsia" w:hAnsiTheme="minorHAnsi"/>
          <w:noProof/>
          <w:color w:val="auto"/>
          <w:lang w:val="en-AU" w:eastAsia="en-AU"/>
        </w:rPr>
      </w:pPr>
      <w:hyperlink w:anchor="_Toc525244607" w:history="1">
        <w:r w:rsidR="00777F00" w:rsidRPr="00250492">
          <w:rPr>
            <w:rStyle w:val="Hyperlink"/>
            <w:noProof/>
          </w:rPr>
          <w:t>Scope and Approach</w:t>
        </w:r>
        <w:r w:rsidR="00777F00">
          <w:rPr>
            <w:noProof/>
            <w:webHidden/>
          </w:rPr>
          <w:tab/>
        </w:r>
        <w:r w:rsidR="00777F00">
          <w:rPr>
            <w:noProof/>
            <w:webHidden/>
          </w:rPr>
          <w:fldChar w:fldCharType="begin"/>
        </w:r>
        <w:r w:rsidR="00777F00">
          <w:rPr>
            <w:noProof/>
            <w:webHidden/>
          </w:rPr>
          <w:instrText xml:space="preserve"> PAGEREF _Toc525244607 \h </w:instrText>
        </w:r>
        <w:r w:rsidR="00777F00">
          <w:rPr>
            <w:noProof/>
            <w:webHidden/>
          </w:rPr>
        </w:r>
        <w:r w:rsidR="00777F00">
          <w:rPr>
            <w:noProof/>
            <w:webHidden/>
          </w:rPr>
          <w:fldChar w:fldCharType="separate"/>
        </w:r>
        <w:r w:rsidR="00096E6F">
          <w:rPr>
            <w:noProof/>
            <w:webHidden/>
          </w:rPr>
          <w:t>6</w:t>
        </w:r>
        <w:r w:rsidR="00777F00">
          <w:rPr>
            <w:noProof/>
            <w:webHidden/>
          </w:rPr>
          <w:fldChar w:fldCharType="end"/>
        </w:r>
      </w:hyperlink>
    </w:p>
    <w:p w14:paraId="092B38B7" w14:textId="4A390733" w:rsidR="00777F00" w:rsidRDefault="00C02A89">
      <w:pPr>
        <w:pStyle w:val="TOC1"/>
        <w:rPr>
          <w:rFonts w:asciiTheme="minorHAnsi" w:eastAsiaTheme="minorEastAsia" w:hAnsiTheme="minorHAnsi"/>
          <w:noProof/>
          <w:color w:val="auto"/>
          <w:lang w:val="en-AU" w:eastAsia="en-AU"/>
        </w:rPr>
      </w:pPr>
      <w:hyperlink w:anchor="_Toc525244610" w:history="1">
        <w:r w:rsidR="00777F00" w:rsidRPr="00250492">
          <w:rPr>
            <w:rStyle w:val="Hyperlink"/>
            <w:noProof/>
          </w:rPr>
          <w:t>Scope Item 1: The operational application of the prescribed funding formula, and whether the application of the formula meets transparency objectives</w:t>
        </w:r>
        <w:r w:rsidR="00777F00">
          <w:rPr>
            <w:noProof/>
            <w:webHidden/>
          </w:rPr>
          <w:tab/>
        </w:r>
        <w:r w:rsidR="00777F00">
          <w:rPr>
            <w:noProof/>
            <w:webHidden/>
          </w:rPr>
          <w:fldChar w:fldCharType="begin"/>
        </w:r>
        <w:r w:rsidR="00777F00">
          <w:rPr>
            <w:noProof/>
            <w:webHidden/>
          </w:rPr>
          <w:instrText xml:space="preserve"> PAGEREF _Toc525244610 \h </w:instrText>
        </w:r>
        <w:r w:rsidR="00777F00">
          <w:rPr>
            <w:noProof/>
            <w:webHidden/>
          </w:rPr>
        </w:r>
        <w:r w:rsidR="00777F00">
          <w:rPr>
            <w:noProof/>
            <w:webHidden/>
          </w:rPr>
          <w:fldChar w:fldCharType="separate"/>
        </w:r>
        <w:r w:rsidR="00096E6F">
          <w:rPr>
            <w:noProof/>
            <w:webHidden/>
          </w:rPr>
          <w:t>7</w:t>
        </w:r>
        <w:r w:rsidR="00777F00">
          <w:rPr>
            <w:noProof/>
            <w:webHidden/>
          </w:rPr>
          <w:fldChar w:fldCharType="end"/>
        </w:r>
      </w:hyperlink>
    </w:p>
    <w:p w14:paraId="771759FB" w14:textId="14E79BB2" w:rsidR="00777F00" w:rsidRDefault="00C02A89">
      <w:pPr>
        <w:pStyle w:val="TOC1"/>
        <w:rPr>
          <w:rFonts w:asciiTheme="minorHAnsi" w:eastAsiaTheme="minorEastAsia" w:hAnsiTheme="minorHAnsi"/>
          <w:noProof/>
          <w:color w:val="auto"/>
          <w:lang w:val="en-AU" w:eastAsia="en-AU"/>
        </w:rPr>
      </w:pPr>
      <w:hyperlink w:anchor="_Toc525244616" w:history="1">
        <w:r w:rsidR="00777F00" w:rsidRPr="00250492">
          <w:rPr>
            <w:rStyle w:val="Hyperlink"/>
            <w:noProof/>
          </w:rPr>
          <w:t>Scope Item 2: The establishment of SPFAC and the mechanisms by which SPFAC advises the Minister about regulatory, policy and funding issues that affect government schools and non-government schools</w:t>
        </w:r>
        <w:r w:rsidR="00777F00">
          <w:rPr>
            <w:noProof/>
            <w:webHidden/>
          </w:rPr>
          <w:tab/>
        </w:r>
        <w:r w:rsidR="00777F00">
          <w:rPr>
            <w:noProof/>
            <w:webHidden/>
          </w:rPr>
          <w:fldChar w:fldCharType="begin"/>
        </w:r>
        <w:r w:rsidR="00777F00">
          <w:rPr>
            <w:noProof/>
            <w:webHidden/>
          </w:rPr>
          <w:instrText xml:space="preserve"> PAGEREF _Toc525244616 \h </w:instrText>
        </w:r>
        <w:r w:rsidR="00777F00">
          <w:rPr>
            <w:noProof/>
            <w:webHidden/>
          </w:rPr>
        </w:r>
        <w:r w:rsidR="00777F00">
          <w:rPr>
            <w:noProof/>
            <w:webHidden/>
          </w:rPr>
          <w:fldChar w:fldCharType="separate"/>
        </w:r>
        <w:r w:rsidR="00096E6F">
          <w:rPr>
            <w:noProof/>
            <w:webHidden/>
          </w:rPr>
          <w:t>11</w:t>
        </w:r>
        <w:r w:rsidR="00777F00">
          <w:rPr>
            <w:noProof/>
            <w:webHidden/>
          </w:rPr>
          <w:fldChar w:fldCharType="end"/>
        </w:r>
      </w:hyperlink>
    </w:p>
    <w:p w14:paraId="0B54E7FD" w14:textId="5EDED31E" w:rsidR="00777F00" w:rsidRDefault="00C02A89">
      <w:pPr>
        <w:pStyle w:val="TOC1"/>
        <w:rPr>
          <w:rFonts w:asciiTheme="minorHAnsi" w:eastAsiaTheme="minorEastAsia" w:hAnsiTheme="minorHAnsi"/>
          <w:noProof/>
          <w:color w:val="auto"/>
          <w:lang w:val="en-AU" w:eastAsia="en-AU"/>
        </w:rPr>
      </w:pPr>
      <w:hyperlink w:anchor="_Toc525244621" w:history="1">
        <w:r w:rsidR="00777F00" w:rsidRPr="00250492">
          <w:rPr>
            <w:rStyle w:val="Hyperlink"/>
            <w:noProof/>
          </w:rPr>
          <w:t>Scope Item 3: That SPFAC has provided advice on regulatory, policy and funding issues affecting government schools and non-government schools</w:t>
        </w:r>
        <w:r w:rsidR="00777F00">
          <w:rPr>
            <w:noProof/>
            <w:webHidden/>
          </w:rPr>
          <w:tab/>
        </w:r>
        <w:r w:rsidR="00777F00">
          <w:rPr>
            <w:noProof/>
            <w:webHidden/>
          </w:rPr>
          <w:fldChar w:fldCharType="begin"/>
        </w:r>
        <w:r w:rsidR="00777F00">
          <w:rPr>
            <w:noProof/>
            <w:webHidden/>
          </w:rPr>
          <w:instrText xml:space="preserve"> PAGEREF _Toc525244621 \h </w:instrText>
        </w:r>
        <w:r w:rsidR="00777F00">
          <w:rPr>
            <w:noProof/>
            <w:webHidden/>
          </w:rPr>
        </w:r>
        <w:r w:rsidR="00777F00">
          <w:rPr>
            <w:noProof/>
            <w:webHidden/>
          </w:rPr>
          <w:fldChar w:fldCharType="separate"/>
        </w:r>
        <w:r w:rsidR="00096E6F">
          <w:rPr>
            <w:noProof/>
            <w:webHidden/>
          </w:rPr>
          <w:t>18</w:t>
        </w:r>
        <w:r w:rsidR="00777F00">
          <w:rPr>
            <w:noProof/>
            <w:webHidden/>
          </w:rPr>
          <w:fldChar w:fldCharType="end"/>
        </w:r>
      </w:hyperlink>
    </w:p>
    <w:p w14:paraId="7105EBC9" w14:textId="70579AC9" w:rsidR="00777F00" w:rsidRDefault="00C02A89">
      <w:pPr>
        <w:pStyle w:val="TOC1"/>
        <w:rPr>
          <w:rFonts w:asciiTheme="minorHAnsi" w:eastAsiaTheme="minorEastAsia" w:hAnsiTheme="minorHAnsi"/>
          <w:noProof/>
          <w:color w:val="auto"/>
          <w:lang w:val="en-AU" w:eastAsia="en-AU"/>
        </w:rPr>
      </w:pPr>
      <w:hyperlink w:anchor="_Toc525244626" w:history="1">
        <w:r w:rsidR="00777F00" w:rsidRPr="00250492">
          <w:rPr>
            <w:rStyle w:val="Hyperlink"/>
            <w:noProof/>
          </w:rPr>
          <w:t>Appendix A:  Personnel Consulted in this Review</w:t>
        </w:r>
        <w:r w:rsidR="00777F00">
          <w:rPr>
            <w:noProof/>
            <w:webHidden/>
          </w:rPr>
          <w:tab/>
        </w:r>
        <w:r w:rsidR="00777F00">
          <w:rPr>
            <w:noProof/>
            <w:webHidden/>
          </w:rPr>
          <w:fldChar w:fldCharType="begin"/>
        </w:r>
        <w:r w:rsidR="00777F00">
          <w:rPr>
            <w:noProof/>
            <w:webHidden/>
          </w:rPr>
          <w:instrText xml:space="preserve"> PAGEREF _Toc525244626 \h </w:instrText>
        </w:r>
        <w:r w:rsidR="00777F00">
          <w:rPr>
            <w:noProof/>
            <w:webHidden/>
          </w:rPr>
        </w:r>
        <w:r w:rsidR="00777F00">
          <w:rPr>
            <w:noProof/>
            <w:webHidden/>
          </w:rPr>
          <w:fldChar w:fldCharType="separate"/>
        </w:r>
        <w:r w:rsidR="00096E6F">
          <w:rPr>
            <w:noProof/>
            <w:webHidden/>
          </w:rPr>
          <w:t>19</w:t>
        </w:r>
        <w:r w:rsidR="00777F00">
          <w:rPr>
            <w:noProof/>
            <w:webHidden/>
          </w:rPr>
          <w:fldChar w:fldCharType="end"/>
        </w:r>
      </w:hyperlink>
    </w:p>
    <w:p w14:paraId="5DCB69C9" w14:textId="77777777" w:rsidR="000163B5" w:rsidRDefault="005756C6" w:rsidP="001A2F53">
      <w:pPr>
        <w:pStyle w:val="BodyPRO"/>
      </w:pPr>
      <w:r>
        <w:rPr>
          <w:rFonts w:cstheme="minorBidi"/>
          <w:sz w:val="22"/>
          <w:szCs w:val="22"/>
        </w:rPr>
        <w:fldChar w:fldCharType="end"/>
      </w:r>
    </w:p>
    <w:p w14:paraId="5FA62DF7" w14:textId="77777777" w:rsidR="000163B5" w:rsidRDefault="000163B5" w:rsidP="00D5266D"/>
    <w:p w14:paraId="053E56CB" w14:textId="77777777" w:rsidR="000163B5" w:rsidRDefault="000163B5" w:rsidP="00D5266D"/>
    <w:p w14:paraId="4394591A" w14:textId="77777777" w:rsidR="000163B5" w:rsidRDefault="000163B5" w:rsidP="00D5266D"/>
    <w:p w14:paraId="2D2B0C7E" w14:textId="77777777" w:rsidR="000163B5" w:rsidRDefault="000163B5" w:rsidP="00D5266D"/>
    <w:p w14:paraId="678B13A4" w14:textId="77777777" w:rsidR="000163B5" w:rsidRDefault="000163B5" w:rsidP="00D5266D"/>
    <w:p w14:paraId="5D7D5A8F" w14:textId="77777777" w:rsidR="000163B5" w:rsidRDefault="000163B5" w:rsidP="00D5266D"/>
    <w:p w14:paraId="2D0813F1" w14:textId="77777777" w:rsidR="000163B5" w:rsidRDefault="000163B5" w:rsidP="00D5266D"/>
    <w:p w14:paraId="29F1BEEC" w14:textId="77777777" w:rsidR="000163B5" w:rsidRDefault="000163B5" w:rsidP="00D5266D"/>
    <w:p w14:paraId="3A362A51" w14:textId="77777777" w:rsidR="000163B5" w:rsidRDefault="000163B5" w:rsidP="00D5266D"/>
    <w:p w14:paraId="4B024350" w14:textId="77777777" w:rsidR="000163B5" w:rsidRDefault="000163B5" w:rsidP="00D5266D"/>
    <w:p w14:paraId="30DD1E65" w14:textId="77777777" w:rsidR="00E25CCA" w:rsidRDefault="00E25CCA" w:rsidP="00D5266D">
      <w:pPr>
        <w:rPr>
          <w:b/>
        </w:rPr>
      </w:pPr>
    </w:p>
    <w:p w14:paraId="2DE3C35D" w14:textId="77777777" w:rsidR="00E25CCA" w:rsidRDefault="00E25CCA" w:rsidP="00D5266D">
      <w:pPr>
        <w:rPr>
          <w:b/>
        </w:rPr>
      </w:pPr>
    </w:p>
    <w:p w14:paraId="15CA82E1" w14:textId="77777777" w:rsidR="00E25CCA" w:rsidRDefault="00E25CCA" w:rsidP="00D5266D">
      <w:pPr>
        <w:rPr>
          <w:b/>
        </w:rPr>
      </w:pPr>
    </w:p>
    <w:p w14:paraId="150BBF24" w14:textId="77777777" w:rsidR="00E25CCA" w:rsidRDefault="00E25CCA" w:rsidP="00D5266D">
      <w:pPr>
        <w:rPr>
          <w:b/>
        </w:rPr>
      </w:pPr>
    </w:p>
    <w:p w14:paraId="7EB093E7" w14:textId="77777777" w:rsidR="00E25CCA" w:rsidRDefault="00E25CCA" w:rsidP="00D5266D">
      <w:pPr>
        <w:rPr>
          <w:b/>
        </w:rPr>
      </w:pPr>
    </w:p>
    <w:p w14:paraId="5726FE3A" w14:textId="77777777" w:rsidR="005F7752" w:rsidRDefault="005F7752" w:rsidP="00D5266D">
      <w:pPr>
        <w:rPr>
          <w:b/>
        </w:rPr>
      </w:pPr>
    </w:p>
    <w:p w14:paraId="0DF3D3E9" w14:textId="77777777" w:rsidR="005F7752" w:rsidRDefault="005F7752" w:rsidP="00D5266D">
      <w:pPr>
        <w:rPr>
          <w:b/>
        </w:rPr>
      </w:pPr>
    </w:p>
    <w:p w14:paraId="5E154724" w14:textId="77777777" w:rsidR="005F7752" w:rsidRDefault="005F7752" w:rsidP="00D5266D">
      <w:pPr>
        <w:rPr>
          <w:b/>
        </w:rPr>
      </w:pPr>
    </w:p>
    <w:p w14:paraId="71572470" w14:textId="77777777" w:rsidR="005F7752" w:rsidRDefault="005F7752" w:rsidP="00D5266D">
      <w:pPr>
        <w:rPr>
          <w:b/>
        </w:rPr>
      </w:pPr>
    </w:p>
    <w:p w14:paraId="371DE043" w14:textId="77777777" w:rsidR="00086034" w:rsidRDefault="00086034" w:rsidP="00D5266D">
      <w:pPr>
        <w:rPr>
          <w:b/>
        </w:rPr>
      </w:pPr>
    </w:p>
    <w:p w14:paraId="103142AF" w14:textId="77777777" w:rsidR="00086034" w:rsidRDefault="00086034" w:rsidP="00D5266D">
      <w:pPr>
        <w:rPr>
          <w:b/>
        </w:rPr>
      </w:pPr>
    </w:p>
    <w:p w14:paraId="4CD7ECF8" w14:textId="77777777" w:rsidR="00086034" w:rsidRDefault="00086034" w:rsidP="00D5266D">
      <w:pPr>
        <w:rPr>
          <w:b/>
        </w:rPr>
      </w:pPr>
    </w:p>
    <w:p w14:paraId="12AAC52E" w14:textId="77777777" w:rsidR="00086034" w:rsidRDefault="00086034" w:rsidP="00D5266D">
      <w:pPr>
        <w:rPr>
          <w:b/>
        </w:rPr>
      </w:pPr>
    </w:p>
    <w:p w14:paraId="3C5B3C72" w14:textId="77777777" w:rsidR="00086034" w:rsidRDefault="00086034" w:rsidP="00D5266D">
      <w:pPr>
        <w:rPr>
          <w:b/>
        </w:rPr>
      </w:pPr>
    </w:p>
    <w:p w14:paraId="132AA6E0" w14:textId="77777777" w:rsidR="00086034" w:rsidRDefault="00086034" w:rsidP="00D5266D">
      <w:pPr>
        <w:rPr>
          <w:b/>
        </w:rPr>
      </w:pPr>
    </w:p>
    <w:p w14:paraId="6650A176" w14:textId="77777777" w:rsidR="00086034" w:rsidRDefault="00086034" w:rsidP="00D5266D">
      <w:pPr>
        <w:rPr>
          <w:b/>
        </w:rPr>
      </w:pPr>
    </w:p>
    <w:p w14:paraId="3E4F0DA6" w14:textId="77777777" w:rsidR="00086034" w:rsidRDefault="00086034" w:rsidP="00D5266D">
      <w:pPr>
        <w:rPr>
          <w:b/>
        </w:rPr>
      </w:pPr>
    </w:p>
    <w:p w14:paraId="79CB74B7" w14:textId="77777777" w:rsidR="00086034" w:rsidRDefault="00086034" w:rsidP="00D5266D">
      <w:pPr>
        <w:rPr>
          <w:b/>
        </w:rPr>
      </w:pPr>
    </w:p>
    <w:p w14:paraId="0D498167" w14:textId="77777777" w:rsidR="00086034" w:rsidRDefault="00086034" w:rsidP="00D5266D">
      <w:pPr>
        <w:rPr>
          <w:b/>
        </w:rPr>
      </w:pPr>
    </w:p>
    <w:p w14:paraId="231A8780" w14:textId="77777777" w:rsidR="00086034" w:rsidRDefault="00086034" w:rsidP="00D5266D">
      <w:pPr>
        <w:rPr>
          <w:b/>
        </w:rPr>
      </w:pPr>
    </w:p>
    <w:p w14:paraId="4BCCF179" w14:textId="53CD0C63" w:rsidR="002C5A1C" w:rsidRDefault="002E6267" w:rsidP="004F7039">
      <w:pPr>
        <w:pStyle w:val="Heading1Pro"/>
        <w:keepNext w:val="0"/>
        <w:pageBreakBefore/>
      </w:pPr>
      <w:bookmarkStart w:id="4" w:name="_Toc525244600"/>
      <w:r>
        <w:lastRenderedPageBreak/>
        <w:t>Executive Summary</w:t>
      </w:r>
      <w:bookmarkEnd w:id="4"/>
    </w:p>
    <w:p w14:paraId="5A11EE43" w14:textId="2A9AAB34" w:rsidR="00E71327" w:rsidRPr="007A17DC" w:rsidRDefault="00E71327" w:rsidP="007A17DC">
      <w:pPr>
        <w:spacing w:before="0" w:after="160" w:line="259" w:lineRule="auto"/>
        <w:contextualSpacing w:val="0"/>
        <w:jc w:val="both"/>
        <w:rPr>
          <w:rFonts w:ascii="Arial" w:hAnsi="Arial" w:cs="Arial"/>
          <w:color w:val="535355"/>
          <w:szCs w:val="20"/>
        </w:rPr>
      </w:pPr>
      <w:bookmarkStart w:id="5" w:name="_Toc473161674"/>
      <w:bookmarkStart w:id="6" w:name="_Toc478930041"/>
      <w:bookmarkStart w:id="7" w:name="_Toc478930132"/>
      <w:bookmarkStart w:id="8" w:name="_Toc478930713"/>
      <w:bookmarkStart w:id="9" w:name="_Toc524873202"/>
      <w:r w:rsidRPr="007A17DC">
        <w:rPr>
          <w:rFonts w:ascii="Arial" w:hAnsi="Arial" w:cs="Arial"/>
          <w:color w:val="535355"/>
          <w:sz w:val="20"/>
          <w:szCs w:val="20"/>
        </w:rPr>
        <w:t xml:space="preserve">In March 2015, the Victorian Government amended the </w:t>
      </w:r>
      <w:r w:rsidR="00311862" w:rsidRPr="00F74219">
        <w:rPr>
          <w:rFonts w:ascii="Arial" w:hAnsi="Arial" w:cs="Arial"/>
          <w:i/>
          <w:color w:val="535355"/>
          <w:sz w:val="20"/>
          <w:szCs w:val="20"/>
        </w:rPr>
        <w:t>Education and Training Reform Act 2006</w:t>
      </w:r>
      <w:r w:rsidR="00311862" w:rsidRPr="007A17DC">
        <w:rPr>
          <w:rFonts w:ascii="Arial" w:hAnsi="Arial" w:cs="Arial"/>
          <w:color w:val="535355"/>
          <w:sz w:val="20"/>
          <w:szCs w:val="20"/>
        </w:rPr>
        <w:t xml:space="preserve"> (</w:t>
      </w:r>
      <w:r w:rsidRPr="007A17DC">
        <w:rPr>
          <w:rFonts w:ascii="Arial" w:hAnsi="Arial" w:cs="Arial"/>
          <w:color w:val="535355"/>
          <w:sz w:val="20"/>
          <w:szCs w:val="20"/>
        </w:rPr>
        <w:t>ETRA</w:t>
      </w:r>
      <w:r w:rsidR="00311862" w:rsidRPr="007A17DC">
        <w:rPr>
          <w:rFonts w:ascii="Arial" w:hAnsi="Arial" w:cs="Arial"/>
          <w:color w:val="535355"/>
          <w:sz w:val="20"/>
          <w:szCs w:val="20"/>
        </w:rPr>
        <w:t>)</w:t>
      </w:r>
      <w:r w:rsidRPr="007A17DC">
        <w:rPr>
          <w:rFonts w:ascii="Arial" w:hAnsi="Arial" w:cs="Arial"/>
          <w:color w:val="535355"/>
          <w:sz w:val="20"/>
          <w:szCs w:val="20"/>
        </w:rPr>
        <w:t xml:space="preserve"> to establish a transparent mechanism for State funding of non-government schools. </w:t>
      </w:r>
    </w:p>
    <w:p w14:paraId="615C4D7B" w14:textId="26BB85D2" w:rsidR="00E71327" w:rsidRPr="007A17DC" w:rsidRDefault="00E71327" w:rsidP="007A17DC">
      <w:pPr>
        <w:spacing w:before="0" w:after="160" w:line="259" w:lineRule="auto"/>
        <w:contextualSpacing w:val="0"/>
        <w:jc w:val="both"/>
        <w:rPr>
          <w:rFonts w:ascii="Arial" w:hAnsi="Arial" w:cs="Arial"/>
          <w:color w:val="535355"/>
          <w:szCs w:val="20"/>
        </w:rPr>
      </w:pPr>
      <w:r w:rsidRPr="007A17DC">
        <w:rPr>
          <w:rFonts w:ascii="Arial" w:hAnsi="Arial" w:cs="Arial"/>
          <w:color w:val="535355"/>
          <w:sz w:val="20"/>
          <w:szCs w:val="20"/>
        </w:rPr>
        <w:t xml:space="preserve">Specifically, the amendment </w:t>
      </w:r>
      <w:r w:rsidR="008B5B1E">
        <w:rPr>
          <w:rFonts w:ascii="Arial" w:hAnsi="Arial" w:cs="Arial"/>
          <w:color w:val="535355"/>
          <w:sz w:val="20"/>
          <w:szCs w:val="20"/>
        </w:rPr>
        <w:t>sought</w:t>
      </w:r>
      <w:r w:rsidRPr="007A17DC">
        <w:rPr>
          <w:rFonts w:ascii="Arial" w:hAnsi="Arial" w:cs="Arial"/>
          <w:color w:val="535355"/>
          <w:sz w:val="20"/>
          <w:szCs w:val="20"/>
        </w:rPr>
        <w:t xml:space="preserve"> to increase </w:t>
      </w:r>
      <w:r w:rsidR="008B5B1E">
        <w:rPr>
          <w:rFonts w:ascii="Arial" w:hAnsi="Arial" w:cs="Arial"/>
          <w:color w:val="535355"/>
          <w:sz w:val="20"/>
          <w:szCs w:val="20"/>
        </w:rPr>
        <w:t>transparency</w:t>
      </w:r>
      <w:r w:rsidRPr="007A17DC">
        <w:rPr>
          <w:rFonts w:ascii="Arial" w:hAnsi="Arial" w:cs="Arial"/>
          <w:color w:val="535355"/>
          <w:sz w:val="20"/>
          <w:szCs w:val="20"/>
        </w:rPr>
        <w:t xml:space="preserve"> of recurrent funding for non-government schools by amending the ETRA </w:t>
      </w:r>
      <w:proofErr w:type="gramStart"/>
      <w:r w:rsidRPr="007A17DC">
        <w:rPr>
          <w:rFonts w:ascii="Arial" w:hAnsi="Arial" w:cs="Arial"/>
          <w:color w:val="535355"/>
          <w:sz w:val="20"/>
          <w:szCs w:val="20"/>
        </w:rPr>
        <w:t>to expressly legislate</w:t>
      </w:r>
      <w:proofErr w:type="gramEnd"/>
      <w:r w:rsidRPr="007A17DC">
        <w:rPr>
          <w:rFonts w:ascii="Arial" w:hAnsi="Arial" w:cs="Arial"/>
          <w:color w:val="535355"/>
          <w:sz w:val="20"/>
          <w:szCs w:val="20"/>
        </w:rPr>
        <w:t xml:space="preserve"> the minimum linkage percentage of 25 per cent </w:t>
      </w:r>
      <w:r w:rsidR="005B384A" w:rsidRPr="007A17DC">
        <w:rPr>
          <w:rFonts w:ascii="Arial" w:hAnsi="Arial" w:cs="Arial"/>
          <w:color w:val="535355"/>
          <w:sz w:val="20"/>
          <w:szCs w:val="20"/>
        </w:rPr>
        <w:t>per capita government school funding on 1 July in the previous calendar year</w:t>
      </w:r>
      <w:r w:rsidR="00492076" w:rsidRPr="007A17DC">
        <w:rPr>
          <w:rFonts w:ascii="Arial" w:hAnsi="Arial" w:cs="Arial"/>
          <w:color w:val="535355"/>
          <w:sz w:val="20"/>
          <w:szCs w:val="20"/>
        </w:rPr>
        <w:t>,</w:t>
      </w:r>
      <w:r w:rsidR="005B384A" w:rsidRPr="007A17DC">
        <w:rPr>
          <w:rFonts w:ascii="Arial" w:hAnsi="Arial" w:cs="Arial"/>
          <w:color w:val="535355"/>
          <w:sz w:val="20"/>
          <w:szCs w:val="20"/>
        </w:rPr>
        <w:t xml:space="preserve"> </w:t>
      </w:r>
      <w:r w:rsidRPr="007A17DC">
        <w:rPr>
          <w:rFonts w:ascii="Arial" w:hAnsi="Arial" w:cs="Arial"/>
          <w:color w:val="535355"/>
          <w:sz w:val="20"/>
          <w:szCs w:val="20"/>
        </w:rPr>
        <w:t xml:space="preserve">to be allocated to the non-government schools sector.  The amendment defines general principles to determine particular recurrent funding lines on which the 25 per cent is applied, called ‘basket of goods’; as well as categories of </w:t>
      </w:r>
      <w:proofErr w:type="gramStart"/>
      <w:r w:rsidRPr="007A17DC">
        <w:rPr>
          <w:rFonts w:ascii="Arial" w:hAnsi="Arial" w:cs="Arial"/>
          <w:color w:val="535355"/>
          <w:sz w:val="20"/>
          <w:szCs w:val="20"/>
        </w:rPr>
        <w:t>funding which are included and excluded</w:t>
      </w:r>
      <w:proofErr w:type="gramEnd"/>
      <w:r w:rsidRPr="007A17DC">
        <w:rPr>
          <w:rFonts w:ascii="Arial" w:hAnsi="Arial" w:cs="Arial"/>
          <w:color w:val="535355"/>
          <w:sz w:val="20"/>
          <w:szCs w:val="20"/>
        </w:rPr>
        <w:t xml:space="preserve"> from the basket.</w:t>
      </w:r>
      <w:r w:rsidR="00311862" w:rsidRPr="007A17DC">
        <w:rPr>
          <w:rFonts w:ascii="Arial" w:hAnsi="Arial" w:cs="Arial"/>
          <w:color w:val="535355"/>
          <w:sz w:val="20"/>
          <w:szCs w:val="20"/>
        </w:rPr>
        <w:t xml:space="preserve">  </w:t>
      </w:r>
      <w:r w:rsidRPr="007A17DC">
        <w:rPr>
          <w:rFonts w:ascii="Arial" w:hAnsi="Arial" w:cs="Arial"/>
          <w:color w:val="535355"/>
          <w:sz w:val="20"/>
          <w:szCs w:val="20"/>
        </w:rPr>
        <w:t xml:space="preserve">The amendment also establishes a School Policy and Funding Advisory Council (SPFAC) to advise the Minister for Education on regulatory, policy and funding issues for all school sectors. </w:t>
      </w:r>
    </w:p>
    <w:p w14:paraId="713040C8" w14:textId="20F98F10" w:rsidR="00E71327" w:rsidRPr="007A17DC" w:rsidRDefault="00311862" w:rsidP="007A17DC">
      <w:pPr>
        <w:spacing w:before="0" w:after="160" w:line="259" w:lineRule="auto"/>
        <w:contextualSpacing w:val="0"/>
        <w:jc w:val="both"/>
        <w:rPr>
          <w:rFonts w:ascii="Arial" w:hAnsi="Arial" w:cs="Arial"/>
          <w:color w:val="535355"/>
          <w:szCs w:val="20"/>
        </w:rPr>
      </w:pPr>
      <w:r w:rsidRPr="007A17DC">
        <w:rPr>
          <w:rFonts w:ascii="Arial" w:hAnsi="Arial" w:cs="Arial"/>
          <w:color w:val="535355"/>
          <w:sz w:val="20"/>
          <w:szCs w:val="20"/>
        </w:rPr>
        <w:t>The amendment includes a legislative requirement to review the operational application of Part 2.7</w:t>
      </w:r>
      <w:r w:rsidR="00F74219">
        <w:rPr>
          <w:rFonts w:ascii="Arial" w:hAnsi="Arial" w:cs="Arial"/>
          <w:color w:val="535355"/>
          <w:sz w:val="20"/>
          <w:szCs w:val="20"/>
        </w:rPr>
        <w:t xml:space="preserve"> of ETRA</w:t>
      </w:r>
      <w:r w:rsidR="008C3F18" w:rsidRPr="007A17DC">
        <w:rPr>
          <w:rFonts w:ascii="Arial" w:hAnsi="Arial" w:cs="Arial"/>
          <w:color w:val="535355"/>
          <w:sz w:val="20"/>
          <w:szCs w:val="20"/>
        </w:rPr>
        <w:t xml:space="preserve"> </w:t>
      </w:r>
      <w:r w:rsidR="00C02251" w:rsidRPr="007A17DC">
        <w:rPr>
          <w:rFonts w:ascii="Arial" w:hAnsi="Arial" w:cs="Arial"/>
          <w:color w:val="535355"/>
          <w:sz w:val="20"/>
          <w:szCs w:val="20"/>
        </w:rPr>
        <w:t>in 2018</w:t>
      </w:r>
      <w:r w:rsidRPr="007A17DC">
        <w:rPr>
          <w:rFonts w:ascii="Arial" w:hAnsi="Arial" w:cs="Arial"/>
          <w:color w:val="535355"/>
          <w:sz w:val="20"/>
          <w:szCs w:val="20"/>
        </w:rPr>
        <w:t>.</w:t>
      </w:r>
    </w:p>
    <w:p w14:paraId="0FECD6F1" w14:textId="51C20E93" w:rsidR="006F6980" w:rsidRDefault="00311862" w:rsidP="00260B02">
      <w:pPr>
        <w:pStyle w:val="Heading2Pro"/>
      </w:pPr>
      <w:bookmarkStart w:id="10" w:name="_Toc525244601"/>
      <w:bookmarkEnd w:id="5"/>
      <w:bookmarkEnd w:id="6"/>
      <w:bookmarkEnd w:id="7"/>
      <w:bookmarkEnd w:id="8"/>
      <w:bookmarkEnd w:id="9"/>
      <w:r>
        <w:t>Objective and Scope</w:t>
      </w:r>
      <w:bookmarkEnd w:id="10"/>
    </w:p>
    <w:p w14:paraId="28BA254B" w14:textId="0AA6A4DD" w:rsidR="00311862" w:rsidRPr="009D0284" w:rsidRDefault="00311862" w:rsidP="00311862">
      <w:p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 xml:space="preserve">The </w:t>
      </w:r>
      <w:r>
        <w:rPr>
          <w:rFonts w:ascii="Arial" w:hAnsi="Arial" w:cs="Arial"/>
          <w:color w:val="535355"/>
          <w:sz w:val="20"/>
          <w:szCs w:val="20"/>
        </w:rPr>
        <w:t xml:space="preserve">objective of the </w:t>
      </w:r>
      <w:r w:rsidRPr="009D0284">
        <w:rPr>
          <w:rFonts w:ascii="Arial" w:hAnsi="Arial" w:cs="Arial"/>
          <w:color w:val="535355"/>
          <w:sz w:val="20"/>
          <w:szCs w:val="20"/>
        </w:rPr>
        <w:t xml:space="preserve">Review is to examine the effective operation of Part 2.7 </w:t>
      </w:r>
      <w:r>
        <w:rPr>
          <w:rFonts w:ascii="Arial" w:hAnsi="Arial" w:cs="Arial"/>
          <w:color w:val="535355"/>
          <w:sz w:val="20"/>
          <w:szCs w:val="20"/>
        </w:rPr>
        <w:t xml:space="preserve">of </w:t>
      </w:r>
      <w:r w:rsidRPr="009D0284">
        <w:rPr>
          <w:rFonts w:ascii="Arial" w:hAnsi="Arial" w:cs="Arial"/>
          <w:color w:val="535355"/>
          <w:sz w:val="20"/>
          <w:szCs w:val="20"/>
        </w:rPr>
        <w:t>ETRA in legislating the advisory function of SPFAC and in providing a transparent mechanism for State funding of non-government schools.</w:t>
      </w:r>
    </w:p>
    <w:p w14:paraId="0835859E" w14:textId="0D569E06" w:rsidR="00311862" w:rsidRPr="009D0284" w:rsidRDefault="00311862" w:rsidP="00311862">
      <w:pPr>
        <w:keepNext/>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Within this, the </w:t>
      </w:r>
      <w:r w:rsidR="001565D3">
        <w:rPr>
          <w:rFonts w:ascii="Arial" w:hAnsi="Arial" w:cs="Arial"/>
          <w:color w:val="535355"/>
          <w:sz w:val="20"/>
          <w:szCs w:val="20"/>
        </w:rPr>
        <w:t>Minister endorsed the scope of the review in consultation with SPFAC, focusing specifically on</w:t>
      </w:r>
      <w:r>
        <w:rPr>
          <w:rFonts w:ascii="Arial" w:hAnsi="Arial" w:cs="Arial"/>
          <w:color w:val="535355"/>
          <w:sz w:val="20"/>
          <w:szCs w:val="20"/>
        </w:rPr>
        <w:t>:</w:t>
      </w:r>
    </w:p>
    <w:p w14:paraId="0853A9EF" w14:textId="77777777" w:rsidR="00311862" w:rsidRPr="009D0284" w:rsidRDefault="00311862" w:rsidP="00311862">
      <w:pPr>
        <w:numPr>
          <w:ilvl w:val="0"/>
          <w:numId w:val="45"/>
        </w:num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the operational application of the prescribed funding formula, and whether the application of the formula meets transparency objectives</w:t>
      </w:r>
    </w:p>
    <w:p w14:paraId="0CAAFDC2" w14:textId="77777777" w:rsidR="00311862" w:rsidRPr="009D0284" w:rsidRDefault="00311862" w:rsidP="00311862">
      <w:pPr>
        <w:numPr>
          <w:ilvl w:val="0"/>
          <w:numId w:val="45"/>
        </w:num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the establishment of SPFAC and the mechanisms by which SPFAC advises the Minister about regulatory, policy and funding issues that affect government schools and non-government schools</w:t>
      </w:r>
    </w:p>
    <w:p w14:paraId="7E731E4F" w14:textId="16D5BD57" w:rsidR="00295204" w:rsidRPr="00311862" w:rsidRDefault="00311862" w:rsidP="00311862">
      <w:pPr>
        <w:numPr>
          <w:ilvl w:val="0"/>
          <w:numId w:val="45"/>
        </w:numPr>
        <w:spacing w:before="0" w:after="160" w:line="259" w:lineRule="auto"/>
        <w:contextualSpacing w:val="0"/>
        <w:jc w:val="both"/>
        <w:rPr>
          <w:rFonts w:ascii="Arial" w:hAnsi="Arial" w:cs="Arial"/>
          <w:color w:val="535355"/>
          <w:sz w:val="20"/>
          <w:szCs w:val="20"/>
        </w:rPr>
      </w:pPr>
      <w:proofErr w:type="gramStart"/>
      <w:r w:rsidRPr="009D0284">
        <w:rPr>
          <w:rFonts w:ascii="Arial" w:hAnsi="Arial" w:cs="Arial"/>
          <w:color w:val="535355"/>
          <w:sz w:val="20"/>
          <w:szCs w:val="20"/>
        </w:rPr>
        <w:t>that</w:t>
      </w:r>
      <w:proofErr w:type="gramEnd"/>
      <w:r w:rsidRPr="009D0284">
        <w:rPr>
          <w:rFonts w:ascii="Arial" w:hAnsi="Arial" w:cs="Arial"/>
          <w:color w:val="535355"/>
          <w:sz w:val="20"/>
          <w:szCs w:val="20"/>
        </w:rPr>
        <w:t xml:space="preserve"> SPFAC has provided advice on regulatory, policy and funding issues affecting government schools and non-government schools.</w:t>
      </w:r>
    </w:p>
    <w:p w14:paraId="292B7BE2" w14:textId="28620932" w:rsidR="00311862" w:rsidRPr="00635DDF" w:rsidRDefault="00311862" w:rsidP="00311862">
      <w:pPr>
        <w:pStyle w:val="Heading2Pro"/>
      </w:pPr>
      <w:bookmarkStart w:id="11" w:name="_Toc525244602"/>
      <w:r>
        <w:t xml:space="preserve">Conclusion – Scope Item 1 – Transparency of Application of Prescribed </w:t>
      </w:r>
      <w:r w:rsidRPr="00635DDF">
        <w:t>Funding Formula</w:t>
      </w:r>
      <w:bookmarkEnd w:id="11"/>
    </w:p>
    <w:p w14:paraId="3CEE98A0" w14:textId="46BF0FA0" w:rsidR="00311862" w:rsidRPr="00311862" w:rsidRDefault="00311862" w:rsidP="00311862">
      <w:pPr>
        <w:spacing w:before="0" w:after="160" w:line="259" w:lineRule="auto"/>
        <w:contextualSpacing w:val="0"/>
        <w:jc w:val="both"/>
        <w:rPr>
          <w:rFonts w:ascii="Arial" w:hAnsi="Arial" w:cs="Arial"/>
          <w:color w:val="535355"/>
          <w:sz w:val="20"/>
          <w:szCs w:val="20"/>
        </w:rPr>
      </w:pPr>
      <w:proofErr w:type="gramStart"/>
      <w:r w:rsidRPr="00635DDF">
        <w:rPr>
          <w:rFonts w:ascii="Arial" w:hAnsi="Arial" w:cs="Arial"/>
          <w:color w:val="535355"/>
          <w:sz w:val="20"/>
          <w:szCs w:val="20"/>
        </w:rPr>
        <w:t>As relevant stakeholders, being leaders of the Department of Education and Training (the Department), Catholic Education Commission of Victoria (CECV) and Independent Schools Victoria (ISV), have expressed satisfaction with regard to their visibility of the operational application of the prescribed funding formula since the introduction of Part 2.7 of the ETRA, we can conclude that satisfactory transparency is being achieved in the determination of recurrent non-government school funding totals.</w:t>
      </w:r>
      <w:proofErr w:type="gramEnd"/>
      <w:r w:rsidRPr="00635DDF">
        <w:rPr>
          <w:rFonts w:ascii="Arial" w:hAnsi="Arial" w:cs="Arial"/>
          <w:color w:val="535355"/>
          <w:sz w:val="20"/>
          <w:szCs w:val="20"/>
        </w:rPr>
        <w:t xml:space="preserve">  An independent view confirms that those key stakeholders have suitable visibility </w:t>
      </w:r>
      <w:r w:rsidR="00096E6F" w:rsidRPr="00635DDF">
        <w:rPr>
          <w:rFonts w:ascii="Arial" w:hAnsi="Arial" w:cs="Arial"/>
          <w:color w:val="535355"/>
          <w:sz w:val="20"/>
          <w:szCs w:val="20"/>
        </w:rPr>
        <w:t xml:space="preserve">of </w:t>
      </w:r>
      <w:r w:rsidRPr="00635DDF">
        <w:rPr>
          <w:rFonts w:ascii="Arial" w:hAnsi="Arial" w:cs="Arial"/>
          <w:color w:val="535355"/>
          <w:sz w:val="20"/>
          <w:szCs w:val="20"/>
        </w:rPr>
        <w:t>(and ability to discuss and debate) the mechanisms for determination of</w:t>
      </w:r>
      <w:r w:rsidRPr="007A0C67">
        <w:rPr>
          <w:rFonts w:ascii="Arial" w:hAnsi="Arial" w:cs="Arial"/>
          <w:color w:val="535355"/>
          <w:sz w:val="20"/>
          <w:szCs w:val="20"/>
        </w:rPr>
        <w:t xml:space="preserve"> the r</w:t>
      </w:r>
      <w:r>
        <w:rPr>
          <w:rFonts w:ascii="Arial" w:hAnsi="Arial" w:cs="Arial"/>
          <w:color w:val="535355"/>
          <w:sz w:val="20"/>
          <w:szCs w:val="20"/>
        </w:rPr>
        <w:t>ecurrent funding total for non-g</w:t>
      </w:r>
      <w:r w:rsidRPr="007A0C67">
        <w:rPr>
          <w:rFonts w:ascii="Arial" w:hAnsi="Arial" w:cs="Arial"/>
          <w:color w:val="535355"/>
          <w:sz w:val="20"/>
          <w:szCs w:val="20"/>
        </w:rPr>
        <w:t>overnment schools.</w:t>
      </w:r>
    </w:p>
    <w:p w14:paraId="1CE86384" w14:textId="4B827250" w:rsidR="00311862" w:rsidRDefault="00311862" w:rsidP="00311862">
      <w:pPr>
        <w:pStyle w:val="Heading2Pro"/>
      </w:pPr>
      <w:bookmarkStart w:id="12" w:name="_Toc525244603"/>
      <w:r>
        <w:t>Conclusion – Scope Item 2 – Establishment of SPFAC and Mechanisms for Provision of Advice to the Minister</w:t>
      </w:r>
      <w:bookmarkEnd w:id="12"/>
    </w:p>
    <w:p w14:paraId="6FA76992" w14:textId="77777777" w:rsidR="00311862" w:rsidRDefault="00311862" w:rsidP="00311862">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SPFAC </w:t>
      </w:r>
      <w:proofErr w:type="gramStart"/>
      <w:r>
        <w:rPr>
          <w:rFonts w:ascii="Arial" w:hAnsi="Arial" w:cs="Arial"/>
          <w:color w:val="535355"/>
          <w:sz w:val="20"/>
          <w:szCs w:val="20"/>
        </w:rPr>
        <w:t>has been established</w:t>
      </w:r>
      <w:proofErr w:type="gramEnd"/>
      <w:r>
        <w:rPr>
          <w:rFonts w:ascii="Arial" w:hAnsi="Arial" w:cs="Arial"/>
          <w:color w:val="535355"/>
          <w:sz w:val="20"/>
          <w:szCs w:val="20"/>
        </w:rPr>
        <w:t xml:space="preserve"> and is operating consistent with the requirements of Part 2.7 of ETRA.  It </w:t>
      </w:r>
      <w:proofErr w:type="gramStart"/>
      <w:r>
        <w:rPr>
          <w:rFonts w:ascii="Arial" w:hAnsi="Arial" w:cs="Arial"/>
          <w:color w:val="535355"/>
          <w:sz w:val="20"/>
          <w:szCs w:val="20"/>
        </w:rPr>
        <w:t>is supported</w:t>
      </w:r>
      <w:proofErr w:type="gramEnd"/>
      <w:r>
        <w:rPr>
          <w:rFonts w:ascii="Arial" w:hAnsi="Arial" w:cs="Arial"/>
          <w:color w:val="535355"/>
          <w:sz w:val="20"/>
          <w:szCs w:val="20"/>
        </w:rPr>
        <w:t xml:space="preserve"> effectively, and all relevant parties are engaging in its role and operations positively.</w:t>
      </w:r>
    </w:p>
    <w:p w14:paraId="0489EFEB" w14:textId="4F5376E9" w:rsidR="00311862" w:rsidRDefault="00311862" w:rsidP="00311862">
      <w:pPr>
        <w:spacing w:before="0" w:after="160" w:line="259" w:lineRule="auto"/>
        <w:contextualSpacing w:val="0"/>
        <w:jc w:val="both"/>
        <w:rPr>
          <w:rFonts w:ascii="Arial" w:hAnsi="Arial" w:cs="Arial"/>
          <w:color w:val="535355"/>
          <w:sz w:val="20"/>
          <w:szCs w:val="20"/>
        </w:rPr>
      </w:pPr>
      <w:r w:rsidRPr="00A7680A">
        <w:rPr>
          <w:rFonts w:ascii="Arial" w:hAnsi="Arial" w:cs="Arial"/>
          <w:color w:val="535355"/>
          <w:sz w:val="20"/>
          <w:szCs w:val="20"/>
        </w:rPr>
        <w:t xml:space="preserve">A high focus and a perceived significant benefit of SPFAC has been the improvement in communication between the </w:t>
      </w:r>
      <w:r>
        <w:rPr>
          <w:rFonts w:ascii="Arial" w:hAnsi="Arial" w:cs="Arial"/>
          <w:color w:val="535355"/>
          <w:sz w:val="20"/>
          <w:szCs w:val="20"/>
        </w:rPr>
        <w:t xml:space="preserve">Department, CECV and ISV.  Consultations as part of this review referenced </w:t>
      </w:r>
      <w:r w:rsidRPr="00A7680A">
        <w:rPr>
          <w:rFonts w:ascii="Arial" w:hAnsi="Arial" w:cs="Arial"/>
          <w:color w:val="535355"/>
          <w:sz w:val="20"/>
          <w:szCs w:val="20"/>
        </w:rPr>
        <w:t xml:space="preserve">better </w:t>
      </w:r>
      <w:r w:rsidRPr="00A7680A">
        <w:rPr>
          <w:rFonts w:ascii="Arial" w:hAnsi="Arial" w:cs="Arial"/>
          <w:color w:val="535355"/>
          <w:sz w:val="20"/>
          <w:szCs w:val="20"/>
        </w:rPr>
        <w:lastRenderedPageBreak/>
        <w:t>rela</w:t>
      </w:r>
      <w:r>
        <w:rPr>
          <w:rFonts w:ascii="Arial" w:hAnsi="Arial" w:cs="Arial"/>
          <w:color w:val="535355"/>
          <w:sz w:val="20"/>
          <w:szCs w:val="20"/>
        </w:rPr>
        <w:t xml:space="preserve">tionships, tangible engagement and </w:t>
      </w:r>
      <w:r w:rsidR="00096E6F">
        <w:rPr>
          <w:rFonts w:ascii="Arial" w:hAnsi="Arial" w:cs="Arial"/>
          <w:color w:val="535355"/>
          <w:sz w:val="20"/>
          <w:szCs w:val="20"/>
        </w:rPr>
        <w:t xml:space="preserve">a </w:t>
      </w:r>
      <w:r>
        <w:rPr>
          <w:rFonts w:ascii="Arial" w:hAnsi="Arial" w:cs="Arial"/>
          <w:color w:val="535355"/>
          <w:sz w:val="20"/>
          <w:szCs w:val="20"/>
        </w:rPr>
        <w:t>focus on problem solving, as being clearly positive outcomes of the operation of SPFAC.</w:t>
      </w:r>
    </w:p>
    <w:p w14:paraId="3AC5B0CF" w14:textId="77777777" w:rsidR="00311862" w:rsidRDefault="00311862" w:rsidP="00311862">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Since its establishment, it has canvassed a wide range of matters across the policy, regulatory and funding domains, and advice from SPFAC </w:t>
      </w:r>
      <w:proofErr w:type="gramStart"/>
      <w:r>
        <w:rPr>
          <w:rFonts w:ascii="Arial" w:hAnsi="Arial" w:cs="Arial"/>
          <w:color w:val="535355"/>
          <w:sz w:val="20"/>
          <w:szCs w:val="20"/>
        </w:rPr>
        <w:t>has been provided</w:t>
      </w:r>
      <w:proofErr w:type="gramEnd"/>
      <w:r>
        <w:rPr>
          <w:rFonts w:ascii="Arial" w:hAnsi="Arial" w:cs="Arial"/>
          <w:color w:val="535355"/>
          <w:sz w:val="20"/>
          <w:szCs w:val="20"/>
        </w:rPr>
        <w:t xml:space="preserve"> to the Minister in each of these domains.</w:t>
      </w:r>
    </w:p>
    <w:p w14:paraId="4D1CD602" w14:textId="18003805" w:rsidR="00311862" w:rsidRDefault="00311862" w:rsidP="00311862">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It is not clear how the range of matters considered by SPFAC contribute to the achievement of </w:t>
      </w:r>
      <w:r w:rsidR="008E3383" w:rsidRPr="008C3F18">
        <w:rPr>
          <w:rFonts w:ascii="Arial" w:hAnsi="Arial" w:cs="Arial"/>
          <w:color w:val="535355"/>
          <w:sz w:val="20"/>
          <w:szCs w:val="20"/>
        </w:rPr>
        <w:t>the</w:t>
      </w:r>
      <w:r w:rsidR="00E510F3" w:rsidRPr="008C3F18">
        <w:rPr>
          <w:rFonts w:ascii="Arial" w:hAnsi="Arial" w:cs="Arial"/>
          <w:color w:val="535355"/>
          <w:sz w:val="20"/>
          <w:szCs w:val="20"/>
        </w:rPr>
        <w:t xml:space="preserve"> State</w:t>
      </w:r>
      <w:r w:rsidR="008E3383" w:rsidRPr="008C3F18">
        <w:rPr>
          <w:rFonts w:ascii="Arial" w:hAnsi="Arial" w:cs="Arial"/>
          <w:color w:val="535355"/>
          <w:sz w:val="20"/>
          <w:szCs w:val="20"/>
        </w:rPr>
        <w:t xml:space="preserve"> Gove</w:t>
      </w:r>
      <w:r w:rsidR="00E510F3" w:rsidRPr="008C3F18">
        <w:rPr>
          <w:rFonts w:ascii="Arial" w:hAnsi="Arial" w:cs="Arial"/>
          <w:color w:val="535355"/>
          <w:sz w:val="20"/>
          <w:szCs w:val="20"/>
        </w:rPr>
        <w:t>rnment’s</w:t>
      </w:r>
      <w:r w:rsidR="001D22DA" w:rsidRPr="008C3F18">
        <w:rPr>
          <w:rFonts w:ascii="Arial" w:hAnsi="Arial" w:cs="Arial"/>
          <w:color w:val="535355"/>
          <w:sz w:val="20"/>
          <w:szCs w:val="20"/>
        </w:rPr>
        <w:t xml:space="preserve"> </w:t>
      </w:r>
      <w:r w:rsidR="008C3F18" w:rsidRPr="008C3F18">
        <w:rPr>
          <w:rFonts w:ascii="Arial" w:hAnsi="Arial" w:cs="Arial"/>
          <w:color w:val="535355"/>
          <w:sz w:val="20"/>
          <w:szCs w:val="20"/>
        </w:rPr>
        <w:t>objectives in education</w:t>
      </w:r>
      <w:r>
        <w:rPr>
          <w:rFonts w:ascii="Arial" w:hAnsi="Arial" w:cs="Arial"/>
          <w:color w:val="535355"/>
          <w:sz w:val="20"/>
          <w:szCs w:val="20"/>
        </w:rPr>
        <w:t xml:space="preserve">, or what important matters are not yet </w:t>
      </w:r>
      <w:proofErr w:type="gramStart"/>
      <w:r>
        <w:rPr>
          <w:rFonts w:ascii="Arial" w:hAnsi="Arial" w:cs="Arial"/>
          <w:color w:val="535355"/>
          <w:sz w:val="20"/>
          <w:szCs w:val="20"/>
        </w:rPr>
        <w:t>being considered</w:t>
      </w:r>
      <w:proofErr w:type="gramEnd"/>
      <w:r>
        <w:rPr>
          <w:rFonts w:ascii="Arial" w:hAnsi="Arial" w:cs="Arial"/>
          <w:color w:val="535355"/>
          <w:sz w:val="20"/>
          <w:szCs w:val="20"/>
        </w:rPr>
        <w:t xml:space="preserve"> by SPFAC.  This represents an opportunity to provide better support to the Minister.</w:t>
      </w:r>
    </w:p>
    <w:p w14:paraId="7905478F" w14:textId="7F497BBC" w:rsidR="00311862" w:rsidRDefault="00311862" w:rsidP="00311862">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mechanism by which SPFAC provides advice to the Minister is </w:t>
      </w:r>
      <w:r w:rsidR="00096E6F">
        <w:rPr>
          <w:rFonts w:ascii="Arial" w:hAnsi="Arial" w:cs="Arial"/>
          <w:color w:val="535355"/>
          <w:sz w:val="20"/>
          <w:szCs w:val="20"/>
        </w:rPr>
        <w:t xml:space="preserve">through </w:t>
      </w:r>
      <w:r>
        <w:rPr>
          <w:rFonts w:ascii="Arial" w:hAnsi="Arial" w:cs="Arial"/>
          <w:color w:val="535355"/>
          <w:sz w:val="20"/>
          <w:szCs w:val="20"/>
        </w:rPr>
        <w:t>incorporation within other Departmental briefing</w:t>
      </w:r>
      <w:r w:rsidR="00967EBA">
        <w:rPr>
          <w:rFonts w:ascii="Arial" w:hAnsi="Arial" w:cs="Arial"/>
          <w:color w:val="535355"/>
          <w:sz w:val="20"/>
          <w:szCs w:val="20"/>
        </w:rPr>
        <w:t>s</w:t>
      </w:r>
      <w:r w:rsidR="00096E6F">
        <w:rPr>
          <w:rFonts w:ascii="Arial" w:hAnsi="Arial" w:cs="Arial"/>
          <w:color w:val="535355"/>
          <w:sz w:val="20"/>
          <w:szCs w:val="20"/>
        </w:rPr>
        <w:t>.  There is</w:t>
      </w:r>
      <w:r>
        <w:rPr>
          <w:rFonts w:ascii="Arial" w:hAnsi="Arial" w:cs="Arial"/>
          <w:color w:val="535355"/>
          <w:sz w:val="20"/>
          <w:szCs w:val="20"/>
        </w:rPr>
        <w:t xml:space="preserve"> potential to improve the transparency and accountability of SPFAC </w:t>
      </w:r>
      <w:r w:rsidR="00096E6F">
        <w:rPr>
          <w:rFonts w:ascii="Arial" w:hAnsi="Arial" w:cs="Arial"/>
          <w:color w:val="535355"/>
          <w:sz w:val="20"/>
          <w:szCs w:val="20"/>
        </w:rPr>
        <w:t>in</w:t>
      </w:r>
      <w:r>
        <w:rPr>
          <w:rFonts w:ascii="Arial" w:hAnsi="Arial" w:cs="Arial"/>
          <w:color w:val="535355"/>
          <w:sz w:val="20"/>
          <w:szCs w:val="20"/>
        </w:rPr>
        <w:t xml:space="preserve"> its advice to the Minister.</w:t>
      </w:r>
    </w:p>
    <w:p w14:paraId="4F775F04" w14:textId="413EC443" w:rsidR="00311862" w:rsidRDefault="00311862" w:rsidP="00311862">
      <w:pPr>
        <w:pStyle w:val="Heading2Pro"/>
      </w:pPr>
      <w:bookmarkStart w:id="13" w:name="_Toc525244604"/>
      <w:r>
        <w:t>Conclusion – Scope Item 3 – Advice from SPFAC</w:t>
      </w:r>
      <w:bookmarkEnd w:id="13"/>
    </w:p>
    <w:p w14:paraId="29F83A4C" w14:textId="77777777" w:rsidR="00311862" w:rsidRDefault="00311862" w:rsidP="00311862">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SPFAC has provided </w:t>
      </w:r>
      <w:r w:rsidRPr="00311C2C">
        <w:rPr>
          <w:rFonts w:ascii="Arial" w:hAnsi="Arial" w:cs="Arial"/>
          <w:color w:val="535355"/>
          <w:sz w:val="20"/>
          <w:szCs w:val="20"/>
        </w:rPr>
        <w:t>advice</w:t>
      </w:r>
      <w:r>
        <w:rPr>
          <w:rFonts w:ascii="Arial" w:hAnsi="Arial" w:cs="Arial"/>
          <w:color w:val="535355"/>
          <w:sz w:val="20"/>
          <w:szCs w:val="20"/>
        </w:rPr>
        <w:t xml:space="preserve"> to the Minister on policy, funding and regulatory matters that affect government schools and non-government schools.</w:t>
      </w:r>
    </w:p>
    <w:p w14:paraId="0DD91F27" w14:textId="58DD086E" w:rsidR="00311862" w:rsidRDefault="00311862" w:rsidP="00311862">
      <w:pPr>
        <w:pStyle w:val="Heading2Pro"/>
      </w:pPr>
      <w:bookmarkStart w:id="14" w:name="_Toc525244605"/>
      <w:r>
        <w:t>Recommendations</w:t>
      </w:r>
      <w:bookmarkEnd w:id="14"/>
    </w:p>
    <w:p w14:paraId="085BC643" w14:textId="093B91D4" w:rsidR="00311862" w:rsidRPr="00606384" w:rsidRDefault="00AB646F" w:rsidP="00AB646F">
      <w:pPr>
        <w:pStyle w:val="ListParagraph"/>
        <w:numPr>
          <w:ilvl w:val="6"/>
          <w:numId w:val="26"/>
        </w:numPr>
        <w:spacing w:before="0" w:after="160" w:line="259" w:lineRule="auto"/>
        <w:ind w:left="426"/>
        <w:contextualSpacing w:val="0"/>
        <w:jc w:val="both"/>
        <w:rPr>
          <w:rFonts w:ascii="Arial" w:hAnsi="Arial" w:cs="Arial"/>
          <w:color w:val="535355"/>
          <w:sz w:val="20"/>
          <w:szCs w:val="20"/>
        </w:rPr>
      </w:pPr>
      <w:r w:rsidRPr="00AB646F">
        <w:rPr>
          <w:rFonts w:ascii="Arial" w:hAnsi="Arial" w:cs="Arial"/>
          <w:color w:val="535355"/>
          <w:sz w:val="20"/>
          <w:szCs w:val="20"/>
        </w:rPr>
        <w:t xml:space="preserve">SPFAC should seek to provide the Minister with greater visibility of why matters are included in the work plan, including how the matters on the work plan contribute to the Government’s priorities.  In presenting this, consideration </w:t>
      </w:r>
      <w:proofErr w:type="gramStart"/>
      <w:r w:rsidRPr="00AB646F">
        <w:rPr>
          <w:rFonts w:ascii="Arial" w:hAnsi="Arial" w:cs="Arial"/>
          <w:color w:val="535355"/>
          <w:sz w:val="20"/>
          <w:szCs w:val="20"/>
        </w:rPr>
        <w:t>should be given</w:t>
      </w:r>
      <w:proofErr w:type="gramEnd"/>
      <w:r w:rsidRPr="00AB646F">
        <w:rPr>
          <w:rFonts w:ascii="Arial" w:hAnsi="Arial" w:cs="Arial"/>
          <w:color w:val="535355"/>
          <w:sz w:val="20"/>
          <w:szCs w:val="20"/>
        </w:rPr>
        <w:t xml:space="preserve"> to identifying other items as determined by the Minister</w:t>
      </w:r>
      <w:r w:rsidR="00311862" w:rsidRPr="00606384">
        <w:rPr>
          <w:rFonts w:ascii="Arial" w:hAnsi="Arial" w:cs="Arial"/>
          <w:color w:val="535355"/>
          <w:sz w:val="20"/>
          <w:szCs w:val="20"/>
        </w:rPr>
        <w:t>.</w:t>
      </w:r>
    </w:p>
    <w:p w14:paraId="000848C9" w14:textId="43D1AC1E" w:rsidR="00311862" w:rsidRPr="00311862" w:rsidRDefault="00311862" w:rsidP="00311862">
      <w:pPr>
        <w:pStyle w:val="ListParagraph"/>
        <w:numPr>
          <w:ilvl w:val="6"/>
          <w:numId w:val="26"/>
        </w:numPr>
        <w:spacing w:before="0" w:after="160" w:line="259" w:lineRule="auto"/>
        <w:ind w:left="426"/>
        <w:contextualSpacing w:val="0"/>
        <w:jc w:val="both"/>
        <w:rPr>
          <w:rFonts w:ascii="Arial" w:hAnsi="Arial" w:cs="Arial"/>
          <w:color w:val="535355"/>
          <w:sz w:val="20"/>
          <w:szCs w:val="20"/>
        </w:rPr>
      </w:pPr>
      <w:r w:rsidRPr="00606384">
        <w:rPr>
          <w:rFonts w:ascii="Arial" w:hAnsi="Arial" w:cs="Arial"/>
          <w:color w:val="535355"/>
          <w:sz w:val="20"/>
          <w:szCs w:val="20"/>
        </w:rPr>
        <w:t xml:space="preserve">SPFAC should establish a mechanism by which specific </w:t>
      </w:r>
      <w:r w:rsidRPr="008C3F18">
        <w:rPr>
          <w:rFonts w:ascii="Arial" w:hAnsi="Arial" w:cs="Arial"/>
          <w:color w:val="535355"/>
          <w:sz w:val="20"/>
          <w:szCs w:val="20"/>
          <w:u w:val="single"/>
        </w:rPr>
        <w:t>advice</w:t>
      </w:r>
      <w:r w:rsidRPr="00606384">
        <w:rPr>
          <w:rFonts w:ascii="Arial" w:hAnsi="Arial" w:cs="Arial"/>
          <w:color w:val="535355"/>
          <w:sz w:val="20"/>
          <w:szCs w:val="20"/>
        </w:rPr>
        <w:t xml:space="preserve"> from the Council </w:t>
      </w:r>
      <w:proofErr w:type="gramStart"/>
      <w:r w:rsidRPr="00606384">
        <w:rPr>
          <w:rFonts w:ascii="Arial" w:hAnsi="Arial" w:cs="Arial"/>
          <w:color w:val="535355"/>
          <w:sz w:val="20"/>
          <w:szCs w:val="20"/>
        </w:rPr>
        <w:t>is provided</w:t>
      </w:r>
      <w:proofErr w:type="gramEnd"/>
      <w:r w:rsidRPr="00606384">
        <w:rPr>
          <w:rFonts w:ascii="Arial" w:hAnsi="Arial" w:cs="Arial"/>
          <w:color w:val="535355"/>
          <w:sz w:val="20"/>
          <w:szCs w:val="20"/>
        </w:rPr>
        <w:t xml:space="preserve"> to the Minister.</w:t>
      </w:r>
    </w:p>
    <w:p w14:paraId="20CD7F7C" w14:textId="32E1372C" w:rsidR="00311862" w:rsidRPr="00311862" w:rsidRDefault="00311862" w:rsidP="00311862">
      <w:pPr>
        <w:spacing w:before="0" w:after="160" w:line="259" w:lineRule="auto"/>
        <w:contextualSpacing w:val="0"/>
        <w:jc w:val="both"/>
        <w:rPr>
          <w:rFonts w:ascii="Arial" w:hAnsi="Arial" w:cs="Arial"/>
          <w:color w:val="535355"/>
          <w:sz w:val="20"/>
          <w:szCs w:val="20"/>
        </w:rPr>
      </w:pPr>
      <w:r w:rsidRPr="00311862">
        <w:rPr>
          <w:rFonts w:ascii="Arial" w:hAnsi="Arial" w:cs="Arial"/>
          <w:color w:val="535355"/>
          <w:sz w:val="20"/>
          <w:szCs w:val="20"/>
        </w:rPr>
        <w:br/>
      </w:r>
    </w:p>
    <w:p w14:paraId="215EB64F" w14:textId="77777777" w:rsidR="00295204" w:rsidRDefault="00295204" w:rsidP="001A2F53">
      <w:pPr>
        <w:pStyle w:val="BodyPRO"/>
      </w:pPr>
    </w:p>
    <w:p w14:paraId="4984C70C" w14:textId="77777777" w:rsidR="008F2EEE" w:rsidRDefault="001524EC">
      <w:pPr>
        <w:spacing w:before="0" w:after="160" w:line="259" w:lineRule="auto"/>
        <w:contextualSpacing w:val="0"/>
        <w:rPr>
          <w:bCs/>
          <w:color w:val="3C3D3E" w:themeColor="text1"/>
          <w:szCs w:val="18"/>
        </w:rPr>
      </w:pPr>
      <w:r>
        <w:br w:type="page"/>
      </w:r>
    </w:p>
    <w:p w14:paraId="05D4E2BE" w14:textId="01B421BA" w:rsidR="007C43D6" w:rsidRPr="001524EC" w:rsidRDefault="002E6267" w:rsidP="00A94F45">
      <w:pPr>
        <w:pStyle w:val="Heading1Pro"/>
      </w:pPr>
      <w:bookmarkStart w:id="15" w:name="_Toc525244606"/>
      <w:r>
        <w:lastRenderedPageBreak/>
        <w:t>Background</w:t>
      </w:r>
      <w:bookmarkEnd w:id="15"/>
    </w:p>
    <w:p w14:paraId="448C9213" w14:textId="39F8613F" w:rsidR="007D08F9" w:rsidRPr="007D08F9" w:rsidRDefault="007D08F9" w:rsidP="007869BF">
      <w:pPr>
        <w:pStyle w:val="InstructionRed"/>
        <w:jc w:val="both"/>
        <w:rPr>
          <w:rFonts w:ascii="Arial" w:hAnsi="Arial" w:cs="Arial"/>
          <w:color w:val="535355"/>
          <w:szCs w:val="20"/>
        </w:rPr>
      </w:pPr>
      <w:r>
        <w:rPr>
          <w:rFonts w:ascii="Arial" w:hAnsi="Arial" w:cs="Arial"/>
          <w:color w:val="535355"/>
          <w:szCs w:val="20"/>
        </w:rPr>
        <w:t xml:space="preserve">In 2006, the Victorian Government enacted the </w:t>
      </w:r>
      <w:r>
        <w:rPr>
          <w:rFonts w:ascii="Arial" w:hAnsi="Arial" w:cs="Arial"/>
          <w:i/>
          <w:color w:val="535355"/>
          <w:szCs w:val="20"/>
        </w:rPr>
        <w:t xml:space="preserve">Education and Training Reform Act 2006 </w:t>
      </w:r>
      <w:r>
        <w:rPr>
          <w:rFonts w:ascii="Arial" w:hAnsi="Arial" w:cs="Arial"/>
          <w:color w:val="535355"/>
          <w:szCs w:val="20"/>
        </w:rPr>
        <w:t>(ETRA), as a key component underpinning education and training in Victoria.</w:t>
      </w:r>
    </w:p>
    <w:p w14:paraId="53C74B0C" w14:textId="4942406D" w:rsidR="007D08F9" w:rsidRDefault="007D08F9" w:rsidP="007869BF">
      <w:pPr>
        <w:pStyle w:val="InstructionRed"/>
        <w:jc w:val="both"/>
        <w:rPr>
          <w:rFonts w:ascii="Arial" w:hAnsi="Arial" w:cs="Arial"/>
          <w:color w:val="535355"/>
          <w:szCs w:val="20"/>
        </w:rPr>
      </w:pPr>
      <w:r w:rsidRPr="007D08F9">
        <w:rPr>
          <w:rFonts w:ascii="Arial" w:hAnsi="Arial" w:cs="Arial"/>
          <w:color w:val="535355"/>
          <w:szCs w:val="20"/>
        </w:rPr>
        <w:t xml:space="preserve">The purpose of the </w:t>
      </w:r>
      <w:r>
        <w:rPr>
          <w:rFonts w:ascii="Arial" w:hAnsi="Arial" w:cs="Arial"/>
          <w:color w:val="535355"/>
          <w:szCs w:val="20"/>
        </w:rPr>
        <w:t>ETRA</w:t>
      </w:r>
      <w:r w:rsidRPr="007D08F9">
        <w:rPr>
          <w:rFonts w:ascii="Arial" w:hAnsi="Arial" w:cs="Arial"/>
          <w:color w:val="535355"/>
          <w:szCs w:val="20"/>
        </w:rPr>
        <w:t xml:space="preserve"> </w:t>
      </w:r>
      <w:r>
        <w:rPr>
          <w:rFonts w:ascii="Arial" w:hAnsi="Arial" w:cs="Arial"/>
          <w:color w:val="535355"/>
          <w:szCs w:val="20"/>
        </w:rPr>
        <w:t>wa</w:t>
      </w:r>
      <w:r w:rsidRPr="007D08F9">
        <w:rPr>
          <w:rFonts w:ascii="Arial" w:hAnsi="Arial" w:cs="Arial"/>
          <w:color w:val="535355"/>
          <w:szCs w:val="20"/>
        </w:rPr>
        <w:t xml:space="preserve">s to reform the law relating to education and training to provide a high standard of education and training for Victorians. </w:t>
      </w:r>
      <w:r>
        <w:rPr>
          <w:rFonts w:ascii="Arial" w:hAnsi="Arial" w:cs="Arial"/>
          <w:color w:val="535355"/>
          <w:szCs w:val="20"/>
        </w:rPr>
        <w:t xml:space="preserve"> </w:t>
      </w:r>
      <w:r w:rsidRPr="007D08F9">
        <w:rPr>
          <w:rFonts w:ascii="Arial" w:hAnsi="Arial" w:cs="Arial"/>
          <w:color w:val="535355"/>
          <w:szCs w:val="20"/>
        </w:rPr>
        <w:t>It makes provisions for compulsory schooling, vocational, technical and further education and training, establishment and regulation of Government</w:t>
      </w:r>
      <w:r w:rsidR="009B143E">
        <w:rPr>
          <w:rFonts w:ascii="Arial" w:hAnsi="Arial" w:cs="Arial"/>
          <w:color w:val="535355"/>
          <w:szCs w:val="20"/>
        </w:rPr>
        <w:t>, systemic</w:t>
      </w:r>
      <w:r w:rsidRPr="007D08F9">
        <w:rPr>
          <w:rFonts w:ascii="Arial" w:hAnsi="Arial" w:cs="Arial"/>
          <w:color w:val="535355"/>
          <w:szCs w:val="20"/>
        </w:rPr>
        <w:t xml:space="preserve"> and independent schools, home schooling, post-secondary education, course accreditations and issuing of qualifications, government teachers and to amend other acts relating to education and training.</w:t>
      </w:r>
    </w:p>
    <w:p w14:paraId="77637168" w14:textId="77777777" w:rsidR="007D08F9" w:rsidRDefault="007D08F9" w:rsidP="007869BF">
      <w:pPr>
        <w:pStyle w:val="InstructionRed"/>
        <w:jc w:val="both"/>
        <w:rPr>
          <w:rFonts w:ascii="Arial" w:hAnsi="Arial" w:cs="Arial"/>
          <w:color w:val="535355"/>
          <w:szCs w:val="20"/>
        </w:rPr>
      </w:pPr>
      <w:r w:rsidRPr="009D0284">
        <w:rPr>
          <w:rFonts w:ascii="Arial" w:hAnsi="Arial" w:cs="Arial"/>
          <w:color w:val="535355"/>
          <w:szCs w:val="20"/>
        </w:rPr>
        <w:t xml:space="preserve">In March 2015, the Victorian Government amended the ETRA to establish a transparent mechanism for State funding of non-government schools. </w:t>
      </w:r>
    </w:p>
    <w:p w14:paraId="3AA5E927" w14:textId="18E34CD1" w:rsidR="007D08F9" w:rsidRPr="00B04C0F" w:rsidRDefault="00B04C0F" w:rsidP="007869BF">
      <w:pPr>
        <w:pStyle w:val="InstructionRed"/>
        <w:jc w:val="both"/>
        <w:rPr>
          <w:rFonts w:ascii="Arial" w:hAnsi="Arial" w:cs="Arial"/>
          <w:color w:val="535355"/>
          <w:szCs w:val="20"/>
        </w:rPr>
      </w:pPr>
      <w:r>
        <w:rPr>
          <w:rFonts w:ascii="Arial" w:hAnsi="Arial" w:cs="Arial"/>
          <w:color w:val="535355"/>
          <w:szCs w:val="20"/>
        </w:rPr>
        <w:t>Specifically, t</w:t>
      </w:r>
      <w:r w:rsidR="007D08F9" w:rsidRPr="00B04C0F">
        <w:rPr>
          <w:rFonts w:ascii="Arial" w:hAnsi="Arial" w:cs="Arial"/>
          <w:color w:val="535355"/>
          <w:szCs w:val="20"/>
        </w:rPr>
        <w:t xml:space="preserve">he </w:t>
      </w:r>
      <w:r>
        <w:rPr>
          <w:rFonts w:ascii="Arial" w:hAnsi="Arial" w:cs="Arial"/>
          <w:color w:val="535355"/>
          <w:szCs w:val="20"/>
        </w:rPr>
        <w:t xml:space="preserve">amendment </w:t>
      </w:r>
      <w:r w:rsidR="008B5B1E">
        <w:rPr>
          <w:rFonts w:ascii="Arial" w:hAnsi="Arial" w:cs="Arial"/>
          <w:color w:val="535355"/>
          <w:szCs w:val="20"/>
        </w:rPr>
        <w:t>sought</w:t>
      </w:r>
      <w:r>
        <w:rPr>
          <w:rFonts w:ascii="Arial" w:hAnsi="Arial" w:cs="Arial"/>
          <w:color w:val="535355"/>
          <w:szCs w:val="20"/>
        </w:rPr>
        <w:t xml:space="preserve"> to increase </w:t>
      </w:r>
      <w:r w:rsidR="008B5B1E">
        <w:rPr>
          <w:rFonts w:ascii="Arial" w:hAnsi="Arial" w:cs="Arial"/>
          <w:color w:val="535355"/>
          <w:szCs w:val="20"/>
        </w:rPr>
        <w:t>transparency</w:t>
      </w:r>
      <w:r>
        <w:rPr>
          <w:rFonts w:ascii="Arial" w:hAnsi="Arial" w:cs="Arial"/>
          <w:color w:val="535355"/>
          <w:szCs w:val="20"/>
        </w:rPr>
        <w:t xml:space="preserve"> of</w:t>
      </w:r>
      <w:r w:rsidR="007D08F9" w:rsidRPr="00B04C0F">
        <w:rPr>
          <w:rFonts w:ascii="Arial" w:hAnsi="Arial" w:cs="Arial"/>
          <w:color w:val="535355"/>
          <w:szCs w:val="20"/>
        </w:rPr>
        <w:t xml:space="preserve"> recurrent funding for non-government</w:t>
      </w:r>
      <w:r>
        <w:rPr>
          <w:rFonts w:ascii="Arial" w:hAnsi="Arial" w:cs="Arial"/>
          <w:color w:val="535355"/>
          <w:szCs w:val="20"/>
        </w:rPr>
        <w:t xml:space="preserve"> </w:t>
      </w:r>
      <w:r w:rsidR="007D08F9" w:rsidRPr="00B04C0F">
        <w:rPr>
          <w:rFonts w:ascii="Arial" w:hAnsi="Arial" w:cs="Arial"/>
          <w:color w:val="535355"/>
          <w:szCs w:val="20"/>
        </w:rPr>
        <w:t xml:space="preserve">schools by amending the </w:t>
      </w:r>
      <w:r>
        <w:rPr>
          <w:rFonts w:ascii="Arial" w:hAnsi="Arial" w:cs="Arial"/>
          <w:color w:val="535355"/>
          <w:szCs w:val="20"/>
        </w:rPr>
        <w:t>ETRA</w:t>
      </w:r>
      <w:r w:rsidR="007D08F9" w:rsidRPr="00B04C0F">
        <w:rPr>
          <w:rFonts w:ascii="Arial" w:hAnsi="Arial" w:cs="Arial"/>
          <w:color w:val="535355"/>
          <w:szCs w:val="20"/>
        </w:rPr>
        <w:t xml:space="preserve"> </w:t>
      </w:r>
      <w:proofErr w:type="gramStart"/>
      <w:r w:rsidR="007D08F9" w:rsidRPr="00B04C0F">
        <w:rPr>
          <w:rFonts w:ascii="Arial" w:hAnsi="Arial" w:cs="Arial"/>
          <w:color w:val="535355"/>
          <w:szCs w:val="20"/>
        </w:rPr>
        <w:t>to expressly legislate</w:t>
      </w:r>
      <w:proofErr w:type="gramEnd"/>
      <w:r w:rsidR="007D08F9" w:rsidRPr="00B04C0F">
        <w:rPr>
          <w:rFonts w:ascii="Arial" w:hAnsi="Arial" w:cs="Arial"/>
          <w:color w:val="535355"/>
          <w:szCs w:val="20"/>
        </w:rPr>
        <w:t xml:space="preserve"> the</w:t>
      </w:r>
      <w:r>
        <w:rPr>
          <w:rFonts w:ascii="Arial" w:hAnsi="Arial" w:cs="Arial"/>
          <w:color w:val="535355"/>
          <w:szCs w:val="20"/>
        </w:rPr>
        <w:t xml:space="preserve"> </w:t>
      </w:r>
      <w:r w:rsidR="007D08F9" w:rsidRPr="00B04C0F">
        <w:rPr>
          <w:rFonts w:ascii="Arial" w:hAnsi="Arial" w:cs="Arial"/>
          <w:color w:val="535355"/>
          <w:szCs w:val="20"/>
        </w:rPr>
        <w:t>minimum linkage percentage of 25 per cent</w:t>
      </w:r>
      <w:r w:rsidR="00B73E59">
        <w:rPr>
          <w:rFonts w:ascii="Arial" w:hAnsi="Arial" w:cs="Arial"/>
          <w:color w:val="535355"/>
          <w:szCs w:val="20"/>
        </w:rPr>
        <w:t>,</w:t>
      </w:r>
      <w:r w:rsidR="007D08F9" w:rsidRPr="00B04C0F">
        <w:rPr>
          <w:rFonts w:ascii="Arial" w:hAnsi="Arial" w:cs="Arial"/>
          <w:color w:val="535355"/>
          <w:szCs w:val="20"/>
        </w:rPr>
        <w:t xml:space="preserve"> to be allocated to</w:t>
      </w:r>
      <w:r>
        <w:rPr>
          <w:rFonts w:ascii="Arial" w:hAnsi="Arial" w:cs="Arial"/>
          <w:color w:val="535355"/>
          <w:szCs w:val="20"/>
        </w:rPr>
        <w:t xml:space="preserve"> </w:t>
      </w:r>
      <w:r w:rsidR="007D08F9" w:rsidRPr="00B04C0F">
        <w:rPr>
          <w:rFonts w:ascii="Arial" w:hAnsi="Arial" w:cs="Arial"/>
          <w:color w:val="535355"/>
          <w:szCs w:val="20"/>
        </w:rPr>
        <w:t xml:space="preserve">the non-government schools sector. </w:t>
      </w:r>
      <w:r>
        <w:rPr>
          <w:rFonts w:ascii="Arial" w:hAnsi="Arial" w:cs="Arial"/>
          <w:color w:val="535355"/>
          <w:szCs w:val="20"/>
        </w:rPr>
        <w:t xml:space="preserve"> </w:t>
      </w:r>
      <w:proofErr w:type="gramStart"/>
      <w:r w:rsidR="007D08F9" w:rsidRPr="00B04C0F">
        <w:rPr>
          <w:rFonts w:ascii="Arial" w:hAnsi="Arial" w:cs="Arial"/>
          <w:color w:val="535355"/>
          <w:szCs w:val="20"/>
        </w:rPr>
        <w:t>This is to ensure that</w:t>
      </w:r>
      <w:r>
        <w:rPr>
          <w:rFonts w:ascii="Arial" w:hAnsi="Arial" w:cs="Arial"/>
          <w:color w:val="535355"/>
          <w:szCs w:val="20"/>
        </w:rPr>
        <w:t xml:space="preserve"> </w:t>
      </w:r>
      <w:r w:rsidR="007D08F9" w:rsidRPr="00B04C0F">
        <w:rPr>
          <w:rFonts w:ascii="Arial" w:hAnsi="Arial" w:cs="Arial"/>
          <w:color w:val="535355"/>
          <w:szCs w:val="20"/>
        </w:rPr>
        <w:t>growth in per student state funding for government schools</w:t>
      </w:r>
      <w:r>
        <w:rPr>
          <w:rFonts w:ascii="Arial" w:hAnsi="Arial" w:cs="Arial"/>
          <w:color w:val="535355"/>
          <w:szCs w:val="20"/>
        </w:rPr>
        <w:t xml:space="preserve"> </w:t>
      </w:r>
      <w:r w:rsidR="007D08F9" w:rsidRPr="00B04C0F">
        <w:rPr>
          <w:rFonts w:ascii="Arial" w:hAnsi="Arial" w:cs="Arial"/>
          <w:color w:val="535355"/>
          <w:szCs w:val="20"/>
        </w:rPr>
        <w:t>will also flow through to growth in state funding for</w:t>
      </w:r>
      <w:r>
        <w:rPr>
          <w:rFonts w:ascii="Arial" w:hAnsi="Arial" w:cs="Arial"/>
          <w:color w:val="535355"/>
          <w:szCs w:val="20"/>
        </w:rPr>
        <w:t xml:space="preserve"> </w:t>
      </w:r>
      <w:r w:rsidR="007D08F9" w:rsidRPr="00B04C0F">
        <w:rPr>
          <w:rFonts w:ascii="Arial" w:hAnsi="Arial" w:cs="Arial"/>
          <w:color w:val="535355"/>
          <w:szCs w:val="20"/>
        </w:rPr>
        <w:t>non-gove</w:t>
      </w:r>
      <w:r w:rsidR="00F74219">
        <w:rPr>
          <w:rFonts w:ascii="Arial" w:hAnsi="Arial" w:cs="Arial"/>
          <w:color w:val="535355"/>
          <w:szCs w:val="20"/>
        </w:rPr>
        <w:t xml:space="preserve">rnment schools, which only </w:t>
      </w:r>
      <w:r w:rsidR="00F34F59">
        <w:rPr>
          <w:rFonts w:ascii="Arial" w:hAnsi="Arial" w:cs="Arial"/>
          <w:color w:val="535355"/>
          <w:szCs w:val="20"/>
        </w:rPr>
        <w:t>occurs</w:t>
      </w:r>
      <w:r w:rsidR="007D08F9" w:rsidRPr="00B04C0F">
        <w:rPr>
          <w:rFonts w:ascii="Arial" w:hAnsi="Arial" w:cs="Arial"/>
          <w:color w:val="535355"/>
          <w:szCs w:val="20"/>
        </w:rPr>
        <w:t xml:space="preserve"> through</w:t>
      </w:r>
      <w:r>
        <w:rPr>
          <w:rFonts w:ascii="Arial" w:hAnsi="Arial" w:cs="Arial"/>
          <w:color w:val="535355"/>
          <w:szCs w:val="20"/>
        </w:rPr>
        <w:t xml:space="preserve"> </w:t>
      </w:r>
      <w:r w:rsidR="007D08F9" w:rsidRPr="00B04C0F">
        <w:rPr>
          <w:rFonts w:ascii="Arial" w:hAnsi="Arial" w:cs="Arial"/>
          <w:color w:val="535355"/>
          <w:szCs w:val="20"/>
        </w:rPr>
        <w:t xml:space="preserve">administrative arrangements </w:t>
      </w:r>
      <w:r w:rsidR="008B5B1E">
        <w:rPr>
          <w:rFonts w:ascii="Arial" w:hAnsi="Arial" w:cs="Arial"/>
          <w:color w:val="535355"/>
          <w:szCs w:val="20"/>
        </w:rPr>
        <w:t>previously</w:t>
      </w:r>
      <w:r w:rsidR="007D08F9" w:rsidRPr="00B04C0F">
        <w:rPr>
          <w:rFonts w:ascii="Arial" w:hAnsi="Arial" w:cs="Arial"/>
          <w:color w:val="535355"/>
          <w:szCs w:val="20"/>
        </w:rPr>
        <w:t>.</w:t>
      </w:r>
      <w:proofErr w:type="gramEnd"/>
      <w:r>
        <w:rPr>
          <w:rFonts w:ascii="Arial" w:hAnsi="Arial" w:cs="Arial"/>
          <w:color w:val="535355"/>
          <w:szCs w:val="20"/>
        </w:rPr>
        <w:t xml:space="preserve">  </w:t>
      </w:r>
      <w:r w:rsidR="007D08F9" w:rsidRPr="00B04C0F">
        <w:rPr>
          <w:rFonts w:ascii="Arial" w:hAnsi="Arial" w:cs="Arial"/>
          <w:color w:val="535355"/>
          <w:szCs w:val="20"/>
        </w:rPr>
        <w:t xml:space="preserve">The </w:t>
      </w:r>
      <w:r>
        <w:rPr>
          <w:rFonts w:ascii="Arial" w:hAnsi="Arial" w:cs="Arial"/>
          <w:color w:val="535355"/>
          <w:szCs w:val="20"/>
        </w:rPr>
        <w:t>amendment defines</w:t>
      </w:r>
      <w:r w:rsidR="007D08F9" w:rsidRPr="00B04C0F">
        <w:rPr>
          <w:rFonts w:ascii="Arial" w:hAnsi="Arial" w:cs="Arial"/>
          <w:color w:val="535355"/>
          <w:szCs w:val="20"/>
        </w:rPr>
        <w:t xml:space="preserve"> general principles to determine particular</w:t>
      </w:r>
      <w:r>
        <w:rPr>
          <w:rFonts w:ascii="Arial" w:hAnsi="Arial" w:cs="Arial"/>
          <w:color w:val="535355"/>
          <w:szCs w:val="20"/>
        </w:rPr>
        <w:t xml:space="preserve"> </w:t>
      </w:r>
      <w:r w:rsidR="007D08F9" w:rsidRPr="00B04C0F">
        <w:rPr>
          <w:rFonts w:ascii="Arial" w:hAnsi="Arial" w:cs="Arial"/>
          <w:color w:val="535355"/>
          <w:szCs w:val="20"/>
        </w:rPr>
        <w:t>recurrent funding lines on which the 25 per cent is applied,</w:t>
      </w:r>
      <w:r>
        <w:rPr>
          <w:rFonts w:ascii="Arial" w:hAnsi="Arial" w:cs="Arial"/>
          <w:color w:val="535355"/>
          <w:szCs w:val="20"/>
        </w:rPr>
        <w:t xml:space="preserve"> </w:t>
      </w:r>
      <w:r w:rsidR="007D08F9" w:rsidRPr="00B04C0F">
        <w:rPr>
          <w:rFonts w:ascii="Arial" w:hAnsi="Arial" w:cs="Arial"/>
          <w:color w:val="535355"/>
          <w:szCs w:val="20"/>
        </w:rPr>
        <w:t xml:space="preserve">called ‘basket of goods’; as well as categories of </w:t>
      </w:r>
      <w:proofErr w:type="gramStart"/>
      <w:r w:rsidR="007D08F9" w:rsidRPr="00B04C0F">
        <w:rPr>
          <w:rFonts w:ascii="Arial" w:hAnsi="Arial" w:cs="Arial"/>
          <w:color w:val="535355"/>
          <w:szCs w:val="20"/>
        </w:rPr>
        <w:t>funding</w:t>
      </w:r>
      <w:r>
        <w:rPr>
          <w:rFonts w:ascii="Arial" w:hAnsi="Arial" w:cs="Arial"/>
          <w:color w:val="535355"/>
          <w:szCs w:val="20"/>
        </w:rPr>
        <w:t xml:space="preserve"> </w:t>
      </w:r>
      <w:r w:rsidR="007D08F9" w:rsidRPr="00B04C0F">
        <w:rPr>
          <w:rFonts w:ascii="Arial" w:hAnsi="Arial" w:cs="Arial"/>
          <w:color w:val="535355"/>
          <w:szCs w:val="20"/>
        </w:rPr>
        <w:t>which are included and excluded</w:t>
      </w:r>
      <w:proofErr w:type="gramEnd"/>
      <w:r w:rsidR="007D08F9" w:rsidRPr="00B04C0F">
        <w:rPr>
          <w:rFonts w:ascii="Arial" w:hAnsi="Arial" w:cs="Arial"/>
          <w:color w:val="535355"/>
          <w:szCs w:val="20"/>
        </w:rPr>
        <w:t xml:space="preserve"> from the basket.</w:t>
      </w:r>
    </w:p>
    <w:p w14:paraId="049E266C" w14:textId="1FBC4D74" w:rsidR="00B04C0F" w:rsidRDefault="00B04C0F" w:rsidP="007869BF">
      <w:pPr>
        <w:pStyle w:val="InstructionRed"/>
        <w:jc w:val="both"/>
        <w:rPr>
          <w:rFonts w:ascii="Arial" w:hAnsi="Arial" w:cs="Arial"/>
          <w:color w:val="535355"/>
          <w:szCs w:val="20"/>
        </w:rPr>
      </w:pPr>
      <w:r w:rsidRPr="00B04C0F">
        <w:rPr>
          <w:rFonts w:ascii="Arial" w:hAnsi="Arial" w:cs="Arial"/>
          <w:color w:val="535355"/>
          <w:szCs w:val="20"/>
        </w:rPr>
        <w:t xml:space="preserve">The </w:t>
      </w:r>
      <w:r>
        <w:rPr>
          <w:rFonts w:ascii="Arial" w:hAnsi="Arial" w:cs="Arial"/>
          <w:color w:val="535355"/>
          <w:szCs w:val="20"/>
        </w:rPr>
        <w:t>amendment</w:t>
      </w:r>
      <w:r w:rsidRPr="00B04C0F">
        <w:rPr>
          <w:rFonts w:ascii="Arial" w:hAnsi="Arial" w:cs="Arial"/>
          <w:color w:val="535355"/>
          <w:szCs w:val="20"/>
        </w:rPr>
        <w:t xml:space="preserve"> also establish</w:t>
      </w:r>
      <w:r>
        <w:rPr>
          <w:rFonts w:ascii="Arial" w:hAnsi="Arial" w:cs="Arial"/>
          <w:color w:val="535355"/>
          <w:szCs w:val="20"/>
        </w:rPr>
        <w:t>es</w:t>
      </w:r>
      <w:r w:rsidRPr="00B04C0F">
        <w:rPr>
          <w:rFonts w:ascii="Arial" w:hAnsi="Arial" w:cs="Arial"/>
          <w:color w:val="535355"/>
          <w:szCs w:val="20"/>
        </w:rPr>
        <w:t xml:space="preserve"> a School Policy and Funding</w:t>
      </w:r>
      <w:r>
        <w:rPr>
          <w:rFonts w:ascii="Arial" w:hAnsi="Arial" w:cs="Arial"/>
          <w:color w:val="535355"/>
          <w:szCs w:val="20"/>
        </w:rPr>
        <w:t xml:space="preserve"> </w:t>
      </w:r>
      <w:r w:rsidRPr="00B04C0F">
        <w:rPr>
          <w:rFonts w:ascii="Arial" w:hAnsi="Arial" w:cs="Arial"/>
          <w:color w:val="535355"/>
          <w:szCs w:val="20"/>
        </w:rPr>
        <w:t>Advisory Council (</w:t>
      </w:r>
      <w:r>
        <w:rPr>
          <w:rFonts w:ascii="Arial" w:hAnsi="Arial" w:cs="Arial"/>
          <w:color w:val="535355"/>
          <w:szCs w:val="20"/>
        </w:rPr>
        <w:t>SPFAC) to advise the M</w:t>
      </w:r>
      <w:r w:rsidRPr="00B04C0F">
        <w:rPr>
          <w:rFonts w:ascii="Arial" w:hAnsi="Arial" w:cs="Arial"/>
          <w:color w:val="535355"/>
          <w:szCs w:val="20"/>
        </w:rPr>
        <w:t>inister</w:t>
      </w:r>
      <w:r>
        <w:rPr>
          <w:rFonts w:ascii="Arial" w:hAnsi="Arial" w:cs="Arial"/>
          <w:color w:val="535355"/>
          <w:szCs w:val="20"/>
        </w:rPr>
        <w:t xml:space="preserve"> for Education </w:t>
      </w:r>
      <w:r w:rsidRPr="00B04C0F">
        <w:rPr>
          <w:rFonts w:ascii="Arial" w:hAnsi="Arial" w:cs="Arial"/>
          <w:color w:val="535355"/>
          <w:szCs w:val="20"/>
        </w:rPr>
        <w:t>on</w:t>
      </w:r>
      <w:r>
        <w:rPr>
          <w:rFonts w:ascii="Arial" w:hAnsi="Arial" w:cs="Arial"/>
          <w:color w:val="535355"/>
          <w:szCs w:val="20"/>
        </w:rPr>
        <w:t xml:space="preserve"> </w:t>
      </w:r>
      <w:r w:rsidRPr="00B04C0F">
        <w:rPr>
          <w:rFonts w:ascii="Arial" w:hAnsi="Arial" w:cs="Arial"/>
          <w:color w:val="535355"/>
          <w:szCs w:val="20"/>
        </w:rPr>
        <w:t>regulatory, policy and funding issues for all school sectors.</w:t>
      </w:r>
      <w:r>
        <w:rPr>
          <w:rFonts w:ascii="Arial" w:hAnsi="Arial" w:cs="Arial"/>
          <w:color w:val="535355"/>
          <w:szCs w:val="20"/>
        </w:rPr>
        <w:t xml:space="preserve"> Consistent with the amendment, t</w:t>
      </w:r>
      <w:r w:rsidRPr="00B04C0F">
        <w:rPr>
          <w:rFonts w:ascii="Arial" w:hAnsi="Arial" w:cs="Arial"/>
          <w:color w:val="535355"/>
          <w:szCs w:val="20"/>
        </w:rPr>
        <w:t xml:space="preserve">he </w:t>
      </w:r>
      <w:r>
        <w:rPr>
          <w:rFonts w:ascii="Arial" w:hAnsi="Arial" w:cs="Arial"/>
          <w:color w:val="535355"/>
          <w:szCs w:val="20"/>
        </w:rPr>
        <w:t>SPFAC</w:t>
      </w:r>
      <w:r w:rsidRPr="00B04C0F">
        <w:rPr>
          <w:rFonts w:ascii="Arial" w:hAnsi="Arial" w:cs="Arial"/>
          <w:color w:val="535355"/>
          <w:szCs w:val="20"/>
        </w:rPr>
        <w:t xml:space="preserve"> comprise</w:t>
      </w:r>
      <w:r>
        <w:rPr>
          <w:rFonts w:ascii="Arial" w:hAnsi="Arial" w:cs="Arial"/>
          <w:color w:val="535355"/>
          <w:szCs w:val="20"/>
        </w:rPr>
        <w:t>s</w:t>
      </w:r>
      <w:r w:rsidRPr="00B04C0F">
        <w:rPr>
          <w:rFonts w:ascii="Arial" w:hAnsi="Arial" w:cs="Arial"/>
          <w:color w:val="535355"/>
          <w:szCs w:val="20"/>
        </w:rPr>
        <w:t xml:space="preserve"> representatives of the</w:t>
      </w:r>
      <w:r>
        <w:rPr>
          <w:rFonts w:ascii="Arial" w:hAnsi="Arial" w:cs="Arial"/>
          <w:color w:val="535355"/>
          <w:szCs w:val="20"/>
        </w:rPr>
        <w:t xml:space="preserve"> </w:t>
      </w:r>
      <w:r w:rsidRPr="00B04C0F">
        <w:rPr>
          <w:rFonts w:ascii="Arial" w:hAnsi="Arial" w:cs="Arial"/>
          <w:color w:val="535355"/>
          <w:szCs w:val="20"/>
        </w:rPr>
        <w:t>government and non-government school sectors with an</w:t>
      </w:r>
      <w:r>
        <w:rPr>
          <w:rFonts w:ascii="Arial" w:hAnsi="Arial" w:cs="Arial"/>
          <w:color w:val="535355"/>
          <w:szCs w:val="20"/>
        </w:rPr>
        <w:t xml:space="preserve"> option for the M</w:t>
      </w:r>
      <w:r w:rsidRPr="00B04C0F">
        <w:rPr>
          <w:rFonts w:ascii="Arial" w:hAnsi="Arial" w:cs="Arial"/>
          <w:color w:val="535355"/>
          <w:szCs w:val="20"/>
        </w:rPr>
        <w:t xml:space="preserve">inister </w:t>
      </w:r>
      <w:proofErr w:type="gramStart"/>
      <w:r w:rsidRPr="00B04C0F">
        <w:rPr>
          <w:rFonts w:ascii="Arial" w:hAnsi="Arial" w:cs="Arial"/>
          <w:color w:val="535355"/>
          <w:szCs w:val="20"/>
        </w:rPr>
        <w:t>to also appoint</w:t>
      </w:r>
      <w:proofErr w:type="gramEnd"/>
      <w:r w:rsidRPr="00B04C0F">
        <w:rPr>
          <w:rFonts w:ascii="Arial" w:hAnsi="Arial" w:cs="Arial"/>
          <w:color w:val="535355"/>
          <w:szCs w:val="20"/>
        </w:rPr>
        <w:t>, from time to time, any</w:t>
      </w:r>
      <w:r>
        <w:rPr>
          <w:rFonts w:ascii="Arial" w:hAnsi="Arial" w:cs="Arial"/>
          <w:color w:val="535355"/>
          <w:szCs w:val="20"/>
        </w:rPr>
        <w:t xml:space="preserve"> </w:t>
      </w:r>
      <w:r w:rsidRPr="00B04C0F">
        <w:rPr>
          <w:rFonts w:ascii="Arial" w:hAnsi="Arial" w:cs="Arial"/>
          <w:color w:val="535355"/>
          <w:szCs w:val="20"/>
        </w:rPr>
        <w:t>other person(s).</w:t>
      </w:r>
    </w:p>
    <w:p w14:paraId="20AF7B82" w14:textId="3A7F45D6" w:rsidR="00B04C0F" w:rsidRDefault="00B04C0F" w:rsidP="007869BF">
      <w:pPr>
        <w:pStyle w:val="InstructionRed"/>
        <w:jc w:val="both"/>
        <w:rPr>
          <w:rFonts w:ascii="Arial" w:hAnsi="Arial" w:cs="Arial"/>
          <w:color w:val="535355"/>
          <w:szCs w:val="20"/>
        </w:rPr>
      </w:pPr>
      <w:r>
        <w:rPr>
          <w:rFonts w:ascii="Arial" w:hAnsi="Arial" w:cs="Arial"/>
          <w:color w:val="535355"/>
          <w:szCs w:val="20"/>
        </w:rPr>
        <w:t xml:space="preserve">Since the passage of the amendment, the SPFAC </w:t>
      </w:r>
      <w:proofErr w:type="gramStart"/>
      <w:r>
        <w:rPr>
          <w:rFonts w:ascii="Arial" w:hAnsi="Arial" w:cs="Arial"/>
          <w:color w:val="535355"/>
          <w:szCs w:val="20"/>
        </w:rPr>
        <w:t>has been established</w:t>
      </w:r>
      <w:proofErr w:type="gramEnd"/>
      <w:r>
        <w:rPr>
          <w:rFonts w:ascii="Arial" w:hAnsi="Arial" w:cs="Arial"/>
          <w:color w:val="535355"/>
          <w:szCs w:val="20"/>
        </w:rPr>
        <w:t>, with the following members:</w:t>
      </w:r>
    </w:p>
    <w:p w14:paraId="1C11C2B0" w14:textId="5BBBE832" w:rsidR="00EF0519" w:rsidRPr="00EF0519" w:rsidRDefault="00EF0519" w:rsidP="007869BF">
      <w:pPr>
        <w:pStyle w:val="BulletBodyPro"/>
        <w:spacing w:before="0" w:after="160" w:line="259" w:lineRule="auto"/>
        <w:contextualSpacing w:val="0"/>
        <w:jc w:val="both"/>
        <w:rPr>
          <w:color w:val="535355"/>
        </w:rPr>
      </w:pPr>
      <w:r w:rsidRPr="00EF0519">
        <w:rPr>
          <w:color w:val="535355"/>
        </w:rPr>
        <w:t>The Secretary of the Department of Education and Training (the Department)</w:t>
      </w:r>
      <w:r>
        <w:rPr>
          <w:color w:val="535355"/>
        </w:rPr>
        <w:t xml:space="preserve"> as the Chair</w:t>
      </w:r>
      <w:r w:rsidRPr="00EF0519">
        <w:rPr>
          <w:color w:val="535355"/>
        </w:rPr>
        <w:t xml:space="preserve">; </w:t>
      </w:r>
    </w:p>
    <w:p w14:paraId="7066A96F" w14:textId="5312FDC8" w:rsidR="00EF0519" w:rsidRPr="00EF0519" w:rsidRDefault="00EF0519" w:rsidP="007869BF">
      <w:pPr>
        <w:pStyle w:val="BulletBodyPro"/>
        <w:spacing w:before="0" w:after="160" w:line="259" w:lineRule="auto"/>
        <w:contextualSpacing w:val="0"/>
        <w:jc w:val="both"/>
        <w:rPr>
          <w:color w:val="535355"/>
        </w:rPr>
      </w:pPr>
      <w:r w:rsidRPr="00EF0519">
        <w:rPr>
          <w:color w:val="535355"/>
        </w:rPr>
        <w:t xml:space="preserve">A representative of the Catholic Education Commission of Victoria (CECV); </w:t>
      </w:r>
    </w:p>
    <w:p w14:paraId="2D7EFCD0" w14:textId="52AD915E" w:rsidR="00EF0519" w:rsidRPr="00EF0519" w:rsidRDefault="00EF0519" w:rsidP="007869BF">
      <w:pPr>
        <w:pStyle w:val="BulletBodyPro"/>
        <w:spacing w:before="0" w:after="160" w:line="259" w:lineRule="auto"/>
        <w:contextualSpacing w:val="0"/>
        <w:jc w:val="both"/>
        <w:rPr>
          <w:color w:val="535355"/>
        </w:rPr>
      </w:pPr>
      <w:r w:rsidRPr="00EF0519">
        <w:rPr>
          <w:color w:val="535355"/>
        </w:rPr>
        <w:t xml:space="preserve">A representative of Independent Schools Victoria (ISV); </w:t>
      </w:r>
    </w:p>
    <w:p w14:paraId="4B82EFDE" w14:textId="77777777" w:rsidR="00EF0519" w:rsidRPr="00EF0519" w:rsidRDefault="00EF0519" w:rsidP="007869BF">
      <w:pPr>
        <w:pStyle w:val="BulletBodyPro"/>
        <w:spacing w:before="0" w:after="160" w:line="259" w:lineRule="auto"/>
        <w:contextualSpacing w:val="0"/>
        <w:jc w:val="both"/>
        <w:rPr>
          <w:color w:val="535355"/>
        </w:rPr>
      </w:pPr>
      <w:r w:rsidRPr="00EF0519">
        <w:rPr>
          <w:color w:val="535355"/>
        </w:rPr>
        <w:t xml:space="preserve">A representative of Government schools who is employed in the Department; and </w:t>
      </w:r>
    </w:p>
    <w:p w14:paraId="3CAEE19B" w14:textId="13AB626F" w:rsidR="00EF0519" w:rsidRPr="00EF0519" w:rsidRDefault="00EF0519" w:rsidP="007869BF">
      <w:pPr>
        <w:pStyle w:val="BulletBodyPro"/>
        <w:spacing w:before="0" w:after="160" w:line="259" w:lineRule="auto"/>
        <w:contextualSpacing w:val="0"/>
        <w:jc w:val="both"/>
        <w:rPr>
          <w:color w:val="535355"/>
        </w:rPr>
      </w:pPr>
      <w:r w:rsidRPr="00EF0519">
        <w:rPr>
          <w:color w:val="535355"/>
        </w:rPr>
        <w:t>An independent member to represent the common interests of all students in Victoria</w:t>
      </w:r>
      <w:r w:rsidR="00967EBA">
        <w:rPr>
          <w:color w:val="535355"/>
        </w:rPr>
        <w:t>.</w:t>
      </w:r>
    </w:p>
    <w:p w14:paraId="1289411E" w14:textId="614497E0" w:rsidR="00EF0519" w:rsidRPr="00EF0519" w:rsidRDefault="00EB3702" w:rsidP="007869BF">
      <w:pPr>
        <w:pStyle w:val="InstructionRed"/>
        <w:jc w:val="both"/>
        <w:rPr>
          <w:rFonts w:ascii="Arial" w:hAnsi="Arial" w:cs="Arial"/>
          <w:color w:val="535355"/>
          <w:szCs w:val="20"/>
        </w:rPr>
      </w:pPr>
      <w:r>
        <w:rPr>
          <w:rFonts w:ascii="Arial" w:hAnsi="Arial" w:cs="Arial"/>
          <w:color w:val="535355"/>
          <w:szCs w:val="20"/>
        </w:rPr>
        <w:t>A</w:t>
      </w:r>
      <w:r w:rsidR="00F74219">
        <w:rPr>
          <w:rFonts w:ascii="Arial" w:hAnsi="Arial" w:cs="Arial"/>
          <w:color w:val="535355"/>
          <w:szCs w:val="20"/>
        </w:rPr>
        <w:t>s at October 2018, the SPFAC has</w:t>
      </w:r>
      <w:r>
        <w:rPr>
          <w:rFonts w:ascii="Arial" w:hAnsi="Arial" w:cs="Arial"/>
          <w:color w:val="535355"/>
          <w:szCs w:val="20"/>
        </w:rPr>
        <w:t xml:space="preserve"> me</w:t>
      </w:r>
      <w:r w:rsidRPr="00EF0519">
        <w:rPr>
          <w:rFonts w:ascii="Arial" w:hAnsi="Arial" w:cs="Arial"/>
          <w:color w:val="535355"/>
          <w:szCs w:val="20"/>
        </w:rPr>
        <w:t>t 1</w:t>
      </w:r>
      <w:r>
        <w:rPr>
          <w:rFonts w:ascii="Arial" w:hAnsi="Arial" w:cs="Arial"/>
          <w:color w:val="535355"/>
          <w:szCs w:val="20"/>
        </w:rPr>
        <w:t>6</w:t>
      </w:r>
      <w:r w:rsidRPr="00EF0519">
        <w:rPr>
          <w:rFonts w:ascii="Arial" w:hAnsi="Arial" w:cs="Arial"/>
          <w:color w:val="535355"/>
          <w:szCs w:val="20"/>
        </w:rPr>
        <w:t xml:space="preserve"> times </w:t>
      </w:r>
      <w:r>
        <w:rPr>
          <w:rFonts w:ascii="Arial" w:hAnsi="Arial" w:cs="Arial"/>
          <w:color w:val="535355"/>
          <w:szCs w:val="20"/>
        </w:rPr>
        <w:t>s</w:t>
      </w:r>
      <w:r w:rsidR="00EF0519" w:rsidRPr="00EF0519">
        <w:rPr>
          <w:rFonts w:ascii="Arial" w:hAnsi="Arial" w:cs="Arial"/>
          <w:color w:val="535355"/>
          <w:szCs w:val="20"/>
        </w:rPr>
        <w:t xml:space="preserve">ince its </w:t>
      </w:r>
      <w:r w:rsidR="00EF0519">
        <w:rPr>
          <w:rFonts w:ascii="Arial" w:hAnsi="Arial" w:cs="Arial"/>
          <w:color w:val="535355"/>
          <w:szCs w:val="20"/>
        </w:rPr>
        <w:t>establishment</w:t>
      </w:r>
      <w:r w:rsidR="00EF0519" w:rsidRPr="00EF0519">
        <w:rPr>
          <w:rFonts w:ascii="Arial" w:hAnsi="Arial" w:cs="Arial"/>
          <w:color w:val="535355"/>
          <w:szCs w:val="20"/>
        </w:rPr>
        <w:t>.</w:t>
      </w:r>
    </w:p>
    <w:p w14:paraId="64932E8E" w14:textId="69940621" w:rsidR="00EF0519" w:rsidRDefault="00EF0519" w:rsidP="007869BF">
      <w:pPr>
        <w:pStyle w:val="InstructionRed"/>
        <w:jc w:val="both"/>
        <w:rPr>
          <w:rFonts w:ascii="Arial" w:hAnsi="Arial" w:cs="Arial"/>
          <w:color w:val="535355"/>
          <w:szCs w:val="20"/>
        </w:rPr>
      </w:pPr>
      <w:r w:rsidRPr="009D0284">
        <w:rPr>
          <w:rFonts w:ascii="Arial" w:hAnsi="Arial" w:cs="Arial"/>
          <w:color w:val="535355"/>
          <w:szCs w:val="20"/>
        </w:rPr>
        <w:t xml:space="preserve">Within the ETRA, there is a legislative requirement for the Minister to review the operation of Part 2.7 of ETRA in 2018. </w:t>
      </w:r>
      <w:r>
        <w:rPr>
          <w:rFonts w:ascii="Arial" w:hAnsi="Arial" w:cs="Arial"/>
          <w:color w:val="535355"/>
          <w:szCs w:val="20"/>
        </w:rPr>
        <w:t xml:space="preserve"> </w:t>
      </w:r>
      <w:r w:rsidRPr="009D0284">
        <w:rPr>
          <w:rFonts w:ascii="Arial" w:hAnsi="Arial" w:cs="Arial"/>
          <w:color w:val="535355"/>
          <w:szCs w:val="20"/>
        </w:rPr>
        <w:t xml:space="preserve">This review is to </w:t>
      </w:r>
      <w:proofErr w:type="gramStart"/>
      <w:r w:rsidRPr="009D0284">
        <w:rPr>
          <w:rFonts w:ascii="Arial" w:hAnsi="Arial" w:cs="Arial"/>
          <w:color w:val="535355"/>
          <w:szCs w:val="20"/>
        </w:rPr>
        <w:t>be undertaken</w:t>
      </w:r>
      <w:proofErr w:type="gramEnd"/>
      <w:r w:rsidRPr="009D0284">
        <w:rPr>
          <w:rFonts w:ascii="Arial" w:hAnsi="Arial" w:cs="Arial"/>
          <w:color w:val="535355"/>
          <w:szCs w:val="20"/>
        </w:rPr>
        <w:t xml:space="preserve"> in consultation with the School Policy and Funding Advisory Council (SPFAC). The Review </w:t>
      </w:r>
      <w:proofErr w:type="gramStart"/>
      <w:r w:rsidRPr="009D0284">
        <w:rPr>
          <w:rFonts w:ascii="Arial" w:hAnsi="Arial" w:cs="Arial"/>
          <w:color w:val="535355"/>
          <w:szCs w:val="20"/>
        </w:rPr>
        <w:t>is intended</w:t>
      </w:r>
      <w:proofErr w:type="gramEnd"/>
      <w:r w:rsidRPr="009D0284">
        <w:rPr>
          <w:rFonts w:ascii="Arial" w:hAnsi="Arial" w:cs="Arial"/>
          <w:color w:val="535355"/>
          <w:szCs w:val="20"/>
        </w:rPr>
        <w:t xml:space="preserve"> to examine the effective operation of Part 2.7 </w:t>
      </w:r>
      <w:r w:rsidR="00F74219">
        <w:rPr>
          <w:rFonts w:ascii="Arial" w:hAnsi="Arial" w:cs="Arial"/>
          <w:color w:val="535355"/>
          <w:szCs w:val="20"/>
        </w:rPr>
        <w:t xml:space="preserve">of </w:t>
      </w:r>
      <w:r w:rsidRPr="009D0284">
        <w:rPr>
          <w:rFonts w:ascii="Arial" w:hAnsi="Arial" w:cs="Arial"/>
          <w:color w:val="535355"/>
          <w:szCs w:val="20"/>
        </w:rPr>
        <w:t>ETRA in legislating the advisory function of SPFAC and in providing a transparent mechanism for State funding of non-government schools.</w:t>
      </w:r>
    </w:p>
    <w:p w14:paraId="58B8924E" w14:textId="77777777" w:rsidR="00674546" w:rsidRDefault="00674546" w:rsidP="001A2F53">
      <w:pPr>
        <w:pStyle w:val="BodyPRO"/>
      </w:pPr>
    </w:p>
    <w:p w14:paraId="3BD1A5B5" w14:textId="77777777" w:rsidR="00674546" w:rsidRDefault="00674546" w:rsidP="001A2F53">
      <w:pPr>
        <w:pStyle w:val="BodyPRO"/>
      </w:pPr>
    </w:p>
    <w:p w14:paraId="74CEF5C1" w14:textId="77777777" w:rsidR="006404D2" w:rsidRDefault="006404D2">
      <w:pPr>
        <w:spacing w:before="0" w:after="160" w:line="259" w:lineRule="auto"/>
        <w:contextualSpacing w:val="0"/>
        <w:rPr>
          <w:color w:val="00ACC4" w:themeColor="accent1"/>
          <w:sz w:val="28"/>
        </w:rPr>
      </w:pPr>
      <w:bookmarkStart w:id="16" w:name="_Toc473161676"/>
      <w:bookmarkStart w:id="17" w:name="_Toc478930043"/>
      <w:bookmarkStart w:id="18" w:name="_Toc478930134"/>
      <w:bookmarkStart w:id="19" w:name="_Toc478930715"/>
      <w:r>
        <w:br w:type="page"/>
      </w:r>
    </w:p>
    <w:p w14:paraId="42B6E79F" w14:textId="7AFC8193" w:rsidR="00E32F28" w:rsidRPr="00E32F28" w:rsidRDefault="00EF0519" w:rsidP="00A94F45">
      <w:pPr>
        <w:pStyle w:val="Heading1Pro"/>
      </w:pPr>
      <w:bookmarkStart w:id="20" w:name="_Toc525244607"/>
      <w:bookmarkEnd w:id="16"/>
      <w:bookmarkEnd w:id="17"/>
      <w:bookmarkEnd w:id="18"/>
      <w:bookmarkEnd w:id="19"/>
      <w:r>
        <w:lastRenderedPageBreak/>
        <w:t>Scope and Approach</w:t>
      </w:r>
      <w:bookmarkEnd w:id="20"/>
    </w:p>
    <w:p w14:paraId="1CF8F7B2" w14:textId="76323B33" w:rsidR="004A7A17" w:rsidRPr="009D0284" w:rsidRDefault="004A7A17" w:rsidP="004A7A17">
      <w:p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 xml:space="preserve">The </w:t>
      </w:r>
      <w:r>
        <w:rPr>
          <w:rFonts w:ascii="Arial" w:hAnsi="Arial" w:cs="Arial"/>
          <w:color w:val="535355"/>
          <w:sz w:val="20"/>
          <w:szCs w:val="20"/>
        </w:rPr>
        <w:t xml:space="preserve">objective of the </w:t>
      </w:r>
      <w:r w:rsidRPr="009D0284">
        <w:rPr>
          <w:rFonts w:ascii="Arial" w:hAnsi="Arial" w:cs="Arial"/>
          <w:color w:val="535355"/>
          <w:sz w:val="20"/>
          <w:szCs w:val="20"/>
        </w:rPr>
        <w:t>Review is to examine the effective operation of Part 2.7 ETRA in legislating the advisory function of SPFAC and in providing a transparent mechanism for State funding of non-government schools.</w:t>
      </w:r>
    </w:p>
    <w:p w14:paraId="1748C34F" w14:textId="1B89044E" w:rsidR="004A7A17" w:rsidRPr="009D0284" w:rsidRDefault="004A7A17" w:rsidP="004A7A17">
      <w:pPr>
        <w:keepNext/>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Within this, the </w:t>
      </w:r>
      <w:r w:rsidR="001565D3">
        <w:rPr>
          <w:rFonts w:ascii="Arial" w:hAnsi="Arial" w:cs="Arial"/>
          <w:color w:val="535355"/>
          <w:sz w:val="20"/>
          <w:szCs w:val="20"/>
        </w:rPr>
        <w:t xml:space="preserve">Minister endorsed the scope of the review in consultation with </w:t>
      </w:r>
      <w:r>
        <w:rPr>
          <w:rFonts w:ascii="Arial" w:hAnsi="Arial" w:cs="Arial"/>
          <w:color w:val="535355"/>
          <w:sz w:val="20"/>
          <w:szCs w:val="20"/>
        </w:rPr>
        <w:t>SPFAC, focusing specifically on:</w:t>
      </w:r>
    </w:p>
    <w:p w14:paraId="5D796C56" w14:textId="77777777" w:rsidR="004A7A17" w:rsidRPr="009D0284" w:rsidRDefault="004A7A17" w:rsidP="004A7A17">
      <w:pPr>
        <w:numPr>
          <w:ilvl w:val="0"/>
          <w:numId w:val="45"/>
        </w:num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the operational application of the prescribed funding formula, and whether the application of the formula meets transparency objectives</w:t>
      </w:r>
    </w:p>
    <w:p w14:paraId="163E19C1" w14:textId="77777777" w:rsidR="004A7A17" w:rsidRPr="009D0284" w:rsidRDefault="004A7A17" w:rsidP="004A7A17">
      <w:pPr>
        <w:numPr>
          <w:ilvl w:val="0"/>
          <w:numId w:val="45"/>
        </w:numPr>
        <w:spacing w:before="0" w:after="160" w:line="259" w:lineRule="auto"/>
        <w:contextualSpacing w:val="0"/>
        <w:jc w:val="both"/>
        <w:rPr>
          <w:rFonts w:ascii="Arial" w:hAnsi="Arial" w:cs="Arial"/>
          <w:color w:val="535355"/>
          <w:sz w:val="20"/>
          <w:szCs w:val="20"/>
        </w:rPr>
      </w:pPr>
      <w:r w:rsidRPr="009D0284">
        <w:rPr>
          <w:rFonts w:ascii="Arial" w:hAnsi="Arial" w:cs="Arial"/>
          <w:color w:val="535355"/>
          <w:sz w:val="20"/>
          <w:szCs w:val="20"/>
        </w:rPr>
        <w:t>the establishment of SPFAC and the mechanisms by which SPFAC advises the Minister about regulatory, policy and funding issues that affect government schools and non-government schools</w:t>
      </w:r>
    </w:p>
    <w:p w14:paraId="676EB3EA" w14:textId="77777777" w:rsidR="004A7A17" w:rsidRDefault="004A7A17" w:rsidP="004A7A17">
      <w:pPr>
        <w:numPr>
          <w:ilvl w:val="0"/>
          <w:numId w:val="45"/>
        </w:numPr>
        <w:spacing w:before="0" w:after="160" w:line="259" w:lineRule="auto"/>
        <w:contextualSpacing w:val="0"/>
        <w:jc w:val="both"/>
        <w:rPr>
          <w:rFonts w:ascii="Arial" w:hAnsi="Arial" w:cs="Arial"/>
          <w:color w:val="535355"/>
          <w:sz w:val="20"/>
          <w:szCs w:val="20"/>
        </w:rPr>
      </w:pPr>
      <w:proofErr w:type="gramStart"/>
      <w:r w:rsidRPr="009D0284">
        <w:rPr>
          <w:rFonts w:ascii="Arial" w:hAnsi="Arial" w:cs="Arial"/>
          <w:color w:val="535355"/>
          <w:sz w:val="20"/>
          <w:szCs w:val="20"/>
        </w:rPr>
        <w:t>that</w:t>
      </w:r>
      <w:proofErr w:type="gramEnd"/>
      <w:r w:rsidRPr="009D0284">
        <w:rPr>
          <w:rFonts w:ascii="Arial" w:hAnsi="Arial" w:cs="Arial"/>
          <w:color w:val="535355"/>
          <w:sz w:val="20"/>
          <w:szCs w:val="20"/>
        </w:rPr>
        <w:t xml:space="preserve"> SPFAC has provided advice on regulatory, policy and funding issues affecting government schools and non-government schools.</w:t>
      </w:r>
    </w:p>
    <w:p w14:paraId="1F6247AA" w14:textId="4DFA8A2F" w:rsidR="004A7A17" w:rsidRPr="00A81F24" w:rsidRDefault="004A7A17" w:rsidP="004A7A17">
      <w:pPr>
        <w:pStyle w:val="Heading2Pro"/>
      </w:pPr>
      <w:bookmarkStart w:id="21" w:name="_Toc524873205"/>
      <w:bookmarkStart w:id="22" w:name="_Toc525244608"/>
      <w:r>
        <w:t>Review Approach</w:t>
      </w:r>
      <w:bookmarkEnd w:id="21"/>
      <w:bookmarkEnd w:id="22"/>
    </w:p>
    <w:p w14:paraId="178D3621" w14:textId="0E416084" w:rsidR="004A7A17" w:rsidRDefault="004A7A17" w:rsidP="004A7A1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review has consisted of the following procedures:</w:t>
      </w:r>
    </w:p>
    <w:p w14:paraId="1F941048" w14:textId="431F600B" w:rsidR="004A7A17" w:rsidRPr="004A7A17" w:rsidRDefault="004A7A17" w:rsidP="004A7A17">
      <w:pPr>
        <w:numPr>
          <w:ilvl w:val="0"/>
          <w:numId w:val="45"/>
        </w:numPr>
        <w:spacing w:before="0" w:after="160" w:line="259" w:lineRule="auto"/>
        <w:contextualSpacing w:val="0"/>
        <w:jc w:val="both"/>
        <w:rPr>
          <w:rFonts w:ascii="Arial" w:hAnsi="Arial" w:cs="Arial"/>
          <w:color w:val="535355"/>
          <w:sz w:val="20"/>
          <w:szCs w:val="20"/>
        </w:rPr>
      </w:pPr>
      <w:r w:rsidRPr="004A7A17">
        <w:rPr>
          <w:rFonts w:ascii="Arial" w:hAnsi="Arial" w:cs="Arial"/>
          <w:color w:val="535355"/>
          <w:sz w:val="20"/>
          <w:szCs w:val="20"/>
        </w:rPr>
        <w:t>review of extensive documentation provided by the Department, including papers and minutes of the SPFAC and its working groups, briefing material provided to the Minister, documentation and calculations underpinning the de</w:t>
      </w:r>
      <w:r w:rsidR="00F12F1F">
        <w:rPr>
          <w:rFonts w:ascii="Arial" w:hAnsi="Arial" w:cs="Arial"/>
          <w:color w:val="535355"/>
          <w:sz w:val="20"/>
          <w:szCs w:val="20"/>
        </w:rPr>
        <w:t>termination of funding for non-g</w:t>
      </w:r>
      <w:r w:rsidRPr="004A7A17">
        <w:rPr>
          <w:rFonts w:ascii="Arial" w:hAnsi="Arial" w:cs="Arial"/>
          <w:color w:val="535355"/>
          <w:sz w:val="20"/>
          <w:szCs w:val="20"/>
        </w:rPr>
        <w:t>overnment schools in Victoria and various correspondence</w:t>
      </w:r>
      <w:r>
        <w:rPr>
          <w:rFonts w:ascii="Arial" w:hAnsi="Arial" w:cs="Arial"/>
          <w:color w:val="535355"/>
          <w:sz w:val="20"/>
          <w:szCs w:val="20"/>
        </w:rPr>
        <w:t>; and</w:t>
      </w:r>
    </w:p>
    <w:p w14:paraId="6688C0CF" w14:textId="4DDB0DB3" w:rsidR="00E32F28" w:rsidRDefault="004A7A17" w:rsidP="004A7A17">
      <w:pPr>
        <w:numPr>
          <w:ilvl w:val="0"/>
          <w:numId w:val="45"/>
        </w:numPr>
        <w:spacing w:before="0" w:after="160" w:line="259" w:lineRule="auto"/>
        <w:contextualSpacing w:val="0"/>
        <w:jc w:val="both"/>
        <w:rPr>
          <w:rFonts w:ascii="Arial" w:hAnsi="Arial" w:cs="Arial"/>
          <w:color w:val="535355"/>
          <w:sz w:val="20"/>
          <w:szCs w:val="20"/>
        </w:rPr>
      </w:pPr>
      <w:proofErr w:type="gramStart"/>
      <w:r>
        <w:rPr>
          <w:rFonts w:ascii="Arial" w:hAnsi="Arial" w:cs="Arial"/>
          <w:color w:val="535355"/>
          <w:sz w:val="20"/>
          <w:szCs w:val="20"/>
        </w:rPr>
        <w:t>consulted</w:t>
      </w:r>
      <w:proofErr w:type="gramEnd"/>
      <w:r>
        <w:rPr>
          <w:rFonts w:ascii="Arial" w:hAnsi="Arial" w:cs="Arial"/>
          <w:color w:val="535355"/>
          <w:sz w:val="20"/>
          <w:szCs w:val="20"/>
        </w:rPr>
        <w:t xml:space="preserve"> with representatives of the Department, CECV, ISV and SPFAC.  </w:t>
      </w:r>
    </w:p>
    <w:p w14:paraId="2962C98E" w14:textId="1EE413AE" w:rsidR="004A7A17" w:rsidRDefault="004A7A17" w:rsidP="004A7A1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A full list of people consulted is included </w:t>
      </w:r>
      <w:r w:rsidRPr="00635DDF">
        <w:rPr>
          <w:rFonts w:ascii="Arial" w:hAnsi="Arial" w:cs="Arial"/>
          <w:color w:val="535355"/>
          <w:sz w:val="20"/>
          <w:szCs w:val="20"/>
        </w:rPr>
        <w:t xml:space="preserve">at </w:t>
      </w:r>
      <w:r w:rsidR="00635DDF" w:rsidRPr="00635DDF">
        <w:rPr>
          <w:rFonts w:ascii="Arial" w:hAnsi="Arial" w:cs="Arial"/>
          <w:color w:val="535355"/>
          <w:sz w:val="20"/>
          <w:szCs w:val="20"/>
        </w:rPr>
        <w:t>Appendix A</w:t>
      </w:r>
      <w:r>
        <w:rPr>
          <w:rFonts w:ascii="Arial" w:hAnsi="Arial" w:cs="Arial"/>
          <w:color w:val="535355"/>
          <w:sz w:val="20"/>
          <w:szCs w:val="20"/>
        </w:rPr>
        <w:t>.  The Review team thanks all people consulted for the</w:t>
      </w:r>
      <w:r w:rsidR="00EB3702">
        <w:rPr>
          <w:rFonts w:ascii="Arial" w:hAnsi="Arial" w:cs="Arial"/>
          <w:color w:val="535355"/>
          <w:sz w:val="20"/>
          <w:szCs w:val="20"/>
        </w:rPr>
        <w:t>ir</w:t>
      </w:r>
      <w:r>
        <w:rPr>
          <w:rFonts w:ascii="Arial" w:hAnsi="Arial" w:cs="Arial"/>
          <w:color w:val="535355"/>
          <w:sz w:val="20"/>
          <w:szCs w:val="20"/>
        </w:rPr>
        <w:t xml:space="preserve"> time, cooperation and </w:t>
      </w:r>
      <w:proofErr w:type="spellStart"/>
      <w:r>
        <w:rPr>
          <w:rFonts w:ascii="Arial" w:hAnsi="Arial" w:cs="Arial"/>
          <w:color w:val="535355"/>
          <w:sz w:val="20"/>
          <w:szCs w:val="20"/>
        </w:rPr>
        <w:t>candour</w:t>
      </w:r>
      <w:proofErr w:type="spellEnd"/>
      <w:r>
        <w:rPr>
          <w:rFonts w:ascii="Arial" w:hAnsi="Arial" w:cs="Arial"/>
          <w:color w:val="535355"/>
          <w:sz w:val="20"/>
          <w:szCs w:val="20"/>
        </w:rPr>
        <w:t>.</w:t>
      </w:r>
    </w:p>
    <w:p w14:paraId="7E449F87" w14:textId="53E68BE5" w:rsidR="004A7A17" w:rsidRPr="00A81F24" w:rsidRDefault="004A7A17" w:rsidP="004A7A17">
      <w:pPr>
        <w:pStyle w:val="Heading2Pro"/>
      </w:pPr>
      <w:bookmarkStart w:id="23" w:name="_Toc524873206"/>
      <w:bookmarkStart w:id="24" w:name="_Toc525244609"/>
      <w:r>
        <w:t>Review Limitations</w:t>
      </w:r>
      <w:bookmarkEnd w:id="23"/>
      <w:bookmarkEnd w:id="24"/>
    </w:p>
    <w:p w14:paraId="550FFAC1" w14:textId="46BE94DC" w:rsidR="004A7A17" w:rsidRDefault="004A7A17" w:rsidP="004A7A1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For the avoidance of doubt, we note the following </w:t>
      </w:r>
      <w:proofErr w:type="gramStart"/>
      <w:r>
        <w:rPr>
          <w:rFonts w:ascii="Arial" w:hAnsi="Arial" w:cs="Arial"/>
          <w:color w:val="535355"/>
          <w:sz w:val="20"/>
          <w:szCs w:val="20"/>
        </w:rPr>
        <w:t>have not been undertaken</w:t>
      </w:r>
      <w:proofErr w:type="gramEnd"/>
      <w:r>
        <w:rPr>
          <w:rFonts w:ascii="Arial" w:hAnsi="Arial" w:cs="Arial"/>
          <w:color w:val="535355"/>
          <w:sz w:val="20"/>
          <w:szCs w:val="20"/>
        </w:rPr>
        <w:t xml:space="preserve"> as part of this Review:</w:t>
      </w:r>
    </w:p>
    <w:p w14:paraId="4E91B44C" w14:textId="4558AC09" w:rsidR="004A7A17" w:rsidRDefault="004A7A17"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consulted with the Minister for Education or his office</w:t>
      </w:r>
      <w:r w:rsidR="00F12F1F">
        <w:rPr>
          <w:rFonts w:ascii="Arial" w:hAnsi="Arial" w:cs="Arial"/>
          <w:color w:val="535355"/>
          <w:sz w:val="20"/>
          <w:szCs w:val="20"/>
        </w:rPr>
        <w:t>;</w:t>
      </w:r>
    </w:p>
    <w:p w14:paraId="25B467A1" w14:textId="75CCA91D" w:rsidR="00F12F1F" w:rsidRDefault="004A7A17"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consulted with educators in non-government schools or inspected any non-government schools</w:t>
      </w:r>
      <w:r w:rsidR="00F12F1F">
        <w:rPr>
          <w:rFonts w:ascii="Arial" w:hAnsi="Arial" w:cs="Arial"/>
          <w:color w:val="535355"/>
          <w:sz w:val="20"/>
          <w:szCs w:val="20"/>
        </w:rPr>
        <w:t>;</w:t>
      </w:r>
    </w:p>
    <w:p w14:paraId="1EB90465" w14:textId="4780A131" w:rsidR="00F12F1F" w:rsidRDefault="00F12F1F"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attended a meeting of the SPFAC;</w:t>
      </w:r>
    </w:p>
    <w:p w14:paraId="533D32FB" w14:textId="16AF629C" w:rsidR="0087135C" w:rsidRDefault="0087135C"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consul</w:t>
      </w:r>
      <w:r w:rsidR="009A5485">
        <w:rPr>
          <w:rFonts w:ascii="Arial" w:hAnsi="Arial" w:cs="Arial"/>
          <w:color w:val="535355"/>
          <w:sz w:val="20"/>
          <w:szCs w:val="20"/>
        </w:rPr>
        <w:t>t</w:t>
      </w:r>
      <w:r w:rsidR="00566006">
        <w:rPr>
          <w:rFonts w:ascii="Arial" w:hAnsi="Arial" w:cs="Arial"/>
          <w:color w:val="535355"/>
          <w:sz w:val="20"/>
          <w:szCs w:val="20"/>
        </w:rPr>
        <w:t>ed</w:t>
      </w:r>
      <w:r>
        <w:rPr>
          <w:rFonts w:ascii="Arial" w:hAnsi="Arial" w:cs="Arial"/>
          <w:color w:val="535355"/>
          <w:sz w:val="20"/>
          <w:szCs w:val="20"/>
        </w:rPr>
        <w:t xml:space="preserve"> with all members of SPFAC, as in some instances the members chose to delegate engagement with this review to subordinate representatives;</w:t>
      </w:r>
    </w:p>
    <w:p w14:paraId="788F89B3" w14:textId="35A2A08C" w:rsidR="008F653E" w:rsidRDefault="008F653E"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considered the mechanisms for allocation of funding to individual schools;</w:t>
      </w:r>
    </w:p>
    <w:p w14:paraId="1679CE87" w14:textId="2CB49EC2" w:rsidR="00F12F1F" w:rsidRDefault="00F12F1F" w:rsidP="004A7A17">
      <w:pPr>
        <w:numPr>
          <w:ilvl w:val="0"/>
          <w:numId w:val="45"/>
        </w:num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examined funding flows to individual non-government schools or school systems; and</w:t>
      </w:r>
    </w:p>
    <w:p w14:paraId="23D76828" w14:textId="283B36AB" w:rsidR="004A7A17" w:rsidRDefault="00F12F1F" w:rsidP="004A7A17">
      <w:pPr>
        <w:numPr>
          <w:ilvl w:val="0"/>
          <w:numId w:val="45"/>
        </w:numPr>
        <w:spacing w:before="0" w:after="160" w:line="259" w:lineRule="auto"/>
        <w:contextualSpacing w:val="0"/>
        <w:jc w:val="both"/>
        <w:rPr>
          <w:rFonts w:ascii="Arial" w:hAnsi="Arial" w:cs="Arial"/>
          <w:color w:val="535355"/>
          <w:sz w:val="20"/>
          <w:szCs w:val="20"/>
        </w:rPr>
      </w:pPr>
      <w:proofErr w:type="gramStart"/>
      <w:r>
        <w:rPr>
          <w:rFonts w:ascii="Arial" w:hAnsi="Arial" w:cs="Arial"/>
          <w:color w:val="535355"/>
          <w:sz w:val="20"/>
          <w:szCs w:val="20"/>
        </w:rPr>
        <w:t>considered</w:t>
      </w:r>
      <w:proofErr w:type="gramEnd"/>
      <w:r>
        <w:rPr>
          <w:rFonts w:ascii="Arial" w:hAnsi="Arial" w:cs="Arial"/>
          <w:color w:val="535355"/>
          <w:sz w:val="20"/>
          <w:szCs w:val="20"/>
        </w:rPr>
        <w:t xml:space="preserve"> the appropriateness or otherwise of the prescribed funding formula</w:t>
      </w:r>
      <w:r w:rsidR="004A7A17">
        <w:rPr>
          <w:rFonts w:ascii="Arial" w:hAnsi="Arial" w:cs="Arial"/>
          <w:color w:val="535355"/>
          <w:sz w:val="20"/>
          <w:szCs w:val="20"/>
        </w:rPr>
        <w:t xml:space="preserve"> </w:t>
      </w:r>
      <w:r>
        <w:rPr>
          <w:rFonts w:ascii="Arial" w:hAnsi="Arial" w:cs="Arial"/>
          <w:color w:val="535355"/>
          <w:sz w:val="20"/>
          <w:szCs w:val="20"/>
        </w:rPr>
        <w:t>included in Part 2.7 of the ETRA.</w:t>
      </w:r>
    </w:p>
    <w:p w14:paraId="3080F805" w14:textId="441E59D1" w:rsidR="00F12F1F" w:rsidRPr="004A7A17" w:rsidRDefault="00F12F1F" w:rsidP="00F12F1F">
      <w:pPr>
        <w:spacing w:before="0" w:after="160" w:line="259" w:lineRule="auto"/>
        <w:contextualSpacing w:val="0"/>
        <w:jc w:val="both"/>
        <w:rPr>
          <w:rFonts w:ascii="Arial" w:hAnsi="Arial" w:cs="Arial"/>
          <w:color w:val="535355"/>
          <w:sz w:val="20"/>
          <w:szCs w:val="20"/>
        </w:rPr>
      </w:pPr>
      <w:r w:rsidRPr="00F12F1F">
        <w:rPr>
          <w:rFonts w:ascii="Arial" w:hAnsi="Arial" w:cs="Arial"/>
          <w:color w:val="535355"/>
          <w:sz w:val="20"/>
          <w:szCs w:val="20"/>
        </w:rPr>
        <w:t xml:space="preserve">In certain </w:t>
      </w:r>
      <w:proofErr w:type="gramStart"/>
      <w:r w:rsidRPr="00F12F1F">
        <w:rPr>
          <w:rFonts w:ascii="Arial" w:hAnsi="Arial" w:cs="Arial"/>
          <w:color w:val="535355"/>
          <w:sz w:val="20"/>
          <w:szCs w:val="20"/>
        </w:rPr>
        <w:t>instances</w:t>
      </w:r>
      <w:proofErr w:type="gramEnd"/>
      <w:r w:rsidRPr="00F12F1F">
        <w:rPr>
          <w:rFonts w:ascii="Arial" w:hAnsi="Arial" w:cs="Arial"/>
          <w:color w:val="535355"/>
          <w:sz w:val="20"/>
          <w:szCs w:val="20"/>
        </w:rPr>
        <w:t xml:space="preserve"> we have relied on representations made to the Review during the course of the Review.  We have not obtained independent verification or evidence in instances where we could see no reason not to rely on information provided.</w:t>
      </w:r>
    </w:p>
    <w:p w14:paraId="2759C4BB" w14:textId="4403D877" w:rsidR="00B76DC8" w:rsidRPr="00552130" w:rsidRDefault="00B76DC8" w:rsidP="00552130">
      <w:pPr>
        <w:pStyle w:val="TableBodyPRO"/>
        <w:spacing w:before="0" w:after="0" w:line="240" w:lineRule="auto"/>
        <w:rPr>
          <w:color w:val="F6871F" w:themeColor="accent3"/>
        </w:rPr>
      </w:pPr>
    </w:p>
    <w:p w14:paraId="39DCF341" w14:textId="2730E9DD" w:rsidR="00B76DC8" w:rsidRDefault="00B76DC8" w:rsidP="00DB1F8E">
      <w:pPr>
        <w:spacing w:before="0" w:after="0" w:line="240" w:lineRule="auto"/>
        <w:contextualSpacing w:val="0"/>
        <w:jc w:val="center"/>
      </w:pPr>
    </w:p>
    <w:p w14:paraId="6C6CDCBA" w14:textId="77777777" w:rsidR="006404D2" w:rsidRDefault="006404D2">
      <w:pPr>
        <w:spacing w:before="0" w:after="160" w:line="259" w:lineRule="auto"/>
        <w:contextualSpacing w:val="0"/>
        <w:rPr>
          <w:color w:val="00ACC4" w:themeColor="accent1"/>
          <w:sz w:val="28"/>
        </w:rPr>
      </w:pPr>
      <w:bookmarkStart w:id="25" w:name="_Toc473161678"/>
      <w:bookmarkStart w:id="26" w:name="_Toc478930044"/>
      <w:bookmarkStart w:id="27" w:name="_Toc478930135"/>
      <w:bookmarkStart w:id="28" w:name="_Toc478930716"/>
      <w:r>
        <w:br w:type="page"/>
      </w:r>
    </w:p>
    <w:p w14:paraId="275CBCCA" w14:textId="247B0D63" w:rsidR="00B76DC8" w:rsidRDefault="00F12F1F" w:rsidP="00A94F45">
      <w:pPr>
        <w:pStyle w:val="Heading1Pro"/>
      </w:pPr>
      <w:bookmarkStart w:id="29" w:name="_Toc525244610"/>
      <w:bookmarkEnd w:id="25"/>
      <w:bookmarkEnd w:id="26"/>
      <w:bookmarkEnd w:id="27"/>
      <w:bookmarkEnd w:id="28"/>
      <w:r>
        <w:lastRenderedPageBreak/>
        <w:t xml:space="preserve">Scope Item 1: </w:t>
      </w:r>
      <w:r w:rsidRPr="00F12F1F">
        <w:t xml:space="preserve">The operational application of </w:t>
      </w:r>
      <w:proofErr w:type="gramStart"/>
      <w:r w:rsidRPr="00F12F1F">
        <w:t>the prescribed funding formula, and whether the application of the formula meets transparency objectives</w:t>
      </w:r>
      <w:bookmarkEnd w:id="29"/>
      <w:proofErr w:type="gramEnd"/>
    </w:p>
    <w:p w14:paraId="6E788DFA" w14:textId="65549B65" w:rsidR="00F12F1F" w:rsidRPr="00A81F24" w:rsidRDefault="00F12F1F" w:rsidP="00F12F1F">
      <w:pPr>
        <w:pStyle w:val="Heading2Pro"/>
      </w:pPr>
      <w:bookmarkStart w:id="30" w:name="_Toc524873208"/>
      <w:bookmarkStart w:id="31" w:name="_Toc525244611"/>
      <w:r>
        <w:t>Background</w:t>
      </w:r>
      <w:bookmarkEnd w:id="30"/>
      <w:bookmarkEnd w:id="31"/>
    </w:p>
    <w:p w14:paraId="1AFFCD0F" w14:textId="73E93E49" w:rsidR="00F12F1F" w:rsidRPr="00F12F1F" w:rsidRDefault="00F12F1F" w:rsidP="00F12F1F">
      <w:pPr>
        <w:spacing w:before="0" w:after="160" w:line="259" w:lineRule="auto"/>
        <w:contextualSpacing w:val="0"/>
        <w:jc w:val="both"/>
        <w:rPr>
          <w:rFonts w:ascii="Arial" w:hAnsi="Arial" w:cs="Arial"/>
          <w:color w:val="535355"/>
          <w:sz w:val="20"/>
          <w:szCs w:val="20"/>
        </w:rPr>
      </w:pPr>
      <w:r w:rsidRPr="00F12F1F">
        <w:rPr>
          <w:rFonts w:ascii="Arial" w:hAnsi="Arial" w:cs="Arial"/>
          <w:color w:val="535355"/>
          <w:sz w:val="20"/>
          <w:szCs w:val="20"/>
        </w:rPr>
        <w:t xml:space="preserve">The reforms brought in by the ETRA aimed to clarify how non-government schools </w:t>
      </w:r>
      <w:proofErr w:type="gramStart"/>
      <w:r w:rsidRPr="00F12F1F">
        <w:rPr>
          <w:rFonts w:ascii="Arial" w:hAnsi="Arial" w:cs="Arial"/>
          <w:color w:val="535355"/>
          <w:sz w:val="20"/>
          <w:szCs w:val="20"/>
        </w:rPr>
        <w:t>are funded</w:t>
      </w:r>
      <w:proofErr w:type="gramEnd"/>
      <w:r w:rsidRPr="00F12F1F">
        <w:rPr>
          <w:rFonts w:ascii="Arial" w:hAnsi="Arial" w:cs="Arial"/>
          <w:color w:val="535355"/>
          <w:sz w:val="20"/>
          <w:szCs w:val="20"/>
        </w:rPr>
        <w:t>. The Act guaranteed that non-government schools will receive at least 25</w:t>
      </w:r>
      <w:r w:rsidR="009A5485">
        <w:rPr>
          <w:rFonts w:ascii="Arial" w:hAnsi="Arial" w:cs="Arial"/>
          <w:color w:val="535355"/>
          <w:sz w:val="20"/>
          <w:szCs w:val="20"/>
        </w:rPr>
        <w:t xml:space="preserve"> per cent</w:t>
      </w:r>
      <w:r w:rsidRPr="00F12F1F">
        <w:rPr>
          <w:rFonts w:ascii="Arial" w:hAnsi="Arial" w:cs="Arial"/>
          <w:color w:val="535355"/>
          <w:sz w:val="20"/>
          <w:szCs w:val="20"/>
        </w:rPr>
        <w:t xml:space="preserve"> of the funding that is provided to government schools, according to a statutory formula. The ‘broad principle’ underpinning this was that this </w:t>
      </w:r>
      <w:proofErr w:type="gramStart"/>
      <w:r w:rsidRPr="00F12F1F">
        <w:rPr>
          <w:rFonts w:ascii="Arial" w:hAnsi="Arial" w:cs="Arial"/>
          <w:color w:val="535355"/>
          <w:sz w:val="20"/>
          <w:szCs w:val="20"/>
        </w:rPr>
        <w:t>will</w:t>
      </w:r>
      <w:proofErr w:type="gramEnd"/>
      <w:r w:rsidRPr="00F12F1F">
        <w:rPr>
          <w:rFonts w:ascii="Arial" w:hAnsi="Arial" w:cs="Arial"/>
          <w:color w:val="535355"/>
          <w:sz w:val="20"/>
          <w:szCs w:val="20"/>
        </w:rPr>
        <w:t xml:space="preserve"> be calculated as a percentage of the funds provided for teaching, learning and the welfare of students.</w:t>
      </w:r>
    </w:p>
    <w:p w14:paraId="626A7A89" w14:textId="77777777" w:rsidR="00F12F1F" w:rsidRPr="00F12F1F" w:rsidRDefault="00F12F1F" w:rsidP="00F12F1F">
      <w:pPr>
        <w:spacing w:before="0" w:after="160" w:line="259" w:lineRule="auto"/>
        <w:contextualSpacing w:val="0"/>
        <w:jc w:val="both"/>
        <w:rPr>
          <w:rFonts w:ascii="Arial" w:hAnsi="Arial" w:cs="Arial"/>
          <w:color w:val="535355"/>
          <w:sz w:val="20"/>
          <w:szCs w:val="20"/>
        </w:rPr>
      </w:pPr>
      <w:r w:rsidRPr="00F12F1F">
        <w:rPr>
          <w:rFonts w:ascii="Arial" w:hAnsi="Arial" w:cs="Arial"/>
          <w:color w:val="535355"/>
          <w:sz w:val="20"/>
          <w:szCs w:val="20"/>
        </w:rPr>
        <w:t>The formula noted above (which defines a minimum funding level) is as follows:</w:t>
      </w:r>
    </w:p>
    <w:p w14:paraId="29EBBB8D" w14:textId="39A679F6" w:rsidR="00F12F1F" w:rsidRPr="00F12F1F" w:rsidRDefault="00901194" w:rsidP="00F12F1F">
      <w:pPr>
        <w:spacing w:before="0" w:after="160" w:line="259" w:lineRule="auto"/>
        <w:ind w:left="720" w:firstLine="720"/>
        <w:contextualSpacing w:val="0"/>
        <w:jc w:val="both"/>
        <w:rPr>
          <w:rFonts w:ascii="Arial" w:hAnsi="Arial" w:cs="Arial"/>
          <w:color w:val="535355"/>
          <w:sz w:val="20"/>
          <w:szCs w:val="20"/>
        </w:rPr>
      </w:pPr>
      <w:r w:rsidRPr="00F12F1F">
        <w:rPr>
          <w:rFonts w:ascii="Arial" w:hAnsi="Arial" w:cs="Arial"/>
          <w:noProof/>
          <w:color w:val="535355"/>
          <w:sz w:val="20"/>
          <w:szCs w:val="20"/>
        </w:rPr>
        <w:object w:dxaOrig="1219" w:dyaOrig="680" w14:anchorId="099E5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gebraic formula" style="width:60.75pt;height:34.5pt" o:ole="">
            <v:imagedata r:id="rId17" o:title=""/>
          </v:shape>
          <o:OLEObject Type="Embed" ProgID="Equation.DSMT4" ShapeID="_x0000_i1025" DrawAspect="Content" ObjectID="_1601976597" r:id="rId18"/>
        </w:object>
      </w:r>
    </w:p>
    <w:p w14:paraId="353A9EBF" w14:textId="77777777" w:rsidR="00F12F1F" w:rsidRDefault="00F12F1F" w:rsidP="00F12F1F">
      <w:pPr>
        <w:spacing w:before="0" w:after="160" w:line="259" w:lineRule="auto"/>
        <w:contextualSpacing w:val="0"/>
        <w:jc w:val="both"/>
        <w:rPr>
          <w:rFonts w:ascii="Arial" w:hAnsi="Arial" w:cs="Arial"/>
          <w:color w:val="535355"/>
          <w:sz w:val="20"/>
          <w:szCs w:val="20"/>
        </w:rPr>
      </w:pPr>
      <w:r w:rsidRPr="00F12F1F">
        <w:rPr>
          <w:rFonts w:ascii="Arial" w:hAnsi="Arial" w:cs="Arial"/>
          <w:color w:val="535355"/>
          <w:sz w:val="20"/>
          <w:szCs w:val="20"/>
        </w:rPr>
        <w:t>Where</w:t>
      </w:r>
      <w:r>
        <w:rPr>
          <w:rFonts w:ascii="Arial" w:hAnsi="Arial" w:cs="Arial"/>
          <w:color w:val="535355"/>
          <w:sz w:val="20"/>
          <w:szCs w:val="20"/>
        </w:rPr>
        <w:t>:</w:t>
      </w:r>
    </w:p>
    <w:p w14:paraId="5386EBA2" w14:textId="24E8D7BC" w:rsidR="00F12F1F" w:rsidRPr="00F12F1F" w:rsidRDefault="00F12F1F" w:rsidP="00F12F1F">
      <w:pPr>
        <w:spacing w:before="0" w:after="160" w:line="259" w:lineRule="auto"/>
        <w:ind w:left="709"/>
        <w:contextualSpacing w:val="0"/>
        <w:jc w:val="both"/>
        <w:rPr>
          <w:rFonts w:ascii="Arial" w:hAnsi="Arial" w:cs="Arial"/>
          <w:color w:val="535355"/>
          <w:sz w:val="20"/>
          <w:szCs w:val="20"/>
        </w:rPr>
      </w:pPr>
      <w:r w:rsidRPr="00F12F1F">
        <w:rPr>
          <w:rFonts w:ascii="Arial" w:hAnsi="Arial" w:cs="Arial"/>
          <w:color w:val="535355"/>
          <w:sz w:val="20"/>
          <w:szCs w:val="20"/>
        </w:rPr>
        <w:tab/>
      </w:r>
      <w:proofErr w:type="gramStart"/>
      <w:r w:rsidRPr="00F12F1F">
        <w:rPr>
          <w:rFonts w:ascii="Arial" w:hAnsi="Arial" w:cs="Arial"/>
          <w:color w:val="535355"/>
          <w:sz w:val="20"/>
          <w:szCs w:val="20"/>
        </w:rPr>
        <w:t>A  is</w:t>
      </w:r>
      <w:proofErr w:type="gramEnd"/>
      <w:r w:rsidRPr="00F12F1F">
        <w:rPr>
          <w:rFonts w:ascii="Arial" w:hAnsi="Arial" w:cs="Arial"/>
          <w:color w:val="535355"/>
          <w:sz w:val="20"/>
          <w:szCs w:val="20"/>
        </w:rPr>
        <w:t xml:space="preserve"> the amount of Government school recurrent funding for the financial year commencing on 1 July in the previous calendar year; </w:t>
      </w:r>
    </w:p>
    <w:p w14:paraId="7A0A96C4" w14:textId="77777777" w:rsidR="00F12F1F" w:rsidRPr="00F12F1F" w:rsidRDefault="00F12F1F" w:rsidP="00F12F1F">
      <w:pPr>
        <w:spacing w:before="0" w:after="160" w:line="259" w:lineRule="auto"/>
        <w:ind w:left="709"/>
        <w:contextualSpacing w:val="0"/>
        <w:jc w:val="both"/>
        <w:rPr>
          <w:rFonts w:ascii="Arial" w:hAnsi="Arial" w:cs="Arial"/>
          <w:color w:val="535355"/>
          <w:sz w:val="20"/>
          <w:szCs w:val="20"/>
        </w:rPr>
      </w:pPr>
      <w:r w:rsidRPr="00F12F1F">
        <w:rPr>
          <w:rFonts w:ascii="Arial" w:hAnsi="Arial" w:cs="Arial"/>
          <w:color w:val="535355"/>
          <w:sz w:val="20"/>
          <w:szCs w:val="20"/>
        </w:rPr>
        <w:tab/>
      </w:r>
      <w:proofErr w:type="gramStart"/>
      <w:r w:rsidRPr="00F12F1F">
        <w:rPr>
          <w:rFonts w:ascii="Arial" w:hAnsi="Arial" w:cs="Arial"/>
          <w:color w:val="535355"/>
          <w:sz w:val="20"/>
          <w:szCs w:val="20"/>
        </w:rPr>
        <w:t>B  is</w:t>
      </w:r>
      <w:proofErr w:type="gramEnd"/>
      <w:r w:rsidRPr="00F12F1F">
        <w:rPr>
          <w:rFonts w:ascii="Arial" w:hAnsi="Arial" w:cs="Arial"/>
          <w:color w:val="535355"/>
          <w:sz w:val="20"/>
          <w:szCs w:val="20"/>
        </w:rPr>
        <w:t xml:space="preserve"> the number of students enrolled in Government schools (other than in a school referred to in Schedule 10), as counted in the Government school census for the previous year; </w:t>
      </w:r>
    </w:p>
    <w:p w14:paraId="0346D325" w14:textId="77777777" w:rsidR="00F12F1F" w:rsidRPr="00F12F1F" w:rsidRDefault="00F12F1F" w:rsidP="00F12F1F">
      <w:pPr>
        <w:spacing w:before="0" w:after="160" w:line="259" w:lineRule="auto"/>
        <w:ind w:left="709"/>
        <w:contextualSpacing w:val="0"/>
        <w:jc w:val="both"/>
        <w:rPr>
          <w:rFonts w:ascii="Arial" w:hAnsi="Arial" w:cs="Arial"/>
          <w:color w:val="535355"/>
          <w:sz w:val="20"/>
          <w:szCs w:val="20"/>
        </w:rPr>
      </w:pPr>
      <w:r w:rsidRPr="00F12F1F">
        <w:rPr>
          <w:rFonts w:ascii="Arial" w:hAnsi="Arial" w:cs="Arial"/>
          <w:color w:val="535355"/>
          <w:sz w:val="20"/>
          <w:szCs w:val="20"/>
        </w:rPr>
        <w:tab/>
      </w:r>
      <w:proofErr w:type="gramStart"/>
      <w:r w:rsidRPr="00F12F1F">
        <w:rPr>
          <w:rFonts w:ascii="Arial" w:hAnsi="Arial" w:cs="Arial"/>
          <w:color w:val="535355"/>
          <w:sz w:val="20"/>
          <w:szCs w:val="20"/>
        </w:rPr>
        <w:t>C  is</w:t>
      </w:r>
      <w:proofErr w:type="gramEnd"/>
      <w:r w:rsidRPr="00F12F1F">
        <w:rPr>
          <w:rFonts w:ascii="Arial" w:hAnsi="Arial" w:cs="Arial"/>
          <w:color w:val="535355"/>
          <w:sz w:val="20"/>
          <w:szCs w:val="20"/>
        </w:rPr>
        <w:t xml:space="preserve"> the number of students enrolled in non-Government schools, as counted in the non-Government school census for the previous year.</w:t>
      </w:r>
    </w:p>
    <w:p w14:paraId="7AB78BBB" w14:textId="429B5F1D" w:rsidR="00F12F1F" w:rsidRDefault="00F12F1F" w:rsidP="00F12F1F">
      <w:pPr>
        <w:spacing w:before="0" w:after="160" w:line="259" w:lineRule="auto"/>
        <w:contextualSpacing w:val="0"/>
        <w:jc w:val="both"/>
        <w:rPr>
          <w:rFonts w:ascii="Arial" w:hAnsi="Arial" w:cs="Arial"/>
          <w:color w:val="535355"/>
          <w:sz w:val="20"/>
          <w:szCs w:val="20"/>
        </w:rPr>
      </w:pPr>
      <w:r w:rsidRPr="00F12F1F">
        <w:rPr>
          <w:rFonts w:ascii="Arial" w:hAnsi="Arial" w:cs="Arial"/>
          <w:color w:val="535355"/>
          <w:sz w:val="20"/>
          <w:szCs w:val="20"/>
        </w:rPr>
        <w:t xml:space="preserve">Notably, funding that </w:t>
      </w:r>
      <w:proofErr w:type="gramStart"/>
      <w:r w:rsidRPr="00F12F1F">
        <w:rPr>
          <w:rFonts w:ascii="Arial" w:hAnsi="Arial" w:cs="Arial"/>
          <w:color w:val="535355"/>
          <w:sz w:val="20"/>
          <w:szCs w:val="20"/>
        </w:rPr>
        <w:t>is provided</w:t>
      </w:r>
      <w:proofErr w:type="gramEnd"/>
      <w:r w:rsidRPr="00F12F1F">
        <w:rPr>
          <w:rFonts w:ascii="Arial" w:hAnsi="Arial" w:cs="Arial"/>
          <w:color w:val="535355"/>
          <w:sz w:val="20"/>
          <w:szCs w:val="20"/>
        </w:rPr>
        <w:t xml:space="preserve"> to government schools for purposes such as payroll tax, capital expenditure and early childhood development funding sits outside of this calculation.</w:t>
      </w:r>
      <w:r>
        <w:rPr>
          <w:rFonts w:ascii="Arial" w:hAnsi="Arial" w:cs="Arial"/>
          <w:color w:val="535355"/>
          <w:sz w:val="20"/>
          <w:szCs w:val="20"/>
        </w:rPr>
        <w:t xml:space="preserve">  </w:t>
      </w:r>
      <w:r w:rsidRPr="00F12F1F">
        <w:rPr>
          <w:rFonts w:ascii="Arial" w:hAnsi="Arial" w:cs="Arial"/>
          <w:color w:val="535355"/>
          <w:sz w:val="20"/>
          <w:szCs w:val="20"/>
        </w:rPr>
        <w:t xml:space="preserve">In addition, funding provided by the Commonwealth Government, as well as funding for programs or initiatives that </w:t>
      </w:r>
      <w:proofErr w:type="gramStart"/>
      <w:r w:rsidRPr="00F12F1F">
        <w:rPr>
          <w:rFonts w:ascii="Arial" w:hAnsi="Arial" w:cs="Arial"/>
          <w:color w:val="535355"/>
          <w:sz w:val="20"/>
          <w:szCs w:val="20"/>
        </w:rPr>
        <w:t>are provided</w:t>
      </w:r>
      <w:proofErr w:type="gramEnd"/>
      <w:r w:rsidRPr="00F12F1F">
        <w:rPr>
          <w:rFonts w:ascii="Arial" w:hAnsi="Arial" w:cs="Arial"/>
          <w:color w:val="535355"/>
          <w:sz w:val="20"/>
          <w:szCs w:val="20"/>
        </w:rPr>
        <w:t xml:space="preserve"> to both government and non-government schools</w:t>
      </w:r>
      <w:r w:rsidR="000600A1">
        <w:rPr>
          <w:rFonts w:ascii="Arial" w:hAnsi="Arial" w:cs="Arial"/>
          <w:color w:val="535355"/>
          <w:sz w:val="20"/>
          <w:szCs w:val="20"/>
        </w:rPr>
        <w:t>,</w:t>
      </w:r>
      <w:r w:rsidRPr="00F12F1F">
        <w:rPr>
          <w:rFonts w:ascii="Arial" w:hAnsi="Arial" w:cs="Arial"/>
          <w:color w:val="535355"/>
          <w:sz w:val="20"/>
          <w:szCs w:val="20"/>
        </w:rPr>
        <w:t xml:space="preserve"> also sits outside of this calculation.</w:t>
      </w:r>
    </w:p>
    <w:p w14:paraId="49AC663F" w14:textId="3DED7882" w:rsidR="008F653E" w:rsidRDefault="008F653E"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determination of the funding base for government schools recurrent funding, which underpins the calculation, </w:t>
      </w:r>
      <w:proofErr w:type="spellStart"/>
      <w:r>
        <w:rPr>
          <w:rFonts w:ascii="Arial" w:hAnsi="Arial" w:cs="Arial"/>
          <w:color w:val="535355"/>
          <w:sz w:val="20"/>
          <w:szCs w:val="20"/>
        </w:rPr>
        <w:t>utilises</w:t>
      </w:r>
      <w:proofErr w:type="spellEnd"/>
      <w:r>
        <w:rPr>
          <w:rFonts w:ascii="Arial" w:hAnsi="Arial" w:cs="Arial"/>
          <w:color w:val="535355"/>
          <w:sz w:val="20"/>
          <w:szCs w:val="20"/>
        </w:rPr>
        <w:t xml:space="preserve"> a “basket of goods”, which seeks to determine relevant funding for government schools, upon which to apply the 25</w:t>
      </w:r>
      <w:r w:rsidR="009A5485">
        <w:rPr>
          <w:rFonts w:ascii="Arial" w:hAnsi="Arial" w:cs="Arial"/>
          <w:color w:val="535355"/>
          <w:sz w:val="20"/>
          <w:szCs w:val="20"/>
        </w:rPr>
        <w:t xml:space="preserve"> per cent</w:t>
      </w:r>
      <w:r>
        <w:rPr>
          <w:rFonts w:ascii="Arial" w:hAnsi="Arial" w:cs="Arial"/>
          <w:color w:val="535355"/>
          <w:sz w:val="20"/>
          <w:szCs w:val="20"/>
        </w:rPr>
        <w:t xml:space="preserve"> formula.  </w:t>
      </w:r>
      <w:proofErr w:type="gramStart"/>
      <w:r>
        <w:rPr>
          <w:rFonts w:ascii="Arial" w:hAnsi="Arial" w:cs="Arial"/>
          <w:color w:val="535355"/>
          <w:sz w:val="20"/>
          <w:szCs w:val="20"/>
        </w:rPr>
        <w:t>This basket of goods uses an identified cost base and</w:t>
      </w:r>
      <w:r w:rsidRPr="008F653E">
        <w:rPr>
          <w:rFonts w:ascii="Arial" w:hAnsi="Arial" w:cs="Arial"/>
          <w:color w:val="535355"/>
          <w:sz w:val="20"/>
          <w:szCs w:val="20"/>
        </w:rPr>
        <w:t xml:space="preserve"> </w:t>
      </w:r>
      <w:r>
        <w:rPr>
          <w:rFonts w:ascii="Arial" w:hAnsi="Arial" w:cs="Arial"/>
          <w:color w:val="535355"/>
          <w:sz w:val="20"/>
          <w:szCs w:val="20"/>
        </w:rPr>
        <w:t xml:space="preserve">applies </w:t>
      </w:r>
      <w:r w:rsidRPr="008F653E">
        <w:rPr>
          <w:rFonts w:ascii="Arial" w:hAnsi="Arial" w:cs="Arial"/>
          <w:color w:val="535355"/>
          <w:sz w:val="20"/>
          <w:szCs w:val="20"/>
        </w:rPr>
        <w:t xml:space="preserve">an assessment process to determine a common per government student education cost, based on the inclusion of identified education costs that are applicable in the non-government sector and the exclusion of costs incurred by </w:t>
      </w:r>
      <w:r w:rsidR="00180C6E">
        <w:rPr>
          <w:rFonts w:ascii="Arial" w:hAnsi="Arial" w:cs="Arial"/>
          <w:color w:val="535355"/>
          <w:sz w:val="20"/>
          <w:szCs w:val="20"/>
        </w:rPr>
        <w:t xml:space="preserve">the Department </w:t>
      </w:r>
      <w:r w:rsidRPr="008F653E">
        <w:rPr>
          <w:rFonts w:ascii="Arial" w:hAnsi="Arial" w:cs="Arial"/>
          <w:color w:val="535355"/>
          <w:sz w:val="20"/>
          <w:szCs w:val="20"/>
        </w:rPr>
        <w:t xml:space="preserve">that are not related to the broad education sector, </w:t>
      </w:r>
      <w:r w:rsidR="00431188">
        <w:rPr>
          <w:rFonts w:ascii="Arial" w:hAnsi="Arial" w:cs="Arial"/>
          <w:color w:val="535355"/>
          <w:sz w:val="20"/>
          <w:szCs w:val="20"/>
        </w:rPr>
        <w:t xml:space="preserve">the exclusion of sector neutral items </w:t>
      </w:r>
      <w:r w:rsidRPr="008F653E">
        <w:rPr>
          <w:rFonts w:ascii="Arial" w:hAnsi="Arial" w:cs="Arial"/>
          <w:color w:val="535355"/>
          <w:sz w:val="20"/>
          <w:szCs w:val="20"/>
        </w:rPr>
        <w:t xml:space="preserve">or </w:t>
      </w:r>
      <w:r w:rsidR="00631BEA">
        <w:rPr>
          <w:rFonts w:ascii="Arial" w:hAnsi="Arial" w:cs="Arial"/>
          <w:color w:val="535355"/>
          <w:sz w:val="20"/>
          <w:szCs w:val="20"/>
        </w:rPr>
        <w:t xml:space="preserve">those </w:t>
      </w:r>
      <w:r w:rsidRPr="008F653E">
        <w:rPr>
          <w:rFonts w:ascii="Arial" w:hAnsi="Arial" w:cs="Arial"/>
          <w:color w:val="535355"/>
          <w:sz w:val="20"/>
          <w:szCs w:val="20"/>
        </w:rPr>
        <w:t>specific</w:t>
      </w:r>
      <w:r w:rsidR="00631BEA">
        <w:rPr>
          <w:rFonts w:ascii="Arial" w:hAnsi="Arial" w:cs="Arial"/>
          <w:color w:val="535355"/>
          <w:sz w:val="20"/>
          <w:szCs w:val="20"/>
        </w:rPr>
        <w:t xml:space="preserve"> </w:t>
      </w:r>
      <w:r w:rsidRPr="008F653E">
        <w:rPr>
          <w:rFonts w:ascii="Arial" w:hAnsi="Arial" w:cs="Arial"/>
          <w:color w:val="535355"/>
          <w:sz w:val="20"/>
          <w:szCs w:val="20"/>
        </w:rPr>
        <w:t>to the NGS sector</w:t>
      </w:r>
      <w:r>
        <w:rPr>
          <w:rFonts w:ascii="Arial" w:hAnsi="Arial" w:cs="Arial"/>
          <w:color w:val="535355"/>
          <w:sz w:val="20"/>
          <w:szCs w:val="20"/>
        </w:rPr>
        <w:t>.</w:t>
      </w:r>
      <w:proofErr w:type="gramEnd"/>
      <w:r>
        <w:rPr>
          <w:rFonts w:ascii="Arial" w:hAnsi="Arial" w:cs="Arial"/>
          <w:color w:val="535355"/>
          <w:sz w:val="20"/>
          <w:szCs w:val="20"/>
        </w:rPr>
        <w:t xml:space="preserve">  </w:t>
      </w:r>
    </w:p>
    <w:p w14:paraId="1C9321A4" w14:textId="0E384184" w:rsidR="003E024E" w:rsidRPr="008F653E" w:rsidRDefault="008F653E" w:rsidP="008F653E">
      <w:pPr>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The nature of</w:t>
      </w:r>
      <w:r w:rsidR="003E024E" w:rsidRPr="008F653E">
        <w:rPr>
          <w:rFonts w:ascii="Arial" w:hAnsi="Arial" w:cs="Arial"/>
          <w:color w:val="535355"/>
          <w:sz w:val="20"/>
          <w:szCs w:val="20"/>
        </w:rPr>
        <w:t xml:space="preserve"> costs</w:t>
      </w:r>
      <w:r w:rsidRPr="008F653E">
        <w:rPr>
          <w:rFonts w:ascii="Arial" w:hAnsi="Arial" w:cs="Arial"/>
          <w:color w:val="535355"/>
          <w:sz w:val="20"/>
          <w:szCs w:val="20"/>
        </w:rPr>
        <w:t xml:space="preserve"> that are included are those costs that</w:t>
      </w:r>
      <w:r w:rsidR="003E024E" w:rsidRPr="008F653E">
        <w:rPr>
          <w:rFonts w:ascii="Arial" w:hAnsi="Arial" w:cs="Arial"/>
          <w:color w:val="535355"/>
          <w:sz w:val="20"/>
          <w:szCs w:val="20"/>
        </w:rPr>
        <w:t xml:space="preserve"> are directly applicable to both </w:t>
      </w:r>
      <w:r w:rsidR="00967EBA">
        <w:rPr>
          <w:rFonts w:ascii="Arial" w:hAnsi="Arial" w:cs="Arial"/>
          <w:color w:val="535355"/>
          <w:sz w:val="20"/>
          <w:szCs w:val="20"/>
        </w:rPr>
        <w:t>g</w:t>
      </w:r>
      <w:r w:rsidR="003E024E" w:rsidRPr="008F653E">
        <w:rPr>
          <w:rFonts w:ascii="Arial" w:hAnsi="Arial" w:cs="Arial"/>
          <w:color w:val="535355"/>
          <w:sz w:val="20"/>
          <w:szCs w:val="20"/>
        </w:rPr>
        <w:t>overn</w:t>
      </w:r>
      <w:r w:rsidRPr="008F653E">
        <w:rPr>
          <w:rFonts w:ascii="Arial" w:hAnsi="Arial" w:cs="Arial"/>
          <w:color w:val="535355"/>
          <w:sz w:val="20"/>
          <w:szCs w:val="20"/>
        </w:rPr>
        <w:t xml:space="preserve">ment and </w:t>
      </w:r>
      <w:r w:rsidR="00967EBA">
        <w:rPr>
          <w:rFonts w:ascii="Arial" w:hAnsi="Arial" w:cs="Arial"/>
          <w:color w:val="535355"/>
          <w:sz w:val="20"/>
          <w:szCs w:val="20"/>
        </w:rPr>
        <w:t>n</w:t>
      </w:r>
      <w:r w:rsidRPr="008F653E">
        <w:rPr>
          <w:rFonts w:ascii="Arial" w:hAnsi="Arial" w:cs="Arial"/>
          <w:color w:val="535355"/>
          <w:sz w:val="20"/>
          <w:szCs w:val="20"/>
        </w:rPr>
        <w:t>on-</w:t>
      </w:r>
      <w:r w:rsidR="00967EBA">
        <w:rPr>
          <w:rFonts w:ascii="Arial" w:hAnsi="Arial" w:cs="Arial"/>
          <w:color w:val="535355"/>
          <w:sz w:val="20"/>
          <w:szCs w:val="20"/>
        </w:rPr>
        <w:t>g</w:t>
      </w:r>
      <w:r w:rsidRPr="008F653E">
        <w:rPr>
          <w:rFonts w:ascii="Arial" w:hAnsi="Arial" w:cs="Arial"/>
          <w:color w:val="535355"/>
          <w:sz w:val="20"/>
          <w:szCs w:val="20"/>
        </w:rPr>
        <w:t>overnment sectors, such as:</w:t>
      </w:r>
    </w:p>
    <w:p w14:paraId="537E4268" w14:textId="72AE0A33"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Formula based school funding (</w:t>
      </w:r>
      <w:r w:rsidR="009A5485" w:rsidRPr="008F653E">
        <w:rPr>
          <w:rFonts w:ascii="Arial" w:hAnsi="Arial" w:cs="Arial"/>
          <w:color w:val="535355"/>
          <w:sz w:val="20"/>
          <w:szCs w:val="20"/>
        </w:rPr>
        <w:t>i.e.</w:t>
      </w:r>
      <w:r w:rsidRPr="008F653E">
        <w:rPr>
          <w:rFonts w:ascii="Arial" w:hAnsi="Arial" w:cs="Arial"/>
          <w:color w:val="535355"/>
          <w:sz w:val="20"/>
          <w:szCs w:val="20"/>
        </w:rPr>
        <w:t xml:space="preserve"> Student Resource Pac</w:t>
      </w:r>
      <w:r w:rsidR="008F653E">
        <w:rPr>
          <w:rFonts w:ascii="Arial" w:hAnsi="Arial" w:cs="Arial"/>
          <w:color w:val="535355"/>
          <w:sz w:val="20"/>
          <w:szCs w:val="20"/>
        </w:rPr>
        <w:t>kage minus non-related funding, such as</w:t>
      </w:r>
      <w:r w:rsidRPr="008F653E">
        <w:rPr>
          <w:rFonts w:ascii="Arial" w:hAnsi="Arial" w:cs="Arial"/>
          <w:color w:val="535355"/>
          <w:sz w:val="20"/>
          <w:szCs w:val="20"/>
        </w:rPr>
        <w:t xml:space="preserve"> payroll tax, specific </w:t>
      </w:r>
      <w:r w:rsidR="008F653E">
        <w:rPr>
          <w:rFonts w:ascii="Arial" w:hAnsi="Arial" w:cs="Arial"/>
          <w:color w:val="535355"/>
          <w:sz w:val="20"/>
          <w:szCs w:val="20"/>
        </w:rPr>
        <w:t xml:space="preserve">schools such as special schools, </w:t>
      </w:r>
      <w:proofErr w:type="spellStart"/>
      <w:r w:rsidR="008F653E">
        <w:rPr>
          <w:rFonts w:ascii="Arial" w:hAnsi="Arial" w:cs="Arial"/>
          <w:color w:val="535355"/>
          <w:sz w:val="20"/>
          <w:szCs w:val="20"/>
        </w:rPr>
        <w:t>etc</w:t>
      </w:r>
      <w:proofErr w:type="spellEnd"/>
      <w:r w:rsidRPr="008F653E">
        <w:rPr>
          <w:rFonts w:ascii="Arial" w:hAnsi="Arial" w:cs="Arial"/>
          <w:color w:val="535355"/>
          <w:sz w:val="20"/>
          <w:szCs w:val="20"/>
        </w:rPr>
        <w:t>)</w:t>
      </w:r>
      <w:r w:rsidR="008F653E">
        <w:rPr>
          <w:rFonts w:ascii="Arial" w:hAnsi="Arial" w:cs="Arial"/>
          <w:color w:val="535355"/>
          <w:sz w:val="20"/>
          <w:szCs w:val="20"/>
        </w:rPr>
        <w:t>; and</w:t>
      </w:r>
    </w:p>
    <w:p w14:paraId="2DC6619B" w14:textId="319AEFAF"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School programs (school support ser</w:t>
      </w:r>
      <w:r w:rsidR="008F653E">
        <w:rPr>
          <w:rFonts w:ascii="Arial" w:hAnsi="Arial" w:cs="Arial"/>
          <w:color w:val="535355"/>
          <w:sz w:val="20"/>
          <w:szCs w:val="20"/>
        </w:rPr>
        <w:t>vices officers, drugs strategy,</w:t>
      </w:r>
      <w:r w:rsidRPr="008F653E">
        <w:rPr>
          <w:rFonts w:ascii="Arial" w:hAnsi="Arial" w:cs="Arial"/>
          <w:color w:val="535355"/>
          <w:sz w:val="20"/>
          <w:szCs w:val="20"/>
        </w:rPr>
        <w:t xml:space="preserve"> notebook program, IT </w:t>
      </w:r>
      <w:r w:rsidR="009A5485" w:rsidRPr="008F653E">
        <w:rPr>
          <w:rFonts w:ascii="Arial" w:hAnsi="Arial" w:cs="Arial"/>
          <w:color w:val="535355"/>
          <w:sz w:val="20"/>
          <w:szCs w:val="20"/>
        </w:rPr>
        <w:t>licenses</w:t>
      </w:r>
      <w:r w:rsidRPr="008F653E">
        <w:rPr>
          <w:rFonts w:ascii="Arial" w:hAnsi="Arial" w:cs="Arial"/>
          <w:color w:val="535355"/>
          <w:sz w:val="20"/>
          <w:szCs w:val="20"/>
        </w:rPr>
        <w:t>, etc.)</w:t>
      </w:r>
      <w:r w:rsidR="008F653E">
        <w:rPr>
          <w:rFonts w:ascii="Arial" w:hAnsi="Arial" w:cs="Arial"/>
          <w:color w:val="535355"/>
          <w:sz w:val="20"/>
          <w:szCs w:val="20"/>
        </w:rPr>
        <w:t>.</w:t>
      </w:r>
    </w:p>
    <w:p w14:paraId="2E9B3846" w14:textId="1F69F14D" w:rsidR="003E024E" w:rsidRPr="008F653E" w:rsidRDefault="00631BEA" w:rsidP="008F653E">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Per par</w:t>
      </w:r>
      <w:r w:rsidR="009A5485">
        <w:rPr>
          <w:rFonts w:ascii="Arial" w:hAnsi="Arial" w:cs="Arial"/>
          <w:color w:val="535355"/>
          <w:sz w:val="20"/>
          <w:szCs w:val="20"/>
        </w:rPr>
        <w:t>t</w:t>
      </w:r>
      <w:r>
        <w:rPr>
          <w:rFonts w:ascii="Arial" w:hAnsi="Arial" w:cs="Arial"/>
          <w:color w:val="535355"/>
          <w:sz w:val="20"/>
          <w:szCs w:val="20"/>
        </w:rPr>
        <w:t xml:space="preserve"> 2.</w:t>
      </w:r>
      <w:r w:rsidR="009A5485">
        <w:rPr>
          <w:rFonts w:ascii="Arial" w:hAnsi="Arial" w:cs="Arial"/>
          <w:color w:val="535355"/>
          <w:sz w:val="20"/>
          <w:szCs w:val="20"/>
        </w:rPr>
        <w:t>7.2</w:t>
      </w:r>
      <w:r>
        <w:rPr>
          <w:rFonts w:ascii="Arial" w:hAnsi="Arial" w:cs="Arial"/>
          <w:color w:val="535355"/>
          <w:sz w:val="20"/>
          <w:szCs w:val="20"/>
        </w:rPr>
        <w:t xml:space="preserve"> (3)</w:t>
      </w:r>
      <w:r w:rsidR="009A5485">
        <w:rPr>
          <w:rFonts w:ascii="Arial" w:hAnsi="Arial" w:cs="Arial"/>
          <w:color w:val="535355"/>
          <w:sz w:val="20"/>
          <w:szCs w:val="20"/>
        </w:rPr>
        <w:t xml:space="preserve"> of the</w:t>
      </w:r>
      <w:r>
        <w:rPr>
          <w:rFonts w:ascii="Arial" w:hAnsi="Arial" w:cs="Arial"/>
          <w:color w:val="535355"/>
          <w:sz w:val="20"/>
          <w:szCs w:val="20"/>
        </w:rPr>
        <w:t xml:space="preserve"> </w:t>
      </w:r>
      <w:r w:rsidR="009A5485">
        <w:rPr>
          <w:rFonts w:ascii="Arial" w:hAnsi="Arial" w:cs="Arial"/>
          <w:color w:val="535355"/>
          <w:sz w:val="20"/>
          <w:szCs w:val="20"/>
        </w:rPr>
        <w:t xml:space="preserve">ETRA, </w:t>
      </w:r>
      <w:r>
        <w:rPr>
          <w:rFonts w:ascii="Arial" w:hAnsi="Arial" w:cs="Arial"/>
          <w:color w:val="535355"/>
          <w:sz w:val="20"/>
          <w:szCs w:val="20"/>
        </w:rPr>
        <w:t>t</w:t>
      </w:r>
      <w:r w:rsidR="008F653E" w:rsidRPr="008F653E">
        <w:rPr>
          <w:rFonts w:ascii="Arial" w:hAnsi="Arial" w:cs="Arial"/>
          <w:color w:val="535355"/>
          <w:sz w:val="20"/>
          <w:szCs w:val="20"/>
        </w:rPr>
        <w:t>he natu</w:t>
      </w:r>
      <w:r w:rsidR="008F653E">
        <w:rPr>
          <w:rFonts w:ascii="Arial" w:hAnsi="Arial" w:cs="Arial"/>
          <w:color w:val="535355"/>
          <w:sz w:val="20"/>
          <w:szCs w:val="20"/>
        </w:rPr>
        <w:t>re of costs that are excluded f</w:t>
      </w:r>
      <w:r w:rsidR="008F653E" w:rsidRPr="008F653E">
        <w:rPr>
          <w:rFonts w:ascii="Arial" w:hAnsi="Arial" w:cs="Arial"/>
          <w:color w:val="535355"/>
          <w:sz w:val="20"/>
          <w:szCs w:val="20"/>
        </w:rPr>
        <w:t>r</w:t>
      </w:r>
      <w:r w:rsidR="008F653E">
        <w:rPr>
          <w:rFonts w:ascii="Arial" w:hAnsi="Arial" w:cs="Arial"/>
          <w:color w:val="535355"/>
          <w:sz w:val="20"/>
          <w:szCs w:val="20"/>
        </w:rPr>
        <w:t>o</w:t>
      </w:r>
      <w:r w:rsidR="008F653E" w:rsidRPr="008F653E">
        <w:rPr>
          <w:rFonts w:ascii="Arial" w:hAnsi="Arial" w:cs="Arial"/>
          <w:color w:val="535355"/>
          <w:sz w:val="20"/>
          <w:szCs w:val="20"/>
        </w:rPr>
        <w:t>m the basket of goods are those</w:t>
      </w:r>
      <w:r w:rsidR="003E024E" w:rsidRPr="008F653E">
        <w:rPr>
          <w:rFonts w:ascii="Arial" w:hAnsi="Arial" w:cs="Arial"/>
          <w:color w:val="535355"/>
          <w:sz w:val="20"/>
          <w:szCs w:val="20"/>
        </w:rPr>
        <w:t xml:space="preserve"> not directly applicable to the non-government sector</w:t>
      </w:r>
      <w:r>
        <w:rPr>
          <w:rFonts w:ascii="Arial" w:hAnsi="Arial" w:cs="Arial"/>
          <w:color w:val="535355"/>
          <w:sz w:val="20"/>
          <w:szCs w:val="20"/>
        </w:rPr>
        <w:t xml:space="preserve">, sector neutral </w:t>
      </w:r>
      <w:r w:rsidR="003E024E" w:rsidRPr="008F653E">
        <w:rPr>
          <w:rFonts w:ascii="Arial" w:hAnsi="Arial" w:cs="Arial"/>
          <w:color w:val="535355"/>
          <w:sz w:val="20"/>
          <w:szCs w:val="20"/>
        </w:rPr>
        <w:t>or are already being provided to the NGS sector</w:t>
      </w:r>
      <w:r>
        <w:rPr>
          <w:rFonts w:ascii="Arial" w:hAnsi="Arial" w:cs="Arial"/>
          <w:color w:val="535355"/>
          <w:sz w:val="20"/>
          <w:szCs w:val="20"/>
        </w:rPr>
        <w:t>. These include</w:t>
      </w:r>
      <w:r w:rsidR="003E024E" w:rsidRPr="008F653E">
        <w:rPr>
          <w:rFonts w:ascii="Arial" w:hAnsi="Arial" w:cs="Arial"/>
          <w:color w:val="535355"/>
          <w:sz w:val="20"/>
          <w:szCs w:val="20"/>
        </w:rPr>
        <w:t>:</w:t>
      </w:r>
    </w:p>
    <w:p w14:paraId="13CA9B6A" w14:textId="61F5D49C" w:rsidR="003E024E" w:rsidRPr="008F653E" w:rsidRDefault="008F653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Non-government schools funding;</w:t>
      </w:r>
    </w:p>
    <w:p w14:paraId="5EB8FE02" w14:textId="643C34A1" w:rsidR="003E024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Comm</w:t>
      </w:r>
      <w:r w:rsidR="008F653E">
        <w:rPr>
          <w:rFonts w:ascii="Arial" w:hAnsi="Arial" w:cs="Arial"/>
          <w:color w:val="535355"/>
          <w:sz w:val="20"/>
          <w:szCs w:val="20"/>
        </w:rPr>
        <w:t xml:space="preserve">onwealth </w:t>
      </w:r>
      <w:r w:rsidR="009C6671">
        <w:rPr>
          <w:rFonts w:ascii="Arial" w:hAnsi="Arial" w:cs="Arial"/>
          <w:color w:val="535355"/>
          <w:sz w:val="20"/>
          <w:szCs w:val="20"/>
        </w:rPr>
        <w:t>funding for government</w:t>
      </w:r>
      <w:r w:rsidR="008F653E">
        <w:rPr>
          <w:rFonts w:ascii="Arial" w:hAnsi="Arial" w:cs="Arial"/>
          <w:color w:val="535355"/>
          <w:sz w:val="20"/>
          <w:szCs w:val="20"/>
        </w:rPr>
        <w:t xml:space="preserve"> schools;</w:t>
      </w:r>
    </w:p>
    <w:p w14:paraId="3CD3E0C5" w14:textId="1B0FF756" w:rsidR="00631BEA" w:rsidRPr="008F653E" w:rsidRDefault="00631BEA"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lastRenderedPageBreak/>
        <w:t xml:space="preserve">Sector neutral items, for example, </w:t>
      </w:r>
      <w:r w:rsidR="009A5485">
        <w:rPr>
          <w:rFonts w:ascii="Arial" w:hAnsi="Arial" w:cs="Arial"/>
          <w:color w:val="535355"/>
          <w:sz w:val="20"/>
          <w:szCs w:val="20"/>
        </w:rPr>
        <w:t>Camps, Sports and Excursions F</w:t>
      </w:r>
      <w:r>
        <w:rPr>
          <w:rFonts w:ascii="Arial" w:hAnsi="Arial" w:cs="Arial"/>
          <w:color w:val="535355"/>
          <w:sz w:val="20"/>
          <w:szCs w:val="20"/>
        </w:rPr>
        <w:t>unding;</w:t>
      </w:r>
    </w:p>
    <w:p w14:paraId="79F57E05" w14:textId="6BE893B3"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 xml:space="preserve">Capital property items that could be funded </w:t>
      </w:r>
      <w:r w:rsidR="008F653E">
        <w:rPr>
          <w:rFonts w:ascii="Arial" w:hAnsi="Arial" w:cs="Arial"/>
          <w:color w:val="535355"/>
          <w:sz w:val="20"/>
          <w:szCs w:val="20"/>
        </w:rPr>
        <w:t>separately;</w:t>
      </w:r>
    </w:p>
    <w:p w14:paraId="59F08A37" w14:textId="54772207"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Early childhood</w:t>
      </w:r>
      <w:r w:rsidR="008F653E">
        <w:rPr>
          <w:rFonts w:ascii="Arial" w:hAnsi="Arial" w:cs="Arial"/>
          <w:color w:val="535355"/>
          <w:sz w:val="20"/>
          <w:szCs w:val="20"/>
        </w:rPr>
        <w:t xml:space="preserve"> funding;</w:t>
      </w:r>
    </w:p>
    <w:p w14:paraId="7BF33851" w14:textId="3B574569"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8F653E">
        <w:rPr>
          <w:rFonts w:ascii="Arial" w:hAnsi="Arial" w:cs="Arial"/>
          <w:color w:val="535355"/>
          <w:sz w:val="20"/>
          <w:szCs w:val="20"/>
        </w:rPr>
        <w:t>Head office (i</w:t>
      </w:r>
      <w:r w:rsidR="008F653E">
        <w:rPr>
          <w:rFonts w:ascii="Arial" w:hAnsi="Arial" w:cs="Arial"/>
          <w:color w:val="535355"/>
          <w:sz w:val="20"/>
          <w:szCs w:val="20"/>
        </w:rPr>
        <w:t>ncluding short term projects), regional administration and</w:t>
      </w:r>
      <w:r w:rsidRPr="008F653E">
        <w:rPr>
          <w:rFonts w:ascii="Arial" w:hAnsi="Arial" w:cs="Arial"/>
          <w:color w:val="535355"/>
          <w:sz w:val="20"/>
          <w:szCs w:val="20"/>
        </w:rPr>
        <w:t xml:space="preserve"> statutory authorities</w:t>
      </w:r>
      <w:r w:rsidR="008F653E">
        <w:rPr>
          <w:rFonts w:ascii="Arial" w:hAnsi="Arial" w:cs="Arial"/>
          <w:color w:val="535355"/>
          <w:sz w:val="20"/>
          <w:szCs w:val="20"/>
        </w:rPr>
        <w:t>; and</w:t>
      </w:r>
    </w:p>
    <w:p w14:paraId="3CC4818C" w14:textId="3E884E63" w:rsidR="003E024E" w:rsidRPr="008F653E" w:rsidRDefault="003E024E" w:rsidP="008F653E">
      <w:pPr>
        <w:numPr>
          <w:ilvl w:val="0"/>
          <w:numId w:val="45"/>
        </w:numPr>
        <w:tabs>
          <w:tab w:val="num" w:pos="1440"/>
        </w:tabs>
        <w:spacing w:before="0" w:after="160" w:line="259" w:lineRule="auto"/>
        <w:contextualSpacing w:val="0"/>
        <w:jc w:val="both"/>
        <w:rPr>
          <w:rFonts w:ascii="Arial" w:hAnsi="Arial" w:cs="Arial"/>
          <w:color w:val="535355"/>
          <w:sz w:val="20"/>
          <w:szCs w:val="20"/>
          <w:lang w:val="en-AU"/>
        </w:rPr>
      </w:pPr>
      <w:r w:rsidRPr="008F653E">
        <w:rPr>
          <w:rFonts w:ascii="Arial" w:hAnsi="Arial" w:cs="Arial"/>
          <w:color w:val="535355"/>
          <w:sz w:val="20"/>
          <w:szCs w:val="20"/>
        </w:rPr>
        <w:t>Non-related SRP funding (</w:t>
      </w:r>
      <w:r w:rsidR="008F653E">
        <w:rPr>
          <w:rFonts w:ascii="Arial" w:hAnsi="Arial" w:cs="Arial"/>
          <w:color w:val="535355"/>
          <w:sz w:val="20"/>
          <w:szCs w:val="20"/>
        </w:rPr>
        <w:t>such as payroll tax and funding for</w:t>
      </w:r>
      <w:r w:rsidRPr="008F653E">
        <w:rPr>
          <w:rFonts w:ascii="Arial" w:hAnsi="Arial" w:cs="Arial"/>
          <w:color w:val="535355"/>
          <w:sz w:val="20"/>
          <w:szCs w:val="20"/>
        </w:rPr>
        <w:t xml:space="preserve"> specific </w:t>
      </w:r>
      <w:r w:rsidR="008F653E">
        <w:rPr>
          <w:rFonts w:ascii="Arial" w:hAnsi="Arial" w:cs="Arial"/>
          <w:color w:val="535355"/>
          <w:sz w:val="20"/>
          <w:szCs w:val="20"/>
        </w:rPr>
        <w:t>schools such as special schools</w:t>
      </w:r>
      <w:r w:rsidRPr="008F653E">
        <w:rPr>
          <w:rFonts w:ascii="Arial" w:hAnsi="Arial" w:cs="Arial"/>
          <w:color w:val="535355"/>
          <w:sz w:val="20"/>
          <w:szCs w:val="20"/>
          <w:lang w:val="en-AU"/>
        </w:rPr>
        <w:t>)</w:t>
      </w:r>
      <w:r w:rsidR="008F653E">
        <w:rPr>
          <w:rFonts w:ascii="Arial" w:hAnsi="Arial" w:cs="Arial"/>
          <w:color w:val="535355"/>
          <w:sz w:val="20"/>
          <w:szCs w:val="20"/>
          <w:lang w:val="en-AU"/>
        </w:rPr>
        <w:t>.</w:t>
      </w:r>
    </w:p>
    <w:p w14:paraId="7B2334C6" w14:textId="47199A69" w:rsidR="008F653E" w:rsidRPr="00A81F24" w:rsidRDefault="008F653E" w:rsidP="008F653E">
      <w:pPr>
        <w:pStyle w:val="Heading2Pro"/>
      </w:pPr>
      <w:bookmarkStart w:id="32" w:name="_Toc524873209"/>
      <w:bookmarkStart w:id="33" w:name="_Toc525244612"/>
      <w:r>
        <w:t>Transparency</w:t>
      </w:r>
      <w:bookmarkEnd w:id="32"/>
      <w:bookmarkEnd w:id="33"/>
    </w:p>
    <w:p w14:paraId="6DBAD408" w14:textId="2DDCE382" w:rsidR="00784BDF" w:rsidRDefault="00784BD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Transparency is a commonly used, but often not particularly precisely defined, term in current business.</w:t>
      </w:r>
    </w:p>
    <w:p w14:paraId="5A7763D3" w14:textId="0AA5A0DA" w:rsidR="00674546" w:rsidRDefault="00F83C1B" w:rsidP="00F12F1F">
      <w:pPr>
        <w:spacing w:before="0" w:after="160" w:line="259" w:lineRule="auto"/>
        <w:contextualSpacing w:val="0"/>
        <w:jc w:val="both"/>
        <w:rPr>
          <w:rFonts w:ascii="Arial" w:hAnsi="Arial" w:cs="Arial"/>
          <w:color w:val="535355"/>
          <w:sz w:val="20"/>
          <w:szCs w:val="20"/>
        </w:rPr>
      </w:pPr>
      <w:r w:rsidRPr="00F83C1B">
        <w:rPr>
          <w:rFonts w:ascii="Arial" w:hAnsi="Arial" w:cs="Arial"/>
          <w:color w:val="535355"/>
          <w:sz w:val="20"/>
          <w:szCs w:val="20"/>
        </w:rPr>
        <w:t>Recent research suggests there are three primary aspects of transparency relevant to management practice: information disclosure, clarity, and accuracy. </w:t>
      </w:r>
      <w:r w:rsidR="00784BDF">
        <w:rPr>
          <w:rFonts w:ascii="Arial" w:hAnsi="Arial" w:cs="Arial"/>
          <w:color w:val="535355"/>
          <w:sz w:val="20"/>
          <w:szCs w:val="20"/>
        </w:rPr>
        <w:t xml:space="preserve"> </w:t>
      </w:r>
      <w:r w:rsidRPr="00F83C1B">
        <w:rPr>
          <w:rFonts w:ascii="Arial" w:hAnsi="Arial" w:cs="Arial"/>
          <w:color w:val="535355"/>
          <w:sz w:val="20"/>
          <w:szCs w:val="20"/>
        </w:rPr>
        <w:t>To increase transparency, managers actively infuse greater disclosure, clarity, and accuracy into their communications with </w:t>
      </w:r>
      <w:hyperlink r:id="rId19" w:tooltip="Project stakeholder" w:history="1">
        <w:r w:rsidRPr="00F83C1B">
          <w:rPr>
            <w:color w:val="535355"/>
            <w:sz w:val="20"/>
            <w:szCs w:val="20"/>
          </w:rPr>
          <w:t>stakeholders</w:t>
        </w:r>
      </w:hyperlink>
      <w:r w:rsidRPr="00F83C1B">
        <w:rPr>
          <w:rFonts w:ascii="Arial" w:hAnsi="Arial" w:cs="Arial"/>
          <w:color w:val="535355"/>
          <w:sz w:val="20"/>
          <w:szCs w:val="20"/>
        </w:rPr>
        <w:t>.</w:t>
      </w:r>
      <w:r w:rsidR="00784BDF">
        <w:rPr>
          <w:rStyle w:val="FootnoteReference"/>
          <w:rFonts w:ascii="Arial" w:hAnsi="Arial" w:cs="Arial"/>
          <w:color w:val="535355"/>
          <w:sz w:val="20"/>
          <w:szCs w:val="20"/>
        </w:rPr>
        <w:footnoteReference w:id="2"/>
      </w:r>
    </w:p>
    <w:p w14:paraId="7F44B1E2" w14:textId="38690986" w:rsidR="00784BDF" w:rsidRDefault="00784BD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Review has been unable to identify specific “transparency objectives” associated with the passage of Part 2.7, or in the determination of funding to non-government schools.</w:t>
      </w:r>
    </w:p>
    <w:p w14:paraId="77FE7C2C" w14:textId="29AFA109" w:rsidR="00784BDF" w:rsidRDefault="00784BD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For the purpose of this Review, we have considered transparency in connection with the application of the prescribed funding formula as relating to the key stakeholders involved in distribution of the funding; that is the Department and the appointed representatives of non-government schools in Victoria (being CECV and ISV).</w:t>
      </w:r>
    </w:p>
    <w:p w14:paraId="065212DD" w14:textId="309F3B50" w:rsidR="00784BDF" w:rsidRDefault="00784BD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Consequently, if CECV and ISV perceive that they have suitable clarity of the application of the prescribed funding formula, </w:t>
      </w:r>
      <w:proofErr w:type="gramStart"/>
      <w:r>
        <w:rPr>
          <w:rFonts w:ascii="Arial" w:hAnsi="Arial" w:cs="Arial"/>
          <w:color w:val="535355"/>
          <w:sz w:val="20"/>
          <w:szCs w:val="20"/>
        </w:rPr>
        <w:t>then</w:t>
      </w:r>
      <w:proofErr w:type="gramEnd"/>
      <w:r>
        <w:rPr>
          <w:rFonts w:ascii="Arial" w:hAnsi="Arial" w:cs="Arial"/>
          <w:color w:val="535355"/>
          <w:sz w:val="20"/>
          <w:szCs w:val="20"/>
        </w:rPr>
        <w:t xml:space="preserve"> it can be determined that requisite transparency has been achieved.</w:t>
      </w:r>
    </w:p>
    <w:p w14:paraId="67B33989" w14:textId="51386F98" w:rsidR="00784BDF" w:rsidRDefault="00784BD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While it is possible that transparency to other, less direct, stakeholders may be beneficial or desired, this </w:t>
      </w:r>
      <w:proofErr w:type="gramStart"/>
      <w:r>
        <w:rPr>
          <w:rFonts w:ascii="Arial" w:hAnsi="Arial" w:cs="Arial"/>
          <w:color w:val="535355"/>
          <w:sz w:val="20"/>
          <w:szCs w:val="20"/>
        </w:rPr>
        <w:t>has not been assessed</w:t>
      </w:r>
      <w:proofErr w:type="gramEnd"/>
      <w:r>
        <w:rPr>
          <w:rFonts w:ascii="Arial" w:hAnsi="Arial" w:cs="Arial"/>
          <w:color w:val="535355"/>
          <w:sz w:val="20"/>
          <w:szCs w:val="20"/>
        </w:rPr>
        <w:t xml:space="preserve"> as the intent of Part 2</w:t>
      </w:r>
      <w:r w:rsidR="000600A1">
        <w:rPr>
          <w:rFonts w:ascii="Arial" w:hAnsi="Arial" w:cs="Arial"/>
          <w:color w:val="535355"/>
          <w:sz w:val="20"/>
          <w:szCs w:val="20"/>
        </w:rPr>
        <w:t>.</w:t>
      </w:r>
      <w:r>
        <w:rPr>
          <w:rFonts w:ascii="Arial" w:hAnsi="Arial" w:cs="Arial"/>
          <w:color w:val="535355"/>
          <w:sz w:val="20"/>
          <w:szCs w:val="20"/>
        </w:rPr>
        <w:t xml:space="preserve">7 and therefore has </w:t>
      </w:r>
      <w:r w:rsidR="00BB2220">
        <w:rPr>
          <w:rFonts w:ascii="Arial" w:hAnsi="Arial" w:cs="Arial"/>
          <w:color w:val="535355"/>
          <w:sz w:val="20"/>
          <w:szCs w:val="20"/>
        </w:rPr>
        <w:t xml:space="preserve">not </w:t>
      </w:r>
      <w:r>
        <w:rPr>
          <w:rFonts w:ascii="Arial" w:hAnsi="Arial" w:cs="Arial"/>
          <w:color w:val="535355"/>
          <w:sz w:val="20"/>
          <w:szCs w:val="20"/>
        </w:rPr>
        <w:t xml:space="preserve">been considered in any material manner by this Review.  This could include the </w:t>
      </w:r>
      <w:proofErr w:type="gramStart"/>
      <w:r>
        <w:rPr>
          <w:rFonts w:ascii="Arial" w:hAnsi="Arial" w:cs="Arial"/>
          <w:color w:val="535355"/>
          <w:sz w:val="20"/>
          <w:szCs w:val="20"/>
        </w:rPr>
        <w:t>general public</w:t>
      </w:r>
      <w:proofErr w:type="gramEnd"/>
      <w:r>
        <w:rPr>
          <w:rFonts w:ascii="Arial" w:hAnsi="Arial" w:cs="Arial"/>
          <w:color w:val="535355"/>
          <w:sz w:val="20"/>
          <w:szCs w:val="20"/>
        </w:rPr>
        <w:t>, the leaders of individual non-government schools or the Parliament of Victoria.</w:t>
      </w:r>
    </w:p>
    <w:p w14:paraId="6979EFF3" w14:textId="7535B4EF" w:rsidR="00784BDF" w:rsidRPr="00A81F24" w:rsidRDefault="00784BDF" w:rsidP="00784BDF">
      <w:pPr>
        <w:pStyle w:val="Heading2Pro"/>
      </w:pPr>
      <w:bookmarkStart w:id="34" w:name="_Toc524873210"/>
      <w:bookmarkStart w:id="35" w:name="_Toc525244613"/>
      <w:r>
        <w:t>Findings</w:t>
      </w:r>
      <w:bookmarkEnd w:id="34"/>
      <w:bookmarkEnd w:id="35"/>
    </w:p>
    <w:p w14:paraId="3F9F9DEA" w14:textId="7CF201CC" w:rsidR="00784BDF" w:rsidRDefault="00A101C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prescribed funding formula as presented in Part 2.7 of ETRA </w:t>
      </w:r>
      <w:proofErr w:type="gramStart"/>
      <w:r>
        <w:rPr>
          <w:rFonts w:ascii="Arial" w:hAnsi="Arial" w:cs="Arial"/>
          <w:color w:val="535355"/>
          <w:sz w:val="20"/>
          <w:szCs w:val="20"/>
        </w:rPr>
        <w:t>has been applied</w:t>
      </w:r>
      <w:proofErr w:type="gramEnd"/>
      <w:r>
        <w:rPr>
          <w:rFonts w:ascii="Arial" w:hAnsi="Arial" w:cs="Arial"/>
          <w:color w:val="535355"/>
          <w:sz w:val="20"/>
          <w:szCs w:val="20"/>
        </w:rPr>
        <w:t xml:space="preserve"> for a number of years prior to the introduction of Part 2.7</w:t>
      </w:r>
      <w:r w:rsidR="000600A1">
        <w:rPr>
          <w:rFonts w:ascii="Arial" w:hAnsi="Arial" w:cs="Arial"/>
          <w:color w:val="535355"/>
          <w:sz w:val="20"/>
          <w:szCs w:val="20"/>
        </w:rPr>
        <w:t>.</w:t>
      </w:r>
    </w:p>
    <w:p w14:paraId="22DA91AC" w14:textId="2C1A0F17" w:rsidR="00A101CF" w:rsidRDefault="00A101C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Prior to Part 2.7, the application of the prescribed funding formula </w:t>
      </w:r>
      <w:proofErr w:type="gramStart"/>
      <w:r>
        <w:rPr>
          <w:rFonts w:ascii="Arial" w:hAnsi="Arial" w:cs="Arial"/>
          <w:color w:val="535355"/>
          <w:sz w:val="20"/>
          <w:szCs w:val="20"/>
        </w:rPr>
        <w:t xml:space="preserve">was calculated by the Department and worked through with the Non-Government Schools </w:t>
      </w:r>
      <w:r w:rsidR="009C6671">
        <w:rPr>
          <w:rFonts w:ascii="Arial" w:hAnsi="Arial" w:cs="Arial"/>
          <w:color w:val="535355"/>
          <w:sz w:val="20"/>
          <w:szCs w:val="20"/>
        </w:rPr>
        <w:t xml:space="preserve">Reference </w:t>
      </w:r>
      <w:r>
        <w:rPr>
          <w:rFonts w:ascii="Arial" w:hAnsi="Arial" w:cs="Arial"/>
          <w:color w:val="535355"/>
          <w:sz w:val="20"/>
          <w:szCs w:val="20"/>
        </w:rPr>
        <w:t xml:space="preserve">Group (NGS </w:t>
      </w:r>
      <w:r w:rsidR="009C6671">
        <w:rPr>
          <w:rFonts w:ascii="Arial" w:hAnsi="Arial" w:cs="Arial"/>
          <w:color w:val="535355"/>
          <w:sz w:val="20"/>
          <w:szCs w:val="20"/>
        </w:rPr>
        <w:t xml:space="preserve">Reference </w:t>
      </w:r>
      <w:r>
        <w:rPr>
          <w:rFonts w:ascii="Arial" w:hAnsi="Arial" w:cs="Arial"/>
          <w:color w:val="535355"/>
          <w:sz w:val="20"/>
          <w:szCs w:val="20"/>
        </w:rPr>
        <w:t>Group)</w:t>
      </w:r>
      <w:proofErr w:type="gramEnd"/>
      <w:r>
        <w:rPr>
          <w:rFonts w:ascii="Arial" w:hAnsi="Arial" w:cs="Arial"/>
          <w:color w:val="535355"/>
          <w:sz w:val="20"/>
          <w:szCs w:val="20"/>
        </w:rPr>
        <w:t xml:space="preserve">.  The NGS </w:t>
      </w:r>
      <w:r w:rsidR="009C6671">
        <w:rPr>
          <w:rFonts w:ascii="Arial" w:hAnsi="Arial" w:cs="Arial"/>
          <w:color w:val="535355"/>
          <w:sz w:val="20"/>
          <w:szCs w:val="20"/>
        </w:rPr>
        <w:t xml:space="preserve">Reference </w:t>
      </w:r>
      <w:r>
        <w:rPr>
          <w:rFonts w:ascii="Arial" w:hAnsi="Arial" w:cs="Arial"/>
          <w:color w:val="535355"/>
          <w:sz w:val="20"/>
          <w:szCs w:val="20"/>
        </w:rPr>
        <w:t xml:space="preserve">Group was an established body including representation of the Department, CECV and ISV.  The NGS </w:t>
      </w:r>
      <w:r w:rsidR="000600A1">
        <w:rPr>
          <w:rFonts w:ascii="Arial" w:hAnsi="Arial" w:cs="Arial"/>
          <w:color w:val="535355"/>
          <w:sz w:val="20"/>
          <w:szCs w:val="20"/>
        </w:rPr>
        <w:t>Reference Group</w:t>
      </w:r>
      <w:r>
        <w:rPr>
          <w:rFonts w:ascii="Arial" w:hAnsi="Arial" w:cs="Arial"/>
          <w:color w:val="535355"/>
          <w:sz w:val="20"/>
          <w:szCs w:val="20"/>
        </w:rPr>
        <w:t xml:space="preserve">, which now exists as a sub-committee of SPFAC, was provided </w:t>
      </w:r>
      <w:r w:rsidR="000600A1">
        <w:rPr>
          <w:rFonts w:ascii="Arial" w:hAnsi="Arial" w:cs="Arial"/>
          <w:color w:val="535355"/>
          <w:sz w:val="20"/>
          <w:szCs w:val="20"/>
        </w:rPr>
        <w:t xml:space="preserve">with </w:t>
      </w:r>
      <w:r>
        <w:rPr>
          <w:rFonts w:ascii="Arial" w:hAnsi="Arial" w:cs="Arial"/>
          <w:color w:val="535355"/>
          <w:sz w:val="20"/>
          <w:szCs w:val="20"/>
        </w:rPr>
        <w:t xml:space="preserve">papers and evidence of the determination of the basket of goods each year and how that translated to resultant funding to non-government schools.  This group discussed and debated aspects of the determination of the basket of goods and the application of the prescribed funding formula, which informed the </w:t>
      </w:r>
      <w:proofErr w:type="gramStart"/>
      <w:r>
        <w:rPr>
          <w:rFonts w:ascii="Arial" w:hAnsi="Arial" w:cs="Arial"/>
          <w:color w:val="535355"/>
          <w:sz w:val="20"/>
          <w:szCs w:val="20"/>
        </w:rPr>
        <w:t>Department’s</w:t>
      </w:r>
      <w:proofErr w:type="gramEnd"/>
      <w:r>
        <w:rPr>
          <w:rFonts w:ascii="Arial" w:hAnsi="Arial" w:cs="Arial"/>
          <w:color w:val="535355"/>
          <w:sz w:val="20"/>
          <w:szCs w:val="20"/>
        </w:rPr>
        <w:t xml:space="preserve"> briefing to the Minister on the proposed funding outcome for non-government schools.</w:t>
      </w:r>
    </w:p>
    <w:p w14:paraId="4BC73103" w14:textId="503D57B0" w:rsidR="00A101CF" w:rsidRDefault="00A101C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Since the introduction of Part 2.7, a similar process </w:t>
      </w:r>
      <w:proofErr w:type="gramStart"/>
      <w:r>
        <w:rPr>
          <w:rFonts w:ascii="Arial" w:hAnsi="Arial" w:cs="Arial"/>
          <w:color w:val="535355"/>
          <w:sz w:val="20"/>
          <w:szCs w:val="20"/>
        </w:rPr>
        <w:t>is followed</w:t>
      </w:r>
      <w:proofErr w:type="gramEnd"/>
      <w:r>
        <w:rPr>
          <w:rFonts w:ascii="Arial" w:hAnsi="Arial" w:cs="Arial"/>
          <w:color w:val="535355"/>
          <w:sz w:val="20"/>
          <w:szCs w:val="20"/>
        </w:rPr>
        <w:t xml:space="preserve"> with the Department presenting the NGS </w:t>
      </w:r>
      <w:r w:rsidR="009C6671">
        <w:rPr>
          <w:rFonts w:ascii="Arial" w:hAnsi="Arial" w:cs="Arial"/>
          <w:color w:val="535355"/>
          <w:sz w:val="20"/>
          <w:szCs w:val="20"/>
        </w:rPr>
        <w:t xml:space="preserve">Reference </w:t>
      </w:r>
      <w:r>
        <w:rPr>
          <w:rFonts w:ascii="Arial" w:hAnsi="Arial" w:cs="Arial"/>
          <w:color w:val="535355"/>
          <w:sz w:val="20"/>
          <w:szCs w:val="20"/>
        </w:rPr>
        <w:t xml:space="preserve">Group with the proposed determination of the basket of goods each year, and the translation of that to resultant funding to non-government schools using the prescribed funding formula.  This </w:t>
      </w:r>
      <w:proofErr w:type="gramStart"/>
      <w:r>
        <w:rPr>
          <w:rFonts w:ascii="Arial" w:hAnsi="Arial" w:cs="Arial"/>
          <w:color w:val="535355"/>
          <w:sz w:val="20"/>
          <w:szCs w:val="20"/>
        </w:rPr>
        <w:t>is discussed and debated in the NGS</w:t>
      </w:r>
      <w:r w:rsidR="002B637F">
        <w:rPr>
          <w:rFonts w:ascii="Arial" w:hAnsi="Arial" w:cs="Arial"/>
          <w:color w:val="535355"/>
          <w:sz w:val="20"/>
          <w:szCs w:val="20"/>
        </w:rPr>
        <w:t xml:space="preserve"> </w:t>
      </w:r>
      <w:r w:rsidR="000600A1">
        <w:rPr>
          <w:rFonts w:ascii="Arial" w:hAnsi="Arial" w:cs="Arial"/>
          <w:color w:val="535355"/>
          <w:sz w:val="20"/>
          <w:szCs w:val="20"/>
        </w:rPr>
        <w:t>Reference Group</w:t>
      </w:r>
      <w:r>
        <w:rPr>
          <w:rFonts w:ascii="Arial" w:hAnsi="Arial" w:cs="Arial"/>
          <w:color w:val="535355"/>
          <w:sz w:val="20"/>
          <w:szCs w:val="20"/>
        </w:rPr>
        <w:t>,</w:t>
      </w:r>
      <w:proofErr w:type="gramEnd"/>
      <w:r>
        <w:rPr>
          <w:rFonts w:ascii="Arial" w:hAnsi="Arial" w:cs="Arial"/>
          <w:color w:val="535355"/>
          <w:sz w:val="20"/>
          <w:szCs w:val="20"/>
        </w:rPr>
        <w:t xml:space="preserve"> and then </w:t>
      </w:r>
      <w:r w:rsidR="002B637F">
        <w:rPr>
          <w:rFonts w:ascii="Arial" w:hAnsi="Arial" w:cs="Arial"/>
          <w:color w:val="535355"/>
          <w:sz w:val="20"/>
          <w:szCs w:val="20"/>
        </w:rPr>
        <w:t xml:space="preserve">relevant </w:t>
      </w:r>
      <w:r>
        <w:rPr>
          <w:rFonts w:ascii="Arial" w:hAnsi="Arial" w:cs="Arial"/>
          <w:color w:val="535355"/>
          <w:sz w:val="20"/>
          <w:szCs w:val="20"/>
        </w:rPr>
        <w:t>information is provided to SPFAC, for final recommendation to the Minister.</w:t>
      </w:r>
    </w:p>
    <w:p w14:paraId="776DEC19" w14:textId="11B8C243" w:rsidR="002B637F" w:rsidRDefault="002B637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lastRenderedPageBreak/>
        <w:t xml:space="preserve">The Review considered what information </w:t>
      </w:r>
      <w:proofErr w:type="gramStart"/>
      <w:r>
        <w:rPr>
          <w:rFonts w:ascii="Arial" w:hAnsi="Arial" w:cs="Arial"/>
          <w:color w:val="535355"/>
          <w:sz w:val="20"/>
          <w:szCs w:val="20"/>
        </w:rPr>
        <w:t>was provided</w:t>
      </w:r>
      <w:proofErr w:type="gramEnd"/>
      <w:r>
        <w:rPr>
          <w:rFonts w:ascii="Arial" w:hAnsi="Arial" w:cs="Arial"/>
          <w:color w:val="535355"/>
          <w:sz w:val="20"/>
          <w:szCs w:val="20"/>
        </w:rPr>
        <w:t xml:space="preserve"> in papers to the SPFAC and noted that considerable detail is available to all members (being the relevant stakeholders).  The Review also noted from the Minutes of relevant SPFAC meetings that there is detailed and robust discussion regarding key aspects of the application of the prescribed funding formula.</w:t>
      </w:r>
    </w:p>
    <w:p w14:paraId="2BDE7EF2" w14:textId="5760BF6D" w:rsidR="002B637F" w:rsidRDefault="002B637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Representatives of both CECV and ISV noted that they had satisfactory access to information through the NGS </w:t>
      </w:r>
      <w:r w:rsidR="009C6671">
        <w:rPr>
          <w:rFonts w:ascii="Arial" w:hAnsi="Arial" w:cs="Arial"/>
          <w:color w:val="535355"/>
          <w:sz w:val="20"/>
          <w:szCs w:val="20"/>
        </w:rPr>
        <w:t xml:space="preserve">Reference </w:t>
      </w:r>
      <w:r>
        <w:rPr>
          <w:rFonts w:ascii="Arial" w:hAnsi="Arial" w:cs="Arial"/>
          <w:color w:val="535355"/>
          <w:sz w:val="20"/>
          <w:szCs w:val="20"/>
        </w:rPr>
        <w:t>Group and the SPFAC to be confident of appropriate transparency of the application of the prescribed funding formula.  On that basis, and noting the view taken by this Review regarding transparency objectives, we have concluded that operational application of the prescribed funding formula does provide the Department, the CECV and ISV with sufficient and appropriate transparency of the determination of total funding to non-government schools consistent with the principles outlined in Part 2.7.</w:t>
      </w:r>
    </w:p>
    <w:p w14:paraId="0678C5C6" w14:textId="401773EA" w:rsidR="00BE0E8C" w:rsidRDefault="00BE0E8C" w:rsidP="00BE0E8C">
      <w:pPr>
        <w:pStyle w:val="Heading3Pro"/>
      </w:pPr>
      <w:r>
        <w:t>Basket of Goods Decisions</w:t>
      </w:r>
    </w:p>
    <w:p w14:paraId="08D16A5B" w14:textId="1078D37A" w:rsidR="007A051E" w:rsidRDefault="00BE0E8C"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most significant and potentially most contentious aspect of the application of prescribed funding formula is the determination of the content and value of the basket of goods each year (in effect, the determination of “A” in the prescribed funding formula).</w:t>
      </w:r>
    </w:p>
    <w:p w14:paraId="065599A9" w14:textId="5F897202" w:rsidR="00BE0E8C" w:rsidRDefault="00BE0E8C"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Review noted that there has been debate around certain positions on the determination of the basket of goods by the </w:t>
      </w:r>
      <w:r w:rsidR="00543C86">
        <w:rPr>
          <w:rFonts w:ascii="Arial" w:hAnsi="Arial" w:cs="Arial"/>
          <w:color w:val="535355"/>
          <w:sz w:val="20"/>
          <w:szCs w:val="20"/>
        </w:rPr>
        <w:t>D</w:t>
      </w:r>
      <w:r>
        <w:rPr>
          <w:rFonts w:ascii="Arial" w:hAnsi="Arial" w:cs="Arial"/>
          <w:color w:val="535355"/>
          <w:sz w:val="20"/>
          <w:szCs w:val="20"/>
        </w:rPr>
        <w:t xml:space="preserve">epartment each year since the introduction of Part 2.7.  In </w:t>
      </w:r>
      <w:proofErr w:type="gramStart"/>
      <w:r>
        <w:rPr>
          <w:rFonts w:ascii="Arial" w:hAnsi="Arial" w:cs="Arial"/>
          <w:color w:val="535355"/>
          <w:sz w:val="20"/>
          <w:szCs w:val="20"/>
        </w:rPr>
        <w:t>general</w:t>
      </w:r>
      <w:proofErr w:type="gramEnd"/>
      <w:r>
        <w:rPr>
          <w:rFonts w:ascii="Arial" w:hAnsi="Arial" w:cs="Arial"/>
          <w:color w:val="535355"/>
          <w:sz w:val="20"/>
          <w:szCs w:val="20"/>
        </w:rPr>
        <w:t xml:space="preserve"> these debates relate to relatively small values (in the context of the total funding value).  Based on records and consultation, these debates </w:t>
      </w:r>
      <w:proofErr w:type="gramStart"/>
      <w:r>
        <w:rPr>
          <w:rFonts w:ascii="Arial" w:hAnsi="Arial" w:cs="Arial"/>
          <w:color w:val="535355"/>
          <w:sz w:val="20"/>
          <w:szCs w:val="20"/>
        </w:rPr>
        <w:t>are held</w:t>
      </w:r>
      <w:proofErr w:type="gramEnd"/>
      <w:r>
        <w:rPr>
          <w:rFonts w:ascii="Arial" w:hAnsi="Arial" w:cs="Arial"/>
          <w:color w:val="535355"/>
          <w:sz w:val="20"/>
          <w:szCs w:val="20"/>
        </w:rPr>
        <w:t xml:space="preserve"> productively and are based on full visibility of underlying data.</w:t>
      </w:r>
    </w:p>
    <w:p w14:paraId="45B745E8" w14:textId="2427D00A" w:rsidR="00BE0E8C" w:rsidRDefault="00BE0E8C"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Review also noted that there are some limited instances where decisions are taken to include </w:t>
      </w:r>
      <w:r w:rsidR="007A0C67">
        <w:rPr>
          <w:rFonts w:ascii="Arial" w:hAnsi="Arial" w:cs="Arial"/>
          <w:color w:val="535355"/>
          <w:sz w:val="20"/>
          <w:szCs w:val="20"/>
        </w:rPr>
        <w:t xml:space="preserve">certain items in the basket of goods, which may otherwise be excluded based on the application of principles associated with the basket of goods.  An example of this is the “teacher notebook program”.  The Department chose to include this in the basket of goods as a “goodwill” gesture.  Decisions of this nature inevitably reduce transparency as the reliability of </w:t>
      </w:r>
      <w:proofErr w:type="gramStart"/>
      <w:r w:rsidR="007A0C67">
        <w:rPr>
          <w:rFonts w:ascii="Arial" w:hAnsi="Arial" w:cs="Arial"/>
          <w:color w:val="535355"/>
          <w:sz w:val="20"/>
          <w:szCs w:val="20"/>
        </w:rPr>
        <w:t>decision making</w:t>
      </w:r>
      <w:proofErr w:type="gramEnd"/>
      <w:r w:rsidR="007A0C67">
        <w:rPr>
          <w:rFonts w:ascii="Arial" w:hAnsi="Arial" w:cs="Arial"/>
          <w:color w:val="535355"/>
          <w:sz w:val="20"/>
          <w:szCs w:val="20"/>
        </w:rPr>
        <w:t xml:space="preserve"> can be called into question.</w:t>
      </w:r>
    </w:p>
    <w:p w14:paraId="2664DB89" w14:textId="21D50D40" w:rsidR="007A0C67" w:rsidRDefault="007A0C67"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However, we note that these instances are relatively rare and involve relatively low values.  On that basis, the impact on transparency </w:t>
      </w:r>
      <w:proofErr w:type="gramStart"/>
      <w:r>
        <w:rPr>
          <w:rFonts w:ascii="Arial" w:hAnsi="Arial" w:cs="Arial"/>
          <w:color w:val="535355"/>
          <w:sz w:val="20"/>
          <w:szCs w:val="20"/>
        </w:rPr>
        <w:t>can be assessed</w:t>
      </w:r>
      <w:proofErr w:type="gramEnd"/>
      <w:r>
        <w:rPr>
          <w:rFonts w:ascii="Arial" w:hAnsi="Arial" w:cs="Arial"/>
          <w:color w:val="535355"/>
          <w:sz w:val="20"/>
          <w:szCs w:val="20"/>
        </w:rPr>
        <w:t xml:space="preserve"> as low.</w:t>
      </w:r>
    </w:p>
    <w:p w14:paraId="7C1E001D" w14:textId="612E6AD3" w:rsidR="00BE0E8C" w:rsidRDefault="00BE0E8C" w:rsidP="00BE0E8C">
      <w:pPr>
        <w:pStyle w:val="Heading3Pro"/>
      </w:pPr>
      <w:r>
        <w:t>Prescribed Funding Formula Has Not Been the Determinant of Funding Since Introduction of Part 2.7</w:t>
      </w:r>
    </w:p>
    <w:p w14:paraId="62D1884F" w14:textId="671D2745" w:rsidR="002B637F" w:rsidRDefault="002B637F"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It is worthwhile noting that the prescribed funding formula has not been the determinant of total funding to non-government schools in the past three years.  The prescribed funding formula establishes a minimum recurrent funding total for </w:t>
      </w:r>
      <w:r w:rsidR="007A051E">
        <w:rPr>
          <w:rFonts w:ascii="Arial" w:hAnsi="Arial" w:cs="Arial"/>
          <w:color w:val="535355"/>
          <w:sz w:val="20"/>
          <w:szCs w:val="20"/>
        </w:rPr>
        <w:t xml:space="preserve">non-government schools.  In each of the past three years, </w:t>
      </w:r>
      <w:r w:rsidR="00B73E59">
        <w:rPr>
          <w:rFonts w:ascii="Arial" w:hAnsi="Arial" w:cs="Arial"/>
          <w:color w:val="535355"/>
          <w:sz w:val="20"/>
          <w:szCs w:val="20"/>
        </w:rPr>
        <w:t xml:space="preserve">consistent with advice from SPFAC, </w:t>
      </w:r>
      <w:r w:rsidR="007A051E">
        <w:rPr>
          <w:rFonts w:ascii="Arial" w:hAnsi="Arial" w:cs="Arial"/>
          <w:color w:val="535355"/>
          <w:sz w:val="20"/>
          <w:szCs w:val="20"/>
        </w:rPr>
        <w:t>the Minister has chosen to apply a simple indexation of three percent on prior year funding as the determination of the total non-government school recurrent funding.</w:t>
      </w:r>
      <w:r w:rsidR="009B53DD">
        <w:rPr>
          <w:rFonts w:ascii="Arial" w:hAnsi="Arial" w:cs="Arial"/>
          <w:color w:val="535355"/>
          <w:sz w:val="20"/>
          <w:szCs w:val="20"/>
        </w:rPr>
        <w:t xml:space="preserve"> For the 2018-19 funding year, basket of goods methodology </w:t>
      </w:r>
      <w:proofErr w:type="gramStart"/>
      <w:r w:rsidR="009B53DD">
        <w:rPr>
          <w:rFonts w:ascii="Arial" w:hAnsi="Arial" w:cs="Arial"/>
          <w:color w:val="535355"/>
          <w:sz w:val="20"/>
          <w:szCs w:val="20"/>
        </w:rPr>
        <w:t>was approved</w:t>
      </w:r>
      <w:proofErr w:type="gramEnd"/>
      <w:r w:rsidR="009B53DD">
        <w:rPr>
          <w:rFonts w:ascii="Arial" w:hAnsi="Arial" w:cs="Arial"/>
          <w:color w:val="535355"/>
          <w:sz w:val="20"/>
          <w:szCs w:val="20"/>
        </w:rPr>
        <w:t xml:space="preserve"> for application through consultation with </w:t>
      </w:r>
      <w:r w:rsidR="00030E86">
        <w:rPr>
          <w:rFonts w:ascii="Arial" w:hAnsi="Arial" w:cs="Arial"/>
          <w:color w:val="535355"/>
          <w:sz w:val="20"/>
          <w:szCs w:val="20"/>
        </w:rPr>
        <w:t xml:space="preserve">the </w:t>
      </w:r>
      <w:r w:rsidR="00030E86" w:rsidRPr="00030E86">
        <w:rPr>
          <w:rFonts w:ascii="Arial" w:hAnsi="Arial" w:cs="Arial"/>
          <w:color w:val="535355"/>
          <w:sz w:val="20"/>
          <w:szCs w:val="20"/>
        </w:rPr>
        <w:t>NGS Reference Group</w:t>
      </w:r>
      <w:r w:rsidR="00030E86">
        <w:rPr>
          <w:rFonts w:ascii="Arial" w:hAnsi="Arial" w:cs="Arial"/>
          <w:color w:val="535355"/>
          <w:sz w:val="20"/>
          <w:szCs w:val="20"/>
        </w:rPr>
        <w:t>,</w:t>
      </w:r>
      <w:r w:rsidR="00030E86" w:rsidRPr="00030E86">
        <w:rPr>
          <w:rFonts w:ascii="Arial" w:hAnsi="Arial" w:cs="Arial"/>
          <w:color w:val="535355"/>
          <w:sz w:val="20"/>
          <w:szCs w:val="20"/>
        </w:rPr>
        <w:t xml:space="preserve"> </w:t>
      </w:r>
      <w:r w:rsidR="009B53DD">
        <w:rPr>
          <w:rFonts w:ascii="Arial" w:hAnsi="Arial" w:cs="Arial"/>
          <w:color w:val="535355"/>
          <w:sz w:val="20"/>
          <w:szCs w:val="20"/>
        </w:rPr>
        <w:t>SPFAC and the Minister.</w:t>
      </w:r>
    </w:p>
    <w:p w14:paraId="2FF6CF08" w14:textId="6D36921F" w:rsidR="007A051E" w:rsidRDefault="007A051E"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Given the final determination of recurrent non-government school funding has </w:t>
      </w:r>
      <w:r w:rsidR="00030E86">
        <w:rPr>
          <w:rFonts w:ascii="Arial" w:hAnsi="Arial" w:cs="Arial"/>
          <w:color w:val="535355"/>
          <w:sz w:val="20"/>
          <w:szCs w:val="20"/>
        </w:rPr>
        <w:t xml:space="preserve">predominantly </w:t>
      </w:r>
      <w:r>
        <w:rPr>
          <w:rFonts w:ascii="Arial" w:hAnsi="Arial" w:cs="Arial"/>
          <w:color w:val="535355"/>
          <w:sz w:val="20"/>
          <w:szCs w:val="20"/>
        </w:rPr>
        <w:t xml:space="preserve">been based on a mechanism not related to the prescribed funding formula, it could be argued that that formula has had limited impact on </w:t>
      </w:r>
      <w:r w:rsidR="00BE0E8C">
        <w:rPr>
          <w:rFonts w:ascii="Arial" w:hAnsi="Arial" w:cs="Arial"/>
          <w:color w:val="535355"/>
          <w:sz w:val="20"/>
          <w:szCs w:val="20"/>
        </w:rPr>
        <w:t>funding</w:t>
      </w:r>
      <w:r>
        <w:rPr>
          <w:rFonts w:ascii="Arial" w:hAnsi="Arial" w:cs="Arial"/>
          <w:color w:val="535355"/>
          <w:sz w:val="20"/>
          <w:szCs w:val="20"/>
        </w:rPr>
        <w:t xml:space="preserve"> determination.  Further, it </w:t>
      </w:r>
      <w:proofErr w:type="gramStart"/>
      <w:r>
        <w:rPr>
          <w:rFonts w:ascii="Arial" w:hAnsi="Arial" w:cs="Arial"/>
          <w:color w:val="535355"/>
          <w:sz w:val="20"/>
          <w:szCs w:val="20"/>
        </w:rPr>
        <w:t>could be argued</w:t>
      </w:r>
      <w:proofErr w:type="gramEnd"/>
      <w:r>
        <w:rPr>
          <w:rFonts w:ascii="Arial" w:hAnsi="Arial" w:cs="Arial"/>
          <w:color w:val="535355"/>
          <w:sz w:val="20"/>
          <w:szCs w:val="20"/>
        </w:rPr>
        <w:t xml:space="preserve"> that other commonly used approaches by the Minister for determination of recurrent non-government school funding could be referenced in Part 2.7 to increase transparency.  However, as the Department, CECV and ISV all report satisfactory visibility of how the funding is determined, any such change is unlikely to provide significant benefit.</w:t>
      </w:r>
    </w:p>
    <w:p w14:paraId="6A8BE89E" w14:textId="27D25470" w:rsidR="00861A23" w:rsidRDefault="00861A23"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In this regard, we note that </w:t>
      </w:r>
      <w:r w:rsidRPr="00861A23">
        <w:rPr>
          <w:rFonts w:ascii="Arial" w:hAnsi="Arial" w:cs="Arial"/>
          <w:color w:val="535355"/>
          <w:sz w:val="20"/>
          <w:szCs w:val="20"/>
        </w:rPr>
        <w:t xml:space="preserve">the Minister </w:t>
      </w:r>
      <w:r>
        <w:rPr>
          <w:rFonts w:ascii="Arial" w:hAnsi="Arial" w:cs="Arial"/>
          <w:color w:val="535355"/>
          <w:sz w:val="20"/>
          <w:szCs w:val="20"/>
        </w:rPr>
        <w:t>has the power under Part 2.7 to</w:t>
      </w:r>
      <w:r w:rsidRPr="00861A23">
        <w:rPr>
          <w:rFonts w:ascii="Arial" w:hAnsi="Arial" w:cs="Arial"/>
          <w:color w:val="535355"/>
          <w:sz w:val="20"/>
          <w:szCs w:val="20"/>
        </w:rPr>
        <w:t xml:space="preserve"> request reporting on the application of funding. </w:t>
      </w:r>
      <w:r>
        <w:rPr>
          <w:rFonts w:ascii="Arial" w:hAnsi="Arial" w:cs="Arial"/>
          <w:color w:val="535355"/>
          <w:sz w:val="20"/>
          <w:szCs w:val="20"/>
        </w:rPr>
        <w:t xml:space="preserve"> This has not been a power</w:t>
      </w:r>
      <w:r w:rsidRPr="00861A23">
        <w:rPr>
          <w:rFonts w:ascii="Arial" w:hAnsi="Arial" w:cs="Arial"/>
          <w:color w:val="535355"/>
          <w:sz w:val="20"/>
          <w:szCs w:val="20"/>
        </w:rPr>
        <w:t xml:space="preserve"> th</w:t>
      </w:r>
      <w:r>
        <w:rPr>
          <w:rFonts w:ascii="Arial" w:hAnsi="Arial" w:cs="Arial"/>
          <w:color w:val="535355"/>
          <w:sz w:val="20"/>
          <w:szCs w:val="20"/>
        </w:rPr>
        <w:t xml:space="preserve">e Minister has </w:t>
      </w:r>
      <w:proofErr w:type="spellStart"/>
      <w:r>
        <w:rPr>
          <w:rFonts w:ascii="Arial" w:hAnsi="Arial" w:cs="Arial"/>
          <w:color w:val="535355"/>
          <w:sz w:val="20"/>
          <w:szCs w:val="20"/>
        </w:rPr>
        <w:t>utilised</w:t>
      </w:r>
      <w:proofErr w:type="spellEnd"/>
      <w:r>
        <w:rPr>
          <w:rFonts w:ascii="Arial" w:hAnsi="Arial" w:cs="Arial"/>
          <w:color w:val="535355"/>
          <w:sz w:val="20"/>
          <w:szCs w:val="20"/>
        </w:rPr>
        <w:t xml:space="preserve"> to date.  It </w:t>
      </w:r>
      <w:proofErr w:type="gramStart"/>
      <w:r>
        <w:rPr>
          <w:rFonts w:ascii="Arial" w:hAnsi="Arial" w:cs="Arial"/>
          <w:color w:val="535355"/>
          <w:sz w:val="20"/>
          <w:szCs w:val="20"/>
        </w:rPr>
        <w:t>could</w:t>
      </w:r>
      <w:r w:rsidRPr="00861A23">
        <w:rPr>
          <w:rFonts w:ascii="Arial" w:hAnsi="Arial" w:cs="Arial"/>
          <w:color w:val="535355"/>
          <w:sz w:val="20"/>
          <w:szCs w:val="20"/>
        </w:rPr>
        <w:t xml:space="preserve"> be </w:t>
      </w:r>
      <w:r>
        <w:rPr>
          <w:rFonts w:ascii="Arial" w:hAnsi="Arial" w:cs="Arial"/>
          <w:color w:val="535355"/>
          <w:sz w:val="20"/>
          <w:szCs w:val="20"/>
        </w:rPr>
        <w:t>used</w:t>
      </w:r>
      <w:proofErr w:type="gramEnd"/>
      <w:r w:rsidRPr="00861A23">
        <w:rPr>
          <w:rFonts w:ascii="Arial" w:hAnsi="Arial" w:cs="Arial"/>
          <w:color w:val="535355"/>
          <w:sz w:val="20"/>
          <w:szCs w:val="20"/>
        </w:rPr>
        <w:t xml:space="preserve"> in the event </w:t>
      </w:r>
      <w:r>
        <w:rPr>
          <w:rFonts w:ascii="Arial" w:hAnsi="Arial" w:cs="Arial"/>
          <w:color w:val="535355"/>
          <w:sz w:val="20"/>
          <w:szCs w:val="20"/>
        </w:rPr>
        <w:t xml:space="preserve">that concerns regarding </w:t>
      </w:r>
      <w:r w:rsidRPr="00861A23">
        <w:rPr>
          <w:rFonts w:ascii="Arial" w:hAnsi="Arial" w:cs="Arial"/>
          <w:color w:val="535355"/>
          <w:sz w:val="20"/>
          <w:szCs w:val="20"/>
        </w:rPr>
        <w:t xml:space="preserve">transparency </w:t>
      </w:r>
      <w:r>
        <w:rPr>
          <w:rFonts w:ascii="Arial" w:hAnsi="Arial" w:cs="Arial"/>
          <w:color w:val="535355"/>
          <w:sz w:val="20"/>
          <w:szCs w:val="20"/>
        </w:rPr>
        <w:t>were raised</w:t>
      </w:r>
      <w:r w:rsidRPr="00861A23">
        <w:rPr>
          <w:rFonts w:ascii="Arial" w:hAnsi="Arial" w:cs="Arial"/>
          <w:color w:val="535355"/>
          <w:sz w:val="20"/>
          <w:szCs w:val="20"/>
        </w:rPr>
        <w:t>.</w:t>
      </w:r>
    </w:p>
    <w:p w14:paraId="34298856" w14:textId="5711BB20" w:rsidR="007A0C67" w:rsidRDefault="007A0C67" w:rsidP="007A0C67">
      <w:pPr>
        <w:pStyle w:val="Heading3Pro"/>
      </w:pPr>
      <w:r>
        <w:lastRenderedPageBreak/>
        <w:t>Role of SPFAC</w:t>
      </w:r>
    </w:p>
    <w:p w14:paraId="532E596D" w14:textId="18E9CC0A" w:rsidR="007A0C67" w:rsidRDefault="007A0C67" w:rsidP="00F12F1F">
      <w:pPr>
        <w:spacing w:before="0" w:after="160" w:line="259" w:lineRule="auto"/>
        <w:contextualSpacing w:val="0"/>
        <w:jc w:val="both"/>
        <w:rPr>
          <w:rFonts w:ascii="Arial" w:hAnsi="Arial" w:cs="Arial"/>
          <w:color w:val="535355"/>
          <w:sz w:val="20"/>
          <w:szCs w:val="20"/>
        </w:rPr>
      </w:pPr>
      <w:r w:rsidRPr="007A0C67">
        <w:rPr>
          <w:rFonts w:ascii="Arial" w:hAnsi="Arial" w:cs="Arial"/>
          <w:color w:val="535355"/>
          <w:sz w:val="20"/>
          <w:szCs w:val="20"/>
        </w:rPr>
        <w:t xml:space="preserve">The SPFAC provides a “formality” around the consideration of the application of the formula and the determination of the funding total (recommended to the Minister), which </w:t>
      </w:r>
      <w:r>
        <w:rPr>
          <w:rFonts w:ascii="Arial" w:hAnsi="Arial" w:cs="Arial"/>
          <w:color w:val="535355"/>
          <w:sz w:val="20"/>
          <w:szCs w:val="20"/>
        </w:rPr>
        <w:t>can only be seen as</w:t>
      </w:r>
      <w:r w:rsidRPr="007A0C67">
        <w:rPr>
          <w:rFonts w:ascii="Arial" w:hAnsi="Arial" w:cs="Arial"/>
          <w:color w:val="535355"/>
          <w:sz w:val="20"/>
          <w:szCs w:val="20"/>
        </w:rPr>
        <w:t xml:space="preserve"> good for transparency and accountability.  </w:t>
      </w:r>
    </w:p>
    <w:p w14:paraId="06BE8DB9" w14:textId="284E7CD2" w:rsidR="00BE0E8C" w:rsidRPr="00A81F24" w:rsidRDefault="00BE0E8C" w:rsidP="00BE0E8C">
      <w:pPr>
        <w:pStyle w:val="Heading2Pro"/>
      </w:pPr>
      <w:bookmarkStart w:id="36" w:name="_Toc524873211"/>
      <w:bookmarkStart w:id="37" w:name="_Toc525244614"/>
      <w:r>
        <w:t>Conclusion</w:t>
      </w:r>
      <w:bookmarkEnd w:id="36"/>
      <w:bookmarkEnd w:id="37"/>
    </w:p>
    <w:p w14:paraId="790D8447" w14:textId="7D4A8A74" w:rsidR="007A051E" w:rsidRDefault="007A0C67"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As relevant stakeholders, being leaders of the Department, CECV and ISV, have expressed satisfaction with regard to their visibility of the operational application of the prescribed funding formula since the introduction of Part 2.7 of the ETRA, we can conclude that satisfactory transparency </w:t>
      </w:r>
      <w:proofErr w:type="gramStart"/>
      <w:r>
        <w:rPr>
          <w:rFonts w:ascii="Arial" w:hAnsi="Arial" w:cs="Arial"/>
          <w:color w:val="535355"/>
          <w:sz w:val="20"/>
          <w:szCs w:val="20"/>
        </w:rPr>
        <w:t>is being achieved</w:t>
      </w:r>
      <w:proofErr w:type="gramEnd"/>
      <w:r>
        <w:rPr>
          <w:rFonts w:ascii="Arial" w:hAnsi="Arial" w:cs="Arial"/>
          <w:color w:val="535355"/>
          <w:sz w:val="20"/>
          <w:szCs w:val="20"/>
        </w:rPr>
        <w:t xml:space="preserve"> in the determination of recurrent non-government school funding totals.  </w:t>
      </w:r>
      <w:r w:rsidRPr="007A0C67">
        <w:rPr>
          <w:rFonts w:ascii="Arial" w:hAnsi="Arial" w:cs="Arial"/>
          <w:color w:val="535355"/>
          <w:sz w:val="20"/>
          <w:szCs w:val="20"/>
        </w:rPr>
        <w:t>An independent view confirms that those key stakeholders have suitable visibility (and ability to discuss and debate) over the mechanisms for determination of the r</w:t>
      </w:r>
      <w:r>
        <w:rPr>
          <w:rFonts w:ascii="Arial" w:hAnsi="Arial" w:cs="Arial"/>
          <w:color w:val="535355"/>
          <w:sz w:val="20"/>
          <w:szCs w:val="20"/>
        </w:rPr>
        <w:t>ecurrent funding total for non-g</w:t>
      </w:r>
      <w:r w:rsidRPr="007A0C67">
        <w:rPr>
          <w:rFonts w:ascii="Arial" w:hAnsi="Arial" w:cs="Arial"/>
          <w:color w:val="535355"/>
          <w:sz w:val="20"/>
          <w:szCs w:val="20"/>
        </w:rPr>
        <w:t>overnment schools.</w:t>
      </w:r>
    </w:p>
    <w:p w14:paraId="28D9514B" w14:textId="74C85E47" w:rsidR="00BE0E8C" w:rsidRPr="00A81F24" w:rsidRDefault="00BE0E8C" w:rsidP="00BE0E8C">
      <w:pPr>
        <w:pStyle w:val="Heading2Pro"/>
      </w:pPr>
      <w:bookmarkStart w:id="38" w:name="_Toc524873212"/>
      <w:bookmarkStart w:id="39" w:name="_Toc525244615"/>
      <w:r>
        <w:t>Recommendations</w:t>
      </w:r>
      <w:bookmarkEnd w:id="38"/>
      <w:bookmarkEnd w:id="39"/>
    </w:p>
    <w:p w14:paraId="661759B5" w14:textId="45D5CBDE" w:rsidR="00BE0E8C" w:rsidRPr="00A101CF" w:rsidRDefault="00BE0E8C" w:rsidP="00F12F1F">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Nil</w:t>
      </w:r>
    </w:p>
    <w:p w14:paraId="15B5A73E" w14:textId="77777777" w:rsidR="00F83C1B" w:rsidRPr="00F12F1F" w:rsidRDefault="00F83C1B" w:rsidP="00F12F1F">
      <w:pPr>
        <w:spacing w:before="0" w:after="160" w:line="259" w:lineRule="auto"/>
        <w:contextualSpacing w:val="0"/>
        <w:jc w:val="both"/>
        <w:rPr>
          <w:rFonts w:ascii="Arial" w:hAnsi="Arial" w:cs="Arial"/>
          <w:color w:val="535355"/>
          <w:sz w:val="20"/>
          <w:szCs w:val="20"/>
        </w:rPr>
      </w:pPr>
    </w:p>
    <w:p w14:paraId="313D7543" w14:textId="77777777" w:rsidR="001642C8" w:rsidRDefault="001642C8" w:rsidP="005046EE">
      <w:pPr>
        <w:rPr>
          <w:rStyle w:val="Replacetext"/>
          <w:bCs w:val="0"/>
        </w:rPr>
      </w:pPr>
      <w:r>
        <w:rPr>
          <w:rStyle w:val="Replacetext"/>
        </w:rPr>
        <w:br w:type="page"/>
      </w:r>
    </w:p>
    <w:p w14:paraId="5819D9E8" w14:textId="679CC8CC" w:rsidR="007A0C67" w:rsidRDefault="007A0C67" w:rsidP="007A0C67">
      <w:pPr>
        <w:pStyle w:val="Heading1Pro"/>
      </w:pPr>
      <w:bookmarkStart w:id="40" w:name="_Toc525244616"/>
      <w:r>
        <w:lastRenderedPageBreak/>
        <w:t xml:space="preserve">Scope Item 2: </w:t>
      </w:r>
      <w:r w:rsidRPr="007A0C67">
        <w:t>The establishment of SPFAC and the mechanisms by which SPFAC advises the Minister about regulatory, policy and funding issues that affect government schools and non-government schools</w:t>
      </w:r>
      <w:bookmarkEnd w:id="40"/>
    </w:p>
    <w:p w14:paraId="5B3F2267" w14:textId="77777777" w:rsidR="007A0C67" w:rsidRPr="00A81F24" w:rsidRDefault="007A0C67" w:rsidP="007A0C67">
      <w:pPr>
        <w:pStyle w:val="Heading2Pro"/>
      </w:pPr>
      <w:bookmarkStart w:id="41" w:name="_Toc524873214"/>
      <w:bookmarkStart w:id="42" w:name="_Toc525244617"/>
      <w:r>
        <w:t>Background</w:t>
      </w:r>
      <w:bookmarkEnd w:id="41"/>
      <w:bookmarkEnd w:id="42"/>
    </w:p>
    <w:p w14:paraId="307FD614" w14:textId="7F26BC36" w:rsidR="007A0C67" w:rsidRDefault="009C530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Division 3 of Part 2.7 of the ETRA defines the legislative obligations regarding SPFAC, as follows:</w:t>
      </w:r>
    </w:p>
    <w:p w14:paraId="7E632012" w14:textId="09A4D324"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2.7.9</w:t>
      </w:r>
      <w:r w:rsidRPr="009C5307">
        <w:rPr>
          <w:rFonts w:ascii="Arial" w:hAnsi="Arial" w:cs="Arial"/>
          <w:i/>
          <w:color w:val="535355"/>
          <w:sz w:val="20"/>
          <w:szCs w:val="20"/>
        </w:rPr>
        <w:tab/>
        <w:t xml:space="preserve">Establishment </w:t>
      </w:r>
    </w:p>
    <w:p w14:paraId="3BD24721"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The School Policy and Funding Advisory Council is established.</w:t>
      </w:r>
    </w:p>
    <w:p w14:paraId="0CFF88BF" w14:textId="1344CE05"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2.7.10</w:t>
      </w:r>
      <w:r w:rsidRPr="009C5307">
        <w:rPr>
          <w:rFonts w:ascii="Arial" w:hAnsi="Arial" w:cs="Arial"/>
          <w:i/>
          <w:color w:val="535355"/>
          <w:sz w:val="20"/>
          <w:szCs w:val="20"/>
        </w:rPr>
        <w:tab/>
        <w:t>Function</w:t>
      </w:r>
    </w:p>
    <w:p w14:paraId="422DAD00"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The function of the School Policy and Funding Advisory Council is to advise the Minister about regulatory, policy and funding issues that affect Government schools and non-Government schools.</w:t>
      </w:r>
    </w:p>
    <w:p w14:paraId="6D52B9E1" w14:textId="51A0434C"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2.7.11</w:t>
      </w:r>
      <w:r w:rsidRPr="009C5307">
        <w:rPr>
          <w:rFonts w:ascii="Arial" w:hAnsi="Arial" w:cs="Arial"/>
          <w:i/>
          <w:color w:val="535355"/>
          <w:sz w:val="20"/>
          <w:szCs w:val="20"/>
        </w:rPr>
        <w:tab/>
        <w:t>Membership</w:t>
      </w:r>
    </w:p>
    <w:p w14:paraId="19B1E7A0" w14:textId="0C429E44"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(1)</w:t>
      </w:r>
      <w:r w:rsidRPr="009C5307">
        <w:rPr>
          <w:rFonts w:ascii="Arial" w:hAnsi="Arial" w:cs="Arial"/>
          <w:i/>
          <w:color w:val="535355"/>
          <w:sz w:val="20"/>
          <w:szCs w:val="20"/>
        </w:rPr>
        <w:tab/>
        <w:t>The School Policy and Funding Advisory Council consists of the following members, appointed by the Minister—</w:t>
      </w:r>
    </w:p>
    <w:p w14:paraId="590F9467"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ab/>
        <w:t>(a)</w:t>
      </w:r>
      <w:r w:rsidRPr="009C5307">
        <w:rPr>
          <w:rFonts w:ascii="Arial" w:hAnsi="Arial" w:cs="Arial"/>
          <w:i/>
          <w:color w:val="535355"/>
          <w:sz w:val="20"/>
          <w:szCs w:val="20"/>
        </w:rPr>
        <w:tab/>
      </w:r>
      <w:proofErr w:type="gramStart"/>
      <w:r w:rsidRPr="009C5307">
        <w:rPr>
          <w:rFonts w:ascii="Arial" w:hAnsi="Arial" w:cs="Arial"/>
          <w:i/>
          <w:color w:val="535355"/>
          <w:sz w:val="20"/>
          <w:szCs w:val="20"/>
        </w:rPr>
        <w:t>the</w:t>
      </w:r>
      <w:proofErr w:type="gramEnd"/>
      <w:r w:rsidRPr="009C5307">
        <w:rPr>
          <w:rFonts w:ascii="Arial" w:hAnsi="Arial" w:cs="Arial"/>
          <w:i/>
          <w:color w:val="535355"/>
          <w:sz w:val="20"/>
          <w:szCs w:val="20"/>
        </w:rPr>
        <w:t xml:space="preserve"> Secretary of the Department, who is to be the Chairperson of the Council; </w:t>
      </w:r>
    </w:p>
    <w:p w14:paraId="45BD24DC"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ab/>
        <w:t>(b)</w:t>
      </w:r>
      <w:r w:rsidRPr="009C5307">
        <w:rPr>
          <w:rFonts w:ascii="Arial" w:hAnsi="Arial" w:cs="Arial"/>
          <w:i/>
          <w:color w:val="535355"/>
          <w:sz w:val="20"/>
          <w:szCs w:val="20"/>
        </w:rPr>
        <w:tab/>
      </w:r>
      <w:proofErr w:type="gramStart"/>
      <w:r w:rsidRPr="009C5307">
        <w:rPr>
          <w:rFonts w:ascii="Arial" w:hAnsi="Arial" w:cs="Arial"/>
          <w:i/>
          <w:color w:val="535355"/>
          <w:sz w:val="20"/>
          <w:szCs w:val="20"/>
        </w:rPr>
        <w:t>a</w:t>
      </w:r>
      <w:proofErr w:type="gramEnd"/>
      <w:r w:rsidRPr="009C5307">
        <w:rPr>
          <w:rFonts w:ascii="Arial" w:hAnsi="Arial" w:cs="Arial"/>
          <w:i/>
          <w:color w:val="535355"/>
          <w:sz w:val="20"/>
          <w:szCs w:val="20"/>
        </w:rPr>
        <w:t xml:space="preserve"> representative of the Catholic Education Commission; </w:t>
      </w:r>
    </w:p>
    <w:p w14:paraId="043BE5EA"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ab/>
        <w:t>(c)</w:t>
      </w:r>
      <w:r w:rsidRPr="009C5307">
        <w:rPr>
          <w:rFonts w:ascii="Arial" w:hAnsi="Arial" w:cs="Arial"/>
          <w:i/>
          <w:color w:val="535355"/>
          <w:sz w:val="20"/>
          <w:szCs w:val="20"/>
        </w:rPr>
        <w:tab/>
      </w:r>
      <w:proofErr w:type="gramStart"/>
      <w:r w:rsidRPr="009C5307">
        <w:rPr>
          <w:rFonts w:ascii="Arial" w:hAnsi="Arial" w:cs="Arial"/>
          <w:i/>
          <w:color w:val="535355"/>
          <w:sz w:val="20"/>
          <w:szCs w:val="20"/>
        </w:rPr>
        <w:t>a</w:t>
      </w:r>
      <w:proofErr w:type="gramEnd"/>
      <w:r w:rsidRPr="009C5307">
        <w:rPr>
          <w:rFonts w:ascii="Arial" w:hAnsi="Arial" w:cs="Arial"/>
          <w:i/>
          <w:color w:val="535355"/>
          <w:sz w:val="20"/>
          <w:szCs w:val="20"/>
        </w:rPr>
        <w:t xml:space="preserve"> representative of ISV; </w:t>
      </w:r>
    </w:p>
    <w:p w14:paraId="08EFFB42"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ab/>
        <w:t>(d)</w:t>
      </w:r>
      <w:r w:rsidRPr="009C5307">
        <w:rPr>
          <w:rFonts w:ascii="Arial" w:hAnsi="Arial" w:cs="Arial"/>
          <w:i/>
          <w:color w:val="535355"/>
          <w:sz w:val="20"/>
          <w:szCs w:val="20"/>
        </w:rPr>
        <w:tab/>
      </w:r>
      <w:proofErr w:type="gramStart"/>
      <w:r w:rsidRPr="009C5307">
        <w:rPr>
          <w:rFonts w:ascii="Arial" w:hAnsi="Arial" w:cs="Arial"/>
          <w:i/>
          <w:color w:val="535355"/>
          <w:sz w:val="20"/>
          <w:szCs w:val="20"/>
        </w:rPr>
        <w:t>a</w:t>
      </w:r>
      <w:proofErr w:type="gramEnd"/>
      <w:r w:rsidRPr="009C5307">
        <w:rPr>
          <w:rFonts w:ascii="Arial" w:hAnsi="Arial" w:cs="Arial"/>
          <w:i/>
          <w:color w:val="535355"/>
          <w:sz w:val="20"/>
          <w:szCs w:val="20"/>
        </w:rPr>
        <w:t xml:space="preserve"> representative of Government schools, who is employed in the Department.</w:t>
      </w:r>
    </w:p>
    <w:p w14:paraId="7986BDC2" w14:textId="72BE6081"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(2)</w:t>
      </w:r>
      <w:r w:rsidRPr="009C5307">
        <w:rPr>
          <w:rFonts w:ascii="Arial" w:hAnsi="Arial" w:cs="Arial"/>
          <w:i/>
          <w:color w:val="535355"/>
          <w:sz w:val="20"/>
          <w:szCs w:val="20"/>
        </w:rPr>
        <w:tab/>
        <w:t>The Minister, from time to time, may appoint any other person as a member of the School Policy and Funding Advisory Council who, in the Minister's opinion, has the necessary expertise to contribute to its function.</w:t>
      </w:r>
    </w:p>
    <w:p w14:paraId="412AB0D1" w14:textId="0C8931D9"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2.7.12</w:t>
      </w:r>
      <w:r w:rsidRPr="009C5307">
        <w:rPr>
          <w:rFonts w:ascii="Arial" w:hAnsi="Arial" w:cs="Arial"/>
          <w:i/>
          <w:color w:val="535355"/>
          <w:sz w:val="20"/>
          <w:szCs w:val="20"/>
        </w:rPr>
        <w:tab/>
      </w:r>
      <w:proofErr w:type="gramStart"/>
      <w:r w:rsidRPr="009C5307">
        <w:rPr>
          <w:rFonts w:ascii="Arial" w:hAnsi="Arial" w:cs="Arial"/>
          <w:i/>
          <w:color w:val="535355"/>
          <w:sz w:val="20"/>
          <w:szCs w:val="20"/>
        </w:rPr>
        <w:t>Further</w:t>
      </w:r>
      <w:proofErr w:type="gramEnd"/>
      <w:r w:rsidRPr="009C5307">
        <w:rPr>
          <w:rFonts w:ascii="Arial" w:hAnsi="Arial" w:cs="Arial"/>
          <w:i/>
          <w:color w:val="535355"/>
          <w:sz w:val="20"/>
          <w:szCs w:val="20"/>
        </w:rPr>
        <w:t xml:space="preserve"> provisions for School Policy and Funding Advisory Council</w:t>
      </w:r>
    </w:p>
    <w:p w14:paraId="1DCE06CA" w14:textId="77777777" w:rsidR="007A0C67" w:rsidRPr="009C5307" w:rsidRDefault="007A0C67" w:rsidP="007A0C67">
      <w:pPr>
        <w:spacing w:before="0" w:after="160" w:line="259" w:lineRule="auto"/>
        <w:contextualSpacing w:val="0"/>
        <w:jc w:val="both"/>
        <w:rPr>
          <w:rFonts w:ascii="Arial" w:hAnsi="Arial" w:cs="Arial"/>
          <w:i/>
          <w:color w:val="535355"/>
          <w:sz w:val="20"/>
          <w:szCs w:val="20"/>
        </w:rPr>
      </w:pPr>
      <w:r w:rsidRPr="009C5307">
        <w:rPr>
          <w:rFonts w:ascii="Arial" w:hAnsi="Arial" w:cs="Arial"/>
          <w:i/>
          <w:color w:val="535355"/>
          <w:sz w:val="20"/>
          <w:szCs w:val="20"/>
        </w:rPr>
        <w:t>The Minister, by Order, may make any further provisions in relation to the School Policy and Funding Advisory Council.</w:t>
      </w:r>
    </w:p>
    <w:p w14:paraId="6965B87A" w14:textId="302BDE3A" w:rsidR="007A0C67" w:rsidRDefault="009C530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Minister established SPFAC by Ministerial Order 858 in </w:t>
      </w:r>
      <w:r w:rsidR="00650968">
        <w:rPr>
          <w:rFonts w:ascii="Arial" w:hAnsi="Arial" w:cs="Arial"/>
          <w:color w:val="535355"/>
          <w:sz w:val="20"/>
          <w:szCs w:val="20"/>
        </w:rPr>
        <w:t xml:space="preserve">January 2016 </w:t>
      </w:r>
      <w:r w:rsidR="000F6393">
        <w:rPr>
          <w:rFonts w:ascii="Arial" w:hAnsi="Arial" w:cs="Arial"/>
          <w:color w:val="535355"/>
          <w:sz w:val="20"/>
          <w:szCs w:val="20"/>
        </w:rPr>
        <w:t xml:space="preserve">and a further </w:t>
      </w:r>
      <w:r w:rsidR="000F6393" w:rsidRPr="000F6393">
        <w:rPr>
          <w:rFonts w:ascii="Arial" w:hAnsi="Arial" w:cs="Arial"/>
          <w:color w:val="535355"/>
          <w:sz w:val="20"/>
          <w:szCs w:val="20"/>
        </w:rPr>
        <w:t xml:space="preserve">Ministerial Order </w:t>
      </w:r>
      <w:r w:rsidR="000F6393">
        <w:rPr>
          <w:rFonts w:ascii="Arial" w:hAnsi="Arial" w:cs="Arial"/>
          <w:color w:val="535355"/>
          <w:sz w:val="20"/>
          <w:szCs w:val="20"/>
        </w:rPr>
        <w:t xml:space="preserve">1002 </w:t>
      </w:r>
      <w:r w:rsidR="00341429">
        <w:rPr>
          <w:rFonts w:ascii="Arial" w:hAnsi="Arial" w:cs="Arial"/>
          <w:color w:val="535355"/>
          <w:sz w:val="20"/>
          <w:szCs w:val="20"/>
        </w:rPr>
        <w:t xml:space="preserve">in </w:t>
      </w:r>
      <w:r w:rsidR="00650968">
        <w:rPr>
          <w:rFonts w:ascii="Arial" w:hAnsi="Arial" w:cs="Arial"/>
          <w:color w:val="535355"/>
          <w:sz w:val="20"/>
          <w:szCs w:val="20"/>
        </w:rPr>
        <w:t xml:space="preserve">September </w:t>
      </w:r>
      <w:r w:rsidR="000F6393">
        <w:rPr>
          <w:rFonts w:ascii="Arial" w:hAnsi="Arial" w:cs="Arial"/>
          <w:color w:val="535355"/>
          <w:sz w:val="20"/>
          <w:szCs w:val="20"/>
        </w:rPr>
        <w:t>201</w:t>
      </w:r>
      <w:r w:rsidR="00650968">
        <w:rPr>
          <w:rFonts w:ascii="Arial" w:hAnsi="Arial" w:cs="Arial"/>
          <w:color w:val="535355"/>
          <w:sz w:val="20"/>
          <w:szCs w:val="20"/>
        </w:rPr>
        <w:t>7</w:t>
      </w:r>
      <w:r w:rsidR="000F6393">
        <w:rPr>
          <w:rFonts w:ascii="Arial" w:hAnsi="Arial" w:cs="Arial"/>
          <w:color w:val="535355"/>
          <w:sz w:val="20"/>
          <w:szCs w:val="20"/>
        </w:rPr>
        <w:t xml:space="preserve"> </w:t>
      </w:r>
      <w:r w:rsidR="00C80130">
        <w:rPr>
          <w:rFonts w:ascii="Arial" w:hAnsi="Arial" w:cs="Arial"/>
          <w:color w:val="535355"/>
          <w:sz w:val="20"/>
          <w:szCs w:val="20"/>
        </w:rPr>
        <w:t>for the appointment</w:t>
      </w:r>
      <w:r w:rsidR="000F6393">
        <w:rPr>
          <w:rFonts w:ascii="Arial" w:hAnsi="Arial" w:cs="Arial"/>
          <w:color w:val="535355"/>
          <w:sz w:val="20"/>
          <w:szCs w:val="20"/>
        </w:rPr>
        <w:t xml:space="preserve"> of the Independent Member</w:t>
      </w:r>
      <w:r w:rsidRPr="000F6393">
        <w:rPr>
          <w:rFonts w:ascii="Arial" w:hAnsi="Arial" w:cs="Arial"/>
          <w:color w:val="535355"/>
          <w:sz w:val="20"/>
          <w:szCs w:val="20"/>
        </w:rPr>
        <w:t>.</w:t>
      </w:r>
      <w:r w:rsidR="009C29B7">
        <w:rPr>
          <w:rFonts w:ascii="Arial" w:hAnsi="Arial" w:cs="Arial"/>
          <w:color w:val="535355"/>
          <w:sz w:val="20"/>
          <w:szCs w:val="20"/>
        </w:rPr>
        <w:t xml:space="preserve">  No other Ministerial Orders </w:t>
      </w:r>
      <w:proofErr w:type="gramStart"/>
      <w:r w:rsidR="009C29B7">
        <w:rPr>
          <w:rFonts w:ascii="Arial" w:hAnsi="Arial" w:cs="Arial"/>
          <w:color w:val="535355"/>
          <w:sz w:val="20"/>
          <w:szCs w:val="20"/>
        </w:rPr>
        <w:t>have been made</w:t>
      </w:r>
      <w:proofErr w:type="gramEnd"/>
      <w:r w:rsidR="009C29B7">
        <w:rPr>
          <w:rFonts w:ascii="Arial" w:hAnsi="Arial" w:cs="Arial"/>
          <w:color w:val="535355"/>
          <w:sz w:val="20"/>
          <w:szCs w:val="20"/>
        </w:rPr>
        <w:t xml:space="preserve"> relating to the SPFAC.</w:t>
      </w:r>
    </w:p>
    <w:p w14:paraId="3344971B" w14:textId="0F9D789C" w:rsidR="007A0C67" w:rsidRDefault="009C530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SPFAC established a Terms of Reference in late 2015, which </w:t>
      </w:r>
      <w:proofErr w:type="gramStart"/>
      <w:r>
        <w:rPr>
          <w:rFonts w:ascii="Arial" w:hAnsi="Arial" w:cs="Arial"/>
          <w:color w:val="535355"/>
          <w:sz w:val="20"/>
          <w:szCs w:val="20"/>
        </w:rPr>
        <w:t>has been updated annually and approved by the Minister</w:t>
      </w:r>
      <w:proofErr w:type="gramEnd"/>
      <w:r>
        <w:rPr>
          <w:rFonts w:ascii="Arial" w:hAnsi="Arial" w:cs="Arial"/>
          <w:color w:val="535355"/>
          <w:sz w:val="20"/>
          <w:szCs w:val="20"/>
        </w:rPr>
        <w:t>.  The Terms of Reference establishes the Council’s function consistent with the purpose defined in clause 2.7.10 above.</w:t>
      </w:r>
    </w:p>
    <w:p w14:paraId="2728BD16" w14:textId="145F946D" w:rsidR="009C5307" w:rsidRDefault="009C530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most recent Terms of Reference, following the 2017 annual review defines the roles and responsibilities as follows:</w:t>
      </w:r>
    </w:p>
    <w:p w14:paraId="5A43FBA8" w14:textId="77777777" w:rsidR="009C5307" w:rsidRPr="009C5307" w:rsidRDefault="009C5307" w:rsidP="009C5307">
      <w:pPr>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 xml:space="preserve">The Council will provide advice to the Minister on regulatory, policy and funding issues that affect government and non-government schools and include a focus on: </w:t>
      </w:r>
    </w:p>
    <w:p w14:paraId="73C6543B" w14:textId="7570253A" w:rsidR="009C5307" w:rsidRP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 xml:space="preserve">Cross-sectoral reforms that will contribute to improved Victorian school education system outcomes (e.g. contribution to the policy agenda for the Education State); </w:t>
      </w:r>
    </w:p>
    <w:p w14:paraId="1A9A538C" w14:textId="45D066D9" w:rsidR="009C5307" w:rsidRP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 xml:space="preserve">Funding, accountability and reporting issues that affect government and non-government schools, including the development of funding agreements with non-government schools; </w:t>
      </w:r>
    </w:p>
    <w:p w14:paraId="2D83DBEE" w14:textId="7DDFA481" w:rsidR="009C5307" w:rsidRP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lastRenderedPageBreak/>
        <w:t xml:space="preserve">Policy development that contributes to improved outcomes for specific cohorts (e.g. students with disabilities reform, vulnerable children, Aboriginal students, students from low socio-economic backgrounds and new arrivals); </w:t>
      </w:r>
    </w:p>
    <w:p w14:paraId="36990A89" w14:textId="0F09A3A6" w:rsidR="009C5307" w:rsidRP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 xml:space="preserve">Regulatory issues with consideration given to advice provided by relevant statutory authorities; </w:t>
      </w:r>
    </w:p>
    <w:p w14:paraId="2835F1C7" w14:textId="13E753B4" w:rsidR="009C5307" w:rsidRP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 xml:space="preserve">Commonwealth-State issues (e.g. National Partnerships and Commonwealth Government reviews and targeted programs); and </w:t>
      </w:r>
    </w:p>
    <w:p w14:paraId="0A32CF36" w14:textId="000366E0" w:rsidR="009C5307" w:rsidRDefault="009C5307" w:rsidP="009C29B7">
      <w:pPr>
        <w:numPr>
          <w:ilvl w:val="0"/>
          <w:numId w:val="45"/>
        </w:numPr>
        <w:tabs>
          <w:tab w:val="num" w:pos="1440"/>
        </w:tabs>
        <w:spacing w:before="0" w:after="160" w:line="259" w:lineRule="auto"/>
        <w:contextualSpacing w:val="0"/>
        <w:jc w:val="both"/>
        <w:rPr>
          <w:rFonts w:ascii="Arial" w:hAnsi="Arial" w:cs="Arial"/>
          <w:color w:val="535355"/>
          <w:sz w:val="20"/>
          <w:szCs w:val="20"/>
        </w:rPr>
      </w:pPr>
      <w:r w:rsidRPr="009C5307">
        <w:rPr>
          <w:rFonts w:ascii="Arial" w:hAnsi="Arial" w:cs="Arial"/>
          <w:color w:val="535355"/>
          <w:sz w:val="20"/>
          <w:szCs w:val="20"/>
        </w:rPr>
        <w:t>Maintaining high performance for existing and new students, advocate for improved outcomes for all Victorian students, and seek out and highlight opportunities for collaboration between sectors</w:t>
      </w:r>
      <w:r w:rsidR="00BB7886">
        <w:rPr>
          <w:rFonts w:ascii="Arial" w:hAnsi="Arial" w:cs="Arial"/>
          <w:color w:val="535355"/>
          <w:sz w:val="20"/>
          <w:szCs w:val="20"/>
        </w:rPr>
        <w:t>.</w:t>
      </w:r>
    </w:p>
    <w:p w14:paraId="0B6BE800" w14:textId="2004A6B8" w:rsidR="009C5307" w:rsidRDefault="009C29B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membership of SPFAC is consistent with the requirements of clause 2.7.11 of Part 2.7, and it is noted that membership </w:t>
      </w:r>
      <w:proofErr w:type="spellStart"/>
      <w:r>
        <w:rPr>
          <w:rFonts w:ascii="Arial" w:hAnsi="Arial" w:cs="Arial"/>
          <w:color w:val="535355"/>
          <w:sz w:val="20"/>
          <w:szCs w:val="20"/>
        </w:rPr>
        <w:t>roles</w:t>
      </w:r>
      <w:proofErr w:type="spellEnd"/>
      <w:r>
        <w:rPr>
          <w:rFonts w:ascii="Arial" w:hAnsi="Arial" w:cs="Arial"/>
          <w:color w:val="535355"/>
          <w:sz w:val="20"/>
          <w:szCs w:val="20"/>
        </w:rPr>
        <w:t xml:space="preserve"> are occupied by the most senior representatives of each of the three </w:t>
      </w:r>
      <w:proofErr w:type="spellStart"/>
      <w:r>
        <w:rPr>
          <w:rFonts w:ascii="Arial" w:hAnsi="Arial" w:cs="Arial"/>
          <w:color w:val="535355"/>
          <w:sz w:val="20"/>
          <w:szCs w:val="20"/>
        </w:rPr>
        <w:t>organisations</w:t>
      </w:r>
      <w:proofErr w:type="spellEnd"/>
      <w:r>
        <w:rPr>
          <w:rFonts w:ascii="Arial" w:hAnsi="Arial" w:cs="Arial"/>
          <w:color w:val="535355"/>
          <w:sz w:val="20"/>
          <w:szCs w:val="20"/>
        </w:rPr>
        <w:t>.</w:t>
      </w:r>
    </w:p>
    <w:p w14:paraId="5F2816EF" w14:textId="3D3F5BA4" w:rsidR="009C29B7" w:rsidRDefault="009C29B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Since its establishment, SPFAC has met 1</w:t>
      </w:r>
      <w:r w:rsidR="00BB7886">
        <w:rPr>
          <w:rFonts w:ascii="Arial" w:hAnsi="Arial" w:cs="Arial"/>
          <w:color w:val="535355"/>
          <w:sz w:val="20"/>
          <w:szCs w:val="20"/>
        </w:rPr>
        <w:t>6</w:t>
      </w:r>
      <w:r>
        <w:rPr>
          <w:rFonts w:ascii="Arial" w:hAnsi="Arial" w:cs="Arial"/>
          <w:color w:val="535355"/>
          <w:sz w:val="20"/>
          <w:szCs w:val="20"/>
        </w:rPr>
        <w:t xml:space="preserve"> times, and typically is meeting </w:t>
      </w:r>
      <w:r w:rsidR="00E1658E">
        <w:rPr>
          <w:rFonts w:ascii="Arial" w:hAnsi="Arial" w:cs="Arial"/>
          <w:color w:val="535355"/>
          <w:sz w:val="20"/>
          <w:szCs w:val="20"/>
        </w:rPr>
        <w:t>around</w:t>
      </w:r>
      <w:r>
        <w:rPr>
          <w:rFonts w:ascii="Arial" w:hAnsi="Arial" w:cs="Arial"/>
          <w:color w:val="535355"/>
          <w:sz w:val="20"/>
          <w:szCs w:val="20"/>
        </w:rPr>
        <w:t xml:space="preserve"> four times per year for approximately two hours each meeting.  This exceeds the requirement in its </w:t>
      </w:r>
      <w:r w:rsidR="004F313B">
        <w:rPr>
          <w:rFonts w:ascii="Arial" w:hAnsi="Arial" w:cs="Arial"/>
          <w:color w:val="535355"/>
          <w:sz w:val="20"/>
          <w:szCs w:val="20"/>
        </w:rPr>
        <w:t>T</w:t>
      </w:r>
      <w:r>
        <w:rPr>
          <w:rFonts w:ascii="Arial" w:hAnsi="Arial" w:cs="Arial"/>
          <w:color w:val="535355"/>
          <w:sz w:val="20"/>
          <w:szCs w:val="20"/>
        </w:rPr>
        <w:t xml:space="preserve">erms of </w:t>
      </w:r>
      <w:r w:rsidR="004F313B">
        <w:rPr>
          <w:rFonts w:ascii="Arial" w:hAnsi="Arial" w:cs="Arial"/>
          <w:color w:val="535355"/>
          <w:sz w:val="20"/>
          <w:szCs w:val="20"/>
        </w:rPr>
        <w:t>R</w:t>
      </w:r>
      <w:r>
        <w:rPr>
          <w:rFonts w:ascii="Arial" w:hAnsi="Arial" w:cs="Arial"/>
          <w:color w:val="535355"/>
          <w:sz w:val="20"/>
          <w:szCs w:val="20"/>
        </w:rPr>
        <w:t>eference, being to meet at a minimum three times per year.</w:t>
      </w:r>
    </w:p>
    <w:p w14:paraId="621A8A04" w14:textId="2694E75B" w:rsidR="008C3F18" w:rsidRDefault="009C29B7"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SPFAC has a number of sub-committees and working groups that exist to support the work of the Council.  At the date of this report, there were six such bodies as follows:</w:t>
      </w:r>
    </w:p>
    <w:p w14:paraId="2AACD8E0" w14:textId="1E450546" w:rsidR="00A83EC1" w:rsidRDefault="00A83EC1" w:rsidP="007A0C67">
      <w:pPr>
        <w:spacing w:before="0" w:after="160" w:line="259" w:lineRule="auto"/>
        <w:contextualSpacing w:val="0"/>
        <w:jc w:val="both"/>
        <w:rPr>
          <w:rFonts w:ascii="Arial" w:hAnsi="Arial" w:cs="Arial"/>
          <w:color w:val="535355"/>
          <w:sz w:val="20"/>
          <w:szCs w:val="20"/>
        </w:rPr>
      </w:pPr>
      <w:r>
        <w:rPr>
          <w:rFonts w:ascii="Arial" w:hAnsi="Arial" w:cs="Arial"/>
          <w:noProof/>
          <w:color w:val="535355"/>
          <w:sz w:val="20"/>
          <w:szCs w:val="20"/>
          <w:lang w:val="en-AU" w:eastAsia="en-AU"/>
        </w:rPr>
        <w:drawing>
          <wp:inline distT="0" distB="0" distL="0" distR="0" wp14:anchorId="58E8220C" wp14:editId="66F9B8D4">
            <wp:extent cx="5732145" cy="2759103"/>
            <wp:effectExtent l="0" t="0" r="1905" b="3175"/>
            <wp:docPr id="4" name="Picture 4" descr="1) Non-Government Schools Reference Group – the primary consultation forum for discussion between the Department of Education and Training, the Catholic Education Commission of Victoria, and Independent Schools Victoria on funding and related matters. 2) Collaboration Working Group – a forum for cross-sector collaborative opportunities and discussing issues relevant to improving student outcomes. 3) Performance Reporting and Data Sharing Working Group – has worked to develop an enhanced approach to the access, analysis and reporting to Council and the Minister on school system-level performance data. 4) NAPLAN Online Steering Committee – provides recommendations and advice on critical decisions for the Victorian transition to NAPLAN Online. 5) School Leaders for Gender Equality and Respect Working Group – a cross-sectoral advisory group to champion gender equality and respect, and build relationships with principals, teachers and community leaders across the State to address family violence through education. 6) Koorie Education Working Group – considers cross-sector collaborative opportunities and provides a forum for discussing raising the aspirations and achievement for Koorie students, including implementing the National Aboriginal and Torres Strait Islander Education Strategy." title="Image and description of the School Policy and Funding Advisory Council subcommittees and working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FAC_Infographic.jpg"/>
                    <pic:cNvPicPr/>
                  </pic:nvPicPr>
                  <pic:blipFill rotWithShape="1">
                    <a:blip r:embed="rId20">
                      <a:extLst>
                        <a:ext uri="{28A0092B-C50C-407E-A947-70E740481C1C}">
                          <a14:useLocalDpi xmlns:a14="http://schemas.microsoft.com/office/drawing/2010/main" val="0"/>
                        </a:ext>
                      </a:extLst>
                    </a:blip>
                    <a:srcRect b="14434"/>
                    <a:stretch/>
                  </pic:blipFill>
                  <pic:spPr bwMode="auto">
                    <a:xfrm>
                      <a:off x="0" y="0"/>
                      <a:ext cx="5732145" cy="2759103"/>
                    </a:xfrm>
                    <a:prstGeom prst="rect">
                      <a:avLst/>
                    </a:prstGeom>
                    <a:ln>
                      <a:noFill/>
                    </a:ln>
                    <a:extLst>
                      <a:ext uri="{53640926-AAD7-44D8-BBD7-CCE9431645EC}">
                        <a14:shadowObscured xmlns:a14="http://schemas.microsoft.com/office/drawing/2010/main"/>
                      </a:ext>
                    </a:extLst>
                  </pic:spPr>
                </pic:pic>
              </a:graphicData>
            </a:graphic>
          </wp:inline>
        </w:drawing>
      </w:r>
    </w:p>
    <w:p w14:paraId="35B7D98D" w14:textId="400C15CB" w:rsidR="009C5307" w:rsidRDefault="00FF0705"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Meetings of SPFAC and its working groups are guided by agreed agendas and </w:t>
      </w:r>
      <w:proofErr w:type="gramStart"/>
      <w:r>
        <w:rPr>
          <w:rFonts w:ascii="Arial" w:hAnsi="Arial" w:cs="Arial"/>
          <w:color w:val="535355"/>
          <w:sz w:val="20"/>
          <w:szCs w:val="20"/>
        </w:rPr>
        <w:t>papers which</w:t>
      </w:r>
      <w:proofErr w:type="gramEnd"/>
      <w:r>
        <w:rPr>
          <w:rFonts w:ascii="Arial" w:hAnsi="Arial" w:cs="Arial"/>
          <w:color w:val="535355"/>
          <w:sz w:val="20"/>
          <w:szCs w:val="20"/>
        </w:rPr>
        <w:t xml:space="preserve"> are circulated in advance, and are documented in the form of minutes which are agreed by all parties after the meetings.  </w:t>
      </w:r>
      <w:proofErr w:type="gramStart"/>
      <w:r>
        <w:rPr>
          <w:rFonts w:ascii="Arial" w:hAnsi="Arial" w:cs="Arial"/>
          <w:color w:val="535355"/>
          <w:sz w:val="20"/>
          <w:szCs w:val="20"/>
        </w:rPr>
        <w:t>Secretariat for the SPFAC is provided by a small team within the Department that are dedicated to non-government schools and are appropriately resourced to provide professional support</w:t>
      </w:r>
      <w:proofErr w:type="gramEnd"/>
      <w:r>
        <w:rPr>
          <w:rFonts w:ascii="Arial" w:hAnsi="Arial" w:cs="Arial"/>
          <w:color w:val="535355"/>
          <w:sz w:val="20"/>
          <w:szCs w:val="20"/>
        </w:rPr>
        <w:t>.</w:t>
      </w:r>
    </w:p>
    <w:p w14:paraId="584339A8" w14:textId="3EFACEB8" w:rsidR="00FF0705" w:rsidRDefault="00FF0705"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SPFAC established a work plan each year to guide its activities.  These work plans are determined collaboratively, with input from all members.</w:t>
      </w:r>
      <w:r w:rsidR="00271BA8">
        <w:rPr>
          <w:rFonts w:ascii="Arial" w:hAnsi="Arial" w:cs="Arial"/>
          <w:color w:val="535355"/>
          <w:sz w:val="20"/>
          <w:szCs w:val="20"/>
        </w:rPr>
        <w:t xml:space="preserve">  The following lists the various items on work plans since the establishment of SPFAC in 2015:</w:t>
      </w:r>
    </w:p>
    <w:tbl>
      <w:tblPr>
        <w:tblStyle w:val="ListTable4-Accent51"/>
        <w:tblW w:w="907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Description w:val="A list of work plan items"/>
      </w:tblPr>
      <w:tblGrid>
        <w:gridCol w:w="1129"/>
        <w:gridCol w:w="7943"/>
      </w:tblGrid>
      <w:tr w:rsidR="00975FD2" w:rsidRPr="00271BA8" w14:paraId="3D7DEAAC" w14:textId="77777777" w:rsidTr="00271BA8">
        <w:trPr>
          <w:cnfStyle w:val="100000000000" w:firstRow="1" w:lastRow="0" w:firstColumn="0" w:lastColumn="0" w:oddVBand="0" w:evenVBand="0" w:oddHBand="0" w:evenHBand="0" w:firstRowFirstColumn="0" w:firstRowLastColumn="0" w:lastRowFirstColumn="0" w:lastRowLastColumn="0"/>
          <w:trHeight w:val="576"/>
          <w:tblHeader/>
        </w:trPr>
        <w:tc>
          <w:tcPr>
            <w:tcW w:w="1129" w:type="dxa"/>
            <w:tcBorders>
              <w:bottom w:val="single" w:sz="18" w:space="0" w:color="FFFFFF" w:themeColor="background1"/>
              <w:right w:val="single" w:sz="4" w:space="0" w:color="FFFFFF" w:themeColor="background1"/>
            </w:tcBorders>
          </w:tcPr>
          <w:p w14:paraId="181293FB" w14:textId="2FFBD84B" w:rsidR="00975FD2" w:rsidRPr="00271BA8" w:rsidRDefault="00271BA8" w:rsidP="00E71327">
            <w:pPr>
              <w:spacing w:before="0" w:after="0"/>
              <w:rPr>
                <w:rFonts w:cstheme="minorHAnsi"/>
                <w:color w:val="FFFFFF" w:themeColor="background1"/>
                <w:szCs w:val="18"/>
              </w:rPr>
            </w:pPr>
            <w:r>
              <w:rPr>
                <w:rFonts w:cstheme="minorHAnsi"/>
                <w:color w:val="FFFFFF" w:themeColor="background1"/>
                <w:szCs w:val="18"/>
              </w:rPr>
              <w:t>Theme</w:t>
            </w:r>
          </w:p>
        </w:tc>
        <w:tc>
          <w:tcPr>
            <w:tcW w:w="7943" w:type="dxa"/>
            <w:tcBorders>
              <w:left w:val="single" w:sz="4" w:space="0" w:color="FFFFFF" w:themeColor="background1"/>
              <w:bottom w:val="single" w:sz="18" w:space="0" w:color="FFFFFF" w:themeColor="background1"/>
            </w:tcBorders>
          </w:tcPr>
          <w:p w14:paraId="1BC3B185" w14:textId="48807B66" w:rsidR="00975FD2" w:rsidRPr="00271BA8" w:rsidRDefault="00271BA8" w:rsidP="00E71327">
            <w:pPr>
              <w:spacing w:before="0" w:after="0"/>
              <w:rPr>
                <w:rFonts w:cstheme="minorHAnsi"/>
                <w:color w:val="FFFFFF" w:themeColor="background1"/>
                <w:szCs w:val="18"/>
              </w:rPr>
            </w:pPr>
            <w:r>
              <w:rPr>
                <w:rFonts w:cstheme="minorHAnsi"/>
                <w:color w:val="FFFFFF" w:themeColor="background1"/>
                <w:szCs w:val="18"/>
              </w:rPr>
              <w:t>Work Plan Topic</w:t>
            </w:r>
          </w:p>
        </w:tc>
      </w:tr>
      <w:tr w:rsidR="00975FD2" w:rsidRPr="00271BA8" w14:paraId="0C1D426B"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18" w:space="0" w:color="FFFFFF" w:themeColor="background1"/>
              <w:bottom w:val="single" w:sz="4" w:space="0" w:color="FFFFFF" w:themeColor="background1"/>
            </w:tcBorders>
            <w:shd w:val="clear" w:color="auto" w:fill="D2D7DE"/>
          </w:tcPr>
          <w:p w14:paraId="2753920E" w14:textId="0E01B655" w:rsidR="00975FD2" w:rsidRPr="0087135C" w:rsidRDefault="00975FD2" w:rsidP="00271BA8">
            <w:pPr>
              <w:contextualSpacing w:val="0"/>
              <w:rPr>
                <w:rFonts w:cstheme="minorHAnsi"/>
                <w:color w:val="535355"/>
                <w:szCs w:val="18"/>
              </w:rPr>
            </w:pPr>
            <w:r w:rsidRPr="0087135C">
              <w:rPr>
                <w:rFonts w:cstheme="minorHAnsi"/>
                <w:color w:val="535355"/>
                <w:szCs w:val="18"/>
              </w:rPr>
              <w:t>Funding</w:t>
            </w:r>
          </w:p>
        </w:tc>
        <w:tc>
          <w:tcPr>
            <w:tcW w:w="7943" w:type="dxa"/>
            <w:tcBorders>
              <w:top w:val="single" w:sz="18" w:space="0" w:color="FFFFFF" w:themeColor="background1"/>
              <w:bottom w:val="single" w:sz="4" w:space="0" w:color="FFFFFF" w:themeColor="background1"/>
            </w:tcBorders>
            <w:shd w:val="clear" w:color="auto" w:fill="D2D7DE"/>
          </w:tcPr>
          <w:p w14:paraId="06552947" w14:textId="07C6D3B0" w:rsidR="00975FD2" w:rsidRPr="0087135C" w:rsidRDefault="00975FD2" w:rsidP="00271BA8">
            <w:pPr>
              <w:spacing w:line="240" w:lineRule="atLeast"/>
              <w:contextualSpacing w:val="0"/>
              <w:rPr>
                <w:rFonts w:cstheme="minorHAnsi"/>
                <w:color w:val="535355"/>
                <w:szCs w:val="18"/>
              </w:rPr>
            </w:pPr>
            <w:r w:rsidRPr="0087135C">
              <w:rPr>
                <w:rFonts w:cstheme="minorHAnsi"/>
                <w:color w:val="535355"/>
                <w:szCs w:val="18"/>
              </w:rPr>
              <w:t>M</w:t>
            </w:r>
            <w:r w:rsidR="00030E86">
              <w:rPr>
                <w:rFonts w:cstheme="minorHAnsi"/>
                <w:color w:val="535355"/>
                <w:szCs w:val="18"/>
              </w:rPr>
              <w:t xml:space="preserve">emorandum </w:t>
            </w:r>
            <w:r w:rsidRPr="0087135C">
              <w:rPr>
                <w:rFonts w:cstheme="minorHAnsi"/>
                <w:color w:val="535355"/>
                <w:szCs w:val="18"/>
              </w:rPr>
              <w:t>o</w:t>
            </w:r>
            <w:r w:rsidR="00030E86">
              <w:rPr>
                <w:rFonts w:cstheme="minorHAnsi"/>
                <w:color w:val="535355"/>
                <w:szCs w:val="18"/>
              </w:rPr>
              <w:t xml:space="preserve">f </w:t>
            </w:r>
            <w:r w:rsidRPr="0087135C">
              <w:rPr>
                <w:rFonts w:cstheme="minorHAnsi"/>
                <w:color w:val="535355"/>
                <w:szCs w:val="18"/>
              </w:rPr>
              <w:t>U</w:t>
            </w:r>
            <w:r w:rsidR="00030E86">
              <w:rPr>
                <w:rFonts w:cstheme="minorHAnsi"/>
                <w:color w:val="535355"/>
                <w:szCs w:val="18"/>
              </w:rPr>
              <w:t>nderstanding (</w:t>
            </w:r>
            <w:proofErr w:type="spellStart"/>
            <w:r w:rsidR="00030E86">
              <w:rPr>
                <w:rFonts w:cstheme="minorHAnsi"/>
                <w:color w:val="535355"/>
                <w:szCs w:val="18"/>
              </w:rPr>
              <w:t>MoU</w:t>
            </w:r>
            <w:proofErr w:type="spellEnd"/>
            <w:r w:rsidR="00030E86">
              <w:rPr>
                <w:rFonts w:cstheme="minorHAnsi"/>
                <w:color w:val="535355"/>
                <w:szCs w:val="18"/>
              </w:rPr>
              <w:t>)</w:t>
            </w:r>
            <w:r w:rsidRPr="0087135C">
              <w:rPr>
                <w:rFonts w:cstheme="minorHAnsi"/>
                <w:color w:val="535355"/>
                <w:szCs w:val="18"/>
              </w:rPr>
              <w:t xml:space="preserve"> and Funding Agreements</w:t>
            </w:r>
            <w:r w:rsidR="00271BA8" w:rsidRPr="0087135C">
              <w:rPr>
                <w:rFonts w:cstheme="minorHAnsi"/>
                <w:color w:val="535355"/>
                <w:szCs w:val="18"/>
              </w:rPr>
              <w:t xml:space="preserve">:  </w:t>
            </w:r>
            <w:r w:rsidRPr="0087135C">
              <w:rPr>
                <w:rFonts w:cstheme="minorHAnsi"/>
                <w:color w:val="535355"/>
                <w:szCs w:val="18"/>
              </w:rPr>
              <w:t>Development of new funding arrangements with CECV and ISV, with consideration of the timing and approach to renewal. Consideration of the state funding model and capital funding for non-governm</w:t>
            </w:r>
            <w:r w:rsidR="00271BA8" w:rsidRPr="0087135C">
              <w:rPr>
                <w:rFonts w:cstheme="minorHAnsi"/>
                <w:color w:val="535355"/>
                <w:szCs w:val="18"/>
              </w:rPr>
              <w:t>ent schools</w:t>
            </w:r>
            <w:r w:rsidRPr="0087135C">
              <w:rPr>
                <w:rFonts w:cstheme="minorHAnsi"/>
                <w:color w:val="535355"/>
                <w:szCs w:val="18"/>
              </w:rPr>
              <w:t>.</w:t>
            </w:r>
          </w:p>
        </w:tc>
      </w:tr>
      <w:tr w:rsidR="00975FD2" w:rsidRPr="00271BA8" w14:paraId="61260193" w14:textId="77777777" w:rsidTr="00271BA8">
        <w:trPr>
          <w:trHeight w:val="389"/>
        </w:trPr>
        <w:tc>
          <w:tcPr>
            <w:tcW w:w="1129" w:type="dxa"/>
            <w:tcBorders>
              <w:top w:val="single" w:sz="4" w:space="0" w:color="FFFFFF" w:themeColor="background1"/>
            </w:tcBorders>
            <w:shd w:val="clear" w:color="auto" w:fill="EAECEF"/>
          </w:tcPr>
          <w:p w14:paraId="5989AA22" w14:textId="26484473" w:rsidR="00975FD2" w:rsidRPr="0087135C" w:rsidRDefault="00975FD2" w:rsidP="00271BA8">
            <w:pPr>
              <w:contextualSpacing w:val="0"/>
              <w:rPr>
                <w:rFonts w:cstheme="minorHAnsi"/>
                <w:color w:val="535355"/>
                <w:szCs w:val="18"/>
              </w:rPr>
            </w:pPr>
            <w:r w:rsidRPr="0087135C">
              <w:rPr>
                <w:rFonts w:cstheme="minorHAnsi"/>
                <w:color w:val="535355"/>
                <w:szCs w:val="18"/>
              </w:rPr>
              <w:lastRenderedPageBreak/>
              <w:t>Policy and Funding</w:t>
            </w:r>
          </w:p>
        </w:tc>
        <w:tc>
          <w:tcPr>
            <w:tcW w:w="7943" w:type="dxa"/>
            <w:tcBorders>
              <w:top w:val="single" w:sz="4" w:space="0" w:color="FFFFFF" w:themeColor="background1"/>
            </w:tcBorders>
            <w:shd w:val="clear" w:color="auto" w:fill="EAECEF"/>
          </w:tcPr>
          <w:p w14:paraId="1150BB16" w14:textId="344A3701" w:rsidR="00975FD2" w:rsidRPr="0087135C" w:rsidRDefault="00975FD2" w:rsidP="00271BA8">
            <w:pPr>
              <w:spacing w:line="240" w:lineRule="atLeast"/>
              <w:contextualSpacing w:val="0"/>
              <w:rPr>
                <w:rFonts w:cstheme="minorHAnsi"/>
                <w:color w:val="535355"/>
                <w:szCs w:val="18"/>
              </w:rPr>
            </w:pPr>
            <w:r w:rsidRPr="0087135C">
              <w:rPr>
                <w:rFonts w:cstheme="minorHAnsi"/>
                <w:color w:val="535355"/>
                <w:szCs w:val="18"/>
              </w:rPr>
              <w:t>VAGO Audit of Grants to NGS</w:t>
            </w:r>
            <w:r w:rsidR="00271BA8" w:rsidRPr="0087135C">
              <w:rPr>
                <w:rFonts w:cstheme="minorHAnsi"/>
                <w:color w:val="535355"/>
                <w:szCs w:val="18"/>
              </w:rPr>
              <w:t xml:space="preserve">:  </w:t>
            </w:r>
            <w:r w:rsidRPr="0087135C">
              <w:rPr>
                <w:rFonts w:cstheme="minorHAnsi"/>
                <w:color w:val="535355"/>
                <w:szCs w:val="18"/>
              </w:rPr>
              <w:t>Cross-sectoral engagement on any emerging issues from the audit and consideration of changes in advance of the final report. Updates on other VAGO audi</w:t>
            </w:r>
            <w:r w:rsidR="00271BA8" w:rsidRPr="0087135C">
              <w:rPr>
                <w:rFonts w:cstheme="minorHAnsi"/>
                <w:color w:val="535355"/>
                <w:szCs w:val="18"/>
              </w:rPr>
              <w:t>ts related to school education.</w:t>
            </w:r>
          </w:p>
        </w:tc>
      </w:tr>
      <w:tr w:rsidR="00975FD2" w:rsidRPr="00271BA8" w14:paraId="542487A6"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bottom w:val="single" w:sz="4" w:space="0" w:color="FFFFFF" w:themeColor="background1"/>
            </w:tcBorders>
            <w:shd w:val="clear" w:color="auto" w:fill="D2D7DE"/>
          </w:tcPr>
          <w:p w14:paraId="0A17424B" w14:textId="4DF39D09" w:rsidR="00975FD2" w:rsidRPr="0087135C" w:rsidRDefault="00975FD2" w:rsidP="00271BA8">
            <w:pPr>
              <w:contextualSpacing w:val="0"/>
              <w:rPr>
                <w:rFonts w:cstheme="minorHAnsi"/>
                <w:color w:val="535355"/>
                <w:szCs w:val="18"/>
              </w:rPr>
            </w:pPr>
            <w:r w:rsidRPr="0087135C">
              <w:rPr>
                <w:rFonts w:cstheme="minorHAnsi"/>
                <w:color w:val="535355"/>
                <w:szCs w:val="18"/>
              </w:rPr>
              <w:t>Policy and Funding</w:t>
            </w:r>
          </w:p>
        </w:tc>
        <w:tc>
          <w:tcPr>
            <w:tcW w:w="7943" w:type="dxa"/>
            <w:tcBorders>
              <w:bottom w:val="single" w:sz="4" w:space="0" w:color="FFFFFF" w:themeColor="background1"/>
            </w:tcBorders>
            <w:shd w:val="clear" w:color="auto" w:fill="D2D7DE"/>
          </w:tcPr>
          <w:p w14:paraId="3D56CBB5" w14:textId="3E18524A" w:rsidR="00975FD2" w:rsidRPr="0087135C" w:rsidRDefault="00975FD2" w:rsidP="00271BA8">
            <w:pPr>
              <w:spacing w:line="240" w:lineRule="atLeast"/>
              <w:contextualSpacing w:val="0"/>
              <w:rPr>
                <w:rFonts w:cstheme="minorHAnsi"/>
                <w:color w:val="535355"/>
                <w:szCs w:val="18"/>
              </w:rPr>
            </w:pPr>
            <w:r w:rsidRPr="0087135C">
              <w:rPr>
                <w:rFonts w:cstheme="minorHAnsi"/>
                <w:color w:val="535355"/>
                <w:szCs w:val="18"/>
              </w:rPr>
              <w:t>Commonwealth-State issues</w:t>
            </w:r>
            <w:r w:rsidR="00271BA8" w:rsidRPr="0087135C">
              <w:rPr>
                <w:rFonts w:cstheme="minorHAnsi"/>
                <w:color w:val="535355"/>
                <w:szCs w:val="18"/>
              </w:rPr>
              <w:t xml:space="preserve">:  </w:t>
            </w:r>
            <w:r w:rsidRPr="0087135C">
              <w:rPr>
                <w:rFonts w:cstheme="minorHAnsi"/>
                <w:color w:val="535355"/>
                <w:szCs w:val="18"/>
              </w:rPr>
              <w:t xml:space="preserve">Cross-sectoral advice on Commonwealth-State issues, including: </w:t>
            </w:r>
          </w:p>
          <w:p w14:paraId="45D1A75C" w14:textId="77777777" w:rsidR="00975FD2" w:rsidRPr="0087135C" w:rsidRDefault="00975FD2" w:rsidP="00271BA8">
            <w:pPr>
              <w:pStyle w:val="ListParagraph"/>
              <w:numPr>
                <w:ilvl w:val="0"/>
                <w:numId w:val="49"/>
              </w:numPr>
              <w:spacing w:line="240" w:lineRule="atLeast"/>
              <w:contextualSpacing w:val="0"/>
              <w:rPr>
                <w:rFonts w:cstheme="minorHAnsi"/>
                <w:color w:val="535355"/>
                <w:szCs w:val="18"/>
              </w:rPr>
            </w:pPr>
            <w:r w:rsidRPr="0087135C">
              <w:rPr>
                <w:rFonts w:cstheme="minorHAnsi"/>
                <w:color w:val="535355"/>
                <w:szCs w:val="18"/>
              </w:rPr>
              <w:t>positions in relation to Commonwealth funding post 2017;</w:t>
            </w:r>
          </w:p>
          <w:p w14:paraId="170E4EA3" w14:textId="77777777" w:rsidR="00975FD2" w:rsidRPr="0087135C" w:rsidRDefault="00975FD2" w:rsidP="00271BA8">
            <w:pPr>
              <w:pStyle w:val="ListParagraph"/>
              <w:numPr>
                <w:ilvl w:val="0"/>
                <w:numId w:val="49"/>
              </w:numPr>
              <w:spacing w:line="240" w:lineRule="atLeast"/>
              <w:contextualSpacing w:val="0"/>
              <w:rPr>
                <w:rFonts w:cstheme="minorHAnsi"/>
                <w:color w:val="535355"/>
                <w:szCs w:val="18"/>
              </w:rPr>
            </w:pPr>
            <w:r w:rsidRPr="0087135C">
              <w:rPr>
                <w:rFonts w:cstheme="minorHAnsi"/>
                <w:color w:val="535355"/>
                <w:szCs w:val="18"/>
              </w:rPr>
              <w:t>shared approaches to the National Partnership programs;</w:t>
            </w:r>
          </w:p>
          <w:p w14:paraId="1AEB915E" w14:textId="77777777" w:rsidR="00975FD2" w:rsidRPr="0087135C" w:rsidRDefault="00975FD2" w:rsidP="00271BA8">
            <w:pPr>
              <w:pStyle w:val="ListParagraph"/>
              <w:numPr>
                <w:ilvl w:val="0"/>
                <w:numId w:val="49"/>
              </w:numPr>
              <w:spacing w:line="240" w:lineRule="atLeast"/>
              <w:contextualSpacing w:val="0"/>
              <w:rPr>
                <w:rFonts w:cstheme="minorHAnsi"/>
                <w:color w:val="535355"/>
                <w:szCs w:val="18"/>
              </w:rPr>
            </w:pPr>
            <w:r w:rsidRPr="0087135C">
              <w:rPr>
                <w:rFonts w:cstheme="minorHAnsi"/>
                <w:color w:val="535355"/>
                <w:szCs w:val="18"/>
              </w:rPr>
              <w:t>opportunities to streamline administration and red tape for Victorian schools; and</w:t>
            </w:r>
          </w:p>
          <w:p w14:paraId="5A3487EE" w14:textId="77777777" w:rsidR="00975FD2" w:rsidRPr="0087135C" w:rsidRDefault="00975FD2" w:rsidP="00271BA8">
            <w:pPr>
              <w:pStyle w:val="ListParagraph"/>
              <w:numPr>
                <w:ilvl w:val="0"/>
                <w:numId w:val="49"/>
              </w:numPr>
              <w:spacing w:line="240" w:lineRule="atLeast"/>
              <w:contextualSpacing w:val="0"/>
              <w:rPr>
                <w:rFonts w:cstheme="minorHAnsi"/>
                <w:color w:val="535355"/>
                <w:szCs w:val="18"/>
              </w:rPr>
            </w:pPr>
            <w:proofErr w:type="gramStart"/>
            <w:r w:rsidRPr="0087135C">
              <w:rPr>
                <w:rFonts w:cstheme="minorHAnsi"/>
                <w:color w:val="535355"/>
                <w:szCs w:val="18"/>
              </w:rPr>
              <w:t>opportunities</w:t>
            </w:r>
            <w:proofErr w:type="gramEnd"/>
            <w:r w:rsidRPr="0087135C">
              <w:rPr>
                <w:rFonts w:cstheme="minorHAnsi"/>
                <w:color w:val="535355"/>
                <w:szCs w:val="18"/>
              </w:rPr>
              <w:t xml:space="preserve"> for data sharing arrangements and technology synergies.</w:t>
            </w:r>
          </w:p>
          <w:p w14:paraId="3956DB36" w14:textId="2C4FABED" w:rsidR="00975FD2" w:rsidRPr="0087135C" w:rsidRDefault="00975FD2" w:rsidP="00271BA8">
            <w:pPr>
              <w:spacing w:line="240" w:lineRule="atLeast"/>
              <w:contextualSpacing w:val="0"/>
              <w:rPr>
                <w:rFonts w:cstheme="minorHAnsi"/>
                <w:color w:val="535355"/>
                <w:szCs w:val="18"/>
              </w:rPr>
            </w:pPr>
            <w:r w:rsidRPr="0087135C">
              <w:rPr>
                <w:rFonts w:cstheme="minorHAnsi"/>
                <w:color w:val="535355"/>
                <w:szCs w:val="18"/>
              </w:rPr>
              <w:t xml:space="preserve">Advice on Commonwealth-State issues, including future funding arrangements, Victorian transition to NAPLAN Online and the </w:t>
            </w:r>
            <w:r w:rsidRPr="0087135C">
              <w:rPr>
                <w:rFonts w:cstheme="minorHAnsi"/>
                <w:i/>
                <w:color w:val="535355"/>
                <w:szCs w:val="18"/>
              </w:rPr>
              <w:t>Nationally Consistent Collection of Data on School Students with Disability</w:t>
            </w:r>
            <w:r w:rsidRPr="0087135C">
              <w:rPr>
                <w:rFonts w:cstheme="minorHAnsi"/>
                <w:color w:val="535355"/>
                <w:szCs w:val="18"/>
              </w:rPr>
              <w:t>.</w:t>
            </w:r>
          </w:p>
        </w:tc>
      </w:tr>
      <w:tr w:rsidR="00975FD2" w:rsidRPr="00271BA8" w14:paraId="184C395B" w14:textId="77777777" w:rsidTr="00271BA8">
        <w:trPr>
          <w:trHeight w:val="389"/>
        </w:trPr>
        <w:tc>
          <w:tcPr>
            <w:tcW w:w="1129" w:type="dxa"/>
            <w:tcBorders>
              <w:top w:val="single" w:sz="4" w:space="0" w:color="FFFFFF" w:themeColor="background1"/>
            </w:tcBorders>
            <w:shd w:val="clear" w:color="auto" w:fill="EAECEF"/>
          </w:tcPr>
          <w:p w14:paraId="1874CDC3" w14:textId="07835D3F" w:rsidR="00975FD2" w:rsidRPr="0087135C" w:rsidRDefault="00975FD2" w:rsidP="00271BA8">
            <w:pPr>
              <w:contextualSpacing w:val="0"/>
              <w:rPr>
                <w:rFonts w:cstheme="minorHAnsi"/>
                <w:color w:val="535355"/>
                <w:szCs w:val="18"/>
              </w:rPr>
            </w:pPr>
            <w:r w:rsidRPr="0087135C">
              <w:rPr>
                <w:rFonts w:cstheme="minorHAnsi"/>
                <w:color w:val="535355"/>
                <w:szCs w:val="18"/>
              </w:rPr>
              <w:t>Policy and Funding</w:t>
            </w:r>
          </w:p>
        </w:tc>
        <w:tc>
          <w:tcPr>
            <w:tcW w:w="7943" w:type="dxa"/>
            <w:tcBorders>
              <w:top w:val="single" w:sz="4" w:space="0" w:color="FFFFFF" w:themeColor="background1"/>
            </w:tcBorders>
            <w:shd w:val="clear" w:color="auto" w:fill="EAECEF"/>
          </w:tcPr>
          <w:p w14:paraId="54067F3D" w14:textId="7D52B0A0" w:rsidR="00975FD2" w:rsidRPr="0087135C" w:rsidRDefault="00975FD2" w:rsidP="00271BA8">
            <w:pPr>
              <w:tabs>
                <w:tab w:val="left" w:pos="720"/>
              </w:tabs>
              <w:spacing w:line="240" w:lineRule="atLeast"/>
              <w:contextualSpacing w:val="0"/>
              <w:rPr>
                <w:rFonts w:cstheme="minorHAnsi"/>
                <w:color w:val="535355"/>
                <w:szCs w:val="18"/>
              </w:rPr>
            </w:pPr>
            <w:r w:rsidRPr="0087135C">
              <w:rPr>
                <w:rFonts w:cstheme="minorHAnsi"/>
                <w:color w:val="535355"/>
                <w:szCs w:val="18"/>
              </w:rPr>
              <w:t>Financial Assistance Model (FAM)</w:t>
            </w:r>
            <w:r w:rsidR="00271BA8" w:rsidRPr="0087135C">
              <w:rPr>
                <w:rFonts w:cstheme="minorHAnsi"/>
                <w:color w:val="535355"/>
                <w:szCs w:val="18"/>
              </w:rPr>
              <w:t xml:space="preserve">:  </w:t>
            </w:r>
            <w:r w:rsidRPr="0087135C">
              <w:rPr>
                <w:rFonts w:cstheme="minorHAnsi"/>
                <w:color w:val="535355"/>
                <w:szCs w:val="18"/>
              </w:rPr>
              <w:t>Consider implementation of any agreed outcomes of the 2017 Review of the Financial Assistance Model (tentative, subject to decisions made to make any changes).</w:t>
            </w:r>
          </w:p>
        </w:tc>
      </w:tr>
      <w:tr w:rsidR="00975FD2" w:rsidRPr="00271BA8" w14:paraId="2C53B280"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bottom w:val="single" w:sz="4" w:space="0" w:color="FFFFFF" w:themeColor="background1"/>
            </w:tcBorders>
            <w:shd w:val="clear" w:color="auto" w:fill="D2D7DE"/>
          </w:tcPr>
          <w:p w14:paraId="3F4104A4" w14:textId="7C11A684" w:rsidR="00975FD2" w:rsidRPr="0087135C" w:rsidRDefault="00975FD2" w:rsidP="00271BA8">
            <w:pPr>
              <w:contextualSpacing w:val="0"/>
              <w:rPr>
                <w:rFonts w:cstheme="minorHAnsi"/>
                <w:color w:val="535355"/>
                <w:szCs w:val="18"/>
              </w:rPr>
            </w:pPr>
            <w:r w:rsidRPr="0087135C">
              <w:rPr>
                <w:rFonts w:cstheme="minorHAnsi"/>
                <w:color w:val="535355"/>
                <w:szCs w:val="18"/>
              </w:rPr>
              <w:t>Policy and Regulation</w:t>
            </w:r>
          </w:p>
        </w:tc>
        <w:tc>
          <w:tcPr>
            <w:tcW w:w="7943" w:type="dxa"/>
            <w:tcBorders>
              <w:bottom w:val="single" w:sz="4" w:space="0" w:color="FFFFFF" w:themeColor="background1"/>
            </w:tcBorders>
            <w:shd w:val="clear" w:color="auto" w:fill="D2D7DE"/>
          </w:tcPr>
          <w:p w14:paraId="3C5BE457" w14:textId="5961A6CF" w:rsidR="00975FD2" w:rsidRPr="0087135C" w:rsidRDefault="00975FD2" w:rsidP="00271BA8">
            <w:pPr>
              <w:spacing w:line="240" w:lineRule="atLeast"/>
              <w:contextualSpacing w:val="0"/>
              <w:rPr>
                <w:rFonts w:cstheme="minorHAnsi"/>
                <w:color w:val="535355"/>
                <w:szCs w:val="18"/>
              </w:rPr>
            </w:pPr>
            <w:r w:rsidRPr="0087135C">
              <w:rPr>
                <w:rFonts w:cstheme="minorHAnsi"/>
                <w:color w:val="535355"/>
                <w:szCs w:val="18"/>
              </w:rPr>
              <w:t>Vulne</w:t>
            </w:r>
            <w:r w:rsidR="00271BA8" w:rsidRPr="0087135C">
              <w:rPr>
                <w:rFonts w:cstheme="minorHAnsi"/>
                <w:color w:val="535355"/>
                <w:szCs w:val="18"/>
              </w:rPr>
              <w:t>rable children and young people</w:t>
            </w:r>
            <w:r w:rsidRPr="0087135C">
              <w:rPr>
                <w:rFonts w:cstheme="minorHAnsi"/>
                <w:color w:val="535355"/>
                <w:szCs w:val="18"/>
              </w:rPr>
              <w:t xml:space="preserve"> (Betrayal of Trust and Royal Commission into Family Violence)</w:t>
            </w:r>
            <w:r w:rsidR="00271BA8" w:rsidRPr="0087135C">
              <w:rPr>
                <w:rFonts w:cstheme="minorHAnsi"/>
                <w:color w:val="535355"/>
                <w:szCs w:val="18"/>
              </w:rPr>
              <w:t xml:space="preserve">:  </w:t>
            </w:r>
            <w:r w:rsidRPr="0087135C">
              <w:rPr>
                <w:rFonts w:cstheme="minorHAnsi"/>
                <w:color w:val="535355"/>
                <w:szCs w:val="18"/>
              </w:rPr>
              <w:t xml:space="preserve">Consider the impact of the </w:t>
            </w:r>
            <w:r w:rsidRPr="007E5BEB">
              <w:rPr>
                <w:rFonts w:cstheme="minorHAnsi"/>
                <w:i/>
                <w:color w:val="535355"/>
                <w:szCs w:val="18"/>
              </w:rPr>
              <w:t>Child Safe Schools Act 2015</w:t>
            </w:r>
            <w:r w:rsidRPr="0087135C">
              <w:rPr>
                <w:rFonts w:cstheme="minorHAnsi"/>
                <w:color w:val="535355"/>
                <w:szCs w:val="18"/>
              </w:rPr>
              <w:t xml:space="preserve"> (minimum standards of school registration and child safe standards), related regulatory issues (e.g. boarding schools), and emerging is</w:t>
            </w:r>
            <w:r w:rsidR="00271BA8" w:rsidRPr="0087135C">
              <w:rPr>
                <w:rFonts w:cstheme="minorHAnsi"/>
                <w:color w:val="535355"/>
                <w:szCs w:val="18"/>
              </w:rPr>
              <w:t>sues from the Royal Commission.</w:t>
            </w:r>
          </w:p>
        </w:tc>
      </w:tr>
      <w:tr w:rsidR="00975FD2" w:rsidRPr="00271BA8" w14:paraId="4C6A3372" w14:textId="77777777" w:rsidTr="00271BA8">
        <w:trPr>
          <w:trHeight w:val="389"/>
        </w:trPr>
        <w:tc>
          <w:tcPr>
            <w:tcW w:w="1129" w:type="dxa"/>
            <w:tcBorders>
              <w:top w:val="single" w:sz="4" w:space="0" w:color="FFFFFF" w:themeColor="background1"/>
              <w:bottom w:val="single" w:sz="4" w:space="0" w:color="FFFFFF" w:themeColor="background1"/>
            </w:tcBorders>
            <w:shd w:val="clear" w:color="auto" w:fill="EAECEF"/>
          </w:tcPr>
          <w:p w14:paraId="21F3AAA0" w14:textId="08AA624C" w:rsidR="00975FD2" w:rsidRPr="0087135C" w:rsidRDefault="00975FD2"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bottom w:val="single" w:sz="4" w:space="0" w:color="FFFFFF" w:themeColor="background1"/>
            </w:tcBorders>
            <w:shd w:val="clear" w:color="auto" w:fill="EAECEF"/>
          </w:tcPr>
          <w:p w14:paraId="1BE5729A" w14:textId="6813395E" w:rsidR="00975FD2" w:rsidRPr="0087135C" w:rsidRDefault="00975FD2" w:rsidP="00271BA8">
            <w:pPr>
              <w:pStyle w:val="ListNumber"/>
              <w:numPr>
                <w:ilvl w:val="0"/>
                <w:numId w:val="0"/>
              </w:numPr>
              <w:tabs>
                <w:tab w:val="left" w:pos="720"/>
              </w:tabs>
              <w:spacing w:before="120" w:after="120" w:line="240" w:lineRule="atLeast"/>
              <w:rPr>
                <w:rFonts w:asciiTheme="minorHAnsi" w:hAnsiTheme="minorHAnsi" w:cstheme="minorHAnsi"/>
                <w:color w:val="535355"/>
                <w:sz w:val="18"/>
                <w:szCs w:val="18"/>
              </w:rPr>
            </w:pPr>
            <w:r w:rsidRPr="0087135C">
              <w:rPr>
                <w:rFonts w:asciiTheme="minorHAnsi" w:hAnsiTheme="minorHAnsi" w:cstheme="minorHAnsi"/>
                <w:color w:val="535355"/>
                <w:sz w:val="18"/>
                <w:szCs w:val="18"/>
                <w:lang w:val="en-US"/>
              </w:rPr>
              <w:t>Education State</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Cross-sectoral engagement on the development and implementation of strategic priorities for the government and non-government school system, including high-level updates on the Review of Government School Funding and election commitments.</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rPr>
              <w:t>Review of cross-sectoral performance against Education State school targets and identify strategic priorities to improve system-level outcomes.</w:t>
            </w:r>
          </w:p>
        </w:tc>
      </w:tr>
      <w:tr w:rsidR="00975FD2" w:rsidRPr="00271BA8" w14:paraId="1B5D623E"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bottom w:val="single" w:sz="4" w:space="0" w:color="FFFFFF" w:themeColor="background1"/>
            </w:tcBorders>
            <w:shd w:val="clear" w:color="auto" w:fill="D2D7DE"/>
          </w:tcPr>
          <w:p w14:paraId="7008318E" w14:textId="75F2D919" w:rsidR="00975FD2" w:rsidRPr="0087135C" w:rsidRDefault="00975FD2"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bottom w:val="single" w:sz="4" w:space="0" w:color="FFFFFF" w:themeColor="background1"/>
            </w:tcBorders>
            <w:shd w:val="clear" w:color="auto" w:fill="D2D7DE"/>
          </w:tcPr>
          <w:p w14:paraId="0561FE17" w14:textId="2820308A" w:rsidR="00975FD2" w:rsidRPr="0087135C" w:rsidRDefault="00975FD2" w:rsidP="00271BA8">
            <w:pPr>
              <w:pStyle w:val="ListNumber"/>
              <w:numPr>
                <w:ilvl w:val="0"/>
                <w:numId w:val="0"/>
              </w:numPr>
              <w:tabs>
                <w:tab w:val="left" w:pos="720"/>
              </w:tabs>
              <w:spacing w:before="120" w:after="120" w:line="240" w:lineRule="atLeast"/>
              <w:rPr>
                <w:rFonts w:asciiTheme="minorHAnsi" w:hAnsiTheme="minorHAnsi" w:cstheme="minorHAnsi"/>
                <w:color w:val="535355"/>
                <w:sz w:val="18"/>
                <w:szCs w:val="18"/>
                <w:lang w:val="en-US"/>
              </w:rPr>
            </w:pPr>
            <w:r w:rsidRPr="0087135C">
              <w:rPr>
                <w:rFonts w:asciiTheme="minorHAnsi" w:hAnsiTheme="minorHAnsi" w:cstheme="minorHAnsi"/>
                <w:color w:val="535355"/>
                <w:sz w:val="18"/>
                <w:szCs w:val="18"/>
                <w:lang w:val="en-US"/>
              </w:rPr>
              <w:t>International education</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Provide advice on promoting the international education drawing o</w:t>
            </w:r>
            <w:r w:rsidR="00271BA8" w:rsidRPr="0087135C">
              <w:rPr>
                <w:rFonts w:asciiTheme="minorHAnsi" w:hAnsiTheme="minorHAnsi" w:cstheme="minorHAnsi"/>
                <w:color w:val="535355"/>
                <w:sz w:val="18"/>
                <w:szCs w:val="18"/>
                <w:lang w:val="en-US"/>
              </w:rPr>
              <w:t>n the successes of each sector.</w:t>
            </w:r>
          </w:p>
        </w:tc>
      </w:tr>
      <w:tr w:rsidR="00975FD2" w:rsidRPr="00271BA8" w14:paraId="11A5A4CF" w14:textId="77777777" w:rsidTr="00271BA8">
        <w:trPr>
          <w:trHeight w:val="389"/>
        </w:trPr>
        <w:tc>
          <w:tcPr>
            <w:tcW w:w="1129" w:type="dxa"/>
            <w:tcBorders>
              <w:top w:val="single" w:sz="4" w:space="0" w:color="FFFFFF" w:themeColor="background1"/>
              <w:bottom w:val="single" w:sz="4" w:space="0" w:color="FFFFFF" w:themeColor="background1"/>
            </w:tcBorders>
            <w:shd w:val="clear" w:color="auto" w:fill="EAECEF"/>
          </w:tcPr>
          <w:p w14:paraId="688EAC9A" w14:textId="65E135DD" w:rsidR="00975FD2" w:rsidRPr="0087135C" w:rsidRDefault="00975FD2" w:rsidP="00271BA8">
            <w:pPr>
              <w:contextualSpacing w:val="0"/>
              <w:rPr>
                <w:rFonts w:cstheme="minorHAnsi"/>
                <w:color w:val="535355"/>
                <w:szCs w:val="18"/>
              </w:rPr>
            </w:pPr>
            <w:r w:rsidRPr="0087135C">
              <w:rPr>
                <w:rFonts w:cstheme="minorHAnsi"/>
                <w:color w:val="535355"/>
                <w:szCs w:val="18"/>
              </w:rPr>
              <w:t xml:space="preserve">Policy </w:t>
            </w:r>
          </w:p>
        </w:tc>
        <w:tc>
          <w:tcPr>
            <w:tcW w:w="7943" w:type="dxa"/>
            <w:tcBorders>
              <w:top w:val="single" w:sz="4" w:space="0" w:color="FFFFFF" w:themeColor="background1"/>
              <w:bottom w:val="single" w:sz="4" w:space="0" w:color="FFFFFF" w:themeColor="background1"/>
            </w:tcBorders>
            <w:shd w:val="clear" w:color="auto" w:fill="EAECEF"/>
          </w:tcPr>
          <w:p w14:paraId="4480861B" w14:textId="0D1798B9" w:rsidR="00975FD2" w:rsidRPr="0087135C" w:rsidRDefault="00975FD2" w:rsidP="00271BA8">
            <w:pPr>
              <w:pStyle w:val="ListNumber"/>
              <w:numPr>
                <w:ilvl w:val="0"/>
                <w:numId w:val="0"/>
              </w:numPr>
              <w:tabs>
                <w:tab w:val="left" w:pos="720"/>
              </w:tabs>
              <w:spacing w:before="120" w:after="120" w:line="240" w:lineRule="atLeast"/>
              <w:rPr>
                <w:rFonts w:asciiTheme="minorHAnsi" w:hAnsiTheme="minorHAnsi" w:cstheme="minorHAnsi"/>
                <w:bCs/>
                <w:color w:val="535355"/>
                <w:sz w:val="18"/>
                <w:szCs w:val="18"/>
                <w:lang w:val="en-US"/>
              </w:rPr>
            </w:pPr>
            <w:r w:rsidRPr="0087135C">
              <w:rPr>
                <w:rFonts w:asciiTheme="minorHAnsi" w:hAnsiTheme="minorHAnsi" w:cstheme="minorHAnsi"/>
                <w:color w:val="535355"/>
                <w:sz w:val="18"/>
                <w:szCs w:val="18"/>
                <w:lang w:val="en-US"/>
              </w:rPr>
              <w:t>Student attendance</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Collaborate on the development of new approaches that aim to improve student attendance in schools, including the sharing of best practice examples and case studies.</w:t>
            </w:r>
          </w:p>
        </w:tc>
      </w:tr>
      <w:tr w:rsidR="00975FD2" w:rsidRPr="00271BA8" w14:paraId="76D88C46"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bottom w:val="single" w:sz="4" w:space="0" w:color="FFFFFF" w:themeColor="background1"/>
            </w:tcBorders>
            <w:shd w:val="clear" w:color="auto" w:fill="D2D7DE"/>
          </w:tcPr>
          <w:p w14:paraId="1AB05B5D" w14:textId="21ADA407" w:rsidR="00975FD2" w:rsidRPr="0087135C" w:rsidRDefault="00975FD2" w:rsidP="00271BA8">
            <w:pPr>
              <w:contextualSpacing w:val="0"/>
              <w:rPr>
                <w:rFonts w:cstheme="minorHAnsi"/>
                <w:color w:val="535355"/>
                <w:szCs w:val="18"/>
              </w:rPr>
            </w:pPr>
            <w:r w:rsidRPr="0087135C">
              <w:rPr>
                <w:rFonts w:cstheme="minorHAnsi"/>
                <w:color w:val="535355"/>
                <w:szCs w:val="18"/>
              </w:rPr>
              <w:t xml:space="preserve">Policy </w:t>
            </w:r>
          </w:p>
        </w:tc>
        <w:tc>
          <w:tcPr>
            <w:tcW w:w="7943" w:type="dxa"/>
            <w:tcBorders>
              <w:top w:val="single" w:sz="4" w:space="0" w:color="FFFFFF" w:themeColor="background1"/>
              <w:bottom w:val="single" w:sz="4" w:space="0" w:color="FFFFFF" w:themeColor="background1"/>
            </w:tcBorders>
            <w:shd w:val="clear" w:color="auto" w:fill="D2D7DE"/>
          </w:tcPr>
          <w:p w14:paraId="7AADC12B" w14:textId="3E5E4001" w:rsidR="00975FD2" w:rsidRPr="0087135C" w:rsidRDefault="00975FD2" w:rsidP="00271BA8">
            <w:pPr>
              <w:pStyle w:val="ListNumber"/>
              <w:numPr>
                <w:ilvl w:val="0"/>
                <w:numId w:val="0"/>
              </w:numPr>
              <w:tabs>
                <w:tab w:val="left" w:pos="720"/>
              </w:tabs>
              <w:spacing w:before="120" w:after="120" w:line="240" w:lineRule="atLeast"/>
              <w:rPr>
                <w:rFonts w:asciiTheme="minorHAnsi" w:hAnsiTheme="minorHAnsi" w:cstheme="minorHAnsi"/>
                <w:bCs/>
                <w:color w:val="535355"/>
                <w:sz w:val="18"/>
                <w:szCs w:val="18"/>
                <w:lang w:val="en-US"/>
              </w:rPr>
            </w:pPr>
            <w:r w:rsidRPr="0087135C">
              <w:rPr>
                <w:rFonts w:asciiTheme="minorHAnsi" w:hAnsiTheme="minorHAnsi" w:cstheme="minorHAnsi"/>
                <w:color w:val="535355"/>
                <w:sz w:val="18"/>
                <w:szCs w:val="18"/>
                <w:lang w:val="en-US"/>
              </w:rPr>
              <w:t>Cross-sector</w:t>
            </w:r>
            <w:r w:rsidR="008F4443">
              <w:rPr>
                <w:rFonts w:asciiTheme="minorHAnsi" w:hAnsiTheme="minorHAnsi" w:cstheme="minorHAnsi"/>
                <w:color w:val="535355"/>
                <w:sz w:val="18"/>
                <w:szCs w:val="18"/>
                <w:lang w:val="en-US"/>
              </w:rPr>
              <w:t>al</w:t>
            </w:r>
            <w:r w:rsidRPr="0087135C">
              <w:rPr>
                <w:rFonts w:asciiTheme="minorHAnsi" w:hAnsiTheme="minorHAnsi" w:cstheme="minorHAnsi"/>
                <w:color w:val="535355"/>
                <w:sz w:val="18"/>
                <w:szCs w:val="18"/>
                <w:lang w:val="en-US"/>
              </w:rPr>
              <w:t xml:space="preserve"> collaboration</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Continue to develop and promote cross-sector partnerships to deliver a high-quality education for all students. Opportunities for collaboration include initiatives to improve student outcome</w:t>
            </w:r>
            <w:r w:rsidR="00BB7886">
              <w:rPr>
                <w:rFonts w:asciiTheme="minorHAnsi" w:hAnsiTheme="minorHAnsi" w:cstheme="minorHAnsi"/>
                <w:color w:val="535355"/>
                <w:sz w:val="18"/>
                <w:szCs w:val="18"/>
                <w:lang w:val="en-US"/>
              </w:rPr>
              <w:t>s</w:t>
            </w:r>
            <w:r w:rsidRPr="0087135C">
              <w:rPr>
                <w:rFonts w:asciiTheme="minorHAnsi" w:hAnsiTheme="minorHAnsi" w:cstheme="minorHAnsi"/>
                <w:color w:val="535355"/>
                <w:sz w:val="18"/>
                <w:szCs w:val="18"/>
                <w:lang w:val="en-US"/>
              </w:rPr>
              <w:t xml:space="preserve">, the quality of the teaching workforce and the sharing of good practice and resources.  </w:t>
            </w:r>
          </w:p>
        </w:tc>
      </w:tr>
      <w:tr w:rsidR="00975FD2" w:rsidRPr="00271BA8" w14:paraId="720C80A9" w14:textId="77777777" w:rsidTr="00271BA8">
        <w:trPr>
          <w:trHeight w:val="389"/>
        </w:trPr>
        <w:tc>
          <w:tcPr>
            <w:tcW w:w="1129" w:type="dxa"/>
            <w:tcBorders>
              <w:top w:val="single" w:sz="4" w:space="0" w:color="FFFFFF" w:themeColor="background1"/>
              <w:bottom w:val="single" w:sz="4" w:space="0" w:color="FFFFFF" w:themeColor="background1"/>
            </w:tcBorders>
            <w:shd w:val="clear" w:color="auto" w:fill="EAECEF"/>
          </w:tcPr>
          <w:p w14:paraId="6C8A4ACB" w14:textId="77CB99D5" w:rsidR="00975FD2" w:rsidRPr="0087135C" w:rsidRDefault="00975FD2"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bottom w:val="single" w:sz="4" w:space="0" w:color="FFFFFF" w:themeColor="background1"/>
            </w:tcBorders>
            <w:shd w:val="clear" w:color="auto" w:fill="EAECEF"/>
          </w:tcPr>
          <w:p w14:paraId="10644735" w14:textId="11E89B26" w:rsidR="00975FD2" w:rsidRPr="0087135C" w:rsidRDefault="00975FD2" w:rsidP="00271BA8">
            <w:pPr>
              <w:pStyle w:val="ListNumber"/>
              <w:numPr>
                <w:ilvl w:val="0"/>
                <w:numId w:val="0"/>
              </w:numPr>
              <w:tabs>
                <w:tab w:val="left" w:pos="720"/>
              </w:tabs>
              <w:spacing w:before="120" w:after="120" w:line="240" w:lineRule="atLeast"/>
              <w:rPr>
                <w:rFonts w:asciiTheme="minorHAnsi" w:hAnsiTheme="minorHAnsi" w:cstheme="minorHAnsi"/>
                <w:color w:val="535355"/>
                <w:sz w:val="18"/>
                <w:szCs w:val="18"/>
                <w:lang w:val="en-US"/>
              </w:rPr>
            </w:pPr>
            <w:r w:rsidRPr="0087135C">
              <w:rPr>
                <w:rFonts w:asciiTheme="minorHAnsi" w:hAnsiTheme="minorHAnsi" w:cstheme="minorHAnsi"/>
                <w:color w:val="535355"/>
                <w:sz w:val="18"/>
                <w:szCs w:val="18"/>
                <w:lang w:val="en-US"/>
              </w:rPr>
              <w:t>Disability reform</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Continue to collaborate on disability reform issues, provide updates on the PSD Review, and consider of issues related to the impact of the National Disa</w:t>
            </w:r>
            <w:r w:rsidR="00271BA8" w:rsidRPr="0087135C">
              <w:rPr>
                <w:rFonts w:asciiTheme="minorHAnsi" w:hAnsiTheme="minorHAnsi" w:cstheme="minorHAnsi"/>
                <w:color w:val="535355"/>
                <w:sz w:val="18"/>
                <w:szCs w:val="18"/>
                <w:lang w:val="en-US"/>
              </w:rPr>
              <w:t>bility Insurance Scheme (NDIS)</w:t>
            </w:r>
            <w:r w:rsidR="00BB7886">
              <w:rPr>
                <w:rFonts w:asciiTheme="minorHAnsi" w:hAnsiTheme="minorHAnsi" w:cstheme="minorHAnsi"/>
                <w:color w:val="535355"/>
                <w:sz w:val="18"/>
                <w:szCs w:val="18"/>
                <w:lang w:val="en-US"/>
              </w:rPr>
              <w:t>.</w:t>
            </w:r>
          </w:p>
        </w:tc>
      </w:tr>
      <w:tr w:rsidR="00975FD2" w:rsidRPr="00271BA8" w14:paraId="0C355015"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bottom w:val="single" w:sz="4" w:space="0" w:color="FFFFFF" w:themeColor="background1"/>
            </w:tcBorders>
            <w:shd w:val="clear" w:color="auto" w:fill="D2D7DE"/>
          </w:tcPr>
          <w:p w14:paraId="64B0CD60" w14:textId="1650DBBD" w:rsidR="00975FD2" w:rsidRPr="0087135C" w:rsidRDefault="00975FD2"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bottom w:val="single" w:sz="4" w:space="0" w:color="FFFFFF" w:themeColor="background1"/>
            </w:tcBorders>
            <w:shd w:val="clear" w:color="auto" w:fill="D2D7DE"/>
          </w:tcPr>
          <w:p w14:paraId="6DC3D0FC" w14:textId="2E34BA79" w:rsidR="00975FD2" w:rsidRPr="0087135C" w:rsidRDefault="00975FD2" w:rsidP="00BB7886">
            <w:pPr>
              <w:pStyle w:val="ListNumber"/>
              <w:numPr>
                <w:ilvl w:val="0"/>
                <w:numId w:val="0"/>
              </w:numPr>
              <w:tabs>
                <w:tab w:val="left" w:pos="720"/>
              </w:tabs>
              <w:spacing w:before="120" w:after="120" w:line="240" w:lineRule="atLeast"/>
              <w:rPr>
                <w:rFonts w:asciiTheme="minorHAnsi" w:hAnsiTheme="minorHAnsi" w:cstheme="minorHAnsi"/>
                <w:color w:val="535355"/>
                <w:sz w:val="18"/>
                <w:szCs w:val="18"/>
                <w:lang w:val="en-US"/>
              </w:rPr>
            </w:pPr>
            <w:r w:rsidRPr="0087135C">
              <w:rPr>
                <w:rFonts w:asciiTheme="minorHAnsi" w:hAnsiTheme="minorHAnsi" w:cstheme="minorHAnsi"/>
                <w:color w:val="535355"/>
                <w:sz w:val="18"/>
                <w:szCs w:val="18"/>
                <w:lang w:val="en-US"/>
              </w:rPr>
              <w:t>Post-secondary transitions</w:t>
            </w:r>
            <w:r w:rsidR="00271BA8" w:rsidRPr="0087135C">
              <w:rPr>
                <w:rFonts w:asciiTheme="minorHAnsi" w:hAnsiTheme="minorHAnsi" w:cstheme="minorHAnsi"/>
                <w:color w:val="535355"/>
                <w:sz w:val="18"/>
                <w:szCs w:val="18"/>
                <w:lang w:val="en-US"/>
              </w:rPr>
              <w:t xml:space="preserve">:  </w:t>
            </w:r>
            <w:r w:rsidRPr="0087135C">
              <w:rPr>
                <w:rFonts w:asciiTheme="minorHAnsi" w:hAnsiTheme="minorHAnsi" w:cstheme="minorHAnsi"/>
                <w:color w:val="535355"/>
                <w:sz w:val="18"/>
                <w:szCs w:val="18"/>
                <w:lang w:val="en-US"/>
              </w:rPr>
              <w:t>Consider opportunities for improved data collection and sharing to support post-secondary transitions across all school</w:t>
            </w:r>
            <w:r w:rsidR="00271BA8" w:rsidRPr="0087135C">
              <w:rPr>
                <w:rFonts w:asciiTheme="minorHAnsi" w:hAnsiTheme="minorHAnsi" w:cstheme="minorHAnsi"/>
                <w:color w:val="535355"/>
                <w:sz w:val="18"/>
                <w:szCs w:val="18"/>
                <w:lang w:val="en-US"/>
              </w:rPr>
              <w:t xml:space="preserve"> sector</w:t>
            </w:r>
            <w:r w:rsidR="00BB7886">
              <w:rPr>
                <w:rFonts w:asciiTheme="minorHAnsi" w:hAnsiTheme="minorHAnsi" w:cstheme="minorHAnsi"/>
                <w:color w:val="535355"/>
                <w:sz w:val="18"/>
                <w:szCs w:val="18"/>
                <w:lang w:val="en-US"/>
              </w:rPr>
              <w:t>s</w:t>
            </w:r>
            <w:r w:rsidR="00271BA8" w:rsidRPr="0087135C">
              <w:rPr>
                <w:rFonts w:asciiTheme="minorHAnsi" w:hAnsiTheme="minorHAnsi" w:cstheme="minorHAnsi"/>
                <w:color w:val="535355"/>
                <w:sz w:val="18"/>
                <w:szCs w:val="18"/>
                <w:lang w:val="en-US"/>
              </w:rPr>
              <w:t xml:space="preserve"> (e.g. On-Track Survey).</w:t>
            </w:r>
          </w:p>
        </w:tc>
      </w:tr>
      <w:tr w:rsidR="00271BA8" w:rsidRPr="00271BA8" w14:paraId="7F0F7B4F" w14:textId="77777777" w:rsidTr="00271BA8">
        <w:trPr>
          <w:trHeight w:val="389"/>
        </w:trPr>
        <w:tc>
          <w:tcPr>
            <w:tcW w:w="1129" w:type="dxa"/>
            <w:tcBorders>
              <w:top w:val="single" w:sz="4" w:space="0" w:color="FFFFFF" w:themeColor="background1"/>
              <w:bottom w:val="single" w:sz="4" w:space="0" w:color="FFFFFF" w:themeColor="background1"/>
            </w:tcBorders>
            <w:shd w:val="clear" w:color="auto" w:fill="D2D7DE"/>
          </w:tcPr>
          <w:p w14:paraId="2A89DE69" w14:textId="05144E78" w:rsidR="00271BA8" w:rsidRPr="0087135C" w:rsidRDefault="00271BA8" w:rsidP="00271BA8">
            <w:pPr>
              <w:contextualSpacing w:val="0"/>
              <w:rPr>
                <w:rFonts w:cstheme="minorHAnsi"/>
                <w:color w:val="535355"/>
                <w:szCs w:val="18"/>
              </w:rPr>
            </w:pPr>
            <w:r w:rsidRPr="0087135C">
              <w:rPr>
                <w:rFonts w:cstheme="minorHAnsi"/>
                <w:color w:val="535355"/>
                <w:szCs w:val="18"/>
              </w:rPr>
              <w:t xml:space="preserve">Policy </w:t>
            </w:r>
          </w:p>
        </w:tc>
        <w:tc>
          <w:tcPr>
            <w:tcW w:w="7943" w:type="dxa"/>
            <w:tcBorders>
              <w:top w:val="single" w:sz="4" w:space="0" w:color="FFFFFF" w:themeColor="background1"/>
              <w:bottom w:val="single" w:sz="4" w:space="0" w:color="FFFFFF" w:themeColor="background1"/>
            </w:tcBorders>
            <w:shd w:val="clear" w:color="auto" w:fill="D2D7DE"/>
          </w:tcPr>
          <w:p w14:paraId="06261C11" w14:textId="39FAD862" w:rsidR="00271BA8" w:rsidRPr="0087135C" w:rsidRDefault="00271BA8" w:rsidP="008418DF">
            <w:pPr>
              <w:tabs>
                <w:tab w:val="left" w:pos="720"/>
              </w:tabs>
              <w:spacing w:line="240" w:lineRule="atLeast"/>
              <w:contextualSpacing w:val="0"/>
              <w:rPr>
                <w:rFonts w:cstheme="minorHAnsi"/>
                <w:color w:val="535355"/>
                <w:szCs w:val="18"/>
              </w:rPr>
            </w:pPr>
            <w:r w:rsidRPr="0087135C">
              <w:rPr>
                <w:rFonts w:cstheme="minorHAnsi"/>
                <w:color w:val="535355"/>
                <w:szCs w:val="18"/>
              </w:rPr>
              <w:t xml:space="preserve">School Leaders </w:t>
            </w:r>
            <w:r w:rsidR="008418DF">
              <w:rPr>
                <w:rFonts w:cstheme="minorHAnsi"/>
                <w:color w:val="535355"/>
                <w:szCs w:val="18"/>
              </w:rPr>
              <w:t>For</w:t>
            </w:r>
            <w:r w:rsidR="001B03B3">
              <w:rPr>
                <w:rFonts w:cstheme="minorHAnsi"/>
                <w:color w:val="535355"/>
                <w:szCs w:val="18"/>
              </w:rPr>
              <w:t xml:space="preserve"> </w:t>
            </w:r>
            <w:r w:rsidRPr="0087135C">
              <w:rPr>
                <w:rFonts w:cstheme="minorHAnsi"/>
                <w:color w:val="535355"/>
                <w:szCs w:val="18"/>
              </w:rPr>
              <w:t>Gender Equality and Respect (SL</w:t>
            </w:r>
            <w:r w:rsidR="008418DF">
              <w:rPr>
                <w:rFonts w:cstheme="minorHAnsi"/>
                <w:color w:val="535355"/>
                <w:szCs w:val="18"/>
              </w:rPr>
              <w:t>F</w:t>
            </w:r>
            <w:r w:rsidRPr="0087135C">
              <w:rPr>
                <w:rFonts w:cstheme="minorHAnsi"/>
                <w:color w:val="535355"/>
                <w:szCs w:val="18"/>
              </w:rPr>
              <w:t>GER):  Establish and implement the Alliance to highlight and address sexism, gender equality and gender-based violence across all school sectors.</w:t>
            </w:r>
          </w:p>
        </w:tc>
      </w:tr>
      <w:tr w:rsidR="00271BA8" w:rsidRPr="00271BA8" w14:paraId="1D8A281D"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bottom w:val="single" w:sz="4" w:space="0" w:color="FFFFFF" w:themeColor="background1"/>
            </w:tcBorders>
            <w:shd w:val="clear" w:color="auto" w:fill="EAECEF"/>
          </w:tcPr>
          <w:p w14:paraId="0FFA7C50" w14:textId="47D62A98" w:rsidR="00271BA8" w:rsidRPr="0087135C" w:rsidRDefault="00271BA8" w:rsidP="00271BA8">
            <w:pPr>
              <w:contextualSpacing w:val="0"/>
              <w:rPr>
                <w:rFonts w:cstheme="minorHAnsi"/>
                <w:color w:val="535355"/>
                <w:szCs w:val="18"/>
              </w:rPr>
            </w:pPr>
            <w:r w:rsidRPr="0087135C">
              <w:rPr>
                <w:rFonts w:cstheme="minorHAnsi"/>
                <w:color w:val="535355"/>
                <w:szCs w:val="18"/>
              </w:rPr>
              <w:lastRenderedPageBreak/>
              <w:t>Policy</w:t>
            </w:r>
          </w:p>
        </w:tc>
        <w:tc>
          <w:tcPr>
            <w:tcW w:w="7943" w:type="dxa"/>
            <w:tcBorders>
              <w:top w:val="single" w:sz="4" w:space="0" w:color="FFFFFF" w:themeColor="background1"/>
              <w:bottom w:val="single" w:sz="4" w:space="0" w:color="FFFFFF" w:themeColor="background1"/>
            </w:tcBorders>
            <w:shd w:val="clear" w:color="auto" w:fill="EAECEF"/>
          </w:tcPr>
          <w:p w14:paraId="177FD139" w14:textId="616A6A4F" w:rsidR="00271BA8" w:rsidRPr="0087135C" w:rsidRDefault="00271BA8" w:rsidP="00271BA8">
            <w:pPr>
              <w:tabs>
                <w:tab w:val="left" w:pos="720"/>
              </w:tabs>
              <w:spacing w:line="240" w:lineRule="atLeast"/>
              <w:contextualSpacing w:val="0"/>
              <w:rPr>
                <w:rFonts w:cstheme="minorHAnsi"/>
                <w:color w:val="535355"/>
                <w:szCs w:val="18"/>
              </w:rPr>
            </w:pPr>
            <w:r w:rsidRPr="0087135C">
              <w:rPr>
                <w:rFonts w:cstheme="minorHAnsi"/>
                <w:color w:val="535355"/>
                <w:szCs w:val="18"/>
              </w:rPr>
              <w:t>School leadership and workforce:  Provide advice on improving the quality and supply of the whole-of-state school workforce including consideration of attraction, training, registration, supply and demand and workforce data.</w:t>
            </w:r>
          </w:p>
        </w:tc>
      </w:tr>
      <w:tr w:rsidR="00271BA8" w:rsidRPr="00271BA8" w14:paraId="2020F335" w14:textId="77777777" w:rsidTr="00271BA8">
        <w:trPr>
          <w:trHeight w:val="389"/>
        </w:trPr>
        <w:tc>
          <w:tcPr>
            <w:tcW w:w="1129" w:type="dxa"/>
            <w:tcBorders>
              <w:top w:val="single" w:sz="4" w:space="0" w:color="FFFFFF" w:themeColor="background1"/>
              <w:bottom w:val="single" w:sz="4" w:space="0" w:color="FFFFFF" w:themeColor="background1"/>
            </w:tcBorders>
            <w:shd w:val="clear" w:color="auto" w:fill="D2D7DE"/>
          </w:tcPr>
          <w:p w14:paraId="5831A10C" w14:textId="7AEC7385" w:rsidR="00271BA8" w:rsidRPr="0087135C" w:rsidRDefault="00271BA8"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bottom w:val="single" w:sz="4" w:space="0" w:color="FFFFFF" w:themeColor="background1"/>
            </w:tcBorders>
            <w:shd w:val="clear" w:color="auto" w:fill="D2D7DE"/>
          </w:tcPr>
          <w:p w14:paraId="02FC3243" w14:textId="03B5B6CC" w:rsidR="00271BA8" w:rsidRPr="0087135C" w:rsidRDefault="00271BA8" w:rsidP="00271BA8">
            <w:pPr>
              <w:tabs>
                <w:tab w:val="left" w:pos="720"/>
              </w:tabs>
              <w:spacing w:line="240" w:lineRule="atLeast"/>
              <w:contextualSpacing w:val="0"/>
              <w:rPr>
                <w:rFonts w:cstheme="minorHAnsi"/>
                <w:color w:val="535355"/>
                <w:szCs w:val="18"/>
              </w:rPr>
            </w:pPr>
            <w:r w:rsidRPr="0087135C">
              <w:rPr>
                <w:rFonts w:cstheme="minorHAnsi"/>
                <w:color w:val="535355"/>
                <w:szCs w:val="18"/>
              </w:rPr>
              <w:t>Inclusive education:  Collaborate and provide advice on inclusive education reforms to meet the Victorian Government’s vision of equity and excellence for all schools to be inclusive for students with disabilities and additional needs.</w:t>
            </w:r>
          </w:p>
        </w:tc>
      </w:tr>
      <w:tr w:rsidR="00271BA8" w:rsidRPr="00271BA8" w14:paraId="01F221CE"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bottom w:val="single" w:sz="18" w:space="0" w:color="FFFFFF" w:themeColor="background1"/>
            </w:tcBorders>
            <w:shd w:val="clear" w:color="auto" w:fill="EAECEF"/>
          </w:tcPr>
          <w:p w14:paraId="2B1EFAF2" w14:textId="668C5E10" w:rsidR="00271BA8" w:rsidRPr="0087135C" w:rsidRDefault="00271BA8" w:rsidP="00271BA8">
            <w:pPr>
              <w:contextualSpacing w:val="0"/>
              <w:rPr>
                <w:rFonts w:cstheme="minorHAnsi"/>
                <w:color w:val="535355"/>
                <w:szCs w:val="18"/>
              </w:rPr>
            </w:pPr>
            <w:r w:rsidRPr="0087135C">
              <w:rPr>
                <w:rFonts w:cstheme="minorHAnsi"/>
                <w:color w:val="535355"/>
                <w:szCs w:val="18"/>
              </w:rPr>
              <w:t xml:space="preserve">Policy </w:t>
            </w:r>
          </w:p>
        </w:tc>
        <w:tc>
          <w:tcPr>
            <w:tcW w:w="7943" w:type="dxa"/>
            <w:tcBorders>
              <w:top w:val="single" w:sz="4" w:space="0" w:color="FFFFFF" w:themeColor="background1"/>
              <w:bottom w:val="single" w:sz="18" w:space="0" w:color="FFFFFF" w:themeColor="background1"/>
            </w:tcBorders>
            <w:shd w:val="clear" w:color="auto" w:fill="EAECEF"/>
          </w:tcPr>
          <w:p w14:paraId="5E8DD35B" w14:textId="7CE7967C" w:rsidR="00271BA8" w:rsidRPr="0087135C" w:rsidRDefault="00271BA8" w:rsidP="00271BA8">
            <w:pPr>
              <w:tabs>
                <w:tab w:val="left" w:pos="720"/>
              </w:tabs>
              <w:spacing w:line="240" w:lineRule="atLeast"/>
              <w:contextualSpacing w:val="0"/>
              <w:rPr>
                <w:rFonts w:cstheme="minorHAnsi"/>
                <w:color w:val="535355"/>
                <w:szCs w:val="18"/>
              </w:rPr>
            </w:pPr>
            <w:proofErr w:type="spellStart"/>
            <w:r w:rsidRPr="0087135C">
              <w:rPr>
                <w:rFonts w:cstheme="minorHAnsi"/>
                <w:color w:val="535355"/>
                <w:szCs w:val="18"/>
              </w:rPr>
              <w:t>Koorie</w:t>
            </w:r>
            <w:proofErr w:type="spellEnd"/>
            <w:r w:rsidRPr="0087135C">
              <w:rPr>
                <w:rFonts w:cstheme="minorHAnsi"/>
                <w:color w:val="535355"/>
                <w:szCs w:val="18"/>
              </w:rPr>
              <w:t xml:space="preserve"> students:  Collaborate on raising aspirations and achievement for </w:t>
            </w:r>
            <w:proofErr w:type="spellStart"/>
            <w:r w:rsidRPr="0087135C">
              <w:rPr>
                <w:rFonts w:cstheme="minorHAnsi"/>
                <w:color w:val="535355"/>
                <w:szCs w:val="18"/>
              </w:rPr>
              <w:t>Koorie</w:t>
            </w:r>
            <w:proofErr w:type="spellEnd"/>
            <w:r w:rsidRPr="0087135C">
              <w:rPr>
                <w:rFonts w:cstheme="minorHAnsi"/>
                <w:color w:val="535355"/>
                <w:szCs w:val="18"/>
              </w:rPr>
              <w:t xml:space="preserve"> students, including implementing the </w:t>
            </w:r>
            <w:r w:rsidRPr="007E5BEB">
              <w:rPr>
                <w:rFonts w:cstheme="minorHAnsi"/>
                <w:i/>
                <w:color w:val="535355"/>
                <w:szCs w:val="18"/>
              </w:rPr>
              <w:t>National Aboriginal and Torres Strait Islander Strategy</w:t>
            </w:r>
            <w:r w:rsidRPr="0087135C">
              <w:rPr>
                <w:rFonts w:cstheme="minorHAnsi"/>
                <w:color w:val="535355"/>
                <w:szCs w:val="18"/>
              </w:rPr>
              <w:t>.</w:t>
            </w:r>
          </w:p>
        </w:tc>
      </w:tr>
      <w:tr w:rsidR="00271BA8" w:rsidRPr="00271BA8" w14:paraId="0E2CF06C" w14:textId="77777777" w:rsidTr="00271BA8">
        <w:trPr>
          <w:trHeight w:val="389"/>
        </w:trPr>
        <w:tc>
          <w:tcPr>
            <w:tcW w:w="1129" w:type="dxa"/>
            <w:tcBorders>
              <w:top w:val="single" w:sz="18" w:space="0" w:color="FFFFFF" w:themeColor="background1"/>
              <w:bottom w:val="single" w:sz="4" w:space="0" w:color="FFFFFF" w:themeColor="background1"/>
            </w:tcBorders>
            <w:shd w:val="clear" w:color="auto" w:fill="D2D7DE"/>
          </w:tcPr>
          <w:p w14:paraId="410783D9" w14:textId="7023D8C9" w:rsidR="00271BA8" w:rsidRPr="0087135C" w:rsidRDefault="00271BA8" w:rsidP="00271BA8">
            <w:pPr>
              <w:contextualSpacing w:val="0"/>
              <w:rPr>
                <w:rFonts w:cstheme="minorHAnsi"/>
                <w:color w:val="535355"/>
                <w:szCs w:val="18"/>
              </w:rPr>
            </w:pPr>
            <w:r w:rsidRPr="0087135C">
              <w:rPr>
                <w:rFonts w:cstheme="minorHAnsi"/>
                <w:color w:val="535355"/>
                <w:szCs w:val="18"/>
              </w:rPr>
              <w:t xml:space="preserve">Policy </w:t>
            </w:r>
          </w:p>
        </w:tc>
        <w:tc>
          <w:tcPr>
            <w:tcW w:w="7943" w:type="dxa"/>
            <w:tcBorders>
              <w:top w:val="single" w:sz="18" w:space="0" w:color="FFFFFF" w:themeColor="background1"/>
              <w:bottom w:val="single" w:sz="4" w:space="0" w:color="FFFFFF" w:themeColor="background1"/>
            </w:tcBorders>
            <w:shd w:val="clear" w:color="auto" w:fill="D2D7DE"/>
          </w:tcPr>
          <w:p w14:paraId="5859F586" w14:textId="1A297C9E" w:rsidR="00271BA8" w:rsidRPr="0087135C" w:rsidRDefault="00271BA8" w:rsidP="00271BA8">
            <w:pPr>
              <w:tabs>
                <w:tab w:val="left" w:pos="720"/>
              </w:tabs>
              <w:spacing w:line="240" w:lineRule="atLeast"/>
              <w:contextualSpacing w:val="0"/>
              <w:rPr>
                <w:rFonts w:cstheme="minorHAnsi"/>
                <w:color w:val="535355"/>
                <w:szCs w:val="18"/>
              </w:rPr>
            </w:pPr>
            <w:r w:rsidRPr="0087135C">
              <w:rPr>
                <w:rFonts w:cstheme="minorHAnsi"/>
                <w:color w:val="535355"/>
                <w:szCs w:val="18"/>
              </w:rPr>
              <w:t xml:space="preserve">Social cohesion:  Consider policy responses to addressing the </w:t>
            </w:r>
            <w:proofErr w:type="spellStart"/>
            <w:r w:rsidRPr="0087135C">
              <w:rPr>
                <w:rFonts w:cstheme="minorHAnsi"/>
                <w:color w:val="535355"/>
                <w:szCs w:val="18"/>
              </w:rPr>
              <w:t>radicalisation</w:t>
            </w:r>
            <w:proofErr w:type="spellEnd"/>
            <w:r w:rsidRPr="0087135C">
              <w:rPr>
                <w:rFonts w:cstheme="minorHAnsi"/>
                <w:color w:val="535355"/>
                <w:szCs w:val="18"/>
              </w:rPr>
              <w:t xml:space="preserve"> of young people in schools, including implications for curriculum.</w:t>
            </w:r>
          </w:p>
        </w:tc>
      </w:tr>
      <w:tr w:rsidR="00271BA8" w:rsidRPr="00271BA8" w14:paraId="0EFA11CF" w14:textId="77777777" w:rsidTr="00271BA8">
        <w:trPr>
          <w:cnfStyle w:val="000000100000" w:firstRow="0" w:lastRow="0" w:firstColumn="0" w:lastColumn="0" w:oddVBand="0" w:evenVBand="0" w:oddHBand="1" w:evenHBand="0" w:firstRowFirstColumn="0" w:firstRowLastColumn="0" w:lastRowFirstColumn="0" w:lastRowLastColumn="0"/>
          <w:trHeight w:val="389"/>
        </w:trPr>
        <w:tc>
          <w:tcPr>
            <w:tcW w:w="1129" w:type="dxa"/>
            <w:tcBorders>
              <w:top w:val="single" w:sz="4" w:space="0" w:color="FFFFFF" w:themeColor="background1"/>
            </w:tcBorders>
            <w:shd w:val="clear" w:color="auto" w:fill="EAECEF"/>
          </w:tcPr>
          <w:p w14:paraId="7ED75858" w14:textId="2CB9263F" w:rsidR="00271BA8" w:rsidRPr="0087135C" w:rsidRDefault="00271BA8" w:rsidP="00271BA8">
            <w:pPr>
              <w:contextualSpacing w:val="0"/>
              <w:rPr>
                <w:rFonts w:cstheme="minorHAnsi"/>
                <w:color w:val="535355"/>
                <w:szCs w:val="18"/>
              </w:rPr>
            </w:pPr>
            <w:r w:rsidRPr="0087135C">
              <w:rPr>
                <w:rFonts w:cstheme="minorHAnsi"/>
                <w:color w:val="535355"/>
                <w:szCs w:val="18"/>
              </w:rPr>
              <w:t>Policy</w:t>
            </w:r>
          </w:p>
        </w:tc>
        <w:tc>
          <w:tcPr>
            <w:tcW w:w="7943" w:type="dxa"/>
            <w:tcBorders>
              <w:top w:val="single" w:sz="4" w:space="0" w:color="FFFFFF" w:themeColor="background1"/>
            </w:tcBorders>
            <w:shd w:val="clear" w:color="auto" w:fill="EAECEF"/>
          </w:tcPr>
          <w:p w14:paraId="26651597" w14:textId="6E5ECB8F" w:rsidR="00271BA8" w:rsidRPr="0087135C" w:rsidRDefault="00271BA8" w:rsidP="00271BA8">
            <w:pPr>
              <w:pStyle w:val="Default"/>
              <w:spacing w:before="120" w:after="120" w:line="240" w:lineRule="atLeast"/>
              <w:rPr>
                <w:rFonts w:asciiTheme="minorHAnsi" w:hAnsiTheme="minorHAnsi" w:cstheme="minorHAnsi"/>
                <w:color w:val="535355"/>
                <w:sz w:val="18"/>
                <w:szCs w:val="18"/>
              </w:rPr>
            </w:pPr>
            <w:r w:rsidRPr="0087135C">
              <w:rPr>
                <w:rFonts w:asciiTheme="minorHAnsi" w:hAnsiTheme="minorHAnsi" w:cstheme="minorHAnsi"/>
                <w:bCs/>
                <w:color w:val="535355"/>
                <w:sz w:val="18"/>
                <w:szCs w:val="18"/>
              </w:rPr>
              <w:t xml:space="preserve">Arts Education:  </w:t>
            </w:r>
            <w:r w:rsidRPr="0087135C">
              <w:rPr>
                <w:rFonts w:asciiTheme="minorHAnsi" w:hAnsiTheme="minorHAnsi" w:cstheme="minorHAnsi"/>
                <w:color w:val="535355"/>
                <w:sz w:val="18"/>
                <w:szCs w:val="18"/>
              </w:rPr>
              <w:t xml:space="preserve">Collaborate on activities to promote the arts and provide advice on initiatives to promote the Education State target of Excellence in the Arts. </w:t>
            </w:r>
          </w:p>
        </w:tc>
      </w:tr>
    </w:tbl>
    <w:p w14:paraId="44E92763" w14:textId="110A0F28" w:rsidR="00271BA8" w:rsidRDefault="00271BA8" w:rsidP="00271BA8">
      <w:pPr>
        <w:pStyle w:val="Heading2Pro"/>
      </w:pPr>
      <w:bookmarkStart w:id="43" w:name="_Toc524873215"/>
      <w:bookmarkStart w:id="44" w:name="_Toc525244618"/>
      <w:r>
        <w:t>Findings</w:t>
      </w:r>
      <w:bookmarkEnd w:id="43"/>
      <w:bookmarkEnd w:id="44"/>
    </w:p>
    <w:p w14:paraId="680E8B7C" w14:textId="6830E330" w:rsidR="00271BA8" w:rsidRPr="0087135C" w:rsidRDefault="00271BA8" w:rsidP="0087135C">
      <w:pPr>
        <w:spacing w:before="0" w:after="160" w:line="259" w:lineRule="auto"/>
        <w:contextualSpacing w:val="0"/>
        <w:jc w:val="both"/>
        <w:rPr>
          <w:rFonts w:ascii="Arial" w:hAnsi="Arial" w:cs="Arial"/>
          <w:color w:val="535355"/>
          <w:sz w:val="20"/>
          <w:szCs w:val="20"/>
        </w:rPr>
      </w:pPr>
      <w:r w:rsidRPr="0087135C">
        <w:rPr>
          <w:rFonts w:ascii="Arial" w:hAnsi="Arial" w:cs="Arial"/>
          <w:color w:val="535355"/>
          <w:sz w:val="20"/>
          <w:szCs w:val="20"/>
        </w:rPr>
        <w:t xml:space="preserve">SPFAC </w:t>
      </w:r>
      <w:proofErr w:type="gramStart"/>
      <w:r w:rsidRPr="0087135C">
        <w:rPr>
          <w:rFonts w:ascii="Arial" w:hAnsi="Arial" w:cs="Arial"/>
          <w:color w:val="535355"/>
          <w:sz w:val="20"/>
          <w:szCs w:val="20"/>
        </w:rPr>
        <w:t>has been established</w:t>
      </w:r>
      <w:proofErr w:type="gramEnd"/>
      <w:r w:rsidRPr="0087135C">
        <w:rPr>
          <w:rFonts w:ascii="Arial" w:hAnsi="Arial" w:cs="Arial"/>
          <w:color w:val="535355"/>
          <w:sz w:val="20"/>
          <w:szCs w:val="20"/>
        </w:rPr>
        <w:t xml:space="preserve"> and has continued to operate consistent with the structures defined in Part 2.7 of ETRA.</w:t>
      </w:r>
      <w:r w:rsidR="0087135C" w:rsidRPr="0087135C">
        <w:rPr>
          <w:rFonts w:ascii="Arial" w:hAnsi="Arial" w:cs="Arial"/>
          <w:color w:val="535355"/>
          <w:sz w:val="20"/>
          <w:szCs w:val="20"/>
        </w:rPr>
        <w:t xml:space="preserve">  This Review has noted no instance of non-compliance with the clauses in Part 2.7 of ETRA.</w:t>
      </w:r>
    </w:p>
    <w:p w14:paraId="4E9C95EF" w14:textId="3CD6BC59" w:rsidR="0087135C" w:rsidRDefault="0087135C" w:rsidP="0087135C">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structures and support for the Council follow generally accepted principles of Committee or Council governance, including:</w:t>
      </w:r>
    </w:p>
    <w:p w14:paraId="7507EE05" w14:textId="59FF1F84"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approved Terms of Reference, for both the Council and its sub-committees and working groups;</w:t>
      </w:r>
    </w:p>
    <w:p w14:paraId="448336D9" w14:textId="2B69034A"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formal appointments of people qualified to meet the Terms of Reference;</w:t>
      </w:r>
    </w:p>
    <w:p w14:paraId="6C4F0FA0" w14:textId="76AFFCC7"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reliable attendance by members;</w:t>
      </w:r>
    </w:p>
    <w:p w14:paraId="44482B2C" w14:textId="588168C2"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agendas circulated and agreed in advance of the meeting;</w:t>
      </w:r>
    </w:p>
    <w:p w14:paraId="3FBC971D" w14:textId="779CCE16"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papers distributed in advance of meetings, with sufficient time for effective consideration;</w:t>
      </w:r>
    </w:p>
    <w:p w14:paraId="45BA9A10" w14:textId="559B2C9C"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appropriate engagement with members outside of the meetings to ensure meetings are productive;</w:t>
      </w:r>
    </w:p>
    <w:p w14:paraId="25244398" w14:textId="3D0B3803"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minutes and action items maintained;</w:t>
      </w:r>
    </w:p>
    <w:p w14:paraId="28AFDAE7" w14:textId="72708EAC"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development of annual work plans and agendas for the year to establish agreed body of work that is consistent with the Terms of Reference;</w:t>
      </w:r>
    </w:p>
    <w:p w14:paraId="5861FE3A" w14:textId="0DD7973E" w:rsid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self-evaluation</w:t>
      </w:r>
      <w:r w:rsidR="00861A23">
        <w:rPr>
          <w:rFonts w:ascii="Arial" w:hAnsi="Arial" w:cs="Arial"/>
          <w:color w:val="535355"/>
          <w:sz w:val="20"/>
          <w:szCs w:val="20"/>
        </w:rPr>
        <w:t xml:space="preserve"> by the Council</w:t>
      </w:r>
      <w:r>
        <w:rPr>
          <w:rFonts w:ascii="Arial" w:hAnsi="Arial" w:cs="Arial"/>
          <w:color w:val="535355"/>
          <w:sz w:val="20"/>
          <w:szCs w:val="20"/>
        </w:rPr>
        <w:t xml:space="preserve"> at the end of each year of achievement of</w:t>
      </w:r>
      <w:r w:rsidR="00861A23">
        <w:rPr>
          <w:rFonts w:ascii="Arial" w:hAnsi="Arial" w:cs="Arial"/>
          <w:color w:val="535355"/>
          <w:sz w:val="20"/>
          <w:szCs w:val="20"/>
        </w:rPr>
        <w:t xml:space="preserve"> the</w:t>
      </w:r>
      <w:r>
        <w:rPr>
          <w:rFonts w:ascii="Arial" w:hAnsi="Arial" w:cs="Arial"/>
          <w:color w:val="535355"/>
          <w:sz w:val="20"/>
          <w:szCs w:val="20"/>
        </w:rPr>
        <w:t xml:space="preserve"> annual work plan; and</w:t>
      </w:r>
    </w:p>
    <w:p w14:paraId="3D6496CA" w14:textId="1DEAE84B" w:rsidR="0087135C" w:rsidRPr="0087135C" w:rsidRDefault="0087135C" w:rsidP="0087135C">
      <w:pPr>
        <w:numPr>
          <w:ilvl w:val="0"/>
          <w:numId w:val="45"/>
        </w:numPr>
        <w:tabs>
          <w:tab w:val="num" w:pos="1440"/>
        </w:tabs>
        <w:spacing w:before="0" w:after="160" w:line="259" w:lineRule="auto"/>
        <w:contextualSpacing w:val="0"/>
        <w:jc w:val="both"/>
        <w:rPr>
          <w:rFonts w:ascii="Arial" w:hAnsi="Arial" w:cs="Arial"/>
          <w:color w:val="535355"/>
          <w:sz w:val="20"/>
          <w:szCs w:val="20"/>
        </w:rPr>
      </w:pPr>
      <w:proofErr w:type="gramStart"/>
      <w:r>
        <w:rPr>
          <w:rFonts w:ascii="Arial" w:hAnsi="Arial" w:cs="Arial"/>
          <w:color w:val="535355"/>
          <w:sz w:val="20"/>
          <w:szCs w:val="20"/>
        </w:rPr>
        <w:t>appointment</w:t>
      </w:r>
      <w:proofErr w:type="gramEnd"/>
      <w:r>
        <w:rPr>
          <w:rFonts w:ascii="Arial" w:hAnsi="Arial" w:cs="Arial"/>
          <w:color w:val="535355"/>
          <w:sz w:val="20"/>
          <w:szCs w:val="20"/>
        </w:rPr>
        <w:t xml:space="preserve"> of Chair role.</w:t>
      </w:r>
    </w:p>
    <w:p w14:paraId="4A32B9FA" w14:textId="6460B8CF" w:rsidR="003E024E" w:rsidRDefault="00B9218F" w:rsidP="007A0C67">
      <w:pPr>
        <w:spacing w:before="0" w:after="160" w:line="259" w:lineRule="auto"/>
        <w:contextualSpacing w:val="0"/>
        <w:jc w:val="both"/>
        <w:rPr>
          <w:rFonts w:ascii="Arial" w:hAnsi="Arial" w:cs="Arial"/>
          <w:color w:val="535355"/>
          <w:sz w:val="20"/>
          <w:szCs w:val="20"/>
        </w:rPr>
      </w:pPr>
      <w:r w:rsidRPr="00E02377">
        <w:rPr>
          <w:rFonts w:ascii="Arial" w:hAnsi="Arial" w:cs="Arial"/>
          <w:color w:val="535355"/>
          <w:sz w:val="20"/>
          <w:szCs w:val="20"/>
        </w:rPr>
        <w:t>In</w:t>
      </w:r>
      <w:r w:rsidR="00116994" w:rsidRPr="00E02377">
        <w:rPr>
          <w:rFonts w:ascii="Arial" w:hAnsi="Arial" w:cs="Arial"/>
          <w:color w:val="535355"/>
          <w:sz w:val="20"/>
          <w:szCs w:val="20"/>
        </w:rPr>
        <w:t xml:space="preserve"> September</w:t>
      </w:r>
      <w:r w:rsidR="0087135C" w:rsidRPr="00E02377">
        <w:rPr>
          <w:rFonts w:ascii="Arial" w:hAnsi="Arial" w:cs="Arial"/>
          <w:color w:val="535355"/>
          <w:sz w:val="20"/>
          <w:szCs w:val="20"/>
        </w:rPr>
        <w:t xml:space="preserve"> 2017, an additional</w:t>
      </w:r>
      <w:r w:rsidR="0087135C">
        <w:rPr>
          <w:rFonts w:ascii="Arial" w:hAnsi="Arial" w:cs="Arial"/>
          <w:color w:val="535355"/>
          <w:sz w:val="20"/>
          <w:szCs w:val="20"/>
        </w:rPr>
        <w:t xml:space="preserve"> independent member </w:t>
      </w:r>
      <w:r w:rsidR="003E0565">
        <w:rPr>
          <w:rFonts w:ascii="Arial" w:hAnsi="Arial" w:cs="Arial"/>
          <w:color w:val="535355"/>
          <w:sz w:val="20"/>
          <w:szCs w:val="20"/>
        </w:rPr>
        <w:t xml:space="preserve">accepted </w:t>
      </w:r>
      <w:r>
        <w:rPr>
          <w:rFonts w:ascii="Arial" w:hAnsi="Arial" w:cs="Arial"/>
          <w:color w:val="535355"/>
          <w:sz w:val="20"/>
          <w:szCs w:val="20"/>
        </w:rPr>
        <w:t xml:space="preserve">the role and the </w:t>
      </w:r>
      <w:r w:rsidR="0087135C">
        <w:rPr>
          <w:rFonts w:ascii="Arial" w:hAnsi="Arial" w:cs="Arial"/>
          <w:color w:val="535355"/>
          <w:sz w:val="20"/>
          <w:szCs w:val="20"/>
        </w:rPr>
        <w:t>appoint</w:t>
      </w:r>
      <w:r>
        <w:rPr>
          <w:rFonts w:ascii="Arial" w:hAnsi="Arial" w:cs="Arial"/>
          <w:color w:val="535355"/>
          <w:sz w:val="20"/>
          <w:szCs w:val="20"/>
        </w:rPr>
        <w:t xml:space="preserve">ment </w:t>
      </w:r>
      <w:r w:rsidR="0087135C">
        <w:rPr>
          <w:rFonts w:ascii="Arial" w:hAnsi="Arial" w:cs="Arial"/>
          <w:color w:val="535355"/>
          <w:sz w:val="20"/>
          <w:szCs w:val="20"/>
        </w:rPr>
        <w:t>by the Minister to SPFAC</w:t>
      </w:r>
      <w:r>
        <w:rPr>
          <w:rFonts w:ascii="Arial" w:hAnsi="Arial" w:cs="Arial"/>
          <w:color w:val="535355"/>
          <w:sz w:val="20"/>
          <w:szCs w:val="20"/>
        </w:rPr>
        <w:t xml:space="preserve"> was effective on 2 November 2017. </w:t>
      </w:r>
      <w:r w:rsidR="00493575">
        <w:rPr>
          <w:rFonts w:ascii="Arial" w:hAnsi="Arial" w:cs="Arial"/>
          <w:color w:val="535355"/>
          <w:sz w:val="20"/>
          <w:szCs w:val="20"/>
        </w:rPr>
        <w:t xml:space="preserve"> </w:t>
      </w:r>
      <w:r>
        <w:rPr>
          <w:rFonts w:ascii="Arial" w:hAnsi="Arial" w:cs="Arial"/>
          <w:color w:val="535355"/>
          <w:sz w:val="20"/>
          <w:szCs w:val="20"/>
        </w:rPr>
        <w:t>The role of the Independent Member is</w:t>
      </w:r>
      <w:r w:rsidR="0087135C">
        <w:rPr>
          <w:rFonts w:ascii="Arial" w:hAnsi="Arial" w:cs="Arial"/>
          <w:color w:val="535355"/>
          <w:sz w:val="20"/>
          <w:szCs w:val="20"/>
        </w:rPr>
        <w:t xml:space="preserve"> nominally to represent </w:t>
      </w:r>
      <w:r w:rsidR="003E0565" w:rsidRPr="003E0565">
        <w:rPr>
          <w:rFonts w:ascii="Arial" w:hAnsi="Arial" w:cs="Arial"/>
          <w:color w:val="535355"/>
          <w:sz w:val="20"/>
          <w:szCs w:val="20"/>
        </w:rPr>
        <w:t>the common interests of all students in Victoria</w:t>
      </w:r>
      <w:r w:rsidR="0087135C">
        <w:rPr>
          <w:rFonts w:ascii="Arial" w:hAnsi="Arial" w:cs="Arial"/>
          <w:color w:val="535355"/>
          <w:sz w:val="20"/>
          <w:szCs w:val="20"/>
        </w:rPr>
        <w:t xml:space="preserve">.  The addition of independent membership to Councils such as SPFAC </w:t>
      </w:r>
      <w:proofErr w:type="gramStart"/>
      <w:r w:rsidR="0087135C">
        <w:rPr>
          <w:rFonts w:ascii="Arial" w:hAnsi="Arial" w:cs="Arial"/>
          <w:color w:val="535355"/>
          <w:sz w:val="20"/>
          <w:szCs w:val="20"/>
        </w:rPr>
        <w:t>is generally considered</w:t>
      </w:r>
      <w:proofErr w:type="gramEnd"/>
      <w:r w:rsidR="0087135C">
        <w:rPr>
          <w:rFonts w:ascii="Arial" w:hAnsi="Arial" w:cs="Arial"/>
          <w:color w:val="535355"/>
          <w:sz w:val="20"/>
          <w:szCs w:val="20"/>
        </w:rPr>
        <w:t xml:space="preserve"> good practice in order to provide </w:t>
      </w:r>
      <w:r w:rsidR="00180C6E">
        <w:rPr>
          <w:rFonts w:ascii="Arial" w:hAnsi="Arial" w:cs="Arial"/>
          <w:color w:val="535355"/>
          <w:sz w:val="20"/>
          <w:szCs w:val="20"/>
        </w:rPr>
        <w:t xml:space="preserve">an </w:t>
      </w:r>
      <w:r w:rsidR="0087135C">
        <w:rPr>
          <w:rFonts w:ascii="Arial" w:hAnsi="Arial" w:cs="Arial"/>
          <w:color w:val="535355"/>
          <w:sz w:val="20"/>
          <w:szCs w:val="20"/>
        </w:rPr>
        <w:t xml:space="preserve">independent perspective on matters being considered.  All </w:t>
      </w:r>
      <w:r w:rsidR="00725924">
        <w:rPr>
          <w:rFonts w:ascii="Arial" w:hAnsi="Arial" w:cs="Arial"/>
          <w:color w:val="535355"/>
          <w:sz w:val="20"/>
          <w:szCs w:val="20"/>
        </w:rPr>
        <w:t xml:space="preserve">people consulted in this Review reported that the appointment of an independent member had been a positive influence on the Council’s work.  The process for identification and selection of the independent member </w:t>
      </w:r>
      <w:proofErr w:type="gramStart"/>
      <w:r w:rsidR="00725924">
        <w:rPr>
          <w:rFonts w:ascii="Arial" w:hAnsi="Arial" w:cs="Arial"/>
          <w:color w:val="535355"/>
          <w:sz w:val="20"/>
          <w:szCs w:val="20"/>
        </w:rPr>
        <w:t>was seen</w:t>
      </w:r>
      <w:proofErr w:type="gramEnd"/>
      <w:r w:rsidR="00725924">
        <w:rPr>
          <w:rFonts w:ascii="Arial" w:hAnsi="Arial" w:cs="Arial"/>
          <w:color w:val="535355"/>
          <w:sz w:val="20"/>
          <w:szCs w:val="20"/>
        </w:rPr>
        <w:t xml:space="preserve"> as robust and appropriate.</w:t>
      </w:r>
    </w:p>
    <w:p w14:paraId="029D4D6D" w14:textId="56344033" w:rsidR="00725924" w:rsidRDefault="00725924"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lastRenderedPageBreak/>
        <w:t xml:space="preserve">The use of sub-committees or working groups to support the Council in its activities is a common </w:t>
      </w:r>
      <w:proofErr w:type="gramStart"/>
      <w:r>
        <w:rPr>
          <w:rFonts w:ascii="Arial" w:hAnsi="Arial" w:cs="Arial"/>
          <w:color w:val="535355"/>
          <w:sz w:val="20"/>
          <w:szCs w:val="20"/>
        </w:rPr>
        <w:t>construct which</w:t>
      </w:r>
      <w:proofErr w:type="gramEnd"/>
      <w:r>
        <w:rPr>
          <w:rFonts w:ascii="Arial" w:hAnsi="Arial" w:cs="Arial"/>
          <w:color w:val="535355"/>
          <w:sz w:val="20"/>
          <w:szCs w:val="20"/>
        </w:rPr>
        <w:t xml:space="preserve"> appears to provide a useful forum for good discussion, debate and work, and assists the efficiency and effectiveness of SPFAC.  In all cases, the working groups have defined </w:t>
      </w:r>
      <w:r w:rsidR="00B82895">
        <w:rPr>
          <w:rFonts w:ascii="Arial" w:hAnsi="Arial" w:cs="Arial"/>
          <w:color w:val="535355"/>
          <w:sz w:val="20"/>
          <w:szCs w:val="20"/>
        </w:rPr>
        <w:t>t</w:t>
      </w:r>
      <w:r>
        <w:rPr>
          <w:rFonts w:ascii="Arial" w:hAnsi="Arial" w:cs="Arial"/>
          <w:color w:val="535355"/>
          <w:sz w:val="20"/>
          <w:szCs w:val="20"/>
        </w:rPr>
        <w:t xml:space="preserve">erms of </w:t>
      </w:r>
      <w:r w:rsidR="00B82895">
        <w:rPr>
          <w:rFonts w:ascii="Arial" w:hAnsi="Arial" w:cs="Arial"/>
          <w:color w:val="535355"/>
          <w:sz w:val="20"/>
          <w:szCs w:val="20"/>
        </w:rPr>
        <w:t>r</w:t>
      </w:r>
      <w:r>
        <w:rPr>
          <w:rFonts w:ascii="Arial" w:hAnsi="Arial" w:cs="Arial"/>
          <w:color w:val="535355"/>
          <w:sz w:val="20"/>
          <w:szCs w:val="20"/>
        </w:rPr>
        <w:t xml:space="preserve">eference and are undertaking work that is consistent with SPFAC’s purpose.  All stakeholders consulted noted that the work </w:t>
      </w:r>
      <w:proofErr w:type="gramStart"/>
      <w:r>
        <w:rPr>
          <w:rFonts w:ascii="Arial" w:hAnsi="Arial" w:cs="Arial"/>
          <w:color w:val="535355"/>
          <w:sz w:val="20"/>
          <w:szCs w:val="20"/>
        </w:rPr>
        <w:t>being undertaken</w:t>
      </w:r>
      <w:proofErr w:type="gramEnd"/>
      <w:r>
        <w:rPr>
          <w:rFonts w:ascii="Arial" w:hAnsi="Arial" w:cs="Arial"/>
          <w:color w:val="535355"/>
          <w:sz w:val="20"/>
          <w:szCs w:val="20"/>
        </w:rPr>
        <w:t xml:space="preserve"> by those </w:t>
      </w:r>
      <w:r w:rsidR="000600A1">
        <w:rPr>
          <w:rFonts w:ascii="Arial" w:hAnsi="Arial" w:cs="Arial"/>
          <w:color w:val="535355"/>
          <w:sz w:val="20"/>
          <w:szCs w:val="20"/>
        </w:rPr>
        <w:t>w</w:t>
      </w:r>
      <w:r>
        <w:rPr>
          <w:rFonts w:ascii="Arial" w:hAnsi="Arial" w:cs="Arial"/>
          <w:color w:val="535355"/>
          <w:sz w:val="20"/>
          <w:szCs w:val="20"/>
        </w:rPr>
        <w:t xml:space="preserve">orking </w:t>
      </w:r>
      <w:r w:rsidR="000600A1">
        <w:rPr>
          <w:rFonts w:ascii="Arial" w:hAnsi="Arial" w:cs="Arial"/>
          <w:color w:val="535355"/>
          <w:sz w:val="20"/>
          <w:szCs w:val="20"/>
        </w:rPr>
        <w:t>g</w:t>
      </w:r>
      <w:r>
        <w:rPr>
          <w:rFonts w:ascii="Arial" w:hAnsi="Arial" w:cs="Arial"/>
          <w:color w:val="535355"/>
          <w:sz w:val="20"/>
          <w:szCs w:val="20"/>
        </w:rPr>
        <w:t>roup</w:t>
      </w:r>
      <w:r w:rsidR="00F16975">
        <w:rPr>
          <w:rFonts w:ascii="Arial" w:hAnsi="Arial" w:cs="Arial"/>
          <w:color w:val="535355"/>
          <w:sz w:val="20"/>
          <w:szCs w:val="20"/>
        </w:rPr>
        <w:t>s</w:t>
      </w:r>
      <w:r>
        <w:rPr>
          <w:rFonts w:ascii="Arial" w:hAnsi="Arial" w:cs="Arial"/>
          <w:color w:val="535355"/>
          <w:sz w:val="20"/>
          <w:szCs w:val="20"/>
        </w:rPr>
        <w:t xml:space="preserve"> was positive.</w:t>
      </w:r>
    </w:p>
    <w:p w14:paraId="545CDA6F" w14:textId="20B6F5A5" w:rsidR="00725924" w:rsidRDefault="00725924"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number of meetings and volume of work </w:t>
      </w:r>
      <w:proofErr w:type="gramStart"/>
      <w:r>
        <w:rPr>
          <w:rFonts w:ascii="Arial" w:hAnsi="Arial" w:cs="Arial"/>
          <w:color w:val="535355"/>
          <w:sz w:val="20"/>
          <w:szCs w:val="20"/>
        </w:rPr>
        <w:t>being undertaken</w:t>
      </w:r>
      <w:proofErr w:type="gramEnd"/>
      <w:r>
        <w:rPr>
          <w:rFonts w:ascii="Arial" w:hAnsi="Arial" w:cs="Arial"/>
          <w:color w:val="535355"/>
          <w:sz w:val="20"/>
          <w:szCs w:val="20"/>
        </w:rPr>
        <w:t xml:space="preserve"> by the Council and its working groups is extensive, requiring considerable investment by the Department, CECV and ISV.  Each of these bodies seeks to invest the effort and time required, and in </w:t>
      </w:r>
      <w:proofErr w:type="gramStart"/>
      <w:r>
        <w:rPr>
          <w:rFonts w:ascii="Arial" w:hAnsi="Arial" w:cs="Arial"/>
          <w:color w:val="535355"/>
          <w:sz w:val="20"/>
          <w:szCs w:val="20"/>
        </w:rPr>
        <w:t>general</w:t>
      </w:r>
      <w:proofErr w:type="gramEnd"/>
      <w:r>
        <w:rPr>
          <w:rFonts w:ascii="Arial" w:hAnsi="Arial" w:cs="Arial"/>
          <w:color w:val="535355"/>
          <w:sz w:val="20"/>
          <w:szCs w:val="20"/>
        </w:rPr>
        <w:t xml:space="preserve"> this appears to work successfully.  It is noteworthy that the bodies are of different size and have different levels of capacity and capability to dedicate to SPFAC and its working groups.  This can put pressure on smaller </w:t>
      </w:r>
      <w:proofErr w:type="spellStart"/>
      <w:r>
        <w:rPr>
          <w:rFonts w:ascii="Arial" w:hAnsi="Arial" w:cs="Arial"/>
          <w:color w:val="535355"/>
          <w:sz w:val="20"/>
          <w:szCs w:val="20"/>
        </w:rPr>
        <w:t>organisations</w:t>
      </w:r>
      <w:proofErr w:type="spellEnd"/>
      <w:r>
        <w:rPr>
          <w:rFonts w:ascii="Arial" w:hAnsi="Arial" w:cs="Arial"/>
          <w:color w:val="535355"/>
          <w:sz w:val="20"/>
          <w:szCs w:val="20"/>
        </w:rPr>
        <w:t xml:space="preserve"> than the Department to maintain an optimal level of engagement.  However, all bodies noted that they are able to engage sufficiently to meet their needs at this time.</w:t>
      </w:r>
    </w:p>
    <w:p w14:paraId="142E47C0" w14:textId="4120519B" w:rsidR="00725924" w:rsidRDefault="00EF25E2" w:rsidP="00725924">
      <w:pPr>
        <w:pStyle w:val="Heading3Pro"/>
      </w:pPr>
      <w:r>
        <w:t>Areas of Focus</w:t>
      </w:r>
    </w:p>
    <w:p w14:paraId="7BF9296B" w14:textId="22248259" w:rsidR="00725924" w:rsidRDefault="00EF25E2"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Ministerial Advisory Councils operate in different ways depending on the purpose and the needs of the Minister that creates them.  Some </w:t>
      </w:r>
      <w:proofErr w:type="gramStart"/>
      <w:r>
        <w:rPr>
          <w:rFonts w:ascii="Arial" w:hAnsi="Arial" w:cs="Arial"/>
          <w:color w:val="535355"/>
          <w:sz w:val="20"/>
          <w:szCs w:val="20"/>
        </w:rPr>
        <w:t>are directly tasked</w:t>
      </w:r>
      <w:proofErr w:type="gramEnd"/>
      <w:r>
        <w:rPr>
          <w:rFonts w:ascii="Arial" w:hAnsi="Arial" w:cs="Arial"/>
          <w:color w:val="535355"/>
          <w:sz w:val="20"/>
          <w:szCs w:val="20"/>
        </w:rPr>
        <w:t xml:space="preserve"> with providing advice on specific matters that are referred to it by the Minister.  Others, such as this one, have a standing role and provide advice on matters that arise within that standard role.  </w:t>
      </w:r>
    </w:p>
    <w:p w14:paraId="42114D40" w14:textId="370B274B" w:rsidR="00EF25E2" w:rsidRDefault="003373CF"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SPFAC establishes an annual work plan of matters that it is going to consider and (where appropriate) provide advice to the Minister.  This annual work plan </w:t>
      </w:r>
      <w:proofErr w:type="gramStart"/>
      <w:r>
        <w:rPr>
          <w:rFonts w:ascii="Arial" w:hAnsi="Arial" w:cs="Arial"/>
          <w:color w:val="535355"/>
          <w:sz w:val="20"/>
          <w:szCs w:val="20"/>
        </w:rPr>
        <w:t>is provided</w:t>
      </w:r>
      <w:proofErr w:type="gramEnd"/>
      <w:r>
        <w:rPr>
          <w:rFonts w:ascii="Arial" w:hAnsi="Arial" w:cs="Arial"/>
          <w:color w:val="535355"/>
          <w:sz w:val="20"/>
          <w:szCs w:val="20"/>
        </w:rPr>
        <w:t xml:space="preserve"> to the Minister and (presumably) the Minister has supported the areas of focus.</w:t>
      </w:r>
    </w:p>
    <w:p w14:paraId="4ACA0A25" w14:textId="0EE1DA1A" w:rsidR="003373CF" w:rsidRDefault="003373CF"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matters on the work plans since the establishment of SPFAC </w:t>
      </w:r>
      <w:proofErr w:type="gramStart"/>
      <w:r>
        <w:rPr>
          <w:rFonts w:ascii="Arial" w:hAnsi="Arial" w:cs="Arial"/>
          <w:color w:val="535355"/>
          <w:sz w:val="20"/>
          <w:szCs w:val="20"/>
        </w:rPr>
        <w:t>are established</w:t>
      </w:r>
      <w:proofErr w:type="gramEnd"/>
      <w:r>
        <w:rPr>
          <w:rFonts w:ascii="Arial" w:hAnsi="Arial" w:cs="Arial"/>
          <w:color w:val="535355"/>
          <w:sz w:val="20"/>
          <w:szCs w:val="20"/>
        </w:rPr>
        <w:t xml:space="preserve"> by consensus, and all are sound and valid matters relating to schools in Victoria, for which the Minister may benefit from advice.  Further, all fall within the categories of scope of the SPFAC’s </w:t>
      </w:r>
      <w:r w:rsidR="004F313B">
        <w:rPr>
          <w:rFonts w:ascii="Arial" w:hAnsi="Arial" w:cs="Arial"/>
          <w:color w:val="535355"/>
          <w:sz w:val="20"/>
          <w:szCs w:val="20"/>
        </w:rPr>
        <w:t>T</w:t>
      </w:r>
      <w:r>
        <w:rPr>
          <w:rFonts w:ascii="Arial" w:hAnsi="Arial" w:cs="Arial"/>
          <w:color w:val="535355"/>
          <w:sz w:val="20"/>
          <w:szCs w:val="20"/>
        </w:rPr>
        <w:t xml:space="preserve">erms of </w:t>
      </w:r>
      <w:r w:rsidR="004F313B">
        <w:rPr>
          <w:rFonts w:ascii="Arial" w:hAnsi="Arial" w:cs="Arial"/>
          <w:color w:val="535355"/>
          <w:sz w:val="20"/>
          <w:szCs w:val="20"/>
        </w:rPr>
        <w:t>R</w:t>
      </w:r>
      <w:r>
        <w:rPr>
          <w:rFonts w:ascii="Arial" w:hAnsi="Arial" w:cs="Arial"/>
          <w:color w:val="535355"/>
          <w:sz w:val="20"/>
          <w:szCs w:val="20"/>
        </w:rPr>
        <w:t xml:space="preserve">eference, being funding matters, policy matters and regulatory matters.  As can be seen from the list earlier in this section, the majority of matters considered are policy matters, with fewer matters falling into the funding or regulatory categories.  This is </w:t>
      </w:r>
      <w:proofErr w:type="gramStart"/>
      <w:r>
        <w:rPr>
          <w:rFonts w:ascii="Arial" w:hAnsi="Arial" w:cs="Arial"/>
          <w:color w:val="535355"/>
          <w:sz w:val="20"/>
          <w:szCs w:val="20"/>
        </w:rPr>
        <w:t>not inappropriate</w:t>
      </w:r>
      <w:proofErr w:type="gramEnd"/>
      <w:r>
        <w:rPr>
          <w:rFonts w:ascii="Arial" w:hAnsi="Arial" w:cs="Arial"/>
          <w:color w:val="535355"/>
          <w:sz w:val="20"/>
          <w:szCs w:val="20"/>
        </w:rPr>
        <w:t xml:space="preserve">, and it is noted that the items do not necessarily receive equal time from </w:t>
      </w:r>
      <w:r w:rsidR="00B82895">
        <w:rPr>
          <w:rFonts w:ascii="Arial" w:hAnsi="Arial" w:cs="Arial"/>
          <w:color w:val="535355"/>
          <w:sz w:val="20"/>
          <w:szCs w:val="20"/>
        </w:rPr>
        <w:t>SPFAC</w:t>
      </w:r>
      <w:r>
        <w:rPr>
          <w:rFonts w:ascii="Arial" w:hAnsi="Arial" w:cs="Arial"/>
          <w:color w:val="535355"/>
          <w:sz w:val="20"/>
          <w:szCs w:val="20"/>
        </w:rPr>
        <w:t xml:space="preserve">.  </w:t>
      </w:r>
    </w:p>
    <w:p w14:paraId="2B8DF94D" w14:textId="7EAE287F" w:rsidR="00A7680A" w:rsidRDefault="00A7680A"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Of the three </w:t>
      </w:r>
      <w:r w:rsidR="00A94556">
        <w:rPr>
          <w:rFonts w:ascii="Arial" w:hAnsi="Arial" w:cs="Arial"/>
          <w:color w:val="535355"/>
          <w:sz w:val="20"/>
          <w:szCs w:val="20"/>
        </w:rPr>
        <w:t>areas</w:t>
      </w:r>
      <w:r>
        <w:rPr>
          <w:rFonts w:ascii="Arial" w:hAnsi="Arial" w:cs="Arial"/>
          <w:color w:val="535355"/>
          <w:sz w:val="20"/>
          <w:szCs w:val="20"/>
        </w:rPr>
        <w:t xml:space="preserve"> of focus for </w:t>
      </w:r>
      <w:r w:rsidR="00B82895">
        <w:rPr>
          <w:rFonts w:ascii="Arial" w:hAnsi="Arial" w:cs="Arial"/>
          <w:color w:val="535355"/>
          <w:sz w:val="20"/>
          <w:szCs w:val="20"/>
        </w:rPr>
        <w:t>SPFAC</w:t>
      </w:r>
      <w:r>
        <w:rPr>
          <w:rFonts w:ascii="Arial" w:hAnsi="Arial" w:cs="Arial"/>
          <w:color w:val="535355"/>
          <w:sz w:val="20"/>
          <w:szCs w:val="20"/>
        </w:rPr>
        <w:t xml:space="preserve">, the </w:t>
      </w:r>
      <w:proofErr w:type="gramStart"/>
      <w:r>
        <w:rPr>
          <w:rFonts w:ascii="Arial" w:hAnsi="Arial" w:cs="Arial"/>
          <w:color w:val="535355"/>
          <w:sz w:val="20"/>
          <w:szCs w:val="20"/>
        </w:rPr>
        <w:t>one which has received least attention</w:t>
      </w:r>
      <w:proofErr w:type="gramEnd"/>
      <w:r>
        <w:rPr>
          <w:rFonts w:ascii="Arial" w:hAnsi="Arial" w:cs="Arial"/>
          <w:color w:val="535355"/>
          <w:sz w:val="20"/>
          <w:szCs w:val="20"/>
        </w:rPr>
        <w:t xml:space="preserve"> is regulatory matters.  Naturally</w:t>
      </w:r>
      <w:r w:rsidR="00B82895">
        <w:rPr>
          <w:rFonts w:ascii="Arial" w:hAnsi="Arial" w:cs="Arial"/>
          <w:color w:val="535355"/>
          <w:sz w:val="20"/>
          <w:szCs w:val="20"/>
        </w:rPr>
        <w:t>,</w:t>
      </w:r>
      <w:r>
        <w:rPr>
          <w:rFonts w:ascii="Arial" w:hAnsi="Arial" w:cs="Arial"/>
          <w:color w:val="535355"/>
          <w:sz w:val="20"/>
          <w:szCs w:val="20"/>
        </w:rPr>
        <w:t xml:space="preserve"> </w:t>
      </w:r>
      <w:r w:rsidR="00B82895">
        <w:rPr>
          <w:rFonts w:ascii="Arial" w:hAnsi="Arial" w:cs="Arial"/>
          <w:color w:val="535355"/>
          <w:sz w:val="20"/>
          <w:szCs w:val="20"/>
        </w:rPr>
        <w:t>SPFAC</w:t>
      </w:r>
      <w:r>
        <w:rPr>
          <w:rFonts w:ascii="Arial" w:hAnsi="Arial" w:cs="Arial"/>
          <w:color w:val="535355"/>
          <w:sz w:val="20"/>
          <w:szCs w:val="20"/>
        </w:rPr>
        <w:t xml:space="preserve"> is aware of the independent roles of the Victorian Registration and Qualifications Authority</w:t>
      </w:r>
      <w:r w:rsidR="00B82895">
        <w:rPr>
          <w:rFonts w:ascii="Arial" w:hAnsi="Arial" w:cs="Arial"/>
          <w:color w:val="535355"/>
          <w:sz w:val="20"/>
          <w:szCs w:val="20"/>
        </w:rPr>
        <w:t xml:space="preserve"> (VRQA)</w:t>
      </w:r>
      <w:r>
        <w:rPr>
          <w:rFonts w:ascii="Arial" w:hAnsi="Arial" w:cs="Arial"/>
          <w:color w:val="535355"/>
          <w:sz w:val="20"/>
          <w:szCs w:val="20"/>
        </w:rPr>
        <w:t xml:space="preserve"> and the Victorian Institute of Teaching </w:t>
      </w:r>
      <w:r w:rsidR="00B82895">
        <w:rPr>
          <w:rFonts w:ascii="Arial" w:hAnsi="Arial" w:cs="Arial"/>
          <w:color w:val="535355"/>
          <w:sz w:val="20"/>
          <w:szCs w:val="20"/>
        </w:rPr>
        <w:t xml:space="preserve">(VIT) </w:t>
      </w:r>
      <w:r>
        <w:rPr>
          <w:rFonts w:ascii="Arial" w:hAnsi="Arial" w:cs="Arial"/>
          <w:color w:val="535355"/>
          <w:sz w:val="20"/>
          <w:szCs w:val="20"/>
        </w:rPr>
        <w:t xml:space="preserve">in regulating schools, and the need not to duplicate or challenge those independent regulatory roles.  This naturally and appropriately limits the coverage of regulatory matters that SPFAC can valuably contribute </w:t>
      </w:r>
      <w:proofErr w:type="gramStart"/>
      <w:r>
        <w:rPr>
          <w:rFonts w:ascii="Arial" w:hAnsi="Arial" w:cs="Arial"/>
          <w:color w:val="535355"/>
          <w:sz w:val="20"/>
          <w:szCs w:val="20"/>
        </w:rPr>
        <w:t>to</w:t>
      </w:r>
      <w:proofErr w:type="gramEnd"/>
      <w:r>
        <w:rPr>
          <w:rFonts w:ascii="Arial" w:hAnsi="Arial" w:cs="Arial"/>
          <w:color w:val="535355"/>
          <w:sz w:val="20"/>
          <w:szCs w:val="20"/>
        </w:rPr>
        <w:t>.  It is noted however, that SPFAC has considered some regulatory matters (outside of the scope of VRQA and VIT), including in relation to vulnerable children.</w:t>
      </w:r>
    </w:p>
    <w:p w14:paraId="19AE88EE" w14:textId="3CA054C3" w:rsidR="00A7680A" w:rsidRDefault="00A7680A"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fact that SPFAC has been able to work collaboratively to support advice to the Minister regarding the recurrent State funding of non-government schools and the overarching memoranda of understanding, indicates that it has been able to perform a valuable role in this contentious matter.</w:t>
      </w:r>
    </w:p>
    <w:p w14:paraId="60AC5E5B" w14:textId="3632D869" w:rsidR="003373CF" w:rsidRDefault="00B82895"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SPFAC</w:t>
      </w:r>
      <w:r w:rsidR="003373CF">
        <w:rPr>
          <w:rFonts w:ascii="Arial" w:hAnsi="Arial" w:cs="Arial"/>
          <w:color w:val="535355"/>
          <w:sz w:val="20"/>
          <w:szCs w:val="20"/>
        </w:rPr>
        <w:t xml:space="preserve"> </w:t>
      </w:r>
      <w:r w:rsidR="00493575">
        <w:rPr>
          <w:rFonts w:ascii="Arial" w:hAnsi="Arial" w:cs="Arial"/>
          <w:color w:val="535355"/>
          <w:sz w:val="20"/>
          <w:szCs w:val="20"/>
        </w:rPr>
        <w:t xml:space="preserve">reports a self-assessment of </w:t>
      </w:r>
      <w:r w:rsidR="003373CF">
        <w:rPr>
          <w:rFonts w:ascii="Arial" w:hAnsi="Arial" w:cs="Arial"/>
          <w:color w:val="535355"/>
          <w:sz w:val="20"/>
          <w:szCs w:val="20"/>
        </w:rPr>
        <w:t xml:space="preserve">its performance against the work plan at the end of each year, and it is clear that for the majority of matters on the plan, </w:t>
      </w:r>
      <w:r>
        <w:rPr>
          <w:rFonts w:ascii="Arial" w:hAnsi="Arial" w:cs="Arial"/>
          <w:color w:val="535355"/>
          <w:sz w:val="20"/>
          <w:szCs w:val="20"/>
        </w:rPr>
        <w:t>SPFAC</w:t>
      </w:r>
      <w:r w:rsidR="003373CF">
        <w:rPr>
          <w:rFonts w:ascii="Arial" w:hAnsi="Arial" w:cs="Arial"/>
          <w:color w:val="535355"/>
          <w:sz w:val="20"/>
          <w:szCs w:val="20"/>
        </w:rPr>
        <w:t xml:space="preserve"> is able to report that it has </w:t>
      </w:r>
      <w:r w:rsidR="008B5B1E">
        <w:rPr>
          <w:rFonts w:ascii="Arial" w:hAnsi="Arial" w:cs="Arial"/>
          <w:color w:val="535355"/>
          <w:sz w:val="20"/>
          <w:szCs w:val="20"/>
        </w:rPr>
        <w:t xml:space="preserve">either </w:t>
      </w:r>
      <w:r w:rsidR="003373CF">
        <w:rPr>
          <w:rFonts w:ascii="Arial" w:hAnsi="Arial" w:cs="Arial"/>
          <w:color w:val="535355"/>
          <w:sz w:val="20"/>
          <w:szCs w:val="20"/>
        </w:rPr>
        <w:t xml:space="preserve">completed </w:t>
      </w:r>
      <w:r w:rsidR="008B5B1E">
        <w:rPr>
          <w:rFonts w:ascii="Arial" w:hAnsi="Arial" w:cs="Arial"/>
          <w:color w:val="535355"/>
          <w:sz w:val="20"/>
          <w:szCs w:val="20"/>
        </w:rPr>
        <w:t xml:space="preserve">or progressed activities under the </w:t>
      </w:r>
      <w:r w:rsidR="003373CF">
        <w:rPr>
          <w:rFonts w:ascii="Arial" w:hAnsi="Arial" w:cs="Arial"/>
          <w:color w:val="535355"/>
          <w:sz w:val="20"/>
          <w:szCs w:val="20"/>
        </w:rPr>
        <w:t>work</w:t>
      </w:r>
      <w:r w:rsidR="008B5B1E">
        <w:rPr>
          <w:rFonts w:ascii="Arial" w:hAnsi="Arial" w:cs="Arial"/>
          <w:color w:val="535355"/>
          <w:sz w:val="20"/>
          <w:szCs w:val="20"/>
        </w:rPr>
        <w:t xml:space="preserve"> plan</w:t>
      </w:r>
      <w:r w:rsidR="003373CF">
        <w:rPr>
          <w:rFonts w:ascii="Arial" w:hAnsi="Arial" w:cs="Arial"/>
          <w:color w:val="535355"/>
          <w:sz w:val="20"/>
          <w:szCs w:val="20"/>
        </w:rPr>
        <w:t xml:space="preserve">.  In some cases, this may simply be a conversation and discussion of issues.  In others, more concrete work and </w:t>
      </w:r>
      <w:proofErr w:type="gramStart"/>
      <w:r w:rsidR="003373CF">
        <w:rPr>
          <w:rFonts w:ascii="Arial" w:hAnsi="Arial" w:cs="Arial"/>
          <w:color w:val="535355"/>
          <w:sz w:val="20"/>
          <w:szCs w:val="20"/>
        </w:rPr>
        <w:t>more specific advice</w:t>
      </w:r>
      <w:proofErr w:type="gramEnd"/>
      <w:r w:rsidR="003373CF">
        <w:rPr>
          <w:rFonts w:ascii="Arial" w:hAnsi="Arial" w:cs="Arial"/>
          <w:color w:val="535355"/>
          <w:sz w:val="20"/>
          <w:szCs w:val="20"/>
        </w:rPr>
        <w:t xml:space="preserve"> is able to be evidenced.  Again, the Minister </w:t>
      </w:r>
      <w:proofErr w:type="gramStart"/>
      <w:r w:rsidR="003373CF">
        <w:rPr>
          <w:rFonts w:ascii="Arial" w:hAnsi="Arial" w:cs="Arial"/>
          <w:color w:val="535355"/>
          <w:sz w:val="20"/>
          <w:szCs w:val="20"/>
        </w:rPr>
        <w:t>is provided</w:t>
      </w:r>
      <w:proofErr w:type="gramEnd"/>
      <w:r w:rsidR="003373CF">
        <w:rPr>
          <w:rFonts w:ascii="Arial" w:hAnsi="Arial" w:cs="Arial"/>
          <w:color w:val="535355"/>
          <w:sz w:val="20"/>
          <w:szCs w:val="20"/>
        </w:rPr>
        <w:t xml:space="preserve"> with these annual reports of </w:t>
      </w:r>
      <w:r>
        <w:rPr>
          <w:rFonts w:ascii="Arial" w:hAnsi="Arial" w:cs="Arial"/>
          <w:color w:val="535355"/>
          <w:sz w:val="20"/>
          <w:szCs w:val="20"/>
        </w:rPr>
        <w:t>SPFAC</w:t>
      </w:r>
      <w:r w:rsidR="003373CF">
        <w:rPr>
          <w:rFonts w:ascii="Arial" w:hAnsi="Arial" w:cs="Arial"/>
          <w:color w:val="535355"/>
          <w:sz w:val="20"/>
          <w:szCs w:val="20"/>
        </w:rPr>
        <w:t xml:space="preserve"> against its work plan, and (presumably) the Minister has been satisfied with the work being undertaken.</w:t>
      </w:r>
    </w:p>
    <w:p w14:paraId="30CC2242" w14:textId="3B283FC6" w:rsidR="00A15F4F" w:rsidRDefault="00A15F4F"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While all the matters on the work plans for SPFAC since its commencement appear sensible and appropriate, it is not clear how they fit together into a coherent objective or outcome.  It is also not clear what important matters relating to schools in Victoria </w:t>
      </w:r>
      <w:proofErr w:type="gramStart"/>
      <w:r>
        <w:rPr>
          <w:rFonts w:ascii="Arial" w:hAnsi="Arial" w:cs="Arial"/>
          <w:color w:val="535355"/>
          <w:sz w:val="20"/>
          <w:szCs w:val="20"/>
        </w:rPr>
        <w:t xml:space="preserve">have </w:t>
      </w:r>
      <w:r w:rsidRPr="00A15F4F">
        <w:rPr>
          <w:rFonts w:ascii="Arial" w:hAnsi="Arial" w:cs="Arial"/>
          <w:i/>
          <w:color w:val="535355"/>
          <w:sz w:val="20"/>
          <w:szCs w:val="20"/>
        </w:rPr>
        <w:t>not</w:t>
      </w:r>
      <w:r>
        <w:rPr>
          <w:rFonts w:ascii="Arial" w:hAnsi="Arial" w:cs="Arial"/>
          <w:color w:val="535355"/>
          <w:sz w:val="20"/>
          <w:szCs w:val="20"/>
        </w:rPr>
        <w:t xml:space="preserve"> been considered</w:t>
      </w:r>
      <w:proofErr w:type="gramEnd"/>
      <w:r>
        <w:rPr>
          <w:rFonts w:ascii="Arial" w:hAnsi="Arial" w:cs="Arial"/>
          <w:color w:val="535355"/>
          <w:sz w:val="20"/>
          <w:szCs w:val="20"/>
        </w:rPr>
        <w:t xml:space="preserve"> by </w:t>
      </w:r>
      <w:r w:rsidR="00B82895">
        <w:rPr>
          <w:rFonts w:ascii="Arial" w:hAnsi="Arial" w:cs="Arial"/>
          <w:color w:val="535355"/>
          <w:sz w:val="20"/>
          <w:szCs w:val="20"/>
        </w:rPr>
        <w:t>SPFAC</w:t>
      </w:r>
      <w:r>
        <w:rPr>
          <w:rFonts w:ascii="Arial" w:hAnsi="Arial" w:cs="Arial"/>
          <w:color w:val="535355"/>
          <w:sz w:val="20"/>
          <w:szCs w:val="20"/>
        </w:rPr>
        <w:t>.  A relatively common construct in the definition of work for committees and councils is to define e</w:t>
      </w:r>
      <w:r w:rsidR="000E7F43">
        <w:rPr>
          <w:rFonts w:ascii="Arial" w:hAnsi="Arial" w:cs="Arial"/>
          <w:color w:val="535355"/>
          <w:sz w:val="20"/>
          <w:szCs w:val="20"/>
        </w:rPr>
        <w:t>ither a</w:t>
      </w:r>
      <w:r>
        <w:rPr>
          <w:rFonts w:ascii="Arial" w:hAnsi="Arial" w:cs="Arial"/>
          <w:color w:val="535355"/>
          <w:sz w:val="20"/>
          <w:szCs w:val="20"/>
        </w:rPr>
        <w:t xml:space="preserve"> specific end-state </w:t>
      </w:r>
      <w:proofErr w:type="gramStart"/>
      <w:r>
        <w:rPr>
          <w:rFonts w:ascii="Arial" w:hAnsi="Arial" w:cs="Arial"/>
          <w:color w:val="535355"/>
          <w:sz w:val="20"/>
          <w:szCs w:val="20"/>
        </w:rPr>
        <w:t>objective which</w:t>
      </w:r>
      <w:proofErr w:type="gramEnd"/>
      <w:r>
        <w:rPr>
          <w:rFonts w:ascii="Arial" w:hAnsi="Arial" w:cs="Arial"/>
          <w:color w:val="535355"/>
          <w:sz w:val="20"/>
          <w:szCs w:val="20"/>
        </w:rPr>
        <w:t xml:space="preserve"> all work contributes to, and/or to define the complete list of mat</w:t>
      </w:r>
      <w:r w:rsidR="007E6F45" w:rsidRPr="00521112">
        <w:rPr>
          <w:rFonts w:ascii="Arial" w:hAnsi="Arial" w:cs="Arial"/>
          <w:color w:val="535355"/>
          <w:sz w:val="20"/>
          <w:szCs w:val="20"/>
        </w:rPr>
        <w:t>t</w:t>
      </w:r>
      <w:r>
        <w:rPr>
          <w:rFonts w:ascii="Arial" w:hAnsi="Arial" w:cs="Arial"/>
          <w:color w:val="535355"/>
          <w:sz w:val="20"/>
          <w:szCs w:val="20"/>
        </w:rPr>
        <w:t xml:space="preserve">ers that the committee or council could consider, in order to provide a framework for considering the </w:t>
      </w:r>
      <w:r>
        <w:rPr>
          <w:rFonts w:ascii="Arial" w:hAnsi="Arial" w:cs="Arial"/>
          <w:color w:val="535355"/>
          <w:sz w:val="20"/>
          <w:szCs w:val="20"/>
        </w:rPr>
        <w:lastRenderedPageBreak/>
        <w:t>appropriateness of the work plan.  Neither exists for SPFAC, which makes it difficult to assess the appropriateness of its work plan selection.</w:t>
      </w:r>
    </w:p>
    <w:tbl>
      <w:tblPr>
        <w:tblStyle w:val="TableGrid"/>
        <w:tblW w:w="0" w:type="auto"/>
        <w:tblLook w:val="04A0" w:firstRow="1" w:lastRow="0" w:firstColumn="1" w:lastColumn="0" w:noHBand="0" w:noVBand="1"/>
        <w:tblDescription w:val="Recommendation 1"/>
      </w:tblPr>
      <w:tblGrid>
        <w:gridCol w:w="9017"/>
      </w:tblGrid>
      <w:tr w:rsidR="000E7F43" w14:paraId="0F4DC4A9" w14:textId="77777777" w:rsidTr="00901194">
        <w:trPr>
          <w:cnfStyle w:val="100000000000" w:firstRow="1" w:lastRow="0" w:firstColumn="0" w:lastColumn="0" w:oddVBand="0" w:evenVBand="0" w:oddHBand="0" w:evenHBand="0" w:firstRowFirstColumn="0" w:firstRowLastColumn="0" w:lastRowFirstColumn="0" w:lastRowLastColumn="0"/>
          <w:tblHeader/>
        </w:trPr>
        <w:tc>
          <w:tcPr>
            <w:tcW w:w="9017" w:type="dxa"/>
          </w:tcPr>
          <w:p w14:paraId="18F1CCE2" w14:textId="5603625B" w:rsidR="000E7F43" w:rsidRDefault="000E7F43">
            <w:pPr>
              <w:spacing w:after="160" w:line="259" w:lineRule="auto"/>
              <w:contextualSpacing w:val="0"/>
              <w:jc w:val="both"/>
              <w:rPr>
                <w:rFonts w:ascii="Arial" w:hAnsi="Arial" w:cs="Arial"/>
                <w:color w:val="535355"/>
                <w:sz w:val="20"/>
                <w:szCs w:val="20"/>
              </w:rPr>
            </w:pPr>
            <w:r w:rsidRPr="000E7F43">
              <w:rPr>
                <w:rFonts w:ascii="Arial" w:hAnsi="Arial" w:cs="Arial"/>
                <w:i/>
                <w:color w:val="535355"/>
                <w:sz w:val="20"/>
                <w:szCs w:val="20"/>
              </w:rPr>
              <w:t>Recommendation 1:</w:t>
            </w:r>
            <w:r>
              <w:rPr>
                <w:rFonts w:ascii="Arial" w:hAnsi="Arial" w:cs="Arial"/>
                <w:color w:val="535355"/>
                <w:sz w:val="20"/>
                <w:szCs w:val="20"/>
              </w:rPr>
              <w:t xml:space="preserve">  </w:t>
            </w:r>
            <w:r w:rsidR="0018735F" w:rsidRPr="0018735F">
              <w:rPr>
                <w:rFonts w:ascii="Arial" w:hAnsi="Arial" w:cs="Arial"/>
                <w:b w:val="0"/>
                <w:color w:val="535355"/>
                <w:sz w:val="20"/>
                <w:szCs w:val="20"/>
              </w:rPr>
              <w:t xml:space="preserve">SPFAC should seek to provide the Minister with greater visibility of why matters are included in the work plan, including how the matters on the work plan contribute to the Government’s priorities.  In presenting this, consideration </w:t>
            </w:r>
            <w:proofErr w:type="gramStart"/>
            <w:r w:rsidR="0018735F" w:rsidRPr="0018735F">
              <w:rPr>
                <w:rFonts w:ascii="Arial" w:hAnsi="Arial" w:cs="Arial"/>
                <w:b w:val="0"/>
                <w:color w:val="535355"/>
                <w:sz w:val="20"/>
                <w:szCs w:val="20"/>
              </w:rPr>
              <w:t>should be given</w:t>
            </w:r>
            <w:proofErr w:type="gramEnd"/>
            <w:r w:rsidR="0018735F" w:rsidRPr="0018735F">
              <w:rPr>
                <w:rFonts w:ascii="Arial" w:hAnsi="Arial" w:cs="Arial"/>
                <w:b w:val="0"/>
                <w:color w:val="535355"/>
                <w:sz w:val="20"/>
                <w:szCs w:val="20"/>
              </w:rPr>
              <w:t xml:space="preserve"> to identifying other items as determined by the Minister</w:t>
            </w:r>
            <w:r w:rsidRPr="000E7F43">
              <w:rPr>
                <w:rFonts w:ascii="Arial" w:hAnsi="Arial" w:cs="Arial"/>
                <w:b w:val="0"/>
                <w:color w:val="535355"/>
                <w:sz w:val="20"/>
                <w:szCs w:val="20"/>
              </w:rPr>
              <w:t>.</w:t>
            </w:r>
          </w:p>
        </w:tc>
      </w:tr>
    </w:tbl>
    <w:p w14:paraId="039F330D" w14:textId="5B350C6B" w:rsidR="001F2D8F" w:rsidRDefault="000E7F43" w:rsidP="007A0C6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br/>
      </w:r>
      <w:r w:rsidR="001F2D8F">
        <w:rPr>
          <w:rFonts w:ascii="Arial" w:hAnsi="Arial" w:cs="Arial"/>
          <w:color w:val="535355"/>
          <w:sz w:val="20"/>
          <w:szCs w:val="20"/>
        </w:rPr>
        <w:t xml:space="preserve">The scope of SPFAC is matters affecting “government schools and non-government schools”.  SPFAC has interpreted this as matters that effect either only non-government schools, or all schools.  Specifically, SPFAC has not sought to discuss or consider matters affecting </w:t>
      </w:r>
      <w:r w:rsidR="00A94556">
        <w:rPr>
          <w:rFonts w:ascii="Arial" w:hAnsi="Arial" w:cs="Arial"/>
          <w:color w:val="535355"/>
          <w:sz w:val="20"/>
          <w:szCs w:val="20"/>
        </w:rPr>
        <w:t>government</w:t>
      </w:r>
      <w:r w:rsidR="001F2D8F">
        <w:rPr>
          <w:rFonts w:ascii="Arial" w:hAnsi="Arial" w:cs="Arial"/>
          <w:color w:val="535355"/>
          <w:sz w:val="20"/>
          <w:szCs w:val="20"/>
        </w:rPr>
        <w:t xml:space="preserve"> schools only.  Given the membership of SPFAC, this is perhaps not surprising, and it </w:t>
      </w:r>
      <w:proofErr w:type="gramStart"/>
      <w:r w:rsidR="001F2D8F">
        <w:rPr>
          <w:rFonts w:ascii="Arial" w:hAnsi="Arial" w:cs="Arial"/>
          <w:color w:val="535355"/>
          <w:sz w:val="20"/>
          <w:szCs w:val="20"/>
        </w:rPr>
        <w:t>is also</w:t>
      </w:r>
      <w:proofErr w:type="gramEnd"/>
      <w:r w:rsidR="001F2D8F">
        <w:rPr>
          <w:rFonts w:ascii="Arial" w:hAnsi="Arial" w:cs="Arial"/>
          <w:color w:val="535355"/>
          <w:sz w:val="20"/>
          <w:szCs w:val="20"/>
        </w:rPr>
        <w:t xml:space="preserve"> accepted as appropriate by </w:t>
      </w:r>
      <w:r w:rsidR="00A94556">
        <w:rPr>
          <w:rFonts w:ascii="Arial" w:hAnsi="Arial" w:cs="Arial"/>
          <w:color w:val="535355"/>
          <w:sz w:val="20"/>
          <w:szCs w:val="20"/>
        </w:rPr>
        <w:t xml:space="preserve">all members of the Council.  </w:t>
      </w:r>
      <w:r w:rsidR="001F2D8F">
        <w:rPr>
          <w:rFonts w:ascii="Arial" w:hAnsi="Arial" w:cs="Arial"/>
          <w:color w:val="535355"/>
          <w:sz w:val="20"/>
          <w:szCs w:val="20"/>
        </w:rPr>
        <w:t xml:space="preserve"> </w:t>
      </w:r>
    </w:p>
    <w:p w14:paraId="08B73917" w14:textId="7C83EC00" w:rsidR="00A7680A" w:rsidRDefault="00A7680A" w:rsidP="00A7680A">
      <w:pPr>
        <w:pStyle w:val="Heading3Pro"/>
      </w:pPr>
      <w:r>
        <w:t>Consensus and Collaboration</w:t>
      </w:r>
    </w:p>
    <w:p w14:paraId="6C01B78E" w14:textId="2A5E6818" w:rsidR="00A7680A" w:rsidRDefault="00A7680A" w:rsidP="00A7680A">
      <w:pPr>
        <w:spacing w:before="0" w:after="160" w:line="259" w:lineRule="auto"/>
        <w:contextualSpacing w:val="0"/>
        <w:jc w:val="both"/>
        <w:rPr>
          <w:rFonts w:ascii="Arial" w:hAnsi="Arial" w:cs="Arial"/>
          <w:color w:val="535355"/>
          <w:sz w:val="20"/>
          <w:szCs w:val="20"/>
        </w:rPr>
      </w:pPr>
      <w:r w:rsidRPr="00A7680A">
        <w:rPr>
          <w:rFonts w:ascii="Arial" w:hAnsi="Arial" w:cs="Arial"/>
          <w:color w:val="535355"/>
          <w:sz w:val="20"/>
          <w:szCs w:val="20"/>
        </w:rPr>
        <w:t xml:space="preserve">A high focus and a perceived significant benefit of SPFAC has been the improvement in communication between the </w:t>
      </w:r>
      <w:r w:rsidR="008F448F">
        <w:rPr>
          <w:rFonts w:ascii="Arial" w:hAnsi="Arial" w:cs="Arial"/>
          <w:color w:val="535355"/>
          <w:sz w:val="20"/>
          <w:szCs w:val="20"/>
        </w:rPr>
        <w:t xml:space="preserve">Department, CECV and ISV.  Consultations as part of this review referenced </w:t>
      </w:r>
      <w:r w:rsidRPr="00A7680A">
        <w:rPr>
          <w:rFonts w:ascii="Arial" w:hAnsi="Arial" w:cs="Arial"/>
          <w:color w:val="535355"/>
          <w:sz w:val="20"/>
          <w:szCs w:val="20"/>
        </w:rPr>
        <w:t>better rela</w:t>
      </w:r>
      <w:r w:rsidR="008F448F">
        <w:rPr>
          <w:rFonts w:ascii="Arial" w:hAnsi="Arial" w:cs="Arial"/>
          <w:color w:val="535355"/>
          <w:sz w:val="20"/>
          <w:szCs w:val="20"/>
        </w:rPr>
        <w:t>tionships, tangible engagement and focus on problem solving, as being clearly positive outcomes of the operation of SPFAC.</w:t>
      </w:r>
    </w:p>
    <w:p w14:paraId="6A2F8047" w14:textId="71DBB2F8" w:rsidR="00A15F4F" w:rsidRDefault="00A15F4F"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It </w:t>
      </w:r>
      <w:proofErr w:type="gramStart"/>
      <w:r>
        <w:rPr>
          <w:rFonts w:ascii="Arial" w:hAnsi="Arial" w:cs="Arial"/>
          <w:color w:val="535355"/>
          <w:sz w:val="20"/>
          <w:szCs w:val="20"/>
        </w:rPr>
        <w:t>is understood</w:t>
      </w:r>
      <w:proofErr w:type="gramEnd"/>
      <w:r>
        <w:rPr>
          <w:rFonts w:ascii="Arial" w:hAnsi="Arial" w:cs="Arial"/>
          <w:color w:val="535355"/>
          <w:sz w:val="20"/>
          <w:szCs w:val="20"/>
        </w:rPr>
        <w:t xml:space="preserve"> that this was seen as important to the Department given previous difficulties in the relationship between the Department, CECV and ISV, in particular in relation to funding.</w:t>
      </w:r>
    </w:p>
    <w:p w14:paraId="5C819270" w14:textId="512903AD" w:rsidR="00A15F4F" w:rsidRDefault="00A15F4F"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On this basis alone, SPFAC </w:t>
      </w:r>
      <w:proofErr w:type="gramStart"/>
      <w:r>
        <w:rPr>
          <w:rFonts w:ascii="Arial" w:hAnsi="Arial" w:cs="Arial"/>
          <w:color w:val="535355"/>
          <w:sz w:val="20"/>
          <w:szCs w:val="20"/>
        </w:rPr>
        <w:t>can be seen</w:t>
      </w:r>
      <w:proofErr w:type="gramEnd"/>
      <w:r>
        <w:rPr>
          <w:rFonts w:ascii="Arial" w:hAnsi="Arial" w:cs="Arial"/>
          <w:color w:val="535355"/>
          <w:sz w:val="20"/>
          <w:szCs w:val="20"/>
        </w:rPr>
        <w:t xml:space="preserve"> as successful.</w:t>
      </w:r>
    </w:p>
    <w:p w14:paraId="55901EB6" w14:textId="16E9EFE4" w:rsidR="00A15F4F" w:rsidRDefault="00A15F4F"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Review </w:t>
      </w:r>
      <w:proofErr w:type="gramStart"/>
      <w:r>
        <w:rPr>
          <w:rFonts w:ascii="Arial" w:hAnsi="Arial" w:cs="Arial"/>
          <w:color w:val="535355"/>
          <w:sz w:val="20"/>
          <w:szCs w:val="20"/>
        </w:rPr>
        <w:t>was advised</w:t>
      </w:r>
      <w:proofErr w:type="gramEnd"/>
      <w:r>
        <w:rPr>
          <w:rFonts w:ascii="Arial" w:hAnsi="Arial" w:cs="Arial"/>
          <w:color w:val="535355"/>
          <w:sz w:val="20"/>
          <w:szCs w:val="20"/>
        </w:rPr>
        <w:t xml:space="preserve"> that this focus on collaboration has likely influenced the definition of the work plan and the agendas for SPFAC.  Specifically, we were advised that some more contentious matters have not been included on the work plan</w:t>
      </w:r>
      <w:r w:rsidR="001F2D8F">
        <w:rPr>
          <w:rFonts w:ascii="Arial" w:hAnsi="Arial" w:cs="Arial"/>
          <w:color w:val="535355"/>
          <w:sz w:val="20"/>
          <w:szCs w:val="20"/>
        </w:rPr>
        <w:t xml:space="preserve">, as it was </w:t>
      </w:r>
      <w:proofErr w:type="gramStart"/>
      <w:r w:rsidR="001F2D8F">
        <w:rPr>
          <w:rFonts w:ascii="Arial" w:hAnsi="Arial" w:cs="Arial"/>
          <w:color w:val="535355"/>
          <w:sz w:val="20"/>
          <w:szCs w:val="20"/>
        </w:rPr>
        <w:t>determined</w:t>
      </w:r>
      <w:proofErr w:type="gramEnd"/>
      <w:r w:rsidR="001F2D8F">
        <w:rPr>
          <w:rFonts w:ascii="Arial" w:hAnsi="Arial" w:cs="Arial"/>
          <w:color w:val="535355"/>
          <w:sz w:val="20"/>
          <w:szCs w:val="20"/>
        </w:rPr>
        <w:t xml:space="preserve"> they may impact the spirit of collaboration being achieved.  </w:t>
      </w:r>
      <w:r w:rsidR="001F2D8F" w:rsidRPr="00BB2220">
        <w:rPr>
          <w:rFonts w:ascii="Arial" w:hAnsi="Arial" w:cs="Arial"/>
          <w:color w:val="535355"/>
          <w:sz w:val="20"/>
          <w:szCs w:val="20"/>
        </w:rPr>
        <w:t xml:space="preserve">While the Review has not been able to determine specific examples of this, the fact that it </w:t>
      </w:r>
      <w:proofErr w:type="gramStart"/>
      <w:r w:rsidR="001F2D8F" w:rsidRPr="00BB2220">
        <w:rPr>
          <w:rFonts w:ascii="Arial" w:hAnsi="Arial" w:cs="Arial"/>
          <w:color w:val="535355"/>
          <w:sz w:val="20"/>
          <w:szCs w:val="20"/>
        </w:rPr>
        <w:t>has been reported</w:t>
      </w:r>
      <w:proofErr w:type="gramEnd"/>
      <w:r w:rsidR="001F2D8F" w:rsidRPr="00BB2220">
        <w:rPr>
          <w:rFonts w:ascii="Arial" w:hAnsi="Arial" w:cs="Arial"/>
          <w:color w:val="535355"/>
          <w:sz w:val="20"/>
          <w:szCs w:val="20"/>
        </w:rPr>
        <w:t xml:space="preserve"> to the Review suggests that it is a matter to </w:t>
      </w:r>
      <w:r w:rsidR="004F313B">
        <w:rPr>
          <w:rFonts w:ascii="Arial" w:hAnsi="Arial" w:cs="Arial"/>
          <w:color w:val="535355"/>
          <w:sz w:val="20"/>
          <w:szCs w:val="20"/>
        </w:rPr>
        <w:t>which the parties may like to respond</w:t>
      </w:r>
      <w:r w:rsidR="001F2D8F" w:rsidRPr="00BB2220">
        <w:rPr>
          <w:rFonts w:ascii="Arial" w:hAnsi="Arial" w:cs="Arial"/>
          <w:color w:val="535355"/>
          <w:sz w:val="20"/>
          <w:szCs w:val="20"/>
        </w:rPr>
        <w:t>.</w:t>
      </w:r>
      <w:r w:rsidR="001F2D8F">
        <w:rPr>
          <w:rFonts w:ascii="Arial" w:hAnsi="Arial" w:cs="Arial"/>
          <w:color w:val="535355"/>
          <w:sz w:val="20"/>
          <w:szCs w:val="20"/>
        </w:rPr>
        <w:t xml:space="preserve">  </w:t>
      </w:r>
      <w:r w:rsidR="00BB2220">
        <w:rPr>
          <w:rFonts w:ascii="Arial" w:hAnsi="Arial" w:cs="Arial"/>
          <w:color w:val="535355"/>
          <w:sz w:val="20"/>
          <w:szCs w:val="20"/>
        </w:rPr>
        <w:t xml:space="preserve">It is likely that by addressing Recommendation 1 above, this assertion </w:t>
      </w:r>
      <w:proofErr w:type="gramStart"/>
      <w:r w:rsidR="00BB2220">
        <w:rPr>
          <w:rFonts w:ascii="Arial" w:hAnsi="Arial" w:cs="Arial"/>
          <w:color w:val="535355"/>
          <w:sz w:val="20"/>
          <w:szCs w:val="20"/>
        </w:rPr>
        <w:t>can be managed</w:t>
      </w:r>
      <w:proofErr w:type="gramEnd"/>
      <w:r w:rsidR="00BB2220">
        <w:rPr>
          <w:rFonts w:ascii="Arial" w:hAnsi="Arial" w:cs="Arial"/>
          <w:color w:val="535355"/>
          <w:sz w:val="20"/>
          <w:szCs w:val="20"/>
        </w:rPr>
        <w:t xml:space="preserve"> more effectively.</w:t>
      </w:r>
    </w:p>
    <w:p w14:paraId="2E94E302" w14:textId="1325F783" w:rsidR="001F2D8F" w:rsidRDefault="001F2D8F"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Based on a review of the minutes of SPFAC meetings, and advice provided to the review, it does appear that SPFAC has conducted its work in a collaborative manner.  There have been limited instances of material disagreement between the members on matters on the agenda.  In instances where there are areas of disagreement, the Review has seen that advice to the Minister presents all perspectives discussed</w:t>
      </w:r>
      <w:r w:rsidR="00F74219">
        <w:rPr>
          <w:rFonts w:ascii="Arial" w:hAnsi="Arial" w:cs="Arial"/>
          <w:color w:val="535355"/>
          <w:sz w:val="20"/>
          <w:szCs w:val="20"/>
        </w:rPr>
        <w:t>,</w:t>
      </w:r>
      <w:r w:rsidR="004F313B">
        <w:rPr>
          <w:rFonts w:ascii="Arial" w:hAnsi="Arial" w:cs="Arial"/>
          <w:color w:val="535355"/>
          <w:sz w:val="20"/>
          <w:szCs w:val="20"/>
        </w:rPr>
        <w:t xml:space="preserve"> which is </w:t>
      </w:r>
      <w:r w:rsidR="00297FAD">
        <w:rPr>
          <w:rFonts w:ascii="Arial" w:hAnsi="Arial" w:cs="Arial"/>
          <w:color w:val="535355"/>
          <w:sz w:val="20"/>
          <w:szCs w:val="20"/>
        </w:rPr>
        <w:t xml:space="preserve">in </w:t>
      </w:r>
      <w:r w:rsidR="004F313B">
        <w:rPr>
          <w:rFonts w:ascii="Arial" w:hAnsi="Arial" w:cs="Arial"/>
          <w:color w:val="535355"/>
          <w:sz w:val="20"/>
          <w:szCs w:val="20"/>
        </w:rPr>
        <w:t>keeping with the SPFAC Terms of Reference</w:t>
      </w:r>
      <w:r>
        <w:rPr>
          <w:rFonts w:ascii="Arial" w:hAnsi="Arial" w:cs="Arial"/>
          <w:color w:val="535355"/>
          <w:sz w:val="20"/>
          <w:szCs w:val="20"/>
        </w:rPr>
        <w:t>.</w:t>
      </w:r>
    </w:p>
    <w:p w14:paraId="2AB04F9D" w14:textId="19E9648B" w:rsidR="00A94556" w:rsidRDefault="00A94556"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A significant contributor to that improved relationships has been the view of CECV and ISV that they have an opportunity to contribute to </w:t>
      </w:r>
      <w:r w:rsidRPr="00635DDF">
        <w:rPr>
          <w:rFonts w:ascii="Arial" w:hAnsi="Arial" w:cs="Arial"/>
          <w:color w:val="535355"/>
          <w:sz w:val="20"/>
          <w:szCs w:val="20"/>
        </w:rPr>
        <w:t>Government matters affecting non-government schools.  Since the establishment of SPFAC, both CECV and ISV reported that they have not experienced decisions of Government affecting them have not been at least visible to SPFAC (where appropriate and relevant).  It is therefore important for the Department to ensure that this continues.  The Department uses an internal Policy and Funding Working Group, with relevant representation</w:t>
      </w:r>
      <w:r>
        <w:rPr>
          <w:rFonts w:ascii="Arial" w:hAnsi="Arial" w:cs="Arial"/>
          <w:color w:val="535355"/>
          <w:sz w:val="20"/>
          <w:szCs w:val="20"/>
        </w:rPr>
        <w:t xml:space="preserve"> from around the Department, to ensure that SPFAC’s agenda </w:t>
      </w:r>
      <w:proofErr w:type="gramStart"/>
      <w:r>
        <w:rPr>
          <w:rFonts w:ascii="Arial" w:hAnsi="Arial" w:cs="Arial"/>
          <w:color w:val="535355"/>
          <w:sz w:val="20"/>
          <w:szCs w:val="20"/>
        </w:rPr>
        <w:t>is known</w:t>
      </w:r>
      <w:proofErr w:type="gramEnd"/>
      <w:r>
        <w:rPr>
          <w:rFonts w:ascii="Arial" w:hAnsi="Arial" w:cs="Arial"/>
          <w:color w:val="535355"/>
          <w:sz w:val="20"/>
          <w:szCs w:val="20"/>
        </w:rPr>
        <w:t xml:space="preserve"> across the Department, and that it can be made aware of work in the Department that may have relevance to SPFAC.  This is a sensible approach and appears to be operating effectively.  </w:t>
      </w:r>
      <w:proofErr w:type="gramStart"/>
      <w:r>
        <w:rPr>
          <w:rFonts w:ascii="Arial" w:hAnsi="Arial" w:cs="Arial"/>
          <w:color w:val="535355"/>
          <w:sz w:val="20"/>
          <w:szCs w:val="20"/>
        </w:rPr>
        <w:t>Further</w:t>
      </w:r>
      <w:proofErr w:type="gramEnd"/>
      <w:r>
        <w:rPr>
          <w:rFonts w:ascii="Arial" w:hAnsi="Arial" w:cs="Arial"/>
          <w:color w:val="535355"/>
          <w:sz w:val="20"/>
          <w:szCs w:val="20"/>
        </w:rPr>
        <w:t xml:space="preserve"> the fact that the majority of Deputy Secretaries in the Department are invited to SPFAC allows visibility of matters that need to be brought to the attention of SPFAC.</w:t>
      </w:r>
    </w:p>
    <w:p w14:paraId="37F89D87" w14:textId="0102105F" w:rsidR="00A94556" w:rsidRDefault="00A94556" w:rsidP="00A94556">
      <w:pPr>
        <w:pStyle w:val="Heading3Pro"/>
      </w:pPr>
      <w:r>
        <w:t>Mechanisms for Provision of Advice</w:t>
      </w:r>
    </w:p>
    <w:p w14:paraId="758A4BF0" w14:textId="4451AD75" w:rsidR="00A15F4F" w:rsidRDefault="00A94556"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Advice to the Minister from SPFAC </w:t>
      </w:r>
      <w:proofErr w:type="gramStart"/>
      <w:r>
        <w:rPr>
          <w:rFonts w:ascii="Arial" w:hAnsi="Arial" w:cs="Arial"/>
          <w:color w:val="535355"/>
          <w:sz w:val="20"/>
          <w:szCs w:val="20"/>
        </w:rPr>
        <w:t>is incorporated</w:t>
      </w:r>
      <w:proofErr w:type="gramEnd"/>
      <w:r>
        <w:rPr>
          <w:rFonts w:ascii="Arial" w:hAnsi="Arial" w:cs="Arial"/>
          <w:color w:val="535355"/>
          <w:sz w:val="20"/>
          <w:szCs w:val="20"/>
        </w:rPr>
        <w:t xml:space="preserve"> with other </w:t>
      </w:r>
      <w:r w:rsidR="00311C2C">
        <w:rPr>
          <w:rFonts w:ascii="Arial" w:hAnsi="Arial" w:cs="Arial"/>
          <w:color w:val="535355"/>
          <w:sz w:val="20"/>
          <w:szCs w:val="20"/>
        </w:rPr>
        <w:t>briefing</w:t>
      </w:r>
      <w:r w:rsidR="00F16975">
        <w:rPr>
          <w:rFonts w:ascii="Arial" w:hAnsi="Arial" w:cs="Arial"/>
          <w:color w:val="535355"/>
          <w:sz w:val="20"/>
          <w:szCs w:val="20"/>
        </w:rPr>
        <w:t>s</w:t>
      </w:r>
      <w:r>
        <w:rPr>
          <w:rFonts w:ascii="Arial" w:hAnsi="Arial" w:cs="Arial"/>
          <w:color w:val="535355"/>
          <w:sz w:val="20"/>
          <w:szCs w:val="20"/>
        </w:rPr>
        <w:t xml:space="preserve"> to the Minister from the Department (through both formal and informal briefing channels).  SPFAC does not directly provide its own advice or reports, and non-government members of SPFAC have limited visibility of </w:t>
      </w:r>
      <w:r w:rsidR="00311C2C">
        <w:rPr>
          <w:rFonts w:ascii="Arial" w:hAnsi="Arial" w:cs="Arial"/>
          <w:color w:val="535355"/>
          <w:sz w:val="20"/>
          <w:szCs w:val="20"/>
        </w:rPr>
        <w:t>briefing</w:t>
      </w:r>
      <w:r w:rsidR="00F16975">
        <w:rPr>
          <w:rFonts w:ascii="Arial" w:hAnsi="Arial" w:cs="Arial"/>
          <w:color w:val="535355"/>
          <w:sz w:val="20"/>
          <w:szCs w:val="20"/>
        </w:rPr>
        <w:t>s</w:t>
      </w:r>
      <w:r>
        <w:rPr>
          <w:rFonts w:ascii="Arial" w:hAnsi="Arial" w:cs="Arial"/>
          <w:color w:val="535355"/>
          <w:sz w:val="20"/>
          <w:szCs w:val="20"/>
        </w:rPr>
        <w:t xml:space="preserve"> </w:t>
      </w:r>
      <w:proofErr w:type="gramStart"/>
      <w:r>
        <w:rPr>
          <w:rFonts w:ascii="Arial" w:hAnsi="Arial" w:cs="Arial"/>
          <w:color w:val="535355"/>
          <w:sz w:val="20"/>
          <w:szCs w:val="20"/>
        </w:rPr>
        <w:t>being provided</w:t>
      </w:r>
      <w:proofErr w:type="gramEnd"/>
      <w:r>
        <w:rPr>
          <w:rFonts w:ascii="Arial" w:hAnsi="Arial" w:cs="Arial"/>
          <w:color w:val="535355"/>
          <w:sz w:val="20"/>
          <w:szCs w:val="20"/>
        </w:rPr>
        <w:t xml:space="preserve"> to the Minister.  While all members of SPFAC appeared comfortable with this arrangement, it does reduce the transparency of sourcing of advice from SPFAC.</w:t>
      </w:r>
    </w:p>
    <w:p w14:paraId="7E8925D0" w14:textId="25548FAF" w:rsidR="000E7F43" w:rsidRDefault="00A94556"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lastRenderedPageBreak/>
        <w:t xml:space="preserve">In </w:t>
      </w:r>
      <w:r w:rsidR="00BC4666">
        <w:rPr>
          <w:rFonts w:ascii="Arial" w:hAnsi="Arial" w:cs="Arial"/>
          <w:color w:val="535355"/>
          <w:sz w:val="20"/>
          <w:szCs w:val="20"/>
        </w:rPr>
        <w:t xml:space="preserve">late </w:t>
      </w:r>
      <w:r>
        <w:rPr>
          <w:rFonts w:ascii="Arial" w:hAnsi="Arial" w:cs="Arial"/>
          <w:color w:val="535355"/>
          <w:sz w:val="20"/>
          <w:szCs w:val="20"/>
        </w:rPr>
        <w:t>201</w:t>
      </w:r>
      <w:r w:rsidR="00BC4666">
        <w:rPr>
          <w:rFonts w:ascii="Arial" w:hAnsi="Arial" w:cs="Arial"/>
          <w:color w:val="535355"/>
          <w:sz w:val="20"/>
          <w:szCs w:val="20"/>
        </w:rPr>
        <w:t>7</w:t>
      </w:r>
      <w:r>
        <w:rPr>
          <w:rFonts w:ascii="Arial" w:hAnsi="Arial" w:cs="Arial"/>
          <w:color w:val="535355"/>
          <w:sz w:val="20"/>
          <w:szCs w:val="20"/>
        </w:rPr>
        <w:t>, SP</w:t>
      </w:r>
      <w:r w:rsidR="000E7F43">
        <w:rPr>
          <w:rFonts w:ascii="Arial" w:hAnsi="Arial" w:cs="Arial"/>
          <w:color w:val="535355"/>
          <w:sz w:val="20"/>
          <w:szCs w:val="20"/>
        </w:rPr>
        <w:t xml:space="preserve">FAC commenced the publication of an Official Statement after each meeting, which is a jointly signed report describing matters discussed, areas of focus and achievements of SPFAC.  This </w:t>
      </w:r>
      <w:proofErr w:type="gramStart"/>
      <w:r w:rsidR="000E7F43">
        <w:rPr>
          <w:rFonts w:ascii="Arial" w:hAnsi="Arial" w:cs="Arial"/>
          <w:color w:val="535355"/>
          <w:sz w:val="20"/>
          <w:szCs w:val="20"/>
        </w:rPr>
        <w:t>is provided</w:t>
      </w:r>
      <w:proofErr w:type="gramEnd"/>
      <w:r w:rsidR="000E7F43">
        <w:rPr>
          <w:rFonts w:ascii="Arial" w:hAnsi="Arial" w:cs="Arial"/>
          <w:color w:val="535355"/>
          <w:sz w:val="20"/>
          <w:szCs w:val="20"/>
        </w:rPr>
        <w:t xml:space="preserve"> to the Minister as well as to stakeholders beyond the membership of SPFAC.  This is a good communication tool and provides evidence of the value that SPFAC is providing.  However, not surprisingly, these Statements do not include specific advice for the Minister.</w:t>
      </w:r>
    </w:p>
    <w:p w14:paraId="4C4EC23D" w14:textId="0495E26D" w:rsidR="00311C2C" w:rsidRDefault="00311C2C"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It is clear that not all matters on the work plan since the commencement of SPFAC have resulted in </w:t>
      </w:r>
      <w:r>
        <w:rPr>
          <w:rFonts w:ascii="Arial" w:hAnsi="Arial" w:cs="Arial"/>
          <w:i/>
          <w:color w:val="535355"/>
          <w:sz w:val="20"/>
          <w:szCs w:val="20"/>
        </w:rPr>
        <w:t xml:space="preserve">advice </w:t>
      </w:r>
      <w:r>
        <w:rPr>
          <w:rFonts w:ascii="Arial" w:hAnsi="Arial" w:cs="Arial"/>
          <w:color w:val="535355"/>
          <w:sz w:val="20"/>
          <w:szCs w:val="20"/>
        </w:rPr>
        <w:t>on positions or proposed action by the Minister or the Government</w:t>
      </w:r>
      <w:r w:rsidR="00FC4D74">
        <w:rPr>
          <w:rStyle w:val="FootnoteReference"/>
          <w:rFonts w:ascii="Arial" w:hAnsi="Arial" w:cs="Arial"/>
          <w:color w:val="535355"/>
          <w:sz w:val="20"/>
          <w:szCs w:val="20"/>
        </w:rPr>
        <w:footnoteReference w:id="3"/>
      </w:r>
      <w:r>
        <w:rPr>
          <w:rFonts w:ascii="Arial" w:hAnsi="Arial" w:cs="Arial"/>
          <w:color w:val="535355"/>
          <w:sz w:val="20"/>
          <w:szCs w:val="20"/>
        </w:rPr>
        <w:t xml:space="preserve">.  In some </w:t>
      </w:r>
      <w:proofErr w:type="gramStart"/>
      <w:r>
        <w:rPr>
          <w:rFonts w:ascii="Arial" w:hAnsi="Arial" w:cs="Arial"/>
          <w:color w:val="535355"/>
          <w:sz w:val="20"/>
          <w:szCs w:val="20"/>
        </w:rPr>
        <w:t>cases</w:t>
      </w:r>
      <w:proofErr w:type="gramEnd"/>
      <w:r>
        <w:rPr>
          <w:rFonts w:ascii="Arial" w:hAnsi="Arial" w:cs="Arial"/>
          <w:color w:val="535355"/>
          <w:sz w:val="20"/>
          <w:szCs w:val="20"/>
        </w:rPr>
        <w:t xml:space="preserve"> this may be because </w:t>
      </w:r>
      <w:r w:rsidR="00B82895">
        <w:rPr>
          <w:rFonts w:ascii="Arial" w:hAnsi="Arial" w:cs="Arial"/>
          <w:color w:val="535355"/>
          <w:sz w:val="20"/>
          <w:szCs w:val="20"/>
        </w:rPr>
        <w:t>SPFAC</w:t>
      </w:r>
      <w:r>
        <w:rPr>
          <w:rFonts w:ascii="Arial" w:hAnsi="Arial" w:cs="Arial"/>
          <w:color w:val="535355"/>
          <w:sz w:val="20"/>
          <w:szCs w:val="20"/>
        </w:rPr>
        <w:t xml:space="preserve"> has not completed its deliberations, or has not been able to come to a specific position to su</w:t>
      </w:r>
      <w:r w:rsidR="00F74219">
        <w:rPr>
          <w:rFonts w:ascii="Arial" w:hAnsi="Arial" w:cs="Arial"/>
          <w:color w:val="535355"/>
          <w:sz w:val="20"/>
          <w:szCs w:val="20"/>
        </w:rPr>
        <w:t>pport advice.  This potentially</w:t>
      </w:r>
      <w:r>
        <w:rPr>
          <w:rFonts w:ascii="Arial" w:hAnsi="Arial" w:cs="Arial"/>
          <w:color w:val="535355"/>
          <w:sz w:val="20"/>
          <w:szCs w:val="20"/>
        </w:rPr>
        <w:t xml:space="preserve"> contributes to an assertion made by a number of stakeholders to this Review, being that SPFAC is “more about the conversation and less about clear, crisp advice on key issues”.  Further, others noted a “lack of traction” on key issues.</w:t>
      </w:r>
    </w:p>
    <w:p w14:paraId="1AD76595" w14:textId="7A49C19F" w:rsidR="00311C2C" w:rsidRDefault="00311C2C" w:rsidP="00A7680A">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root cause of this could stem from a number of features of SPFAC:  the focus on collaboration; the absence of a direct communication of advice to the Minister; or the complexity of issues at hand.  </w:t>
      </w:r>
    </w:p>
    <w:p w14:paraId="31832384" w14:textId="39CF3676" w:rsidR="00606384" w:rsidRDefault="00311C2C"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This absence of advice on some issues may be no more than a missed opportunity.  </w:t>
      </w:r>
    </w:p>
    <w:tbl>
      <w:tblPr>
        <w:tblStyle w:val="TableGrid"/>
        <w:tblW w:w="0" w:type="auto"/>
        <w:tblLook w:val="04A0" w:firstRow="1" w:lastRow="0" w:firstColumn="1" w:lastColumn="0" w:noHBand="0" w:noVBand="1"/>
        <w:tblDescription w:val="Recommendation 2"/>
      </w:tblPr>
      <w:tblGrid>
        <w:gridCol w:w="9017"/>
      </w:tblGrid>
      <w:tr w:rsidR="00606384" w14:paraId="1C1AF106" w14:textId="77777777" w:rsidTr="00901194">
        <w:trPr>
          <w:cnfStyle w:val="100000000000" w:firstRow="1" w:lastRow="0" w:firstColumn="0" w:lastColumn="0" w:oddVBand="0" w:evenVBand="0" w:oddHBand="0" w:evenHBand="0" w:firstRowFirstColumn="0" w:firstRowLastColumn="0" w:lastRowFirstColumn="0" w:lastRowLastColumn="0"/>
          <w:tblHeader/>
        </w:trPr>
        <w:tc>
          <w:tcPr>
            <w:tcW w:w="9017" w:type="dxa"/>
          </w:tcPr>
          <w:p w14:paraId="0EF65B58" w14:textId="77777777" w:rsidR="00606384" w:rsidRDefault="00606384" w:rsidP="00E71327">
            <w:pPr>
              <w:spacing w:after="160" w:line="259" w:lineRule="auto"/>
              <w:contextualSpacing w:val="0"/>
              <w:jc w:val="both"/>
              <w:rPr>
                <w:rFonts w:ascii="Arial" w:hAnsi="Arial" w:cs="Arial"/>
                <w:color w:val="535355"/>
                <w:sz w:val="20"/>
                <w:szCs w:val="20"/>
              </w:rPr>
            </w:pPr>
            <w:r>
              <w:rPr>
                <w:rFonts w:ascii="Arial" w:hAnsi="Arial" w:cs="Arial"/>
                <w:i/>
                <w:color w:val="535355"/>
                <w:sz w:val="20"/>
                <w:szCs w:val="20"/>
              </w:rPr>
              <w:t>Recommendation 2</w:t>
            </w:r>
            <w:r w:rsidRPr="000E7F43">
              <w:rPr>
                <w:rFonts w:ascii="Arial" w:hAnsi="Arial" w:cs="Arial"/>
                <w:i/>
                <w:color w:val="535355"/>
                <w:sz w:val="20"/>
                <w:szCs w:val="20"/>
              </w:rPr>
              <w:t>:</w:t>
            </w:r>
            <w:r>
              <w:rPr>
                <w:rFonts w:ascii="Arial" w:hAnsi="Arial" w:cs="Arial"/>
                <w:color w:val="535355"/>
                <w:sz w:val="20"/>
                <w:szCs w:val="20"/>
              </w:rPr>
              <w:t xml:space="preserve">  </w:t>
            </w:r>
            <w:r w:rsidRPr="000E7F43">
              <w:rPr>
                <w:rFonts w:ascii="Arial" w:hAnsi="Arial" w:cs="Arial"/>
                <w:b w:val="0"/>
                <w:color w:val="535355"/>
                <w:sz w:val="20"/>
                <w:szCs w:val="20"/>
              </w:rPr>
              <w:t xml:space="preserve">SPFAC should </w:t>
            </w:r>
            <w:r>
              <w:rPr>
                <w:rFonts w:ascii="Arial" w:hAnsi="Arial" w:cs="Arial"/>
                <w:b w:val="0"/>
                <w:color w:val="535355"/>
                <w:sz w:val="20"/>
                <w:szCs w:val="20"/>
              </w:rPr>
              <w:t xml:space="preserve">establish a mechanism by which specific </w:t>
            </w:r>
            <w:r w:rsidRPr="00311C2C">
              <w:rPr>
                <w:rFonts w:ascii="Arial" w:hAnsi="Arial" w:cs="Arial"/>
                <w:b w:val="0"/>
                <w:i/>
                <w:color w:val="535355"/>
                <w:sz w:val="20"/>
                <w:szCs w:val="20"/>
              </w:rPr>
              <w:t>advice</w:t>
            </w:r>
            <w:r>
              <w:rPr>
                <w:rFonts w:ascii="Arial" w:hAnsi="Arial" w:cs="Arial"/>
                <w:b w:val="0"/>
                <w:color w:val="535355"/>
                <w:sz w:val="20"/>
                <w:szCs w:val="20"/>
              </w:rPr>
              <w:t xml:space="preserve"> from the Council </w:t>
            </w:r>
            <w:proofErr w:type="gramStart"/>
            <w:r>
              <w:rPr>
                <w:rFonts w:ascii="Arial" w:hAnsi="Arial" w:cs="Arial"/>
                <w:b w:val="0"/>
                <w:color w:val="535355"/>
                <w:sz w:val="20"/>
                <w:szCs w:val="20"/>
              </w:rPr>
              <w:t>is provided</w:t>
            </w:r>
            <w:proofErr w:type="gramEnd"/>
            <w:r>
              <w:rPr>
                <w:rFonts w:ascii="Arial" w:hAnsi="Arial" w:cs="Arial"/>
                <w:b w:val="0"/>
                <w:color w:val="535355"/>
                <w:sz w:val="20"/>
                <w:szCs w:val="20"/>
              </w:rPr>
              <w:t xml:space="preserve"> to the Minister</w:t>
            </w:r>
            <w:r w:rsidRPr="000E7F43">
              <w:rPr>
                <w:rFonts w:ascii="Arial" w:hAnsi="Arial" w:cs="Arial"/>
                <w:b w:val="0"/>
                <w:color w:val="535355"/>
                <w:sz w:val="20"/>
                <w:szCs w:val="20"/>
              </w:rPr>
              <w:t>.</w:t>
            </w:r>
          </w:p>
        </w:tc>
      </w:tr>
    </w:tbl>
    <w:p w14:paraId="5B411143" w14:textId="6FF77BD6" w:rsidR="00606384" w:rsidRPr="00A81F24" w:rsidRDefault="00606384" w:rsidP="00606384">
      <w:pPr>
        <w:pStyle w:val="Heading2Pro"/>
      </w:pPr>
      <w:bookmarkStart w:id="45" w:name="_Toc524873216"/>
      <w:bookmarkStart w:id="46" w:name="_Toc525244619"/>
      <w:r>
        <w:t>Conclusion</w:t>
      </w:r>
      <w:bookmarkEnd w:id="45"/>
      <w:bookmarkEnd w:id="46"/>
    </w:p>
    <w:p w14:paraId="6A4014FF" w14:textId="6308A205" w:rsidR="00606384" w:rsidRDefault="00606384"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SPFAC </w:t>
      </w:r>
      <w:proofErr w:type="gramStart"/>
      <w:r>
        <w:rPr>
          <w:rFonts w:ascii="Arial" w:hAnsi="Arial" w:cs="Arial"/>
          <w:color w:val="535355"/>
          <w:sz w:val="20"/>
          <w:szCs w:val="20"/>
        </w:rPr>
        <w:t>has been established</w:t>
      </w:r>
      <w:proofErr w:type="gramEnd"/>
      <w:r>
        <w:rPr>
          <w:rFonts w:ascii="Arial" w:hAnsi="Arial" w:cs="Arial"/>
          <w:color w:val="535355"/>
          <w:sz w:val="20"/>
          <w:szCs w:val="20"/>
        </w:rPr>
        <w:t xml:space="preserve"> and is operating consistent with the requirements of Part 2.7 of ETRA.  It </w:t>
      </w:r>
      <w:proofErr w:type="gramStart"/>
      <w:r>
        <w:rPr>
          <w:rFonts w:ascii="Arial" w:hAnsi="Arial" w:cs="Arial"/>
          <w:color w:val="535355"/>
          <w:sz w:val="20"/>
          <w:szCs w:val="20"/>
        </w:rPr>
        <w:t>is supported</w:t>
      </w:r>
      <w:proofErr w:type="gramEnd"/>
      <w:r>
        <w:rPr>
          <w:rFonts w:ascii="Arial" w:hAnsi="Arial" w:cs="Arial"/>
          <w:color w:val="535355"/>
          <w:sz w:val="20"/>
          <w:szCs w:val="20"/>
        </w:rPr>
        <w:t xml:space="preserve"> effectively, and all relevant parties are engaging in its role and operations positively.</w:t>
      </w:r>
    </w:p>
    <w:p w14:paraId="291F731F" w14:textId="72953584" w:rsidR="00606384" w:rsidRDefault="00606384" w:rsidP="00606384">
      <w:pPr>
        <w:spacing w:before="0" w:after="160" w:line="259" w:lineRule="auto"/>
        <w:contextualSpacing w:val="0"/>
        <w:jc w:val="both"/>
        <w:rPr>
          <w:rFonts w:ascii="Arial" w:hAnsi="Arial" w:cs="Arial"/>
          <w:color w:val="535355"/>
          <w:sz w:val="20"/>
          <w:szCs w:val="20"/>
        </w:rPr>
      </w:pPr>
      <w:r w:rsidRPr="00A7680A">
        <w:rPr>
          <w:rFonts w:ascii="Arial" w:hAnsi="Arial" w:cs="Arial"/>
          <w:color w:val="535355"/>
          <w:sz w:val="20"/>
          <w:szCs w:val="20"/>
        </w:rPr>
        <w:t xml:space="preserve">A high focus and a perceived significant benefit of SPFAC has been the improvement in communication between the </w:t>
      </w:r>
      <w:r>
        <w:rPr>
          <w:rFonts w:ascii="Arial" w:hAnsi="Arial" w:cs="Arial"/>
          <w:color w:val="535355"/>
          <w:sz w:val="20"/>
          <w:szCs w:val="20"/>
        </w:rPr>
        <w:t xml:space="preserve">Department, CECV and ISV.  Consultations as part of this review referenced </w:t>
      </w:r>
      <w:r w:rsidRPr="00A7680A">
        <w:rPr>
          <w:rFonts w:ascii="Arial" w:hAnsi="Arial" w:cs="Arial"/>
          <w:color w:val="535355"/>
          <w:sz w:val="20"/>
          <w:szCs w:val="20"/>
        </w:rPr>
        <w:t>better rela</w:t>
      </w:r>
      <w:r>
        <w:rPr>
          <w:rFonts w:ascii="Arial" w:hAnsi="Arial" w:cs="Arial"/>
          <w:color w:val="535355"/>
          <w:sz w:val="20"/>
          <w:szCs w:val="20"/>
        </w:rPr>
        <w:t>tionships, tangible engagement and focus on problem solving, as being clearly positive outcomes of the operation of SPFAC.</w:t>
      </w:r>
    </w:p>
    <w:p w14:paraId="5D3C82F0" w14:textId="3AB52605" w:rsidR="00606384" w:rsidRDefault="00606384"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Since its establishment, it has canvassed a wide range of matters across the policy, regulatory and funding domains, and advice from SPFAC </w:t>
      </w:r>
      <w:proofErr w:type="gramStart"/>
      <w:r>
        <w:rPr>
          <w:rFonts w:ascii="Arial" w:hAnsi="Arial" w:cs="Arial"/>
          <w:color w:val="535355"/>
          <w:sz w:val="20"/>
          <w:szCs w:val="20"/>
        </w:rPr>
        <w:t>has been provided</w:t>
      </w:r>
      <w:proofErr w:type="gramEnd"/>
      <w:r>
        <w:rPr>
          <w:rFonts w:ascii="Arial" w:hAnsi="Arial" w:cs="Arial"/>
          <w:color w:val="535355"/>
          <w:sz w:val="20"/>
          <w:szCs w:val="20"/>
        </w:rPr>
        <w:t xml:space="preserve"> to the Minister in each of these domains.</w:t>
      </w:r>
    </w:p>
    <w:p w14:paraId="75782B51" w14:textId="3C7DCDF1" w:rsidR="00606384" w:rsidRDefault="00606384"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It is not clear how the range of matters considered by SPFAC contribute to the achievement of </w:t>
      </w:r>
      <w:r w:rsidR="0019253A" w:rsidRPr="00861A23">
        <w:rPr>
          <w:rFonts w:ascii="Arial" w:hAnsi="Arial" w:cs="Arial"/>
          <w:color w:val="535355"/>
          <w:sz w:val="20"/>
          <w:szCs w:val="20"/>
        </w:rPr>
        <w:t>State Government</w:t>
      </w:r>
      <w:r w:rsidR="00861A23" w:rsidRPr="00861A23">
        <w:rPr>
          <w:rFonts w:ascii="Arial" w:hAnsi="Arial" w:cs="Arial"/>
          <w:color w:val="535355"/>
          <w:sz w:val="20"/>
          <w:szCs w:val="20"/>
        </w:rPr>
        <w:t xml:space="preserve"> objectives</w:t>
      </w:r>
      <w:r w:rsidR="00861A23">
        <w:rPr>
          <w:rFonts w:ascii="Arial" w:hAnsi="Arial" w:cs="Arial"/>
          <w:color w:val="535355"/>
          <w:sz w:val="20"/>
          <w:szCs w:val="20"/>
        </w:rPr>
        <w:t xml:space="preserve"> in education</w:t>
      </w:r>
      <w:r>
        <w:rPr>
          <w:rFonts w:ascii="Arial" w:hAnsi="Arial" w:cs="Arial"/>
          <w:color w:val="535355"/>
          <w:sz w:val="20"/>
          <w:szCs w:val="20"/>
        </w:rPr>
        <w:t xml:space="preserve">, or what important matters are not yet </w:t>
      </w:r>
      <w:proofErr w:type="gramStart"/>
      <w:r>
        <w:rPr>
          <w:rFonts w:ascii="Arial" w:hAnsi="Arial" w:cs="Arial"/>
          <w:color w:val="535355"/>
          <w:sz w:val="20"/>
          <w:szCs w:val="20"/>
        </w:rPr>
        <w:t>being considered</w:t>
      </w:r>
      <w:proofErr w:type="gramEnd"/>
      <w:r>
        <w:rPr>
          <w:rFonts w:ascii="Arial" w:hAnsi="Arial" w:cs="Arial"/>
          <w:color w:val="535355"/>
          <w:sz w:val="20"/>
          <w:szCs w:val="20"/>
        </w:rPr>
        <w:t xml:space="preserve"> by SPFAC.  This represents an opportunity to provide better support to the Minister.</w:t>
      </w:r>
    </w:p>
    <w:p w14:paraId="3D116BAD" w14:textId="3CBC629E" w:rsidR="00606384" w:rsidRDefault="00606384"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The mechanism by which SPFAC provides advice to the Minister is incorporation within other Departmental briefing</w:t>
      </w:r>
      <w:r w:rsidR="00F16975">
        <w:rPr>
          <w:rFonts w:ascii="Arial" w:hAnsi="Arial" w:cs="Arial"/>
          <w:color w:val="535355"/>
          <w:sz w:val="20"/>
          <w:szCs w:val="20"/>
        </w:rPr>
        <w:t>s</w:t>
      </w:r>
      <w:r>
        <w:rPr>
          <w:rFonts w:ascii="Arial" w:hAnsi="Arial" w:cs="Arial"/>
          <w:color w:val="535355"/>
          <w:sz w:val="20"/>
          <w:szCs w:val="20"/>
        </w:rPr>
        <w:t>.  There is a potential to improve the transparency and accountability of SPFAC for its advice to the Minister.</w:t>
      </w:r>
    </w:p>
    <w:p w14:paraId="37727CCA" w14:textId="77777777" w:rsidR="00606384" w:rsidRPr="00A81F24" w:rsidRDefault="00606384" w:rsidP="00606384">
      <w:pPr>
        <w:pStyle w:val="Heading2Pro"/>
      </w:pPr>
      <w:bookmarkStart w:id="47" w:name="_Toc524873217"/>
      <w:bookmarkStart w:id="48" w:name="_Toc525244620"/>
      <w:r>
        <w:t>Recommendations</w:t>
      </w:r>
      <w:bookmarkEnd w:id="47"/>
      <w:bookmarkEnd w:id="48"/>
    </w:p>
    <w:p w14:paraId="3E2A186A" w14:textId="70470F28" w:rsidR="00606384" w:rsidRPr="00606384" w:rsidRDefault="0018735F" w:rsidP="0018735F">
      <w:pPr>
        <w:pStyle w:val="ListParagraph"/>
        <w:numPr>
          <w:ilvl w:val="6"/>
          <w:numId w:val="26"/>
        </w:numPr>
        <w:spacing w:before="0" w:after="160" w:line="259" w:lineRule="auto"/>
        <w:ind w:left="426"/>
        <w:contextualSpacing w:val="0"/>
        <w:jc w:val="both"/>
        <w:rPr>
          <w:rFonts w:ascii="Arial" w:hAnsi="Arial" w:cs="Arial"/>
          <w:color w:val="535355"/>
          <w:sz w:val="20"/>
          <w:szCs w:val="20"/>
        </w:rPr>
      </w:pPr>
      <w:r w:rsidRPr="0018735F">
        <w:rPr>
          <w:rFonts w:ascii="Arial" w:hAnsi="Arial" w:cs="Arial"/>
          <w:color w:val="535355"/>
          <w:sz w:val="20"/>
          <w:szCs w:val="20"/>
        </w:rPr>
        <w:t xml:space="preserve">SPFAC should seek to provide the Minister with greater visibility of why matters are included in the work plan, including how the matters on the work plan contribute to the Government’s priorities.  In presenting this, consideration </w:t>
      </w:r>
      <w:proofErr w:type="gramStart"/>
      <w:r w:rsidRPr="0018735F">
        <w:rPr>
          <w:rFonts w:ascii="Arial" w:hAnsi="Arial" w:cs="Arial"/>
          <w:color w:val="535355"/>
          <w:sz w:val="20"/>
          <w:szCs w:val="20"/>
        </w:rPr>
        <w:t>should be given</w:t>
      </w:r>
      <w:proofErr w:type="gramEnd"/>
      <w:r w:rsidRPr="0018735F">
        <w:rPr>
          <w:rFonts w:ascii="Arial" w:hAnsi="Arial" w:cs="Arial"/>
          <w:color w:val="535355"/>
          <w:sz w:val="20"/>
          <w:szCs w:val="20"/>
        </w:rPr>
        <w:t xml:space="preserve"> to identifying other items as determined by the Minister</w:t>
      </w:r>
      <w:r w:rsidR="00606384" w:rsidRPr="00606384">
        <w:rPr>
          <w:rFonts w:ascii="Arial" w:hAnsi="Arial" w:cs="Arial"/>
          <w:color w:val="535355"/>
          <w:sz w:val="20"/>
          <w:szCs w:val="20"/>
        </w:rPr>
        <w:t>.</w:t>
      </w:r>
    </w:p>
    <w:p w14:paraId="04F097D7" w14:textId="5745459E" w:rsidR="00606384" w:rsidRPr="00606384" w:rsidRDefault="00606384" w:rsidP="00606384">
      <w:pPr>
        <w:pStyle w:val="ListParagraph"/>
        <w:numPr>
          <w:ilvl w:val="6"/>
          <w:numId w:val="26"/>
        </w:numPr>
        <w:spacing w:before="0" w:after="160" w:line="259" w:lineRule="auto"/>
        <w:ind w:left="426"/>
        <w:contextualSpacing w:val="0"/>
        <w:jc w:val="both"/>
        <w:rPr>
          <w:rFonts w:ascii="Arial" w:hAnsi="Arial" w:cs="Arial"/>
          <w:color w:val="535355"/>
          <w:sz w:val="20"/>
          <w:szCs w:val="20"/>
        </w:rPr>
      </w:pPr>
      <w:r w:rsidRPr="00606384">
        <w:rPr>
          <w:rFonts w:ascii="Arial" w:hAnsi="Arial" w:cs="Arial"/>
          <w:color w:val="535355"/>
          <w:sz w:val="20"/>
          <w:szCs w:val="20"/>
        </w:rPr>
        <w:t xml:space="preserve">SPFAC should establish a mechanism by which specific </w:t>
      </w:r>
      <w:r w:rsidRPr="00606384">
        <w:rPr>
          <w:rFonts w:ascii="Arial" w:hAnsi="Arial" w:cs="Arial"/>
          <w:i/>
          <w:color w:val="535355"/>
          <w:sz w:val="20"/>
          <w:szCs w:val="20"/>
        </w:rPr>
        <w:t>advice</w:t>
      </w:r>
      <w:r w:rsidRPr="00606384">
        <w:rPr>
          <w:rFonts w:ascii="Arial" w:hAnsi="Arial" w:cs="Arial"/>
          <w:color w:val="535355"/>
          <w:sz w:val="20"/>
          <w:szCs w:val="20"/>
        </w:rPr>
        <w:t xml:space="preserve"> from the Council </w:t>
      </w:r>
      <w:proofErr w:type="gramStart"/>
      <w:r w:rsidRPr="00606384">
        <w:rPr>
          <w:rFonts w:ascii="Arial" w:hAnsi="Arial" w:cs="Arial"/>
          <w:color w:val="535355"/>
          <w:sz w:val="20"/>
          <w:szCs w:val="20"/>
        </w:rPr>
        <w:t>is provided</w:t>
      </w:r>
      <w:proofErr w:type="gramEnd"/>
      <w:r w:rsidRPr="00606384">
        <w:rPr>
          <w:rFonts w:ascii="Arial" w:hAnsi="Arial" w:cs="Arial"/>
          <w:color w:val="535355"/>
          <w:sz w:val="20"/>
          <w:szCs w:val="20"/>
        </w:rPr>
        <w:t xml:space="preserve"> to the Minister.</w:t>
      </w:r>
    </w:p>
    <w:p w14:paraId="6EEC64FD" w14:textId="77777777" w:rsidR="00DE23A8" w:rsidRDefault="00DE23A8" w:rsidP="00DE23A8">
      <w:pPr>
        <w:pStyle w:val="BodyPRO"/>
      </w:pPr>
      <w:bookmarkStart w:id="49" w:name="_Toc473161681"/>
      <w:bookmarkStart w:id="50" w:name="_Toc478930046"/>
      <w:bookmarkStart w:id="51" w:name="_Toc478930137"/>
      <w:bookmarkStart w:id="52" w:name="_Toc478930718"/>
    </w:p>
    <w:p w14:paraId="7DEB2023" w14:textId="77777777" w:rsidR="00DE23A8" w:rsidRDefault="00DE23A8">
      <w:pPr>
        <w:spacing w:before="0" w:after="160" w:line="259" w:lineRule="auto"/>
        <w:contextualSpacing w:val="0"/>
        <w:rPr>
          <w:color w:val="00ACC4" w:themeColor="accent1"/>
          <w:sz w:val="28"/>
        </w:rPr>
      </w:pPr>
      <w:r>
        <w:br w:type="page"/>
      </w:r>
    </w:p>
    <w:p w14:paraId="26B6387B" w14:textId="3283DF6C" w:rsidR="00606384" w:rsidRDefault="00606384" w:rsidP="00606384">
      <w:pPr>
        <w:pStyle w:val="Heading1Pro"/>
      </w:pPr>
      <w:bookmarkStart w:id="53" w:name="_Toc525244621"/>
      <w:bookmarkEnd w:id="49"/>
      <w:bookmarkEnd w:id="50"/>
      <w:bookmarkEnd w:id="51"/>
      <w:bookmarkEnd w:id="52"/>
      <w:r>
        <w:lastRenderedPageBreak/>
        <w:t>Scope Item 3: That SPFAC has provided advice on regulatory, policy and funding issues affecting government schools and non-government schools</w:t>
      </w:r>
      <w:bookmarkEnd w:id="53"/>
    </w:p>
    <w:p w14:paraId="299DAC65" w14:textId="77777777" w:rsidR="00606384" w:rsidRPr="00A81F24" w:rsidRDefault="00606384" w:rsidP="00606384">
      <w:pPr>
        <w:pStyle w:val="Heading2Pro"/>
      </w:pPr>
      <w:bookmarkStart w:id="54" w:name="_Toc524873219"/>
      <w:bookmarkStart w:id="55" w:name="_Toc525244622"/>
      <w:r>
        <w:t>Background</w:t>
      </w:r>
      <w:bookmarkEnd w:id="54"/>
      <w:bookmarkEnd w:id="55"/>
    </w:p>
    <w:p w14:paraId="7EE92B59" w14:textId="79F3C05F" w:rsidR="007E0BD7" w:rsidRPr="007E0BD7" w:rsidRDefault="007E0BD7" w:rsidP="007E0BD7">
      <w:pPr>
        <w:spacing w:before="0" w:after="160" w:line="259" w:lineRule="auto"/>
        <w:contextualSpacing w:val="0"/>
        <w:jc w:val="both"/>
        <w:rPr>
          <w:rFonts w:ascii="Arial" w:hAnsi="Arial" w:cs="Arial"/>
          <w:color w:val="535355"/>
          <w:sz w:val="20"/>
          <w:szCs w:val="20"/>
        </w:rPr>
      </w:pPr>
      <w:r w:rsidRPr="007E0BD7">
        <w:rPr>
          <w:rFonts w:ascii="Arial" w:hAnsi="Arial" w:cs="Arial"/>
          <w:color w:val="535355"/>
          <w:sz w:val="20"/>
          <w:szCs w:val="20"/>
        </w:rPr>
        <w:t xml:space="preserve">The function of the </w:t>
      </w:r>
      <w:r w:rsidR="00B82895">
        <w:rPr>
          <w:rFonts w:ascii="Arial" w:hAnsi="Arial" w:cs="Arial"/>
          <w:color w:val="535355"/>
          <w:sz w:val="20"/>
          <w:szCs w:val="20"/>
        </w:rPr>
        <w:t xml:space="preserve">SPFAC </w:t>
      </w:r>
      <w:r w:rsidRPr="007E0BD7">
        <w:rPr>
          <w:rFonts w:ascii="Arial" w:hAnsi="Arial" w:cs="Arial"/>
          <w:color w:val="535355"/>
          <w:sz w:val="20"/>
          <w:szCs w:val="20"/>
        </w:rPr>
        <w:t>is to advise the Minister about regulatory, policy and funding issues that aff</w:t>
      </w:r>
      <w:r w:rsidR="00E71327">
        <w:rPr>
          <w:rFonts w:ascii="Arial" w:hAnsi="Arial" w:cs="Arial"/>
          <w:color w:val="535355"/>
          <w:sz w:val="20"/>
          <w:szCs w:val="20"/>
        </w:rPr>
        <w:t>ect government schools and non-g</w:t>
      </w:r>
      <w:r w:rsidRPr="007E0BD7">
        <w:rPr>
          <w:rFonts w:ascii="Arial" w:hAnsi="Arial" w:cs="Arial"/>
          <w:color w:val="535355"/>
          <w:sz w:val="20"/>
          <w:szCs w:val="20"/>
        </w:rPr>
        <w:t>overnment schools.</w:t>
      </w:r>
    </w:p>
    <w:p w14:paraId="0B985223" w14:textId="5230E8A5" w:rsidR="004339CA" w:rsidRPr="007E0BD7" w:rsidRDefault="007E0BD7" w:rsidP="007E0BD7">
      <w:pPr>
        <w:spacing w:before="0" w:after="160" w:line="259" w:lineRule="auto"/>
        <w:contextualSpacing w:val="0"/>
        <w:jc w:val="both"/>
        <w:rPr>
          <w:rFonts w:ascii="Arial" w:hAnsi="Arial" w:cs="Arial"/>
          <w:bCs/>
          <w:color w:val="535355"/>
          <w:sz w:val="20"/>
          <w:szCs w:val="20"/>
        </w:rPr>
      </w:pPr>
      <w:r w:rsidRPr="007E0BD7">
        <w:rPr>
          <w:rFonts w:ascii="Arial" w:hAnsi="Arial" w:cs="Arial"/>
          <w:bCs/>
          <w:color w:val="535355"/>
          <w:sz w:val="20"/>
          <w:szCs w:val="20"/>
        </w:rPr>
        <w:t xml:space="preserve">The mechanisms by which this occurs </w:t>
      </w:r>
      <w:proofErr w:type="gramStart"/>
      <w:r w:rsidRPr="007E0BD7">
        <w:rPr>
          <w:rFonts w:ascii="Arial" w:hAnsi="Arial" w:cs="Arial"/>
          <w:bCs/>
          <w:color w:val="535355"/>
          <w:sz w:val="20"/>
          <w:szCs w:val="20"/>
        </w:rPr>
        <w:t>is presented</w:t>
      </w:r>
      <w:proofErr w:type="gramEnd"/>
      <w:r w:rsidRPr="007E0BD7">
        <w:rPr>
          <w:rFonts w:ascii="Arial" w:hAnsi="Arial" w:cs="Arial"/>
          <w:bCs/>
          <w:color w:val="535355"/>
          <w:sz w:val="20"/>
          <w:szCs w:val="20"/>
        </w:rPr>
        <w:t xml:space="preserve"> in the previous section of this report.</w:t>
      </w:r>
    </w:p>
    <w:p w14:paraId="49F27F48" w14:textId="77777777" w:rsidR="007E0BD7" w:rsidRDefault="007E0BD7" w:rsidP="007E0BD7">
      <w:pPr>
        <w:pStyle w:val="Heading2Pro"/>
      </w:pPr>
      <w:bookmarkStart w:id="56" w:name="_Toc524873220"/>
      <w:bookmarkStart w:id="57" w:name="_Toc525244623"/>
      <w:r>
        <w:t>Findings</w:t>
      </w:r>
      <w:bookmarkEnd w:id="56"/>
      <w:bookmarkEnd w:id="57"/>
    </w:p>
    <w:p w14:paraId="16C0C82C" w14:textId="780CB6C2" w:rsidR="00606384" w:rsidRDefault="00606384"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Review was provided with examples of briefing material provided to the </w:t>
      </w:r>
      <w:proofErr w:type="gramStart"/>
      <w:r>
        <w:rPr>
          <w:rFonts w:ascii="Arial" w:hAnsi="Arial" w:cs="Arial"/>
          <w:color w:val="535355"/>
          <w:sz w:val="20"/>
          <w:szCs w:val="20"/>
        </w:rPr>
        <w:t>Minister which</w:t>
      </w:r>
      <w:proofErr w:type="gramEnd"/>
      <w:r>
        <w:rPr>
          <w:rFonts w:ascii="Arial" w:hAnsi="Arial" w:cs="Arial"/>
          <w:color w:val="535355"/>
          <w:sz w:val="20"/>
          <w:szCs w:val="20"/>
        </w:rPr>
        <w:t xml:space="preserve"> referenced </w:t>
      </w:r>
      <w:r w:rsidR="00E71327">
        <w:rPr>
          <w:rFonts w:ascii="Arial" w:hAnsi="Arial" w:cs="Arial"/>
          <w:color w:val="535355"/>
          <w:sz w:val="20"/>
          <w:szCs w:val="20"/>
        </w:rPr>
        <w:t>discussions</w:t>
      </w:r>
      <w:r>
        <w:rPr>
          <w:rFonts w:ascii="Arial" w:hAnsi="Arial" w:cs="Arial"/>
          <w:color w:val="535355"/>
          <w:sz w:val="20"/>
          <w:szCs w:val="20"/>
        </w:rPr>
        <w:t xml:space="preserve"> or positions from SPFAC.  On this basis, we can see that SPFAC has provided </w:t>
      </w:r>
      <w:r w:rsidRPr="00311C2C">
        <w:rPr>
          <w:rFonts w:ascii="Arial" w:hAnsi="Arial" w:cs="Arial"/>
          <w:color w:val="535355"/>
          <w:sz w:val="20"/>
          <w:szCs w:val="20"/>
        </w:rPr>
        <w:t>advice</w:t>
      </w:r>
      <w:r>
        <w:rPr>
          <w:rFonts w:ascii="Arial" w:hAnsi="Arial" w:cs="Arial"/>
          <w:color w:val="535355"/>
          <w:sz w:val="20"/>
          <w:szCs w:val="20"/>
        </w:rPr>
        <w:t xml:space="preserve"> to the Minister on policy, funding and regulatory matters.</w:t>
      </w:r>
    </w:p>
    <w:p w14:paraId="25FA81D9" w14:textId="2806C2DB" w:rsidR="002D19BA" w:rsidRDefault="00E71327" w:rsidP="00606384">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In</w:t>
      </w:r>
      <w:r w:rsidR="002D19BA">
        <w:rPr>
          <w:rFonts w:ascii="Arial" w:hAnsi="Arial" w:cs="Arial"/>
          <w:color w:val="535355"/>
          <w:sz w:val="20"/>
          <w:szCs w:val="20"/>
        </w:rPr>
        <w:t xml:space="preserve"> </w:t>
      </w:r>
      <w:proofErr w:type="gramStart"/>
      <w:r w:rsidR="002D19BA">
        <w:rPr>
          <w:rFonts w:ascii="Arial" w:hAnsi="Arial" w:cs="Arial"/>
          <w:color w:val="535355"/>
          <w:sz w:val="20"/>
          <w:szCs w:val="20"/>
        </w:rPr>
        <w:t>particular</w:t>
      </w:r>
      <w:proofErr w:type="gramEnd"/>
      <w:r w:rsidR="002D19BA">
        <w:rPr>
          <w:rFonts w:ascii="Arial" w:hAnsi="Arial" w:cs="Arial"/>
          <w:color w:val="535355"/>
          <w:sz w:val="20"/>
          <w:szCs w:val="20"/>
        </w:rPr>
        <w:t xml:space="preserve"> we note that in each year of its existence, the Minister has received information regarding SPFAC’s deliberations in terms of the application of the basket of goods and statutory funding formula.</w:t>
      </w:r>
    </w:p>
    <w:p w14:paraId="08A0269E" w14:textId="77777777" w:rsidR="00E71327" w:rsidRPr="00A81F24" w:rsidRDefault="00E71327" w:rsidP="00E71327">
      <w:pPr>
        <w:pStyle w:val="Heading2Pro"/>
      </w:pPr>
      <w:bookmarkStart w:id="58" w:name="_Toc524873221"/>
      <w:bookmarkStart w:id="59" w:name="_Toc525244624"/>
      <w:r>
        <w:t>Conclusion</w:t>
      </w:r>
      <w:bookmarkEnd w:id="58"/>
      <w:bookmarkEnd w:id="59"/>
    </w:p>
    <w:p w14:paraId="02F63C5E" w14:textId="2A8DFAC5" w:rsidR="00E71327" w:rsidRDefault="00E71327" w:rsidP="00E7132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SPFAC has provided </w:t>
      </w:r>
      <w:r w:rsidRPr="00311C2C">
        <w:rPr>
          <w:rFonts w:ascii="Arial" w:hAnsi="Arial" w:cs="Arial"/>
          <w:color w:val="535355"/>
          <w:sz w:val="20"/>
          <w:szCs w:val="20"/>
        </w:rPr>
        <w:t>advice</w:t>
      </w:r>
      <w:r>
        <w:rPr>
          <w:rFonts w:ascii="Arial" w:hAnsi="Arial" w:cs="Arial"/>
          <w:color w:val="535355"/>
          <w:sz w:val="20"/>
          <w:szCs w:val="20"/>
        </w:rPr>
        <w:t xml:space="preserve"> to the Minister on policy, funding and regulatory matters that affect government schools and non-government schools.</w:t>
      </w:r>
    </w:p>
    <w:p w14:paraId="79FD69A7" w14:textId="77777777" w:rsidR="00E71327" w:rsidRPr="00A81F24" w:rsidRDefault="00E71327" w:rsidP="00E71327">
      <w:pPr>
        <w:pStyle w:val="Heading2Pro"/>
      </w:pPr>
      <w:bookmarkStart w:id="60" w:name="_Toc524873222"/>
      <w:bookmarkStart w:id="61" w:name="_Toc525244625"/>
      <w:r>
        <w:t>Recommendations</w:t>
      </w:r>
      <w:bookmarkEnd w:id="60"/>
      <w:bookmarkEnd w:id="61"/>
    </w:p>
    <w:p w14:paraId="6BECE440" w14:textId="09CB2189" w:rsidR="00E71327" w:rsidRDefault="00E71327" w:rsidP="00E71327">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Nil</w:t>
      </w:r>
    </w:p>
    <w:p w14:paraId="4B6903BA" w14:textId="77777777" w:rsidR="00606384" w:rsidRDefault="00606384" w:rsidP="001A2F53">
      <w:pPr>
        <w:pStyle w:val="BodyPRO"/>
        <w:rPr>
          <w:rStyle w:val="Replacetext"/>
        </w:rPr>
      </w:pPr>
    </w:p>
    <w:p w14:paraId="68183CB7" w14:textId="77777777" w:rsidR="004339CA" w:rsidRDefault="004339CA" w:rsidP="001A2F53">
      <w:pPr>
        <w:pStyle w:val="BodyPRO"/>
        <w:rPr>
          <w:rStyle w:val="Replacetext"/>
        </w:rPr>
        <w:sectPr w:rsidR="004339CA" w:rsidSect="002E6267">
          <w:headerReference w:type="default" r:id="rId21"/>
          <w:footerReference w:type="default" r:id="rId22"/>
          <w:type w:val="continuous"/>
          <w:pgSz w:w="11907" w:h="16839" w:code="9"/>
          <w:pgMar w:top="1440" w:right="1440" w:bottom="1440" w:left="1440" w:header="432" w:footer="432" w:gutter="0"/>
          <w:cols w:space="720"/>
          <w:docGrid w:linePitch="360"/>
        </w:sectPr>
      </w:pPr>
    </w:p>
    <w:p w14:paraId="35C2CEB9" w14:textId="373AB375" w:rsidR="00861A23" w:rsidRDefault="00820449" w:rsidP="00861A23">
      <w:pPr>
        <w:pStyle w:val="Heading1Pro"/>
      </w:pPr>
      <w:r>
        <w:rPr>
          <w:rStyle w:val="Replacetext"/>
        </w:rPr>
        <w:br w:type="page"/>
      </w:r>
      <w:bookmarkStart w:id="62" w:name="_Toc525244626"/>
      <w:r w:rsidR="00861A23">
        <w:lastRenderedPageBreak/>
        <w:t>Appendix A:  Personnel Consulted in this Review</w:t>
      </w:r>
      <w:bookmarkEnd w:id="62"/>
    </w:p>
    <w:p w14:paraId="35F40DA2" w14:textId="77777777" w:rsidR="00861A23" w:rsidRDefault="00861A23" w:rsidP="00861A23">
      <w:pPr>
        <w:spacing w:before="0" w:after="160" w:line="259" w:lineRule="auto"/>
        <w:contextualSpacing w:val="0"/>
        <w:jc w:val="both"/>
        <w:rPr>
          <w:rFonts w:ascii="Arial" w:hAnsi="Arial" w:cs="Arial"/>
          <w:color w:val="535355"/>
          <w:sz w:val="20"/>
          <w:szCs w:val="20"/>
        </w:rPr>
      </w:pPr>
    </w:p>
    <w:p w14:paraId="44AD3D63" w14:textId="6353BEC0" w:rsidR="00861A23" w:rsidRDefault="00861A23" w:rsidP="00861A23">
      <w:pPr>
        <w:spacing w:before="0" w:after="160" w:line="259" w:lineRule="auto"/>
        <w:contextualSpacing w:val="0"/>
        <w:jc w:val="both"/>
        <w:rPr>
          <w:rFonts w:ascii="Arial" w:hAnsi="Arial" w:cs="Arial"/>
          <w:color w:val="535355"/>
          <w:sz w:val="20"/>
          <w:szCs w:val="20"/>
        </w:rPr>
      </w:pPr>
      <w:r>
        <w:rPr>
          <w:rFonts w:ascii="Arial" w:hAnsi="Arial" w:cs="Arial"/>
          <w:color w:val="535355"/>
          <w:sz w:val="20"/>
          <w:szCs w:val="20"/>
        </w:rPr>
        <w:t xml:space="preserve">The following personnel </w:t>
      </w:r>
      <w:proofErr w:type="gramStart"/>
      <w:r>
        <w:rPr>
          <w:rFonts w:ascii="Arial" w:hAnsi="Arial" w:cs="Arial"/>
          <w:color w:val="535355"/>
          <w:sz w:val="20"/>
          <w:szCs w:val="20"/>
        </w:rPr>
        <w:t>were consulted</w:t>
      </w:r>
      <w:proofErr w:type="gramEnd"/>
      <w:r>
        <w:rPr>
          <w:rFonts w:ascii="Arial" w:hAnsi="Arial" w:cs="Arial"/>
          <w:color w:val="535355"/>
          <w:sz w:val="20"/>
          <w:szCs w:val="20"/>
        </w:rPr>
        <w:t xml:space="preserve"> during the course of this review.  We thank them for their time, support and </w:t>
      </w:r>
      <w:proofErr w:type="spellStart"/>
      <w:r>
        <w:rPr>
          <w:rFonts w:ascii="Arial" w:hAnsi="Arial" w:cs="Arial"/>
          <w:color w:val="535355"/>
          <w:sz w:val="20"/>
          <w:szCs w:val="20"/>
        </w:rPr>
        <w:t>candour</w:t>
      </w:r>
      <w:proofErr w:type="spellEnd"/>
      <w:r>
        <w:rPr>
          <w:rFonts w:ascii="Arial" w:hAnsi="Arial" w:cs="Arial"/>
          <w:color w:val="535355"/>
          <w:sz w:val="20"/>
          <w:szCs w:val="20"/>
        </w:rPr>
        <w:t>.</w:t>
      </w:r>
    </w:p>
    <w:p w14:paraId="4518CBEB" w14:textId="19EB4A3C" w:rsidR="00861A23" w:rsidRDefault="00861A23" w:rsidP="00777F00">
      <w:pPr>
        <w:pStyle w:val="BulletBodyPro"/>
        <w:ind w:left="272" w:hanging="272"/>
        <w:contextualSpacing w:val="0"/>
      </w:pPr>
      <w:proofErr w:type="spellStart"/>
      <w:r>
        <w:t>Ms</w:t>
      </w:r>
      <w:proofErr w:type="spellEnd"/>
      <w:r>
        <w:t xml:space="preserve"> Gill </w:t>
      </w:r>
      <w:proofErr w:type="spellStart"/>
      <w:r>
        <w:t>Callister</w:t>
      </w:r>
      <w:proofErr w:type="spellEnd"/>
      <w:r>
        <w:t>, Secretary, Department of Education and Training</w:t>
      </w:r>
    </w:p>
    <w:p w14:paraId="34FAF08E" w14:textId="1706C036" w:rsidR="00861A23" w:rsidRDefault="00861A23" w:rsidP="00777F00">
      <w:pPr>
        <w:pStyle w:val="BulletBodyPro"/>
        <w:ind w:left="272" w:hanging="272"/>
        <w:contextualSpacing w:val="0"/>
      </w:pPr>
      <w:proofErr w:type="spellStart"/>
      <w:r>
        <w:t>Ms</w:t>
      </w:r>
      <w:proofErr w:type="spellEnd"/>
      <w:r>
        <w:t xml:space="preserve"> Katy </w:t>
      </w:r>
      <w:proofErr w:type="spellStart"/>
      <w:r>
        <w:t>Haire</w:t>
      </w:r>
      <w:proofErr w:type="spellEnd"/>
      <w:r>
        <w:t>, Deputy Secretary, Department of Education and Training</w:t>
      </w:r>
    </w:p>
    <w:p w14:paraId="728BA0AF" w14:textId="27EACD61" w:rsidR="00861A23" w:rsidRDefault="00861A23" w:rsidP="00777F00">
      <w:pPr>
        <w:pStyle w:val="BulletBodyPro"/>
        <w:ind w:left="272" w:hanging="272"/>
        <w:contextualSpacing w:val="0"/>
      </w:pPr>
      <w:proofErr w:type="spellStart"/>
      <w:r>
        <w:t>Ms</w:t>
      </w:r>
      <w:proofErr w:type="spellEnd"/>
      <w:r>
        <w:t xml:space="preserve"> Jenny Atta, Deputy Secretary, Department of Education and Training</w:t>
      </w:r>
    </w:p>
    <w:p w14:paraId="75D5BF87" w14:textId="3659844F" w:rsidR="00861A23" w:rsidRDefault="00861A23" w:rsidP="00777F00">
      <w:pPr>
        <w:pStyle w:val="BulletBodyPro"/>
        <w:ind w:left="272" w:hanging="272"/>
        <w:contextualSpacing w:val="0"/>
      </w:pPr>
      <w:proofErr w:type="spellStart"/>
      <w:r>
        <w:t>Mr</w:t>
      </w:r>
      <w:proofErr w:type="spellEnd"/>
      <w:r>
        <w:t xml:space="preserve"> Simon Kent, Deputy Secretary, Department of Education and Training</w:t>
      </w:r>
    </w:p>
    <w:p w14:paraId="528008E4" w14:textId="78746ECD" w:rsidR="00861A23" w:rsidRDefault="00861A23" w:rsidP="00777F00">
      <w:pPr>
        <w:pStyle w:val="BulletBodyPro"/>
        <w:ind w:left="272" w:hanging="272"/>
        <w:contextualSpacing w:val="0"/>
      </w:pPr>
      <w:proofErr w:type="spellStart"/>
      <w:r>
        <w:t>Ms</w:t>
      </w:r>
      <w:proofErr w:type="spellEnd"/>
      <w:r>
        <w:t xml:space="preserve"> Pippa Procter, Acting Executive Director, </w:t>
      </w:r>
      <w:r w:rsidR="00777F00" w:rsidRPr="00777F00">
        <w:t>Strategy and Integration Division</w:t>
      </w:r>
      <w:r w:rsidR="00777F00">
        <w:t>, Department of Education and Training</w:t>
      </w:r>
    </w:p>
    <w:p w14:paraId="2335AA9C" w14:textId="7A1F29F4" w:rsidR="00861A23" w:rsidRDefault="00861A23" w:rsidP="00777F00">
      <w:pPr>
        <w:pStyle w:val="BulletBodyPro"/>
        <w:ind w:left="272" w:hanging="272"/>
        <w:contextualSpacing w:val="0"/>
      </w:pPr>
      <w:proofErr w:type="spellStart"/>
      <w:r>
        <w:t>Ms</w:t>
      </w:r>
      <w:proofErr w:type="spellEnd"/>
      <w:r>
        <w:t xml:space="preserve"> </w:t>
      </w:r>
      <w:proofErr w:type="spellStart"/>
      <w:r>
        <w:t>Toniann</w:t>
      </w:r>
      <w:proofErr w:type="spellEnd"/>
      <w:r>
        <w:t xml:space="preserve"> </w:t>
      </w:r>
      <w:proofErr w:type="spellStart"/>
      <w:r>
        <w:t>Stitz</w:t>
      </w:r>
      <w:proofErr w:type="spellEnd"/>
      <w:r>
        <w:t xml:space="preserve">, Director, </w:t>
      </w:r>
      <w:r w:rsidRPr="00861A23">
        <w:t>Schools Finance and Resources</w:t>
      </w:r>
      <w:r>
        <w:t>, Department of Education and Training</w:t>
      </w:r>
    </w:p>
    <w:p w14:paraId="36912AAE" w14:textId="0570C69C" w:rsidR="00861A23" w:rsidRDefault="00861A23" w:rsidP="00777F00">
      <w:pPr>
        <w:pStyle w:val="BulletBodyPro"/>
        <w:ind w:left="272" w:hanging="272"/>
        <w:contextualSpacing w:val="0"/>
      </w:pPr>
      <w:proofErr w:type="spellStart"/>
      <w:r>
        <w:t>Mr</w:t>
      </w:r>
      <w:proofErr w:type="spellEnd"/>
      <w:r>
        <w:t xml:space="preserve"> Justin Mahon, </w:t>
      </w:r>
      <w:r w:rsidRPr="00861A23">
        <w:t>Manager, Government Reporting and Measurement Policy</w:t>
      </w:r>
      <w:r>
        <w:t>, Department of Education and Training</w:t>
      </w:r>
    </w:p>
    <w:p w14:paraId="0EE5155A" w14:textId="7BD332B8" w:rsidR="00861A23" w:rsidRDefault="00777F00" w:rsidP="00521112">
      <w:pPr>
        <w:pStyle w:val="BulletBodyPro"/>
        <w:ind w:left="272" w:hanging="272"/>
        <w:contextualSpacing w:val="0"/>
      </w:pPr>
      <w:proofErr w:type="spellStart"/>
      <w:r>
        <w:t>Ms</w:t>
      </w:r>
      <w:proofErr w:type="spellEnd"/>
      <w:r>
        <w:t xml:space="preserve"> Min</w:t>
      </w:r>
      <w:r w:rsidR="0043247D">
        <w:t xml:space="preserve"> </w:t>
      </w:r>
      <w:proofErr w:type="spellStart"/>
      <w:r w:rsidR="009C6671" w:rsidRPr="009C6671">
        <w:t>Dardovski</w:t>
      </w:r>
      <w:proofErr w:type="spellEnd"/>
      <w:r>
        <w:t xml:space="preserve">, </w:t>
      </w:r>
      <w:r w:rsidRPr="00777F00">
        <w:t>Manager, Schools Funding Allocation</w:t>
      </w:r>
      <w:r>
        <w:t>, Department of Education and Training</w:t>
      </w:r>
    </w:p>
    <w:p w14:paraId="69F10DDE" w14:textId="2D77F3B6" w:rsidR="00777F00" w:rsidRDefault="00777F00" w:rsidP="00777F00">
      <w:pPr>
        <w:pStyle w:val="BulletBodyPro"/>
        <w:ind w:left="272" w:hanging="272"/>
        <w:contextualSpacing w:val="0"/>
      </w:pPr>
      <w:proofErr w:type="spellStart"/>
      <w:r>
        <w:t>Ms</w:t>
      </w:r>
      <w:proofErr w:type="spellEnd"/>
      <w:r>
        <w:t xml:space="preserve"> Karen Peter, Schools Funding Allocation, Department of Education and Training</w:t>
      </w:r>
    </w:p>
    <w:p w14:paraId="0AC472E2" w14:textId="6A08E8DB" w:rsidR="00777F00" w:rsidRDefault="00777F00" w:rsidP="00777F00">
      <w:pPr>
        <w:pStyle w:val="BulletBodyPro"/>
        <w:ind w:left="272" w:hanging="272"/>
        <w:contextualSpacing w:val="0"/>
      </w:pPr>
      <w:proofErr w:type="spellStart"/>
      <w:r>
        <w:t>Mr</w:t>
      </w:r>
      <w:proofErr w:type="spellEnd"/>
      <w:r>
        <w:t xml:space="preserve"> Charles </w:t>
      </w:r>
      <w:proofErr w:type="spellStart"/>
      <w:r>
        <w:t>Tyers</w:t>
      </w:r>
      <w:proofErr w:type="spellEnd"/>
      <w:r>
        <w:t xml:space="preserve">, </w:t>
      </w:r>
      <w:r w:rsidRPr="00777F00">
        <w:t>Strategy and Integration Division</w:t>
      </w:r>
      <w:r>
        <w:t>, Department of Education and Training</w:t>
      </w:r>
    </w:p>
    <w:p w14:paraId="72D9FBB6" w14:textId="12502B29" w:rsidR="00777F00" w:rsidRDefault="00777F00" w:rsidP="00777F00">
      <w:pPr>
        <w:pStyle w:val="BulletBodyPro"/>
        <w:ind w:left="272" w:hanging="272"/>
        <w:contextualSpacing w:val="0"/>
      </w:pPr>
      <w:proofErr w:type="spellStart"/>
      <w:r>
        <w:t>Mr</w:t>
      </w:r>
      <w:proofErr w:type="spellEnd"/>
      <w:r>
        <w:t xml:space="preserve"> David Dickens, </w:t>
      </w:r>
      <w:r w:rsidRPr="00777F00">
        <w:t>Strategy and Integration Division</w:t>
      </w:r>
      <w:r>
        <w:t>, Department of Education and Training</w:t>
      </w:r>
    </w:p>
    <w:p w14:paraId="28947D11" w14:textId="366618EB" w:rsidR="00777F00" w:rsidRDefault="00777F00" w:rsidP="00777F00">
      <w:pPr>
        <w:pStyle w:val="BulletBodyPro"/>
        <w:ind w:left="272" w:hanging="272"/>
        <w:contextualSpacing w:val="0"/>
      </w:pPr>
      <w:proofErr w:type="spellStart"/>
      <w:r>
        <w:t>Ms</w:t>
      </w:r>
      <w:proofErr w:type="spellEnd"/>
      <w:r>
        <w:t xml:space="preserve"> Jill Kidd, </w:t>
      </w:r>
      <w:r w:rsidRPr="00777F00">
        <w:t>Strategy and Integration Division</w:t>
      </w:r>
      <w:r>
        <w:t>, Department of Education and Training</w:t>
      </w:r>
    </w:p>
    <w:p w14:paraId="704A97DD" w14:textId="1C64E91E" w:rsidR="00777F00" w:rsidRDefault="00777F00" w:rsidP="00777F00">
      <w:pPr>
        <w:pStyle w:val="BulletBodyPro"/>
        <w:ind w:left="272" w:hanging="272"/>
        <w:contextualSpacing w:val="0"/>
      </w:pPr>
      <w:proofErr w:type="spellStart"/>
      <w:r>
        <w:t>Mr</w:t>
      </w:r>
      <w:proofErr w:type="spellEnd"/>
      <w:r>
        <w:t xml:space="preserve"> Duncan Chew, </w:t>
      </w:r>
      <w:r w:rsidRPr="00777F00">
        <w:t>Strategy and Integration Division</w:t>
      </w:r>
      <w:r>
        <w:t>, Department of Education and Training</w:t>
      </w:r>
    </w:p>
    <w:p w14:paraId="664FF1E6" w14:textId="0D9494B3" w:rsidR="00777F00" w:rsidRDefault="00777F00" w:rsidP="00777F00">
      <w:pPr>
        <w:pStyle w:val="BulletBodyPro"/>
        <w:ind w:left="272" w:hanging="272"/>
        <w:contextualSpacing w:val="0"/>
      </w:pPr>
      <w:proofErr w:type="spellStart"/>
      <w:r>
        <w:t>Ms</w:t>
      </w:r>
      <w:proofErr w:type="spellEnd"/>
      <w:r>
        <w:t xml:space="preserve"> </w:t>
      </w:r>
      <w:proofErr w:type="spellStart"/>
      <w:r>
        <w:t>Lavinia</w:t>
      </w:r>
      <w:proofErr w:type="spellEnd"/>
      <w:r>
        <w:t xml:space="preserve"> </w:t>
      </w:r>
      <w:proofErr w:type="spellStart"/>
      <w:r>
        <w:t>Savell</w:t>
      </w:r>
      <w:proofErr w:type="spellEnd"/>
      <w:r>
        <w:t xml:space="preserve">, </w:t>
      </w:r>
      <w:r w:rsidRPr="00777F00">
        <w:t>Strategy and Integration Division</w:t>
      </w:r>
      <w:r>
        <w:t>, Department of Education and Training</w:t>
      </w:r>
    </w:p>
    <w:p w14:paraId="663DB239" w14:textId="3187122B" w:rsidR="00777F00" w:rsidRDefault="0043247D" w:rsidP="00777F00">
      <w:pPr>
        <w:pStyle w:val="BulletBodyPro"/>
        <w:ind w:left="272" w:hanging="272"/>
        <w:contextualSpacing w:val="0"/>
      </w:pPr>
      <w:r>
        <w:t xml:space="preserve">Prof. </w:t>
      </w:r>
      <w:proofErr w:type="spellStart"/>
      <w:r w:rsidR="00777F00">
        <w:t>Kwong</w:t>
      </w:r>
      <w:proofErr w:type="spellEnd"/>
      <w:r w:rsidR="00777F00">
        <w:t xml:space="preserve"> Lee Dow, Independent Member, SPFAC</w:t>
      </w:r>
    </w:p>
    <w:p w14:paraId="43A793D8" w14:textId="53007B75" w:rsidR="00777F00" w:rsidRDefault="00777F00" w:rsidP="00777F00">
      <w:pPr>
        <w:pStyle w:val="BulletBodyPro"/>
        <w:ind w:left="272" w:hanging="272"/>
        <w:contextualSpacing w:val="0"/>
      </w:pPr>
      <w:proofErr w:type="spellStart"/>
      <w:r>
        <w:t>Mr</w:t>
      </w:r>
      <w:proofErr w:type="spellEnd"/>
      <w:r>
        <w:t xml:space="preserve"> Jim Miles, Catholic Education Commission </w:t>
      </w:r>
      <w:r w:rsidR="00F16975">
        <w:t xml:space="preserve">of </w:t>
      </w:r>
      <w:r>
        <w:t>Victoria</w:t>
      </w:r>
    </w:p>
    <w:p w14:paraId="18195DC3" w14:textId="50566D14" w:rsidR="00777F00" w:rsidRDefault="00777F00" w:rsidP="00777F00">
      <w:pPr>
        <w:pStyle w:val="BulletBodyPro"/>
        <w:ind w:left="272" w:hanging="272"/>
        <w:contextualSpacing w:val="0"/>
      </w:pPr>
      <w:proofErr w:type="spellStart"/>
      <w:r>
        <w:t>Mr</w:t>
      </w:r>
      <w:proofErr w:type="spellEnd"/>
      <w:r>
        <w:t xml:space="preserve"> David Wilkes, Catholic Education Commission</w:t>
      </w:r>
      <w:r w:rsidR="00F16975">
        <w:t xml:space="preserve"> of</w:t>
      </w:r>
      <w:r>
        <w:t xml:space="preserve"> Victoria</w:t>
      </w:r>
    </w:p>
    <w:p w14:paraId="74D06C21" w14:textId="1E4C0BE1" w:rsidR="00777F00" w:rsidRDefault="00777F00" w:rsidP="00777F00">
      <w:pPr>
        <w:pStyle w:val="BulletBodyPro"/>
        <w:ind w:left="272" w:hanging="272"/>
        <w:contextualSpacing w:val="0"/>
      </w:pPr>
      <w:proofErr w:type="spellStart"/>
      <w:r>
        <w:t>Mr</w:t>
      </w:r>
      <w:proofErr w:type="spellEnd"/>
      <w:r>
        <w:t xml:space="preserve"> Bruce Phillips, Catholic Education Commission</w:t>
      </w:r>
      <w:r w:rsidR="00F16975">
        <w:t xml:space="preserve"> of</w:t>
      </w:r>
      <w:r>
        <w:t xml:space="preserve"> Victoria</w:t>
      </w:r>
    </w:p>
    <w:p w14:paraId="10FF1716" w14:textId="2687EE32" w:rsidR="00777F00" w:rsidRDefault="00777F00" w:rsidP="00777F00">
      <w:pPr>
        <w:pStyle w:val="BulletBodyPro"/>
        <w:ind w:left="272" w:hanging="272"/>
        <w:contextualSpacing w:val="0"/>
      </w:pPr>
      <w:proofErr w:type="spellStart"/>
      <w:r>
        <w:t>Mr</w:t>
      </w:r>
      <w:proofErr w:type="spellEnd"/>
      <w:r>
        <w:t xml:space="preserve"> Nigel Bartlett, Independent Schools Victoria</w:t>
      </w:r>
    </w:p>
    <w:p w14:paraId="2525645C" w14:textId="47C9C6A9" w:rsidR="00777F00" w:rsidRPr="00861A23" w:rsidRDefault="00777F00" w:rsidP="00777F00">
      <w:pPr>
        <w:pStyle w:val="BulletBodyPro"/>
        <w:ind w:left="272" w:hanging="272"/>
        <w:contextualSpacing w:val="0"/>
      </w:pPr>
      <w:proofErr w:type="spellStart"/>
      <w:r>
        <w:t>Ms</w:t>
      </w:r>
      <w:proofErr w:type="spellEnd"/>
      <w:r>
        <w:t xml:space="preserve"> Fiona Tracey, Independent Schools Victoria</w:t>
      </w:r>
    </w:p>
    <w:p w14:paraId="1A31B64F" w14:textId="77777777" w:rsidR="00861A23" w:rsidRPr="00861A23" w:rsidRDefault="00861A23" w:rsidP="00861A23">
      <w:pPr>
        <w:spacing w:before="0" w:after="160" w:line="259" w:lineRule="auto"/>
        <w:contextualSpacing w:val="0"/>
        <w:jc w:val="both"/>
        <w:rPr>
          <w:rFonts w:ascii="Arial" w:hAnsi="Arial" w:cs="Arial"/>
          <w:color w:val="535355"/>
          <w:sz w:val="20"/>
          <w:szCs w:val="20"/>
        </w:rPr>
      </w:pPr>
    </w:p>
    <w:p w14:paraId="177C4C7B" w14:textId="77777777" w:rsidR="00777F00" w:rsidRDefault="00861A23">
      <w:pPr>
        <w:spacing w:before="0" w:after="160" w:line="259" w:lineRule="auto"/>
        <w:contextualSpacing w:val="0"/>
        <w:rPr>
          <w:rStyle w:val="Replacetext"/>
        </w:rPr>
        <w:sectPr w:rsidR="00777F00" w:rsidSect="00861A23">
          <w:type w:val="continuous"/>
          <w:pgSz w:w="11907" w:h="16839" w:code="9"/>
          <w:pgMar w:top="1440" w:right="1440" w:bottom="1440" w:left="1440" w:header="720" w:footer="720" w:gutter="0"/>
          <w:cols w:space="720"/>
          <w:docGrid w:linePitch="360"/>
        </w:sectPr>
      </w:pPr>
      <w:r>
        <w:rPr>
          <w:rStyle w:val="Replacetext"/>
        </w:rPr>
        <w:br w:type="page"/>
      </w:r>
    </w:p>
    <w:p w14:paraId="04DE25E1" w14:textId="55B4E32E" w:rsidR="00861A23" w:rsidRDefault="00861A23">
      <w:pPr>
        <w:spacing w:before="0" w:after="160" w:line="259" w:lineRule="auto"/>
        <w:contextualSpacing w:val="0"/>
        <w:rPr>
          <w:rStyle w:val="Replacetext"/>
        </w:rPr>
      </w:pPr>
    </w:p>
    <w:p w14:paraId="6A494576" w14:textId="77777777" w:rsidR="00820449" w:rsidRDefault="00820449">
      <w:pPr>
        <w:spacing w:before="0" w:after="160" w:line="259" w:lineRule="auto"/>
        <w:contextualSpacing w:val="0"/>
        <w:rPr>
          <w:rStyle w:val="Replacetext"/>
          <w:bCs w:val="0"/>
        </w:rPr>
      </w:pPr>
    </w:p>
    <w:p w14:paraId="595FE3B5" w14:textId="77777777" w:rsidR="004339CA" w:rsidRPr="004339CA" w:rsidRDefault="00820449" w:rsidP="0069516F">
      <w:pPr>
        <w:pStyle w:val="BodyPRO"/>
        <w:rPr>
          <w:rStyle w:val="Replacetext"/>
        </w:rPr>
      </w:pPr>
      <w:r w:rsidRPr="004C6727">
        <w:rPr>
          <w:rStyle w:val="ReplaceTextPRO"/>
          <w:noProof/>
          <w:lang w:val="en-AU" w:eastAsia="en-AU"/>
        </w:rPr>
        <mc:AlternateContent>
          <mc:Choice Requires="wpg">
            <w:drawing>
              <wp:anchor distT="0" distB="0" distL="114300" distR="114300" simplePos="0" relativeHeight="251658241" behindDoc="1" locked="0" layoutInCell="1" allowOverlap="1" wp14:anchorId="580A7665" wp14:editId="11CD545D">
                <wp:simplePos x="0" y="0"/>
                <wp:positionH relativeFrom="page">
                  <wp:posOffset>685800</wp:posOffset>
                </wp:positionH>
                <wp:positionV relativeFrom="page">
                  <wp:posOffset>1600200</wp:posOffset>
                </wp:positionV>
                <wp:extent cx="7086600" cy="3657600"/>
                <wp:effectExtent l="0" t="0" r="0" b="0"/>
                <wp:wrapNone/>
                <wp:docPr id="32" name="Group 32" descr="gradient filled rectangle"/>
                <wp:cNvGraphicFramePr/>
                <a:graphic xmlns:a="http://schemas.openxmlformats.org/drawingml/2006/main">
                  <a:graphicData uri="http://schemas.microsoft.com/office/word/2010/wordprocessingGroup">
                    <wpg:wgp>
                      <wpg:cNvGrpSpPr/>
                      <wpg:grpSpPr>
                        <a:xfrm>
                          <a:off x="0" y="0"/>
                          <a:ext cx="7086600" cy="3657600"/>
                          <a:chOff x="0" y="0"/>
                          <a:chExt cx="7086207" cy="3657600"/>
                        </a:xfrm>
                      </wpg:grpSpPr>
                      <wps:wsp>
                        <wps:cNvPr id="34" name="Rectangle 34" descr="Gradient filled rectangle"/>
                        <wps:cNvSpPr/>
                        <wps:spPr>
                          <a:xfrm>
                            <a:off x="0" y="0"/>
                            <a:ext cx="7086207" cy="3657600"/>
                          </a:xfrm>
                          <a:prstGeom prst="rect">
                            <a:avLst/>
                          </a:prstGeom>
                          <a:gradFill flip="none" rotWithShape="0">
                            <a:gsLst>
                              <a:gs pos="50000">
                                <a:srgbClr val="3897B2"/>
                              </a:gs>
                              <a:gs pos="0">
                                <a:srgbClr val="00BDD2">
                                  <a:lumMod val="100000"/>
                                </a:srgbClr>
                              </a:gs>
                              <a:gs pos="100000">
                                <a:srgbClr val="35678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BD4F3" w14:textId="77777777" w:rsidR="00297FAD" w:rsidRDefault="00297FAD" w:rsidP="00820449">
                              <w:pPr>
                                <w:pStyle w:val="BodyPRO0"/>
                                <w:jc w:val="center"/>
                              </w:pPr>
                            </w:p>
                            <w:p w14:paraId="0A655981" w14:textId="77777777" w:rsidR="00297FAD" w:rsidRDefault="00297FAD" w:rsidP="00820449">
                              <w:pPr>
                                <w:pStyle w:val="BodyPRO0"/>
                                <w:jc w:val="center"/>
                              </w:pPr>
                            </w:p>
                            <w:p w14:paraId="6D275A90" w14:textId="77777777" w:rsidR="00297FAD" w:rsidRDefault="00297FAD" w:rsidP="00820449">
                              <w:pPr>
                                <w:pStyle w:val="BodyPRO0"/>
                                <w:jc w:val="center"/>
                              </w:pPr>
                            </w:p>
                            <w:p w14:paraId="19CA4911" w14:textId="77777777" w:rsidR="00297FAD" w:rsidRDefault="00297FAD" w:rsidP="00820449">
                              <w:pPr>
                                <w:pStyle w:val="BodyPRO0"/>
                                <w:jc w:val="center"/>
                              </w:pPr>
                            </w:p>
                            <w:p w14:paraId="0061C34F" w14:textId="77777777" w:rsidR="00297FAD" w:rsidRDefault="00297FAD" w:rsidP="00820449">
                              <w:pPr>
                                <w:pStyle w:val="BodyPRO0"/>
                                <w:jc w:val="center"/>
                              </w:pPr>
                            </w:p>
                            <w:p w14:paraId="418E4EAB" w14:textId="77777777" w:rsidR="00297FAD" w:rsidRDefault="00297FAD" w:rsidP="00820449">
                              <w:pPr>
                                <w:pStyle w:val="BodyPRO0"/>
                                <w:jc w:val="center"/>
                              </w:pPr>
                            </w:p>
                            <w:p w14:paraId="0B6CCCF8" w14:textId="77777777" w:rsidR="00297FAD" w:rsidRDefault="00297FAD" w:rsidP="00820449">
                              <w:pPr>
                                <w:pStyle w:val="BodyPRO0"/>
                                <w:jc w:val="center"/>
                              </w:pPr>
                            </w:p>
                            <w:p w14:paraId="67FFF599" w14:textId="77777777" w:rsidR="00297FAD" w:rsidRDefault="00297FAD" w:rsidP="00820449">
                              <w:pPr>
                                <w:pStyle w:val="BodyPRO0"/>
                                <w:jc w:val="center"/>
                              </w:pPr>
                              <w:r w:rsidRPr="00D767F0">
                                <w:rPr>
                                  <w:lang w:val="en-AU" w:eastAsia="en-AU"/>
                                </w:rPr>
                                <w:drawing>
                                  <wp:inline distT="0" distB="0" distL="0" distR="0" wp14:anchorId="23D5F50B" wp14:editId="0F20895C">
                                    <wp:extent cx="4227916" cy="274320"/>
                                    <wp:effectExtent l="0" t="0" r="1270" b="0"/>
                                    <wp:docPr id="15" name="Picture 10" descr="Face the future wit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3" cstate="print">
                                              <a:extLst>
                                                <a:ext uri="{28A0092B-C50C-407E-A947-70E740481C1C}">
                                                  <a14:useLocalDpi xmlns:a14="http://schemas.microsoft.com/office/drawing/2010/main"/>
                                                </a:ext>
                                              </a:extLst>
                                            </a:blip>
                                            <a:stretch>
                                              <a:fillRect/>
                                            </a:stretch>
                                          </pic:blipFill>
                                          <pic:spPr>
                                            <a:xfrm>
                                              <a:off x="0" y="0"/>
                                              <a:ext cx="4227916" cy="274320"/>
                                            </a:xfrm>
                                            <a:prstGeom prst="rect">
                                              <a:avLst/>
                                            </a:prstGeom>
                                          </pic:spPr>
                                        </pic:pic>
                                      </a:graphicData>
                                    </a:graphic>
                                  </wp:inline>
                                </w:drawing>
                              </w:r>
                            </w:p>
                          </w:txbxContent>
                        </wps:txbx>
                        <wps:bodyPr lIns="0" tIns="0" rIns="0" bIns="0" rtlCol="0" anchor="t"/>
                      </wps:wsp>
                      <wps:wsp>
                        <wps:cNvPr id="36" name="Rectangle 36"/>
                        <wps:cNvSpPr/>
                        <wps:spPr>
                          <a:xfrm>
                            <a:off x="0" y="0"/>
                            <a:ext cx="7086207" cy="118872"/>
                          </a:xfrm>
                          <a:prstGeom prst="rect">
                            <a:avLst/>
                          </a:prstGeom>
                          <a:gradFill flip="none" rotWithShape="0">
                            <a:gsLst>
                              <a:gs pos="0">
                                <a:srgbClr val="00AABD"/>
                              </a:gs>
                              <a:gs pos="100000">
                                <a:srgbClr val="00355B"/>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anchor>
            </w:drawing>
          </mc:Choice>
          <mc:Fallback>
            <w:pict>
              <v:group w14:anchorId="580A7665" id="Group 32" o:spid="_x0000_s1029" alt="gradient filled rectangle" style="position:absolute;margin-left:54pt;margin-top:126pt;width:558pt;height:4in;z-index:-251658239;mso-position-horizontal-relative:page;mso-position-vertical-relative:page;mso-width-relative:margin" coordsize="70862,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">
                <v:rect id="Rectangle 34" o:spid="_x0000_s1030" alt="Gradient filled rectangle" style="position:absolute;width:70862;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" fillcolor="#00bdd2" stroked="f" strokeweight="1pt">
                  <v:fill color2="#356783" angle="90" colors="0 #00bdd2;.5 #3897b2;1 #356783" focus="100%" type="gradient"/>
                  <v:textbox inset="0,0,0,0">
                    <w:txbxContent>
                      <w:p w14:paraId="583BD4F3" w14:textId="77777777" w:rsidR="00297FAD" w:rsidRDefault="00297FAD" w:rsidP="00820449">
                        <w:pPr>
                          <w:pStyle w:val="BodyPRO0"/>
                          <w:jc w:val="center"/>
                        </w:pPr>
                      </w:p>
                      <w:p w14:paraId="0A655981" w14:textId="77777777" w:rsidR="00297FAD" w:rsidRDefault="00297FAD" w:rsidP="00820449">
                        <w:pPr>
                          <w:pStyle w:val="BodyPRO0"/>
                          <w:jc w:val="center"/>
                        </w:pPr>
                      </w:p>
                      <w:p w14:paraId="6D275A90" w14:textId="77777777" w:rsidR="00297FAD" w:rsidRDefault="00297FAD" w:rsidP="00820449">
                        <w:pPr>
                          <w:pStyle w:val="BodyPRO0"/>
                          <w:jc w:val="center"/>
                        </w:pPr>
                      </w:p>
                      <w:p w14:paraId="19CA4911" w14:textId="77777777" w:rsidR="00297FAD" w:rsidRDefault="00297FAD" w:rsidP="00820449">
                        <w:pPr>
                          <w:pStyle w:val="BodyPRO0"/>
                          <w:jc w:val="center"/>
                        </w:pPr>
                      </w:p>
                      <w:p w14:paraId="0061C34F" w14:textId="77777777" w:rsidR="00297FAD" w:rsidRDefault="00297FAD" w:rsidP="00820449">
                        <w:pPr>
                          <w:pStyle w:val="BodyPRO0"/>
                          <w:jc w:val="center"/>
                        </w:pPr>
                      </w:p>
                      <w:p w14:paraId="418E4EAB" w14:textId="77777777" w:rsidR="00297FAD" w:rsidRDefault="00297FAD" w:rsidP="00820449">
                        <w:pPr>
                          <w:pStyle w:val="BodyPRO0"/>
                          <w:jc w:val="center"/>
                        </w:pPr>
                      </w:p>
                      <w:p w14:paraId="0B6CCCF8" w14:textId="77777777" w:rsidR="00297FAD" w:rsidRDefault="00297FAD" w:rsidP="00820449">
                        <w:pPr>
                          <w:pStyle w:val="BodyPRO0"/>
                          <w:jc w:val="center"/>
                        </w:pPr>
                      </w:p>
                      <w:p w14:paraId="67FFF599" w14:textId="77777777" w:rsidR="00297FAD" w:rsidRDefault="00297FAD" w:rsidP="00820449">
                        <w:pPr>
                          <w:pStyle w:val="BodyPRO0"/>
                          <w:jc w:val="center"/>
                        </w:pPr>
                        <w:r w:rsidRPr="00D767F0">
                          <w:rPr>
                            <w:lang w:val="en-AU" w:eastAsia="en-AU"/>
                          </w:rPr>
                          <w:drawing>
                            <wp:inline distT="0" distB="0" distL="0" distR="0" wp14:anchorId="23D5F50B" wp14:editId="0F20895C">
                              <wp:extent cx="4227916" cy="274320"/>
                              <wp:effectExtent l="0" t="0" r="1270" b="0"/>
                              <wp:docPr id="15" name="Picture 10" descr="Face the future wit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3" cstate="print">
                                        <a:extLst>
                                          <a:ext uri="{28A0092B-C50C-407E-A947-70E740481C1C}">
                                            <a14:useLocalDpi xmlns:a14="http://schemas.microsoft.com/office/drawing/2010/main"/>
                                          </a:ext>
                                        </a:extLst>
                                      </a:blip>
                                      <a:stretch>
                                        <a:fillRect/>
                                      </a:stretch>
                                    </pic:blipFill>
                                    <pic:spPr>
                                      <a:xfrm>
                                        <a:off x="0" y="0"/>
                                        <a:ext cx="4227916" cy="274320"/>
                                      </a:xfrm>
                                      <a:prstGeom prst="rect">
                                        <a:avLst/>
                                      </a:prstGeom>
                                    </pic:spPr>
                                  </pic:pic>
                                </a:graphicData>
                              </a:graphic>
                            </wp:inline>
                          </w:drawing>
                        </w:r>
                      </w:p>
                    </w:txbxContent>
                  </v:textbox>
                </v:rect>
                <v:rect id="Rectangle 36" o:spid="_x0000_s1031" style="position:absolute;width:70862;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" fillcolor="#00aabd" stroked="f" strokeweight="1pt">
                  <v:fill color2="#00355b" angle="90" focus="100%" type="gradient"/>
                </v:rect>
                <w10:wrap anchorx="page" anchory="page"/>
              </v:group>
            </w:pict>
          </mc:Fallback>
        </mc:AlternateContent>
      </w:r>
    </w:p>
    <w:sectPr w:rsidR="004339CA" w:rsidRPr="004339CA" w:rsidSect="00777F00">
      <w:footerReference w:type="default" r:id="rId24"/>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05B65" w16cid:durableId="1F4A3BA6"/>
  <w16cid:commentId w16cid:paraId="26DF0D33" w16cid:durableId="1F4A3C4F"/>
  <w16cid:commentId w16cid:paraId="716FF10F" w16cid:durableId="1F4A3CAE"/>
  <w16cid:commentId w16cid:paraId="27C10071" w16cid:durableId="1F4A3EDE"/>
  <w16cid:commentId w16cid:paraId="09A54010" w16cid:durableId="1F4A405C"/>
  <w16cid:commentId w16cid:paraId="2FA2981D" w16cid:durableId="1F4A4122"/>
  <w16cid:commentId w16cid:paraId="07DB7B41" w16cid:durableId="1F4A428F"/>
  <w16cid:commentId w16cid:paraId="6D8BB85C" w16cid:durableId="1F4A43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1415" w14:textId="77777777" w:rsidR="00C02A89" w:rsidRDefault="00C02A89" w:rsidP="006F6980">
      <w:pPr>
        <w:spacing w:before="0" w:after="0" w:line="240" w:lineRule="auto"/>
      </w:pPr>
      <w:r>
        <w:separator/>
      </w:r>
    </w:p>
  </w:endnote>
  <w:endnote w:type="continuationSeparator" w:id="0">
    <w:p w14:paraId="247770D4" w14:textId="77777777" w:rsidR="00C02A89" w:rsidRDefault="00C02A89" w:rsidP="006F6980">
      <w:pPr>
        <w:spacing w:before="0" w:after="0" w:line="240" w:lineRule="auto"/>
      </w:pPr>
      <w:r>
        <w:continuationSeparator/>
      </w:r>
    </w:p>
  </w:endnote>
  <w:endnote w:type="continuationNotice" w:id="1">
    <w:p w14:paraId="76E6D4E7" w14:textId="77777777" w:rsidR="00C02A89" w:rsidRDefault="00C02A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B5CB" w14:textId="7CAE795F" w:rsidR="00297FAD" w:rsidRPr="000626ED" w:rsidRDefault="00297FAD" w:rsidP="000626ED">
    <w:pPr>
      <w:pStyle w:val="Footer"/>
      <w:rPr>
        <w:sz w:val="16"/>
      </w:rPr>
    </w:pPr>
    <w:r w:rsidRPr="000626ED">
      <w:rPr>
        <w:b/>
        <w:sz w:val="16"/>
      </w:rPr>
      <w:t xml:space="preserve">© 2018 </w:t>
    </w:r>
    <w:proofErr w:type="spellStart"/>
    <w:r w:rsidRPr="000626ED">
      <w:rPr>
        <w:b/>
        <w:sz w:val="16"/>
      </w:rPr>
      <w:t>Protiviti</w:t>
    </w:r>
    <w:proofErr w:type="spellEnd"/>
    <w:r w:rsidRPr="000626ED">
      <w:rPr>
        <w:b/>
        <w:sz w:val="16"/>
      </w:rPr>
      <w:t xml:space="preserve"> – Confidential.</w:t>
    </w:r>
    <w:r w:rsidRPr="000626ED">
      <w:rPr>
        <w:sz w:val="16"/>
      </w:rPr>
      <w:t xml:space="preserve"> </w:t>
    </w:r>
    <w:proofErr w:type="spellStart"/>
    <w:r w:rsidRPr="000626ED">
      <w:rPr>
        <w:sz w:val="16"/>
      </w:rPr>
      <w:t>Protiviti</w:t>
    </w:r>
    <w:proofErr w:type="spellEnd"/>
    <w:r w:rsidRPr="000626ED">
      <w:rPr>
        <w:sz w:val="16"/>
      </w:rPr>
      <w:t xml:space="preserve"> is not licensed or registered as a public accounting firm and does not issue opinions</w:t>
    </w:r>
    <w:r>
      <w:rPr>
        <w:sz w:val="16"/>
      </w:rPr>
      <w:br/>
    </w:r>
    <w:r w:rsidRPr="000626ED">
      <w:rPr>
        <w:sz w:val="16"/>
      </w:rPr>
      <w:t xml:space="preserve"> on financial statements or offer attestation services. All registered trademarks are the property of their respective owners.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C6DB" w14:textId="77777777" w:rsidR="00297FAD" w:rsidRDefault="00297FAD" w:rsidP="00747C78">
    <w:pPr>
      <w:tabs>
        <w:tab w:val="left" w:pos="9450"/>
      </w:tabs>
    </w:pPr>
    <w:r>
      <w:t xml:space="preserve">© 2017 </w:t>
    </w:r>
    <w:proofErr w:type="spellStart"/>
    <w:r>
      <w:t>Protiviti</w:t>
    </w:r>
    <w:proofErr w:type="spellEnd"/>
    <w:r>
      <w:t xml:space="preserve"> </w:t>
    </w:r>
    <w:proofErr w:type="spellStart"/>
    <w:r>
      <w:t>Inc</w:t>
    </w:r>
    <w:proofErr w:type="spellEnd"/>
    <w:r>
      <w:tab/>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269660"/>
      <w:docPartObj>
        <w:docPartGallery w:val="Page Numbers (Bottom of Page)"/>
        <w:docPartUnique/>
      </w:docPartObj>
    </w:sdtPr>
    <w:sdtEndPr>
      <w:rPr>
        <w:noProof/>
      </w:rPr>
    </w:sdtEndPr>
    <w:sdtContent>
      <w:p w14:paraId="69BF39C5" w14:textId="7B0159F4" w:rsidR="00297FAD" w:rsidRPr="00E71327" w:rsidRDefault="00297FAD" w:rsidP="00E71327">
        <w:pPr>
          <w:pStyle w:val="Footer"/>
          <w:jc w:val="right"/>
        </w:pPr>
        <w:r>
          <w:fldChar w:fldCharType="begin"/>
        </w:r>
        <w:r>
          <w:instrText xml:space="preserve"> PAGE   \* MERGEFORMAT </w:instrText>
        </w:r>
        <w:r>
          <w:fldChar w:fldCharType="separate"/>
        </w:r>
        <w:r w:rsidR="00901194">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A209" w14:textId="77777777" w:rsidR="00297FAD" w:rsidRPr="004339CA" w:rsidRDefault="00297FAD" w:rsidP="004339CA">
    <w:r w:rsidRPr="004339CA">
      <w:rPr>
        <w:noProof/>
        <w:lang w:val="en-AU" w:eastAsia="en-AU"/>
      </w:rPr>
      <w:drawing>
        <wp:anchor distT="0" distB="0" distL="114300" distR="114300" simplePos="0" relativeHeight="251657728" behindDoc="0" locked="0" layoutInCell="1" allowOverlap="1" wp14:anchorId="23F2F7AE" wp14:editId="1813C169">
          <wp:simplePos x="0" y="0"/>
          <wp:positionH relativeFrom="column">
            <wp:posOffset>4617720</wp:posOffset>
          </wp:positionH>
          <wp:positionV relativeFrom="paragraph">
            <wp:posOffset>-276132</wp:posOffset>
          </wp:positionV>
          <wp:extent cx="1412082" cy="418513"/>
          <wp:effectExtent l="0" t="0" r="0" b="635"/>
          <wp:wrapNone/>
          <wp:docPr id="3" name="Picture 9" descr="protivi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stretch>
                    <a:fillRect/>
                  </a:stretch>
                </pic:blipFill>
                <pic:spPr>
                  <a:xfrm>
                    <a:off x="0" y="0"/>
                    <a:ext cx="1412082" cy="418513"/>
                  </a:xfrm>
                  <a:prstGeom prst="rect">
                    <a:avLst/>
                  </a:prstGeom>
                </pic:spPr>
              </pic:pic>
            </a:graphicData>
          </a:graphic>
        </wp:anchor>
      </w:drawing>
    </w:r>
    <w:r w:rsidRPr="004339CA">
      <w:rPr>
        <w:noProof/>
        <w:lang w:val="en-AU" w:eastAsia="en-AU"/>
      </w:rPr>
      <mc:AlternateContent>
        <mc:Choice Requires="wps">
          <w:drawing>
            <wp:anchor distT="0" distB="0" distL="114300" distR="114300" simplePos="0" relativeHeight="251658752" behindDoc="0" locked="1" layoutInCell="1" allowOverlap="1" wp14:anchorId="21913721" wp14:editId="5AFCC328">
              <wp:simplePos x="0" y="0"/>
              <wp:positionH relativeFrom="margin">
                <wp:posOffset>4445</wp:posOffset>
              </wp:positionH>
              <wp:positionV relativeFrom="margin">
                <wp:posOffset>8810625</wp:posOffset>
              </wp:positionV>
              <wp:extent cx="4343400" cy="237490"/>
              <wp:effectExtent l="0" t="0" r="0"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37490"/>
                      </a:xfrm>
                      <a:prstGeom prst="rect">
                        <a:avLst/>
                      </a:prstGeom>
                      <a:noFill/>
                      <a:ln>
                        <a:noFill/>
                      </a:ln>
                      <a:extLst/>
                    </wps:spPr>
                    <wps:txbx>
                      <w:txbxContent>
                        <w:p w14:paraId="431668E0" w14:textId="77777777" w:rsidR="00297FAD" w:rsidRPr="000626ED" w:rsidRDefault="00297FAD" w:rsidP="004339CA">
                          <w:pPr>
                            <w:pStyle w:val="NormalWeb"/>
                            <w:kinsoku w:val="0"/>
                            <w:overflowPunct w:val="0"/>
                            <w:spacing w:before="0" w:beforeAutospacing="0" w:after="0" w:afterAutospacing="0"/>
                          </w:pPr>
                          <w:r w:rsidRPr="000626ED">
                            <w:rPr>
                              <w:rFonts w:ascii="Arial" w:hAnsi="Arial" w:cs="Calibri"/>
                              <w:color w:val="333333"/>
                              <w:kern w:val="24"/>
                              <w:sz w:val="16"/>
                              <w:szCs w:val="16"/>
                            </w:rPr>
                            <w:t xml:space="preserve">© 2018 </w:t>
                          </w:r>
                          <w:proofErr w:type="spellStart"/>
                          <w:r w:rsidRPr="000626ED">
                            <w:rPr>
                              <w:rFonts w:ascii="Arial" w:hAnsi="Arial" w:cs="Calibri"/>
                              <w:color w:val="333333"/>
                              <w:kern w:val="24"/>
                              <w:sz w:val="16"/>
                              <w:szCs w:val="16"/>
                            </w:rPr>
                            <w:t>Protiviti</w:t>
                          </w:r>
                          <w:proofErr w:type="spellEnd"/>
                          <w:r w:rsidRPr="000626ED">
                            <w:rPr>
                              <w:rFonts w:ascii="Arial" w:hAnsi="Arial" w:cs="Calibri"/>
                              <w:color w:val="333333"/>
                              <w:kern w:val="24"/>
                              <w:sz w:val="16"/>
                              <w:szCs w:val="16"/>
                            </w:rPr>
                            <w:t xml:space="preserve"> – Confidential.  </w:t>
                          </w:r>
                          <w:proofErr w:type="spellStart"/>
                          <w:r w:rsidRPr="000626ED">
                            <w:rPr>
                              <w:rFonts w:ascii="Arial" w:hAnsi="Arial" w:cs="Calibri"/>
                              <w:color w:val="333333"/>
                              <w:kern w:val="24"/>
                              <w:sz w:val="16"/>
                              <w:szCs w:val="16"/>
                            </w:rPr>
                            <w:t>Protiviti</w:t>
                          </w:r>
                          <w:proofErr w:type="spellEnd"/>
                          <w:r w:rsidRPr="000626ED">
                            <w:rPr>
                              <w:rFonts w:ascii="Arial" w:hAnsi="Arial" w:cs="Calibri"/>
                              <w:color w:val="333333"/>
                              <w:kern w:val="24"/>
                              <w:sz w:val="16"/>
                              <w:szCs w:val="16"/>
                            </w:rPr>
                            <w:t xml:space="preserve"> is not licensed or registered as a public accounting firm and does not issue opinions on financial statements or offer attestation services. All registered trademarks are the property of their respective owners.</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21913721" id="_x0000_t202" coordsize="21600,21600" o:spt="202" path="m,l,21600r21600,l21600,xe">
              <v:stroke joinstyle="miter"/>
              <v:path gradientshapeok="t" o:connecttype="rect"/>
            </v:shapetype>
            <v:shape id="Text Box 11" o:spid="_x0000_s1032" type="#_x0000_t202" style="position:absolute;margin-left:.35pt;margin-top:693.75pt;width:342pt;height:18.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" filled="f" stroked="f">
              <v:textbox style="mso-fit-shape-to-text:t" inset="0,0,0,0">
                <w:txbxContent>
                  <w:p w14:paraId="431668E0" w14:textId="77777777" w:rsidR="00297FAD" w:rsidRPr="000626ED" w:rsidRDefault="00297FAD" w:rsidP="004339CA">
                    <w:pPr>
                      <w:pStyle w:val="NormalWeb"/>
                      <w:kinsoku w:val="0"/>
                      <w:overflowPunct w:val="0"/>
                      <w:spacing w:before="0" w:beforeAutospacing="0" w:after="0" w:afterAutospacing="0"/>
                    </w:pPr>
                    <w:r w:rsidRPr="000626ED">
                      <w:rPr>
                        <w:rFonts w:ascii="Arial" w:hAnsi="Arial" w:cs="Calibri"/>
                        <w:color w:val="333333"/>
                        <w:kern w:val="24"/>
                        <w:sz w:val="16"/>
                        <w:szCs w:val="16"/>
                      </w:rPr>
                      <w:t>© 2018 Protiviti – Confidential.  Protiviti is not licensed or registered as a public accounting firm and does not issue opinions on financial statements or offer attestation services. All registered trademarks are the property of their respective owners.</w:t>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77DD" w14:textId="77777777" w:rsidR="00C02A89" w:rsidRDefault="00C02A89" w:rsidP="006F6980">
      <w:pPr>
        <w:spacing w:before="0" w:after="0" w:line="240" w:lineRule="auto"/>
      </w:pPr>
      <w:r>
        <w:separator/>
      </w:r>
    </w:p>
  </w:footnote>
  <w:footnote w:type="continuationSeparator" w:id="0">
    <w:p w14:paraId="5BD5A6B7" w14:textId="77777777" w:rsidR="00C02A89" w:rsidRDefault="00C02A89" w:rsidP="006F6980">
      <w:pPr>
        <w:spacing w:before="0" w:after="0" w:line="240" w:lineRule="auto"/>
      </w:pPr>
      <w:r>
        <w:continuationSeparator/>
      </w:r>
    </w:p>
  </w:footnote>
  <w:footnote w:type="continuationNotice" w:id="1">
    <w:p w14:paraId="255A4938" w14:textId="77777777" w:rsidR="00C02A89" w:rsidRDefault="00C02A89">
      <w:pPr>
        <w:spacing w:before="0" w:after="0" w:line="240" w:lineRule="auto"/>
      </w:pPr>
    </w:p>
  </w:footnote>
  <w:footnote w:id="2">
    <w:p w14:paraId="0F188CE9" w14:textId="049C96CE" w:rsidR="00297FAD" w:rsidRPr="007E5BEB" w:rsidRDefault="00297FAD">
      <w:pPr>
        <w:pStyle w:val="FootnoteText"/>
        <w:rPr>
          <w:rFonts w:ascii="Arial" w:hAnsi="Arial" w:cs="Arial"/>
          <w:color w:val="535355"/>
          <w:sz w:val="19"/>
          <w:szCs w:val="19"/>
          <w:shd w:val="clear" w:color="auto" w:fill="FFFFFF"/>
        </w:rPr>
      </w:pPr>
      <w:r w:rsidRPr="00A101CF">
        <w:rPr>
          <w:rStyle w:val="FootnoteReference"/>
          <w:color w:val="535355"/>
        </w:rPr>
        <w:footnoteRef/>
      </w:r>
      <w:r w:rsidRPr="00A101CF">
        <w:rPr>
          <w:color w:val="535355"/>
        </w:rPr>
        <w:t xml:space="preserve"> </w:t>
      </w:r>
      <w:proofErr w:type="spellStart"/>
      <w:r w:rsidRPr="00A101CF">
        <w:rPr>
          <w:rFonts w:ascii="Arial" w:hAnsi="Arial" w:cs="Arial"/>
          <w:color w:val="535355"/>
          <w:sz w:val="19"/>
          <w:szCs w:val="19"/>
          <w:shd w:val="clear" w:color="auto" w:fill="FFFFFF"/>
        </w:rPr>
        <w:t>Schnackenberg</w:t>
      </w:r>
      <w:proofErr w:type="spellEnd"/>
      <w:r w:rsidRPr="00A101CF">
        <w:rPr>
          <w:rFonts w:ascii="Arial" w:hAnsi="Arial" w:cs="Arial"/>
          <w:color w:val="535355"/>
          <w:sz w:val="19"/>
          <w:szCs w:val="19"/>
          <w:shd w:val="clear" w:color="auto" w:fill="FFFFFF"/>
        </w:rPr>
        <w:t>, Andrew K.; Tomlinson, Edward C. (March 2014). </w:t>
      </w:r>
      <w:hyperlink r:id="rId1" w:history="1">
        <w:r w:rsidRPr="007E5BEB">
          <w:rPr>
            <w:shd w:val="clear" w:color="auto" w:fill="FFFFFF"/>
          </w:rPr>
          <w:t>"Organizational transparency: a new perspective on managing trust in organization-stakeholder relationships"</w:t>
        </w:r>
      </w:hyperlink>
      <w:r w:rsidRPr="00A101CF">
        <w:rPr>
          <w:rFonts w:ascii="Arial" w:hAnsi="Arial" w:cs="Arial"/>
          <w:color w:val="535355"/>
          <w:sz w:val="19"/>
          <w:szCs w:val="19"/>
          <w:shd w:val="clear" w:color="auto" w:fill="FFFFFF"/>
        </w:rPr>
        <w:t>. </w:t>
      </w:r>
      <w:hyperlink r:id="rId2" w:tooltip="Journal of Management" w:history="1">
        <w:r w:rsidRPr="007E5BEB">
          <w:t>Journal of Management</w:t>
        </w:r>
      </w:hyperlink>
      <w:r w:rsidRPr="00A101CF">
        <w:rPr>
          <w:rFonts w:ascii="Arial" w:hAnsi="Arial" w:cs="Arial"/>
          <w:color w:val="535355"/>
          <w:sz w:val="19"/>
          <w:szCs w:val="19"/>
          <w:shd w:val="clear" w:color="auto" w:fill="FFFFFF"/>
        </w:rPr>
        <w:t>.</w:t>
      </w:r>
    </w:p>
  </w:footnote>
  <w:footnote w:id="3">
    <w:p w14:paraId="3C42A77E" w14:textId="31FC073C" w:rsidR="00297FAD" w:rsidRPr="00521112" w:rsidRDefault="00297FAD">
      <w:pPr>
        <w:pStyle w:val="FootnoteText"/>
        <w:rPr>
          <w:lang w:val="en-AU"/>
        </w:rPr>
      </w:pPr>
      <w:r>
        <w:rPr>
          <w:rStyle w:val="FootnoteReference"/>
        </w:rPr>
        <w:footnoteRef/>
      </w:r>
      <w:r>
        <w:t xml:space="preserve"> </w:t>
      </w:r>
      <w:r>
        <w:rPr>
          <w:lang w:val="en-AU"/>
        </w:rPr>
        <w:t>In this regard, we have considered the definition of advice, taken from the Cambridge University Online Dictionary, as “</w:t>
      </w:r>
      <w:r w:rsidRPr="007E5BEB">
        <w:rPr>
          <w:lang w:val="en-AU"/>
        </w:rPr>
        <w:t>an </w:t>
      </w:r>
      <w:hyperlink r:id="rId3" w:tooltip="opinion" w:history="1">
        <w:r w:rsidRPr="007E5BEB">
          <w:rPr>
            <w:lang w:val="en-AU"/>
          </w:rPr>
          <w:t>opinion</w:t>
        </w:r>
      </w:hyperlink>
      <w:r w:rsidRPr="007E5BEB">
        <w:rPr>
          <w:lang w:val="en-AU"/>
        </w:rPr>
        <w:t> that someone </w:t>
      </w:r>
      <w:hyperlink r:id="rId4" w:tooltip="offers" w:history="1">
        <w:r w:rsidRPr="007E5BEB">
          <w:rPr>
            <w:lang w:val="en-AU"/>
          </w:rPr>
          <w:t>offers</w:t>
        </w:r>
      </w:hyperlink>
      <w:r w:rsidRPr="007E5BEB">
        <w:rPr>
          <w:lang w:val="en-AU"/>
        </w:rPr>
        <w:t> you about what you should do or how you should </w:t>
      </w:r>
      <w:hyperlink r:id="rId5" w:tooltip="act" w:history="1">
        <w:r w:rsidRPr="007E5BEB">
          <w:rPr>
            <w:lang w:val="en-AU"/>
          </w:rPr>
          <w:t>act</w:t>
        </w:r>
      </w:hyperlink>
      <w:r w:rsidRPr="007E5BEB">
        <w:rPr>
          <w:lang w:val="en-AU"/>
        </w:rPr>
        <w:t> in a </w:t>
      </w:r>
      <w:hyperlink r:id="rId6" w:tooltip="particular" w:history="1">
        <w:r w:rsidRPr="007E5BEB">
          <w:rPr>
            <w:lang w:val="en-AU"/>
          </w:rPr>
          <w:t>particular</w:t>
        </w:r>
      </w:hyperlink>
      <w:r w:rsidRPr="007E5BEB">
        <w:rPr>
          <w:lang w:val="en-AU"/>
        </w:rPr>
        <w:t> </w:t>
      </w:r>
      <w:hyperlink r:id="rId7" w:tooltip="situation" w:history="1">
        <w:r w:rsidRPr="007E5BEB">
          <w:rPr>
            <w:lang w:val="en-AU"/>
          </w:rPr>
          <w:t>situation</w:t>
        </w:r>
      </w:hyperlink>
      <w:r w:rsidRPr="007E5BEB">
        <w:rPr>
          <w:lang w:val="en-AU"/>
        </w:rPr>
        <w:t>”.</w:t>
      </w:r>
      <w:r>
        <w:rPr>
          <w:lang w:val="en-AU"/>
        </w:rPr>
        <w:t xml:space="preserve">  It is action oriented.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28BB" w14:textId="77777777" w:rsidR="00297FAD" w:rsidRDefault="00297FAD">
    <w:r>
      <w:rPr>
        <w:noProof/>
        <w:lang w:val="en-AU" w:eastAsia="en-AU"/>
      </w:rPr>
      <w:drawing>
        <wp:anchor distT="0" distB="0" distL="114300" distR="114300" simplePos="0" relativeHeight="251656704" behindDoc="0" locked="0" layoutInCell="1" allowOverlap="1" wp14:anchorId="7A02A78B" wp14:editId="622190B8">
          <wp:simplePos x="0" y="0"/>
          <wp:positionH relativeFrom="margin">
            <wp:align>right</wp:align>
          </wp:positionH>
          <wp:positionV relativeFrom="paragraph">
            <wp:posOffset>-95250</wp:posOffset>
          </wp:positionV>
          <wp:extent cx="1767474" cy="972922"/>
          <wp:effectExtent l="0" t="0" r="0" b="0"/>
          <wp:wrapNone/>
          <wp:docPr id="4142" name="Picture 4142" descr="protivi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 name="PRO_LG_2C_RGB_5415-Black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474" cy="97292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FDCA" w14:textId="77777777" w:rsidR="00297FAD" w:rsidRDefault="00297FAD">
    <w:r>
      <w:rPr>
        <w:noProof/>
        <w:lang w:val="en-AU" w:eastAsia="en-AU"/>
      </w:rPr>
      <w:drawing>
        <wp:anchor distT="0" distB="0" distL="114300" distR="114300" simplePos="0" relativeHeight="251655680" behindDoc="0" locked="0" layoutInCell="1" allowOverlap="1" wp14:anchorId="558EF041" wp14:editId="53957373">
          <wp:simplePos x="0" y="0"/>
          <wp:positionH relativeFrom="margin">
            <wp:align>right</wp:align>
          </wp:positionH>
          <wp:positionV relativeFrom="paragraph">
            <wp:posOffset>-54864</wp:posOffset>
          </wp:positionV>
          <wp:extent cx="1767474" cy="972922"/>
          <wp:effectExtent l="0" t="0" r="0" b="0"/>
          <wp:wrapNone/>
          <wp:docPr id="4141" name="Picture 4141" descr="empty t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 name="PRO_LG_2C_RGB_5415-Black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474" cy="97292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C54E" w14:textId="61C67553" w:rsidR="00297FAD" w:rsidRPr="00F50C71" w:rsidRDefault="00297FAD" w:rsidP="00E1318D">
    <w:pPr>
      <w:tabs>
        <w:tab w:val="left" w:pos="8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F497DA"/>
    <w:lvl w:ilvl="0">
      <w:start w:val="1"/>
      <w:numFmt w:val="decimal"/>
      <w:pStyle w:val="ListNumber"/>
      <w:lvlText w:val="%1."/>
      <w:lvlJc w:val="left"/>
      <w:pPr>
        <w:tabs>
          <w:tab w:val="num" w:pos="567"/>
        </w:tabs>
        <w:ind w:left="567" w:hanging="567"/>
      </w:pPr>
      <w:rPr>
        <w:rFonts w:hint="default"/>
      </w:rPr>
    </w:lvl>
  </w:abstractNum>
  <w:abstractNum w:abstractNumId="1" w15:restartNumberingAfterBreak="0">
    <w:nsid w:val="FFFFFF89"/>
    <w:multiLevelType w:val="singleLevel"/>
    <w:tmpl w:val="6A3859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B3950"/>
    <w:multiLevelType w:val="multilevel"/>
    <w:tmpl w:val="EE527664"/>
    <w:numStyleLink w:val="PROBullets"/>
  </w:abstractNum>
  <w:abstractNum w:abstractNumId="3" w15:restartNumberingAfterBreak="0">
    <w:nsid w:val="055C48F5"/>
    <w:multiLevelType w:val="hybridMultilevel"/>
    <w:tmpl w:val="4EC41FC4"/>
    <w:lvl w:ilvl="0" w:tplc="FD5A2966">
      <w:start w:val="1"/>
      <w:numFmt w:val="bullet"/>
      <w:lvlText w:val=""/>
      <w:lvlJc w:val="left"/>
      <w:pPr>
        <w:tabs>
          <w:tab w:val="num" w:pos="720"/>
        </w:tabs>
        <w:ind w:left="720" w:hanging="360"/>
      </w:pPr>
      <w:rPr>
        <w:rFonts w:ascii="Symbol" w:hAnsi="Symbol" w:hint="default"/>
      </w:rPr>
    </w:lvl>
    <w:lvl w:ilvl="1" w:tplc="B1743864" w:tentative="1">
      <w:start w:val="1"/>
      <w:numFmt w:val="bullet"/>
      <w:lvlText w:val=""/>
      <w:lvlJc w:val="left"/>
      <w:pPr>
        <w:tabs>
          <w:tab w:val="num" w:pos="1440"/>
        </w:tabs>
        <w:ind w:left="1440" w:hanging="360"/>
      </w:pPr>
      <w:rPr>
        <w:rFonts w:ascii="Symbol" w:hAnsi="Symbol" w:hint="default"/>
      </w:rPr>
    </w:lvl>
    <w:lvl w:ilvl="2" w:tplc="C38EAF90" w:tentative="1">
      <w:start w:val="1"/>
      <w:numFmt w:val="bullet"/>
      <w:lvlText w:val=""/>
      <w:lvlJc w:val="left"/>
      <w:pPr>
        <w:tabs>
          <w:tab w:val="num" w:pos="2160"/>
        </w:tabs>
        <w:ind w:left="2160" w:hanging="360"/>
      </w:pPr>
      <w:rPr>
        <w:rFonts w:ascii="Symbol" w:hAnsi="Symbol" w:hint="default"/>
      </w:rPr>
    </w:lvl>
    <w:lvl w:ilvl="3" w:tplc="9DEA8A5C" w:tentative="1">
      <w:start w:val="1"/>
      <w:numFmt w:val="bullet"/>
      <w:lvlText w:val=""/>
      <w:lvlJc w:val="left"/>
      <w:pPr>
        <w:tabs>
          <w:tab w:val="num" w:pos="2880"/>
        </w:tabs>
        <w:ind w:left="2880" w:hanging="360"/>
      </w:pPr>
      <w:rPr>
        <w:rFonts w:ascii="Symbol" w:hAnsi="Symbol" w:hint="default"/>
      </w:rPr>
    </w:lvl>
    <w:lvl w:ilvl="4" w:tplc="6D18B5D0" w:tentative="1">
      <w:start w:val="1"/>
      <w:numFmt w:val="bullet"/>
      <w:lvlText w:val=""/>
      <w:lvlJc w:val="left"/>
      <w:pPr>
        <w:tabs>
          <w:tab w:val="num" w:pos="3600"/>
        </w:tabs>
        <w:ind w:left="3600" w:hanging="360"/>
      </w:pPr>
      <w:rPr>
        <w:rFonts w:ascii="Symbol" w:hAnsi="Symbol" w:hint="default"/>
      </w:rPr>
    </w:lvl>
    <w:lvl w:ilvl="5" w:tplc="9A00838C" w:tentative="1">
      <w:start w:val="1"/>
      <w:numFmt w:val="bullet"/>
      <w:lvlText w:val=""/>
      <w:lvlJc w:val="left"/>
      <w:pPr>
        <w:tabs>
          <w:tab w:val="num" w:pos="4320"/>
        </w:tabs>
        <w:ind w:left="4320" w:hanging="360"/>
      </w:pPr>
      <w:rPr>
        <w:rFonts w:ascii="Symbol" w:hAnsi="Symbol" w:hint="default"/>
      </w:rPr>
    </w:lvl>
    <w:lvl w:ilvl="6" w:tplc="12EEA61A" w:tentative="1">
      <w:start w:val="1"/>
      <w:numFmt w:val="bullet"/>
      <w:lvlText w:val=""/>
      <w:lvlJc w:val="left"/>
      <w:pPr>
        <w:tabs>
          <w:tab w:val="num" w:pos="5040"/>
        </w:tabs>
        <w:ind w:left="5040" w:hanging="360"/>
      </w:pPr>
      <w:rPr>
        <w:rFonts w:ascii="Symbol" w:hAnsi="Symbol" w:hint="default"/>
      </w:rPr>
    </w:lvl>
    <w:lvl w:ilvl="7" w:tplc="D2D28330" w:tentative="1">
      <w:start w:val="1"/>
      <w:numFmt w:val="bullet"/>
      <w:lvlText w:val=""/>
      <w:lvlJc w:val="left"/>
      <w:pPr>
        <w:tabs>
          <w:tab w:val="num" w:pos="5760"/>
        </w:tabs>
        <w:ind w:left="5760" w:hanging="360"/>
      </w:pPr>
      <w:rPr>
        <w:rFonts w:ascii="Symbol" w:hAnsi="Symbol" w:hint="default"/>
      </w:rPr>
    </w:lvl>
    <w:lvl w:ilvl="8" w:tplc="5AE0A9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33402D"/>
    <w:multiLevelType w:val="multilevel"/>
    <w:tmpl w:val="7974F6D2"/>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1051" w:hanging="273"/>
      </w:pPr>
      <w:rPr>
        <w:rFonts w:ascii="Courier New" w:hAnsi="Courier New" w:hint="default"/>
        <w:color w:val="3C3D3E" w:themeColor="text2"/>
      </w:rPr>
    </w:lvl>
    <w:lvl w:ilvl="3">
      <w:start w:val="1"/>
      <w:numFmt w:val="bullet"/>
      <w:lvlText w:val=""/>
      <w:lvlJc w:val="left"/>
      <w:pPr>
        <w:ind w:left="1325" w:hanging="274"/>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0D7675"/>
    <w:multiLevelType w:val="multilevel"/>
    <w:tmpl w:val="7974F6D2"/>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1051" w:hanging="273"/>
      </w:pPr>
      <w:rPr>
        <w:rFonts w:ascii="Courier New" w:hAnsi="Courier New" w:hint="default"/>
        <w:color w:val="3C3D3E" w:themeColor="text2"/>
      </w:rPr>
    </w:lvl>
    <w:lvl w:ilvl="3">
      <w:start w:val="1"/>
      <w:numFmt w:val="bullet"/>
      <w:lvlText w:val=""/>
      <w:lvlJc w:val="left"/>
      <w:pPr>
        <w:ind w:left="1325" w:hanging="274"/>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617449"/>
    <w:multiLevelType w:val="hybridMultilevel"/>
    <w:tmpl w:val="E376D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A334B"/>
    <w:multiLevelType w:val="multilevel"/>
    <w:tmpl w:val="EE527664"/>
    <w:numStyleLink w:val="PROBullets"/>
  </w:abstractNum>
  <w:abstractNum w:abstractNumId="8" w15:restartNumberingAfterBreak="0">
    <w:nsid w:val="1E3B7135"/>
    <w:multiLevelType w:val="hybridMultilevel"/>
    <w:tmpl w:val="77D00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6B7B94"/>
    <w:multiLevelType w:val="hybridMultilevel"/>
    <w:tmpl w:val="6548D9C2"/>
    <w:lvl w:ilvl="0" w:tplc="9F1C95D8">
      <w:start w:val="1"/>
      <w:numFmt w:val="bullet"/>
      <w:lvlText w:val=""/>
      <w:lvlJc w:val="left"/>
      <w:pPr>
        <w:tabs>
          <w:tab w:val="num" w:pos="720"/>
        </w:tabs>
        <w:ind w:left="720" w:hanging="360"/>
      </w:pPr>
      <w:rPr>
        <w:rFonts w:ascii="Symbol" w:hAnsi="Symbol" w:hint="default"/>
      </w:rPr>
    </w:lvl>
    <w:lvl w:ilvl="1" w:tplc="090C68AA" w:tentative="1">
      <w:start w:val="1"/>
      <w:numFmt w:val="bullet"/>
      <w:lvlText w:val=""/>
      <w:lvlJc w:val="left"/>
      <w:pPr>
        <w:tabs>
          <w:tab w:val="num" w:pos="1440"/>
        </w:tabs>
        <w:ind w:left="1440" w:hanging="360"/>
      </w:pPr>
      <w:rPr>
        <w:rFonts w:ascii="Symbol" w:hAnsi="Symbol" w:hint="default"/>
      </w:rPr>
    </w:lvl>
    <w:lvl w:ilvl="2" w:tplc="D648452C" w:tentative="1">
      <w:start w:val="1"/>
      <w:numFmt w:val="bullet"/>
      <w:lvlText w:val=""/>
      <w:lvlJc w:val="left"/>
      <w:pPr>
        <w:tabs>
          <w:tab w:val="num" w:pos="2160"/>
        </w:tabs>
        <w:ind w:left="2160" w:hanging="360"/>
      </w:pPr>
      <w:rPr>
        <w:rFonts w:ascii="Symbol" w:hAnsi="Symbol" w:hint="default"/>
      </w:rPr>
    </w:lvl>
    <w:lvl w:ilvl="3" w:tplc="0B147A34" w:tentative="1">
      <w:start w:val="1"/>
      <w:numFmt w:val="bullet"/>
      <w:lvlText w:val=""/>
      <w:lvlJc w:val="left"/>
      <w:pPr>
        <w:tabs>
          <w:tab w:val="num" w:pos="2880"/>
        </w:tabs>
        <w:ind w:left="2880" w:hanging="360"/>
      </w:pPr>
      <w:rPr>
        <w:rFonts w:ascii="Symbol" w:hAnsi="Symbol" w:hint="default"/>
      </w:rPr>
    </w:lvl>
    <w:lvl w:ilvl="4" w:tplc="9CCE0662" w:tentative="1">
      <w:start w:val="1"/>
      <w:numFmt w:val="bullet"/>
      <w:lvlText w:val=""/>
      <w:lvlJc w:val="left"/>
      <w:pPr>
        <w:tabs>
          <w:tab w:val="num" w:pos="3600"/>
        </w:tabs>
        <w:ind w:left="3600" w:hanging="360"/>
      </w:pPr>
      <w:rPr>
        <w:rFonts w:ascii="Symbol" w:hAnsi="Symbol" w:hint="default"/>
      </w:rPr>
    </w:lvl>
    <w:lvl w:ilvl="5" w:tplc="417EE1C8" w:tentative="1">
      <w:start w:val="1"/>
      <w:numFmt w:val="bullet"/>
      <w:lvlText w:val=""/>
      <w:lvlJc w:val="left"/>
      <w:pPr>
        <w:tabs>
          <w:tab w:val="num" w:pos="4320"/>
        </w:tabs>
        <w:ind w:left="4320" w:hanging="360"/>
      </w:pPr>
      <w:rPr>
        <w:rFonts w:ascii="Symbol" w:hAnsi="Symbol" w:hint="default"/>
      </w:rPr>
    </w:lvl>
    <w:lvl w:ilvl="6" w:tplc="3BDA9D62" w:tentative="1">
      <w:start w:val="1"/>
      <w:numFmt w:val="bullet"/>
      <w:lvlText w:val=""/>
      <w:lvlJc w:val="left"/>
      <w:pPr>
        <w:tabs>
          <w:tab w:val="num" w:pos="5040"/>
        </w:tabs>
        <w:ind w:left="5040" w:hanging="360"/>
      </w:pPr>
      <w:rPr>
        <w:rFonts w:ascii="Symbol" w:hAnsi="Symbol" w:hint="default"/>
      </w:rPr>
    </w:lvl>
    <w:lvl w:ilvl="7" w:tplc="2FE4AD82" w:tentative="1">
      <w:start w:val="1"/>
      <w:numFmt w:val="bullet"/>
      <w:lvlText w:val=""/>
      <w:lvlJc w:val="left"/>
      <w:pPr>
        <w:tabs>
          <w:tab w:val="num" w:pos="5760"/>
        </w:tabs>
        <w:ind w:left="5760" w:hanging="360"/>
      </w:pPr>
      <w:rPr>
        <w:rFonts w:ascii="Symbol" w:hAnsi="Symbol" w:hint="default"/>
      </w:rPr>
    </w:lvl>
    <w:lvl w:ilvl="8" w:tplc="E94489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220550"/>
    <w:multiLevelType w:val="multilevel"/>
    <w:tmpl w:val="087A8EA6"/>
    <w:lvl w:ilvl="0">
      <w:start w:val="1"/>
      <w:numFmt w:val="bullet"/>
      <w:pStyle w:val="BulletBodyPro"/>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821" w:hanging="274"/>
      </w:pPr>
      <w:rPr>
        <w:rFonts w:ascii="Courier New" w:hAnsi="Courier New" w:hint="default"/>
        <w:color w:val="3C3D3E" w:themeColor="text2"/>
      </w:rPr>
    </w:lvl>
    <w:lvl w:ilvl="3">
      <w:start w:val="1"/>
      <w:numFmt w:val="bullet"/>
      <w:lvlText w:val=""/>
      <w:lvlJc w:val="left"/>
      <w:pPr>
        <w:ind w:left="1094" w:hanging="273"/>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807B1A"/>
    <w:multiLevelType w:val="hybridMultilevel"/>
    <w:tmpl w:val="98486BF6"/>
    <w:lvl w:ilvl="0" w:tplc="267E19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74E20"/>
    <w:multiLevelType w:val="multilevel"/>
    <w:tmpl w:val="BE2E8DBC"/>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821" w:hanging="274"/>
      </w:pPr>
      <w:rPr>
        <w:rFonts w:ascii="Courier New" w:hAnsi="Courier New" w:hint="default"/>
        <w:color w:val="3C3D3E" w:themeColor="text2"/>
      </w:rPr>
    </w:lvl>
    <w:lvl w:ilvl="3">
      <w:start w:val="1"/>
      <w:numFmt w:val="bullet"/>
      <w:lvlText w:val=""/>
      <w:lvlJc w:val="left"/>
      <w:pPr>
        <w:ind w:left="1094" w:hanging="273"/>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6A4D41"/>
    <w:multiLevelType w:val="hybridMultilevel"/>
    <w:tmpl w:val="E0EAF180"/>
    <w:lvl w:ilvl="0" w:tplc="67FEECA0">
      <w:start w:val="1"/>
      <w:numFmt w:val="bullet"/>
      <w:lvlText w:val="•"/>
      <w:lvlJc w:val="left"/>
      <w:pPr>
        <w:tabs>
          <w:tab w:val="num" w:pos="720"/>
        </w:tabs>
        <w:ind w:left="720" w:hanging="360"/>
      </w:pPr>
      <w:rPr>
        <w:rFonts w:ascii="Arial" w:hAnsi="Arial" w:hint="default"/>
      </w:rPr>
    </w:lvl>
    <w:lvl w:ilvl="1" w:tplc="7618118C">
      <w:start w:val="1"/>
      <w:numFmt w:val="bullet"/>
      <w:lvlText w:val="•"/>
      <w:lvlJc w:val="left"/>
      <w:pPr>
        <w:tabs>
          <w:tab w:val="num" w:pos="1440"/>
        </w:tabs>
        <w:ind w:left="1440" w:hanging="360"/>
      </w:pPr>
      <w:rPr>
        <w:rFonts w:ascii="Arial" w:hAnsi="Arial" w:hint="default"/>
      </w:rPr>
    </w:lvl>
    <w:lvl w:ilvl="2" w:tplc="644C2462" w:tentative="1">
      <w:start w:val="1"/>
      <w:numFmt w:val="bullet"/>
      <w:lvlText w:val="•"/>
      <w:lvlJc w:val="left"/>
      <w:pPr>
        <w:tabs>
          <w:tab w:val="num" w:pos="2160"/>
        </w:tabs>
        <w:ind w:left="2160" w:hanging="360"/>
      </w:pPr>
      <w:rPr>
        <w:rFonts w:ascii="Arial" w:hAnsi="Arial" w:hint="default"/>
      </w:rPr>
    </w:lvl>
    <w:lvl w:ilvl="3" w:tplc="3160B9FE" w:tentative="1">
      <w:start w:val="1"/>
      <w:numFmt w:val="bullet"/>
      <w:lvlText w:val="•"/>
      <w:lvlJc w:val="left"/>
      <w:pPr>
        <w:tabs>
          <w:tab w:val="num" w:pos="2880"/>
        </w:tabs>
        <w:ind w:left="2880" w:hanging="360"/>
      </w:pPr>
      <w:rPr>
        <w:rFonts w:ascii="Arial" w:hAnsi="Arial" w:hint="default"/>
      </w:rPr>
    </w:lvl>
    <w:lvl w:ilvl="4" w:tplc="D3FE4E78" w:tentative="1">
      <w:start w:val="1"/>
      <w:numFmt w:val="bullet"/>
      <w:lvlText w:val="•"/>
      <w:lvlJc w:val="left"/>
      <w:pPr>
        <w:tabs>
          <w:tab w:val="num" w:pos="3600"/>
        </w:tabs>
        <w:ind w:left="3600" w:hanging="360"/>
      </w:pPr>
      <w:rPr>
        <w:rFonts w:ascii="Arial" w:hAnsi="Arial" w:hint="default"/>
      </w:rPr>
    </w:lvl>
    <w:lvl w:ilvl="5" w:tplc="DB3667E6" w:tentative="1">
      <w:start w:val="1"/>
      <w:numFmt w:val="bullet"/>
      <w:lvlText w:val="•"/>
      <w:lvlJc w:val="left"/>
      <w:pPr>
        <w:tabs>
          <w:tab w:val="num" w:pos="4320"/>
        </w:tabs>
        <w:ind w:left="4320" w:hanging="360"/>
      </w:pPr>
      <w:rPr>
        <w:rFonts w:ascii="Arial" w:hAnsi="Arial" w:hint="default"/>
      </w:rPr>
    </w:lvl>
    <w:lvl w:ilvl="6" w:tplc="62D6221E" w:tentative="1">
      <w:start w:val="1"/>
      <w:numFmt w:val="bullet"/>
      <w:lvlText w:val="•"/>
      <w:lvlJc w:val="left"/>
      <w:pPr>
        <w:tabs>
          <w:tab w:val="num" w:pos="5040"/>
        </w:tabs>
        <w:ind w:left="5040" w:hanging="360"/>
      </w:pPr>
      <w:rPr>
        <w:rFonts w:ascii="Arial" w:hAnsi="Arial" w:hint="default"/>
      </w:rPr>
    </w:lvl>
    <w:lvl w:ilvl="7" w:tplc="4F8C3264" w:tentative="1">
      <w:start w:val="1"/>
      <w:numFmt w:val="bullet"/>
      <w:lvlText w:val="•"/>
      <w:lvlJc w:val="left"/>
      <w:pPr>
        <w:tabs>
          <w:tab w:val="num" w:pos="5760"/>
        </w:tabs>
        <w:ind w:left="5760" w:hanging="360"/>
      </w:pPr>
      <w:rPr>
        <w:rFonts w:ascii="Arial" w:hAnsi="Arial" w:hint="default"/>
      </w:rPr>
    </w:lvl>
    <w:lvl w:ilvl="8" w:tplc="7D0CB7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3F7570"/>
    <w:multiLevelType w:val="hybridMultilevel"/>
    <w:tmpl w:val="A57AE756"/>
    <w:lvl w:ilvl="0" w:tplc="903E16B6">
      <w:start w:val="1"/>
      <w:numFmt w:val="bullet"/>
      <w:lvlText w:val="–"/>
      <w:lvlJc w:val="left"/>
      <w:pPr>
        <w:ind w:left="2340" w:hanging="360"/>
      </w:pPr>
      <w:rPr>
        <w:rFonts w:ascii="Arial" w:hAnsi="Arial" w:hint="default"/>
        <w:color w:val="3C3D3E" w:themeColor="text1"/>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29E0763"/>
    <w:multiLevelType w:val="hybridMultilevel"/>
    <w:tmpl w:val="FE7C71A2"/>
    <w:lvl w:ilvl="0" w:tplc="BE02DE90">
      <w:start w:val="1"/>
      <w:numFmt w:val="bullet"/>
      <w:lvlText w:val=""/>
      <w:lvlJc w:val="left"/>
      <w:pPr>
        <w:ind w:left="720" w:hanging="360"/>
      </w:pPr>
      <w:rPr>
        <w:rFonts w:ascii="Wingdings" w:hAnsi="Wingdings" w:hint="default"/>
        <w:color w:val="5D7B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101AF"/>
    <w:multiLevelType w:val="multilevel"/>
    <w:tmpl w:val="EE527664"/>
    <w:numStyleLink w:val="PROBullets"/>
  </w:abstractNum>
  <w:abstractNum w:abstractNumId="17" w15:restartNumberingAfterBreak="0">
    <w:nsid w:val="3E726138"/>
    <w:multiLevelType w:val="multilevel"/>
    <w:tmpl w:val="7974F6D2"/>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1051" w:hanging="273"/>
      </w:pPr>
      <w:rPr>
        <w:rFonts w:ascii="Courier New" w:hAnsi="Courier New" w:hint="default"/>
        <w:color w:val="3C3D3E" w:themeColor="text2"/>
      </w:rPr>
    </w:lvl>
    <w:lvl w:ilvl="3">
      <w:start w:val="1"/>
      <w:numFmt w:val="bullet"/>
      <w:lvlText w:val=""/>
      <w:lvlJc w:val="left"/>
      <w:pPr>
        <w:ind w:left="1325" w:hanging="274"/>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AF7248"/>
    <w:multiLevelType w:val="multilevel"/>
    <w:tmpl w:val="EE527664"/>
    <w:numStyleLink w:val="PROBullets"/>
  </w:abstractNum>
  <w:abstractNum w:abstractNumId="19" w15:restartNumberingAfterBreak="0">
    <w:nsid w:val="3F281F47"/>
    <w:multiLevelType w:val="hybridMultilevel"/>
    <w:tmpl w:val="3FF2773E"/>
    <w:lvl w:ilvl="0" w:tplc="0246B8E2">
      <w:start w:val="1"/>
      <w:numFmt w:val="bullet"/>
      <w:lvlText w:val="•"/>
      <w:lvlJc w:val="left"/>
      <w:pPr>
        <w:tabs>
          <w:tab w:val="num" w:pos="720"/>
        </w:tabs>
        <w:ind w:left="720" w:hanging="360"/>
      </w:pPr>
      <w:rPr>
        <w:rFonts w:ascii="Arial" w:hAnsi="Arial" w:hint="default"/>
      </w:rPr>
    </w:lvl>
    <w:lvl w:ilvl="1" w:tplc="3850B56C">
      <w:numFmt w:val="bullet"/>
      <w:lvlText w:val="―"/>
      <w:lvlJc w:val="left"/>
      <w:pPr>
        <w:tabs>
          <w:tab w:val="num" w:pos="1440"/>
        </w:tabs>
        <w:ind w:left="1440" w:hanging="360"/>
      </w:pPr>
      <w:rPr>
        <w:rFonts w:ascii="Arial" w:hAnsi="Arial" w:hint="default"/>
      </w:rPr>
    </w:lvl>
    <w:lvl w:ilvl="2" w:tplc="77B2872A" w:tentative="1">
      <w:start w:val="1"/>
      <w:numFmt w:val="bullet"/>
      <w:lvlText w:val="•"/>
      <w:lvlJc w:val="left"/>
      <w:pPr>
        <w:tabs>
          <w:tab w:val="num" w:pos="2160"/>
        </w:tabs>
        <w:ind w:left="2160" w:hanging="360"/>
      </w:pPr>
      <w:rPr>
        <w:rFonts w:ascii="Arial" w:hAnsi="Arial" w:hint="default"/>
      </w:rPr>
    </w:lvl>
    <w:lvl w:ilvl="3" w:tplc="CDB05B04" w:tentative="1">
      <w:start w:val="1"/>
      <w:numFmt w:val="bullet"/>
      <w:lvlText w:val="•"/>
      <w:lvlJc w:val="left"/>
      <w:pPr>
        <w:tabs>
          <w:tab w:val="num" w:pos="2880"/>
        </w:tabs>
        <w:ind w:left="2880" w:hanging="360"/>
      </w:pPr>
      <w:rPr>
        <w:rFonts w:ascii="Arial" w:hAnsi="Arial" w:hint="default"/>
      </w:rPr>
    </w:lvl>
    <w:lvl w:ilvl="4" w:tplc="2BB893DE" w:tentative="1">
      <w:start w:val="1"/>
      <w:numFmt w:val="bullet"/>
      <w:lvlText w:val="•"/>
      <w:lvlJc w:val="left"/>
      <w:pPr>
        <w:tabs>
          <w:tab w:val="num" w:pos="3600"/>
        </w:tabs>
        <w:ind w:left="3600" w:hanging="360"/>
      </w:pPr>
      <w:rPr>
        <w:rFonts w:ascii="Arial" w:hAnsi="Arial" w:hint="default"/>
      </w:rPr>
    </w:lvl>
    <w:lvl w:ilvl="5" w:tplc="0F522FA6" w:tentative="1">
      <w:start w:val="1"/>
      <w:numFmt w:val="bullet"/>
      <w:lvlText w:val="•"/>
      <w:lvlJc w:val="left"/>
      <w:pPr>
        <w:tabs>
          <w:tab w:val="num" w:pos="4320"/>
        </w:tabs>
        <w:ind w:left="4320" w:hanging="360"/>
      </w:pPr>
      <w:rPr>
        <w:rFonts w:ascii="Arial" w:hAnsi="Arial" w:hint="default"/>
      </w:rPr>
    </w:lvl>
    <w:lvl w:ilvl="6" w:tplc="6DB63C66" w:tentative="1">
      <w:start w:val="1"/>
      <w:numFmt w:val="bullet"/>
      <w:lvlText w:val="•"/>
      <w:lvlJc w:val="left"/>
      <w:pPr>
        <w:tabs>
          <w:tab w:val="num" w:pos="5040"/>
        </w:tabs>
        <w:ind w:left="5040" w:hanging="360"/>
      </w:pPr>
      <w:rPr>
        <w:rFonts w:ascii="Arial" w:hAnsi="Arial" w:hint="default"/>
      </w:rPr>
    </w:lvl>
    <w:lvl w:ilvl="7" w:tplc="6FEE8D3E" w:tentative="1">
      <w:start w:val="1"/>
      <w:numFmt w:val="bullet"/>
      <w:lvlText w:val="•"/>
      <w:lvlJc w:val="left"/>
      <w:pPr>
        <w:tabs>
          <w:tab w:val="num" w:pos="5760"/>
        </w:tabs>
        <w:ind w:left="5760" w:hanging="360"/>
      </w:pPr>
      <w:rPr>
        <w:rFonts w:ascii="Arial" w:hAnsi="Arial" w:hint="default"/>
      </w:rPr>
    </w:lvl>
    <w:lvl w:ilvl="8" w:tplc="167C08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612F7F"/>
    <w:multiLevelType w:val="hybridMultilevel"/>
    <w:tmpl w:val="9C90E840"/>
    <w:lvl w:ilvl="0" w:tplc="A4421172">
      <w:start w:val="1"/>
      <w:numFmt w:val="bullet"/>
      <w:lvlText w:val="•"/>
      <w:lvlJc w:val="left"/>
      <w:pPr>
        <w:tabs>
          <w:tab w:val="num" w:pos="720"/>
        </w:tabs>
        <w:ind w:left="720" w:hanging="360"/>
      </w:pPr>
      <w:rPr>
        <w:rFonts w:ascii="Times New Roman" w:hAnsi="Times New Roman" w:hint="default"/>
      </w:rPr>
    </w:lvl>
    <w:lvl w:ilvl="1" w:tplc="C30AD998">
      <w:start w:val="177"/>
      <w:numFmt w:val="bullet"/>
      <w:lvlText w:val="–"/>
      <w:lvlJc w:val="left"/>
      <w:pPr>
        <w:tabs>
          <w:tab w:val="num" w:pos="1440"/>
        </w:tabs>
        <w:ind w:left="1440" w:hanging="360"/>
      </w:pPr>
      <w:rPr>
        <w:rFonts w:ascii="Times New Roman" w:hAnsi="Times New Roman" w:hint="default"/>
      </w:rPr>
    </w:lvl>
    <w:lvl w:ilvl="2" w:tplc="3168DC88" w:tentative="1">
      <w:start w:val="1"/>
      <w:numFmt w:val="bullet"/>
      <w:lvlText w:val="•"/>
      <w:lvlJc w:val="left"/>
      <w:pPr>
        <w:tabs>
          <w:tab w:val="num" w:pos="2160"/>
        </w:tabs>
        <w:ind w:left="2160" w:hanging="360"/>
      </w:pPr>
      <w:rPr>
        <w:rFonts w:ascii="Times New Roman" w:hAnsi="Times New Roman" w:hint="default"/>
      </w:rPr>
    </w:lvl>
    <w:lvl w:ilvl="3" w:tplc="ED241B38" w:tentative="1">
      <w:start w:val="1"/>
      <w:numFmt w:val="bullet"/>
      <w:lvlText w:val="•"/>
      <w:lvlJc w:val="left"/>
      <w:pPr>
        <w:tabs>
          <w:tab w:val="num" w:pos="2880"/>
        </w:tabs>
        <w:ind w:left="2880" w:hanging="360"/>
      </w:pPr>
      <w:rPr>
        <w:rFonts w:ascii="Times New Roman" w:hAnsi="Times New Roman" w:hint="default"/>
      </w:rPr>
    </w:lvl>
    <w:lvl w:ilvl="4" w:tplc="7BB095A0" w:tentative="1">
      <w:start w:val="1"/>
      <w:numFmt w:val="bullet"/>
      <w:lvlText w:val="•"/>
      <w:lvlJc w:val="left"/>
      <w:pPr>
        <w:tabs>
          <w:tab w:val="num" w:pos="3600"/>
        </w:tabs>
        <w:ind w:left="3600" w:hanging="360"/>
      </w:pPr>
      <w:rPr>
        <w:rFonts w:ascii="Times New Roman" w:hAnsi="Times New Roman" w:hint="default"/>
      </w:rPr>
    </w:lvl>
    <w:lvl w:ilvl="5" w:tplc="A5AE9616" w:tentative="1">
      <w:start w:val="1"/>
      <w:numFmt w:val="bullet"/>
      <w:lvlText w:val="•"/>
      <w:lvlJc w:val="left"/>
      <w:pPr>
        <w:tabs>
          <w:tab w:val="num" w:pos="4320"/>
        </w:tabs>
        <w:ind w:left="4320" w:hanging="360"/>
      </w:pPr>
      <w:rPr>
        <w:rFonts w:ascii="Times New Roman" w:hAnsi="Times New Roman" w:hint="default"/>
      </w:rPr>
    </w:lvl>
    <w:lvl w:ilvl="6" w:tplc="3C9EF16A" w:tentative="1">
      <w:start w:val="1"/>
      <w:numFmt w:val="bullet"/>
      <w:lvlText w:val="•"/>
      <w:lvlJc w:val="left"/>
      <w:pPr>
        <w:tabs>
          <w:tab w:val="num" w:pos="5040"/>
        </w:tabs>
        <w:ind w:left="5040" w:hanging="360"/>
      </w:pPr>
      <w:rPr>
        <w:rFonts w:ascii="Times New Roman" w:hAnsi="Times New Roman" w:hint="default"/>
      </w:rPr>
    </w:lvl>
    <w:lvl w:ilvl="7" w:tplc="331895B0" w:tentative="1">
      <w:start w:val="1"/>
      <w:numFmt w:val="bullet"/>
      <w:lvlText w:val="•"/>
      <w:lvlJc w:val="left"/>
      <w:pPr>
        <w:tabs>
          <w:tab w:val="num" w:pos="5760"/>
        </w:tabs>
        <w:ind w:left="5760" w:hanging="360"/>
      </w:pPr>
      <w:rPr>
        <w:rFonts w:ascii="Times New Roman" w:hAnsi="Times New Roman" w:hint="default"/>
      </w:rPr>
    </w:lvl>
    <w:lvl w:ilvl="8" w:tplc="0F5A68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A60531"/>
    <w:multiLevelType w:val="hybridMultilevel"/>
    <w:tmpl w:val="B992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5C7829"/>
    <w:multiLevelType w:val="multilevel"/>
    <w:tmpl w:val="EE527664"/>
    <w:numStyleLink w:val="PROBullets"/>
  </w:abstractNum>
  <w:abstractNum w:abstractNumId="23" w15:restartNumberingAfterBreak="0">
    <w:nsid w:val="4D696E6B"/>
    <w:multiLevelType w:val="multilevel"/>
    <w:tmpl w:val="0809001D"/>
    <w:numStyleLink w:val="Style1"/>
  </w:abstractNum>
  <w:abstractNum w:abstractNumId="24" w15:restartNumberingAfterBreak="0">
    <w:nsid w:val="4D9167E5"/>
    <w:multiLevelType w:val="multilevel"/>
    <w:tmpl w:val="EE527664"/>
    <w:numStyleLink w:val="PROBullets"/>
  </w:abstractNum>
  <w:abstractNum w:abstractNumId="25" w15:restartNumberingAfterBreak="0">
    <w:nsid w:val="4E5310F2"/>
    <w:multiLevelType w:val="multilevel"/>
    <w:tmpl w:val="EE527664"/>
    <w:numStyleLink w:val="PROBullets"/>
  </w:abstractNum>
  <w:abstractNum w:abstractNumId="26" w15:restartNumberingAfterBreak="0">
    <w:nsid w:val="52B36D69"/>
    <w:multiLevelType w:val="multilevel"/>
    <w:tmpl w:val="EE527664"/>
    <w:numStyleLink w:val="PROBullets"/>
  </w:abstractNum>
  <w:abstractNum w:abstractNumId="27" w15:restartNumberingAfterBreak="0">
    <w:nsid w:val="585A2C00"/>
    <w:multiLevelType w:val="hybridMultilevel"/>
    <w:tmpl w:val="795A14CE"/>
    <w:lvl w:ilvl="0" w:tplc="626E95D4">
      <w:start w:val="1"/>
      <w:numFmt w:val="bullet"/>
      <w:lvlText w:val=""/>
      <w:lvlJc w:val="left"/>
      <w:pPr>
        <w:tabs>
          <w:tab w:val="num" w:pos="720"/>
        </w:tabs>
        <w:ind w:left="720" w:hanging="360"/>
      </w:pPr>
      <w:rPr>
        <w:rFonts w:ascii="Symbol" w:hAnsi="Symbol" w:hint="default"/>
      </w:rPr>
    </w:lvl>
    <w:lvl w:ilvl="1" w:tplc="8526615C" w:tentative="1">
      <w:start w:val="1"/>
      <w:numFmt w:val="bullet"/>
      <w:lvlText w:val=""/>
      <w:lvlJc w:val="left"/>
      <w:pPr>
        <w:tabs>
          <w:tab w:val="num" w:pos="1440"/>
        </w:tabs>
        <w:ind w:left="1440" w:hanging="360"/>
      </w:pPr>
      <w:rPr>
        <w:rFonts w:ascii="Symbol" w:hAnsi="Symbol" w:hint="default"/>
      </w:rPr>
    </w:lvl>
    <w:lvl w:ilvl="2" w:tplc="700E557A" w:tentative="1">
      <w:start w:val="1"/>
      <w:numFmt w:val="bullet"/>
      <w:lvlText w:val=""/>
      <w:lvlJc w:val="left"/>
      <w:pPr>
        <w:tabs>
          <w:tab w:val="num" w:pos="2160"/>
        </w:tabs>
        <w:ind w:left="2160" w:hanging="360"/>
      </w:pPr>
      <w:rPr>
        <w:rFonts w:ascii="Symbol" w:hAnsi="Symbol" w:hint="default"/>
      </w:rPr>
    </w:lvl>
    <w:lvl w:ilvl="3" w:tplc="ACA48960" w:tentative="1">
      <w:start w:val="1"/>
      <w:numFmt w:val="bullet"/>
      <w:lvlText w:val=""/>
      <w:lvlJc w:val="left"/>
      <w:pPr>
        <w:tabs>
          <w:tab w:val="num" w:pos="2880"/>
        </w:tabs>
        <w:ind w:left="2880" w:hanging="360"/>
      </w:pPr>
      <w:rPr>
        <w:rFonts w:ascii="Symbol" w:hAnsi="Symbol" w:hint="default"/>
      </w:rPr>
    </w:lvl>
    <w:lvl w:ilvl="4" w:tplc="B288A804" w:tentative="1">
      <w:start w:val="1"/>
      <w:numFmt w:val="bullet"/>
      <w:lvlText w:val=""/>
      <w:lvlJc w:val="left"/>
      <w:pPr>
        <w:tabs>
          <w:tab w:val="num" w:pos="3600"/>
        </w:tabs>
        <w:ind w:left="3600" w:hanging="360"/>
      </w:pPr>
      <w:rPr>
        <w:rFonts w:ascii="Symbol" w:hAnsi="Symbol" w:hint="default"/>
      </w:rPr>
    </w:lvl>
    <w:lvl w:ilvl="5" w:tplc="3FDAF2DC" w:tentative="1">
      <w:start w:val="1"/>
      <w:numFmt w:val="bullet"/>
      <w:lvlText w:val=""/>
      <w:lvlJc w:val="left"/>
      <w:pPr>
        <w:tabs>
          <w:tab w:val="num" w:pos="4320"/>
        </w:tabs>
        <w:ind w:left="4320" w:hanging="360"/>
      </w:pPr>
      <w:rPr>
        <w:rFonts w:ascii="Symbol" w:hAnsi="Symbol" w:hint="default"/>
      </w:rPr>
    </w:lvl>
    <w:lvl w:ilvl="6" w:tplc="A0685E02" w:tentative="1">
      <w:start w:val="1"/>
      <w:numFmt w:val="bullet"/>
      <w:lvlText w:val=""/>
      <w:lvlJc w:val="left"/>
      <w:pPr>
        <w:tabs>
          <w:tab w:val="num" w:pos="5040"/>
        </w:tabs>
        <w:ind w:left="5040" w:hanging="360"/>
      </w:pPr>
      <w:rPr>
        <w:rFonts w:ascii="Symbol" w:hAnsi="Symbol" w:hint="default"/>
      </w:rPr>
    </w:lvl>
    <w:lvl w:ilvl="7" w:tplc="100E41CC" w:tentative="1">
      <w:start w:val="1"/>
      <w:numFmt w:val="bullet"/>
      <w:lvlText w:val=""/>
      <w:lvlJc w:val="left"/>
      <w:pPr>
        <w:tabs>
          <w:tab w:val="num" w:pos="5760"/>
        </w:tabs>
        <w:ind w:left="5760" w:hanging="360"/>
      </w:pPr>
      <w:rPr>
        <w:rFonts w:ascii="Symbol" w:hAnsi="Symbol" w:hint="default"/>
      </w:rPr>
    </w:lvl>
    <w:lvl w:ilvl="8" w:tplc="829AD40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5E5501"/>
    <w:multiLevelType w:val="multilevel"/>
    <w:tmpl w:val="8086173E"/>
    <w:lvl w:ilvl="0">
      <w:start w:val="1"/>
      <w:numFmt w:val="bullet"/>
      <w:pStyle w:val="ListBullet"/>
      <w:lvlText w:val=""/>
      <w:lvlJc w:val="left"/>
      <w:pPr>
        <w:ind w:left="274" w:hanging="274"/>
      </w:pPr>
      <w:rPr>
        <w:rFonts w:ascii="Symbol" w:hAnsi="Symbol" w:hint="default"/>
      </w:rPr>
    </w:lvl>
    <w:lvl w:ilvl="1">
      <w:start w:val="1"/>
      <w:numFmt w:val="bullet"/>
      <w:lvlText w:val="–"/>
      <w:lvlJc w:val="left"/>
      <w:pPr>
        <w:ind w:left="547" w:hanging="273"/>
      </w:pPr>
      <w:rPr>
        <w:rFonts w:ascii="Arial" w:hAnsi="Arial" w:hint="default"/>
        <w:color w:val="6C6D6F" w:themeColor="text1" w:themeTint="BF"/>
      </w:rPr>
    </w:lvl>
    <w:lvl w:ilvl="2">
      <w:start w:val="1"/>
      <w:numFmt w:val="bullet"/>
      <w:lvlText w:val="o"/>
      <w:lvlJc w:val="left"/>
      <w:pPr>
        <w:ind w:left="821" w:hanging="274"/>
      </w:pPr>
      <w:rPr>
        <w:rFonts w:ascii="Courier New" w:hAnsi="Courier New" w:hint="default"/>
      </w:rPr>
    </w:lvl>
    <w:lvl w:ilvl="3">
      <w:start w:val="1"/>
      <w:numFmt w:val="bullet"/>
      <w:lvlText w:val=""/>
      <w:lvlJc w:val="left"/>
      <w:pPr>
        <w:ind w:left="1094" w:hanging="273"/>
      </w:pPr>
      <w:rPr>
        <w:rFonts w:ascii="Wingdings" w:hAnsi="Wingdings" w:hint="default"/>
      </w:rPr>
    </w:lvl>
    <w:lvl w:ilvl="4">
      <w:start w:val="1"/>
      <w:numFmt w:val="bullet"/>
      <w:lvlText w:val=""/>
      <w:lvlJc w:val="left"/>
      <w:pPr>
        <w:ind w:left="1368" w:hanging="274"/>
      </w:pPr>
      <w:rPr>
        <w:rFonts w:ascii="Symbol" w:hAnsi="Symbol"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5F7265A8"/>
    <w:multiLevelType w:val="multilevel"/>
    <w:tmpl w:val="EE527664"/>
    <w:numStyleLink w:val="PROBullets"/>
  </w:abstractNum>
  <w:abstractNum w:abstractNumId="30" w15:restartNumberingAfterBreak="0">
    <w:nsid w:val="61D62089"/>
    <w:multiLevelType w:val="multilevel"/>
    <w:tmpl w:val="0809001D"/>
    <w:styleLink w:val="Style1"/>
    <w:lvl w:ilvl="0">
      <w:start w:val="1"/>
      <w:numFmt w:val="bullet"/>
      <w:lvlText w:val=""/>
      <w:lvlJc w:val="left"/>
      <w:pPr>
        <w:ind w:left="360" w:hanging="360"/>
      </w:pPr>
      <w:rPr>
        <w:rFonts w:ascii="Symbol" w:hAnsi="Symbol" w:hint="default"/>
        <w:color w:val="3C3D3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813E5E"/>
    <w:multiLevelType w:val="multilevel"/>
    <w:tmpl w:val="EE527664"/>
    <w:numStyleLink w:val="PROBullets"/>
  </w:abstractNum>
  <w:abstractNum w:abstractNumId="32" w15:restartNumberingAfterBreak="0">
    <w:nsid w:val="63516DC8"/>
    <w:multiLevelType w:val="multilevel"/>
    <w:tmpl w:val="EE527664"/>
    <w:numStyleLink w:val="PROBullets"/>
  </w:abstractNum>
  <w:abstractNum w:abstractNumId="33" w15:restartNumberingAfterBreak="0">
    <w:nsid w:val="639E78CC"/>
    <w:multiLevelType w:val="multilevel"/>
    <w:tmpl w:val="7974F6D2"/>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1051" w:hanging="273"/>
      </w:pPr>
      <w:rPr>
        <w:rFonts w:ascii="Courier New" w:hAnsi="Courier New" w:hint="default"/>
        <w:color w:val="3C3D3E" w:themeColor="text2"/>
      </w:rPr>
    </w:lvl>
    <w:lvl w:ilvl="3">
      <w:start w:val="1"/>
      <w:numFmt w:val="bullet"/>
      <w:lvlText w:val=""/>
      <w:lvlJc w:val="left"/>
      <w:pPr>
        <w:ind w:left="1325" w:hanging="274"/>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C3420C"/>
    <w:multiLevelType w:val="multilevel"/>
    <w:tmpl w:val="EE527664"/>
    <w:numStyleLink w:val="PROBullets"/>
  </w:abstractNum>
  <w:abstractNum w:abstractNumId="35" w15:restartNumberingAfterBreak="0">
    <w:nsid w:val="670C74F0"/>
    <w:multiLevelType w:val="hybridMultilevel"/>
    <w:tmpl w:val="A068331E"/>
    <w:lvl w:ilvl="0" w:tplc="70501EAA">
      <w:start w:val="1"/>
      <w:numFmt w:val="bullet"/>
      <w:pStyle w:val="Resumebullets"/>
      <w:lvlText w:val="•"/>
      <w:lvlJc w:val="left"/>
      <w:pPr>
        <w:ind w:left="360" w:hanging="360"/>
      </w:pPr>
      <w:rPr>
        <w:rFonts w:ascii="Times" w:hAnsi="Times" w:hint="default"/>
        <w:b w:val="0"/>
        <w:i w:val="0"/>
        <w:color w:val="3C3D3E"/>
        <w:sz w:val="20"/>
      </w:rPr>
    </w:lvl>
    <w:lvl w:ilvl="1" w:tplc="7324A52A">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251782"/>
    <w:multiLevelType w:val="hybridMultilevel"/>
    <w:tmpl w:val="3CEA6028"/>
    <w:lvl w:ilvl="0" w:tplc="3BACA994">
      <w:start w:val="1"/>
      <w:numFmt w:val="bullet"/>
      <w:lvlText w:val=""/>
      <w:lvlJc w:val="left"/>
      <w:pPr>
        <w:ind w:left="1080" w:hanging="360"/>
      </w:pPr>
      <w:rPr>
        <w:rFonts w:ascii="Symbol" w:hAnsi="Symbol" w:hint="default"/>
        <w:color w:val="333333"/>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6A1C13AC"/>
    <w:multiLevelType w:val="multilevel"/>
    <w:tmpl w:val="EE527664"/>
    <w:numStyleLink w:val="PROBullets"/>
  </w:abstractNum>
  <w:abstractNum w:abstractNumId="38" w15:restartNumberingAfterBreak="0">
    <w:nsid w:val="7A9C079D"/>
    <w:multiLevelType w:val="multilevel"/>
    <w:tmpl w:val="EE527664"/>
    <w:styleLink w:val="PROBullets"/>
    <w:lvl w:ilvl="0">
      <w:start w:val="1"/>
      <w:numFmt w:val="bullet"/>
      <w:lvlText w:val=""/>
      <w:lvlJc w:val="left"/>
      <w:pPr>
        <w:ind w:left="274" w:hanging="274"/>
      </w:pPr>
      <w:rPr>
        <w:rFonts w:ascii="Symbol" w:hAnsi="Symbol" w:hint="default"/>
        <w:color w:val="3C3D3E" w:themeColor="text2"/>
      </w:rPr>
    </w:lvl>
    <w:lvl w:ilvl="1">
      <w:start w:val="1"/>
      <w:numFmt w:val="bullet"/>
      <w:lvlText w:val="−"/>
      <w:lvlJc w:val="left"/>
      <w:pPr>
        <w:ind w:left="547" w:hanging="273"/>
      </w:pPr>
      <w:rPr>
        <w:rFonts w:ascii="Arial" w:hAnsi="Arial" w:hint="default"/>
        <w:color w:val="3C3D3E" w:themeColor="text2"/>
      </w:rPr>
    </w:lvl>
    <w:lvl w:ilvl="2">
      <w:start w:val="1"/>
      <w:numFmt w:val="bullet"/>
      <w:lvlText w:val="o"/>
      <w:lvlJc w:val="left"/>
      <w:pPr>
        <w:ind w:left="821" w:hanging="274"/>
      </w:pPr>
      <w:rPr>
        <w:rFonts w:ascii="Courier New" w:hAnsi="Courier New" w:hint="default"/>
        <w:color w:val="3C3D3E" w:themeColor="text2"/>
      </w:rPr>
    </w:lvl>
    <w:lvl w:ilvl="3">
      <w:start w:val="1"/>
      <w:numFmt w:val="bullet"/>
      <w:lvlText w:val=""/>
      <w:lvlJc w:val="left"/>
      <w:pPr>
        <w:ind w:left="1094" w:hanging="273"/>
      </w:pPr>
      <w:rPr>
        <w:rFonts w:ascii="Wingdings" w:hAnsi="Wingdings" w:hint="default"/>
        <w:color w:val="3C3D3E" w:themeColor="text2"/>
      </w:rPr>
    </w:lvl>
    <w:lvl w:ilvl="4">
      <w:start w:val="1"/>
      <w:numFmt w:val="none"/>
      <w:lvlText w:val="%5"/>
      <w:lvlJc w:val="left"/>
      <w:pPr>
        <w:ind w:left="1800" w:hanging="360"/>
      </w:pPr>
      <w:rPr>
        <w:rFonts w:ascii="Times New Roman" w:hAnsi="Times New Roman" w:hint="default"/>
        <w:color w:val="3C3D3E" w:themeColor="text2"/>
      </w:rPr>
    </w:lvl>
    <w:lvl w:ilvl="5">
      <w:start w:val="1"/>
      <w:numFmt w:val="none"/>
      <w:lvlText w:val="(%6)"/>
      <w:lvlJc w:val="left"/>
      <w:pPr>
        <w:ind w:left="2160" w:hanging="360"/>
      </w:pPr>
      <w:rPr>
        <w:rFonts w:ascii="Arial" w:hAnsi="Arial" w:hint="default"/>
        <w:color w:val="3C3D3E"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2"/>
  </w:num>
  <w:num w:numId="3">
    <w:abstractNumId w:val="25"/>
  </w:num>
  <w:num w:numId="4">
    <w:abstractNumId w:val="37"/>
  </w:num>
  <w:num w:numId="5">
    <w:abstractNumId w:val="16"/>
  </w:num>
  <w:num w:numId="6">
    <w:abstractNumId w:val="30"/>
  </w:num>
  <w:num w:numId="7">
    <w:abstractNumId w:val="23"/>
  </w:num>
  <w:num w:numId="8">
    <w:abstractNumId w:val="26"/>
  </w:num>
  <w:num w:numId="9">
    <w:abstractNumId w:val="29"/>
  </w:num>
  <w:num w:numId="10">
    <w:abstractNumId w:val="7"/>
  </w:num>
  <w:num w:numId="11">
    <w:abstractNumId w:val="5"/>
  </w:num>
  <w:num w:numId="12">
    <w:abstractNumId w:val="18"/>
  </w:num>
  <w:num w:numId="13">
    <w:abstractNumId w:val="14"/>
  </w:num>
  <w:num w:numId="14">
    <w:abstractNumId w:val="31"/>
  </w:num>
  <w:num w:numId="15">
    <w:abstractNumId w:val="24"/>
  </w:num>
  <w:num w:numId="16">
    <w:abstractNumId w:val="1"/>
  </w:num>
  <w:num w:numId="17">
    <w:abstractNumId w:val="2"/>
  </w:num>
  <w:num w:numId="18">
    <w:abstractNumId w:val="3"/>
  </w:num>
  <w:num w:numId="19">
    <w:abstractNumId w:val="27"/>
  </w:num>
  <w:num w:numId="20">
    <w:abstractNumId w:val="9"/>
  </w:num>
  <w:num w:numId="21">
    <w:abstractNumId w:val="34"/>
  </w:num>
  <w:num w:numId="22">
    <w:abstractNumId w:val="17"/>
  </w:num>
  <w:num w:numId="23">
    <w:abstractNumId w:val="32"/>
  </w:num>
  <w:num w:numId="24">
    <w:abstractNumId w:val="33"/>
  </w:num>
  <w:num w:numId="25">
    <w:abstractNumId w:val="4"/>
  </w:num>
  <w:num w:numId="26">
    <w:abstractNumId w:val="10"/>
  </w:num>
  <w:num w:numId="27">
    <w:abstractNumId w:val="19"/>
  </w:num>
  <w:num w:numId="28">
    <w:abstractNumId w:val="13"/>
  </w:num>
  <w:num w:numId="29">
    <w:abstractNumId w:val="10"/>
  </w:num>
  <w:num w:numId="30">
    <w:abstractNumId w:val="35"/>
  </w:num>
  <w:num w:numId="31">
    <w:abstractNumId w:val="11"/>
  </w:num>
  <w:num w:numId="32">
    <w:abstractNumId w:val="28"/>
  </w:num>
  <w:num w:numId="33">
    <w:abstractNumId w:val="35"/>
  </w:num>
  <w:num w:numId="34">
    <w:abstractNumId w:val="12"/>
  </w:num>
  <w:num w:numId="35">
    <w:abstractNumId w:val="10"/>
  </w:num>
  <w:num w:numId="36">
    <w:abstractNumId w:val="10"/>
  </w:num>
  <w:num w:numId="37">
    <w:abstractNumId w:val="36"/>
  </w:num>
  <w:num w:numId="38">
    <w:abstractNumId w:val="10"/>
  </w:num>
  <w:num w:numId="39">
    <w:abstractNumId w:val="10"/>
  </w:num>
  <w:num w:numId="40">
    <w:abstractNumId w:val="10"/>
  </w:num>
  <w:num w:numId="41">
    <w:abstractNumId w:val="10"/>
  </w:num>
  <w:num w:numId="42">
    <w:abstractNumId w:val="10"/>
  </w:num>
  <w:num w:numId="43">
    <w:abstractNumId w:val="21"/>
  </w:num>
  <w:num w:numId="44">
    <w:abstractNumId w:val="10"/>
  </w:num>
  <w:num w:numId="45">
    <w:abstractNumId w:val="15"/>
  </w:num>
  <w:num w:numId="46">
    <w:abstractNumId w:val="6"/>
  </w:num>
  <w:num w:numId="47">
    <w:abstractNumId w:val="20"/>
  </w:num>
  <w:num w:numId="48">
    <w:abstractNumId w:val="0"/>
  </w:num>
  <w:num w:numId="49">
    <w:abstractNumId w:val="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720"/>
  <w:drawingGridVerticalSpacing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B5"/>
    <w:rsid w:val="00013FE0"/>
    <w:rsid w:val="000163B5"/>
    <w:rsid w:val="00021675"/>
    <w:rsid w:val="00021981"/>
    <w:rsid w:val="00030E86"/>
    <w:rsid w:val="00033CC4"/>
    <w:rsid w:val="000368F4"/>
    <w:rsid w:val="000600A1"/>
    <w:rsid w:val="000626ED"/>
    <w:rsid w:val="000632D6"/>
    <w:rsid w:val="0006340A"/>
    <w:rsid w:val="00072A3D"/>
    <w:rsid w:val="00080B50"/>
    <w:rsid w:val="000815A6"/>
    <w:rsid w:val="00081A51"/>
    <w:rsid w:val="00085560"/>
    <w:rsid w:val="00086034"/>
    <w:rsid w:val="000918C7"/>
    <w:rsid w:val="00096E6F"/>
    <w:rsid w:val="00097E10"/>
    <w:rsid w:val="000A2200"/>
    <w:rsid w:val="000A5AF2"/>
    <w:rsid w:val="000B2798"/>
    <w:rsid w:val="000C05FE"/>
    <w:rsid w:val="000D0737"/>
    <w:rsid w:val="000D0BAB"/>
    <w:rsid w:val="000E4808"/>
    <w:rsid w:val="000E7D41"/>
    <w:rsid w:val="000E7F43"/>
    <w:rsid w:val="000F578C"/>
    <w:rsid w:val="000F6393"/>
    <w:rsid w:val="000F6420"/>
    <w:rsid w:val="000F64AA"/>
    <w:rsid w:val="000F762A"/>
    <w:rsid w:val="0010007E"/>
    <w:rsid w:val="00106552"/>
    <w:rsid w:val="00116994"/>
    <w:rsid w:val="001223E7"/>
    <w:rsid w:val="00124244"/>
    <w:rsid w:val="0012517D"/>
    <w:rsid w:val="001524EC"/>
    <w:rsid w:val="0015476C"/>
    <w:rsid w:val="001565D3"/>
    <w:rsid w:val="001642C8"/>
    <w:rsid w:val="001659D9"/>
    <w:rsid w:val="001667E6"/>
    <w:rsid w:val="00167081"/>
    <w:rsid w:val="00180C6E"/>
    <w:rsid w:val="00186E45"/>
    <w:rsid w:val="0018735F"/>
    <w:rsid w:val="0019172C"/>
    <w:rsid w:val="0019253A"/>
    <w:rsid w:val="00194EB1"/>
    <w:rsid w:val="001A297E"/>
    <w:rsid w:val="001A2CF8"/>
    <w:rsid w:val="001A2F53"/>
    <w:rsid w:val="001B03B3"/>
    <w:rsid w:val="001B6CA9"/>
    <w:rsid w:val="001D22DA"/>
    <w:rsid w:val="001D78CE"/>
    <w:rsid w:val="001F128A"/>
    <w:rsid w:val="001F2D8F"/>
    <w:rsid w:val="001F6BDC"/>
    <w:rsid w:val="0020341F"/>
    <w:rsid w:val="00207FE1"/>
    <w:rsid w:val="002151FE"/>
    <w:rsid w:val="002247B6"/>
    <w:rsid w:val="002343F4"/>
    <w:rsid w:val="002400CB"/>
    <w:rsid w:val="00241A25"/>
    <w:rsid w:val="00245D7F"/>
    <w:rsid w:val="00253819"/>
    <w:rsid w:val="0025417A"/>
    <w:rsid w:val="00260B02"/>
    <w:rsid w:val="00261C0F"/>
    <w:rsid w:val="00271BA8"/>
    <w:rsid w:val="00272684"/>
    <w:rsid w:val="00274E63"/>
    <w:rsid w:val="00286F99"/>
    <w:rsid w:val="00295204"/>
    <w:rsid w:val="00297FAD"/>
    <w:rsid w:val="002B03F4"/>
    <w:rsid w:val="002B2BA9"/>
    <w:rsid w:val="002B3BED"/>
    <w:rsid w:val="002B637F"/>
    <w:rsid w:val="002C44CE"/>
    <w:rsid w:val="002C5663"/>
    <w:rsid w:val="002C5A1C"/>
    <w:rsid w:val="002C6386"/>
    <w:rsid w:val="002D19BA"/>
    <w:rsid w:val="002D44E6"/>
    <w:rsid w:val="002D7301"/>
    <w:rsid w:val="002E1C52"/>
    <w:rsid w:val="002E2C61"/>
    <w:rsid w:val="002E57A2"/>
    <w:rsid w:val="002E6267"/>
    <w:rsid w:val="002E7258"/>
    <w:rsid w:val="002F115E"/>
    <w:rsid w:val="003010A1"/>
    <w:rsid w:val="00311862"/>
    <w:rsid w:val="00311C2C"/>
    <w:rsid w:val="0031759E"/>
    <w:rsid w:val="00321F10"/>
    <w:rsid w:val="00324147"/>
    <w:rsid w:val="00324A57"/>
    <w:rsid w:val="00326040"/>
    <w:rsid w:val="003373CF"/>
    <w:rsid w:val="003404B5"/>
    <w:rsid w:val="00341429"/>
    <w:rsid w:val="0034224B"/>
    <w:rsid w:val="00346AF1"/>
    <w:rsid w:val="00355118"/>
    <w:rsid w:val="00356298"/>
    <w:rsid w:val="0036288E"/>
    <w:rsid w:val="003631D6"/>
    <w:rsid w:val="003761DE"/>
    <w:rsid w:val="003915A5"/>
    <w:rsid w:val="003957E6"/>
    <w:rsid w:val="00396C2F"/>
    <w:rsid w:val="003A2400"/>
    <w:rsid w:val="003A4F03"/>
    <w:rsid w:val="003A7D56"/>
    <w:rsid w:val="003C1AFB"/>
    <w:rsid w:val="003C470A"/>
    <w:rsid w:val="003C6777"/>
    <w:rsid w:val="003D3AC1"/>
    <w:rsid w:val="003D45D1"/>
    <w:rsid w:val="003E024E"/>
    <w:rsid w:val="003E0565"/>
    <w:rsid w:val="003E7610"/>
    <w:rsid w:val="003F08CA"/>
    <w:rsid w:val="003F1B59"/>
    <w:rsid w:val="003F363C"/>
    <w:rsid w:val="004014ED"/>
    <w:rsid w:val="00401528"/>
    <w:rsid w:val="004024FD"/>
    <w:rsid w:val="00406816"/>
    <w:rsid w:val="00414BF1"/>
    <w:rsid w:val="00414E5C"/>
    <w:rsid w:val="00416561"/>
    <w:rsid w:val="00430E04"/>
    <w:rsid w:val="00431188"/>
    <w:rsid w:val="0043247D"/>
    <w:rsid w:val="004339CA"/>
    <w:rsid w:val="00435906"/>
    <w:rsid w:val="00442040"/>
    <w:rsid w:val="00450C89"/>
    <w:rsid w:val="0045245B"/>
    <w:rsid w:val="0045500E"/>
    <w:rsid w:val="004809AA"/>
    <w:rsid w:val="00484051"/>
    <w:rsid w:val="00491B0A"/>
    <w:rsid w:val="00492076"/>
    <w:rsid w:val="00493575"/>
    <w:rsid w:val="00496D8F"/>
    <w:rsid w:val="00497B9A"/>
    <w:rsid w:val="004A5CF1"/>
    <w:rsid w:val="004A7508"/>
    <w:rsid w:val="004A7A17"/>
    <w:rsid w:val="004B1CEF"/>
    <w:rsid w:val="004C1152"/>
    <w:rsid w:val="004C7287"/>
    <w:rsid w:val="004D3DC4"/>
    <w:rsid w:val="004D5D9A"/>
    <w:rsid w:val="004F313B"/>
    <w:rsid w:val="004F4518"/>
    <w:rsid w:val="004F7039"/>
    <w:rsid w:val="005046EE"/>
    <w:rsid w:val="005129D7"/>
    <w:rsid w:val="00515C7C"/>
    <w:rsid w:val="00520E14"/>
    <w:rsid w:val="00521112"/>
    <w:rsid w:val="00526A2C"/>
    <w:rsid w:val="00534987"/>
    <w:rsid w:val="00543C86"/>
    <w:rsid w:val="00551A55"/>
    <w:rsid w:val="00552130"/>
    <w:rsid w:val="005562CA"/>
    <w:rsid w:val="005614A2"/>
    <w:rsid w:val="00566006"/>
    <w:rsid w:val="005756C6"/>
    <w:rsid w:val="0058294C"/>
    <w:rsid w:val="0059457E"/>
    <w:rsid w:val="00594914"/>
    <w:rsid w:val="005A34B1"/>
    <w:rsid w:val="005A4674"/>
    <w:rsid w:val="005B26E6"/>
    <w:rsid w:val="005B384A"/>
    <w:rsid w:val="005B781D"/>
    <w:rsid w:val="005E3107"/>
    <w:rsid w:val="005F7752"/>
    <w:rsid w:val="00606384"/>
    <w:rsid w:val="00614743"/>
    <w:rsid w:val="00623F62"/>
    <w:rsid w:val="00624708"/>
    <w:rsid w:val="00625E5E"/>
    <w:rsid w:val="0062695B"/>
    <w:rsid w:val="00631BEA"/>
    <w:rsid w:val="00635DDF"/>
    <w:rsid w:val="006364A3"/>
    <w:rsid w:val="00637C19"/>
    <w:rsid w:val="006404D2"/>
    <w:rsid w:val="00641CBA"/>
    <w:rsid w:val="00650968"/>
    <w:rsid w:val="006536BF"/>
    <w:rsid w:val="00657F42"/>
    <w:rsid w:val="006645B9"/>
    <w:rsid w:val="00674546"/>
    <w:rsid w:val="00675CF1"/>
    <w:rsid w:val="0067689E"/>
    <w:rsid w:val="00683D44"/>
    <w:rsid w:val="0069036F"/>
    <w:rsid w:val="006903A8"/>
    <w:rsid w:val="00693C0F"/>
    <w:rsid w:val="0069516F"/>
    <w:rsid w:val="006A3B1A"/>
    <w:rsid w:val="006B3C3E"/>
    <w:rsid w:val="006B694D"/>
    <w:rsid w:val="006C444E"/>
    <w:rsid w:val="006E401A"/>
    <w:rsid w:val="006E5A75"/>
    <w:rsid w:val="006F111D"/>
    <w:rsid w:val="006F15EC"/>
    <w:rsid w:val="006F1F41"/>
    <w:rsid w:val="006F3FCB"/>
    <w:rsid w:val="006F6980"/>
    <w:rsid w:val="007037B8"/>
    <w:rsid w:val="007124D7"/>
    <w:rsid w:val="0071462C"/>
    <w:rsid w:val="00724249"/>
    <w:rsid w:val="00725924"/>
    <w:rsid w:val="00745E17"/>
    <w:rsid w:val="00747C78"/>
    <w:rsid w:val="0075156E"/>
    <w:rsid w:val="00752F65"/>
    <w:rsid w:val="007666CE"/>
    <w:rsid w:val="00772DC4"/>
    <w:rsid w:val="007756A9"/>
    <w:rsid w:val="00777F00"/>
    <w:rsid w:val="00784BDF"/>
    <w:rsid w:val="0078600C"/>
    <w:rsid w:val="007869BF"/>
    <w:rsid w:val="007906F3"/>
    <w:rsid w:val="00794974"/>
    <w:rsid w:val="007A051E"/>
    <w:rsid w:val="007A0C67"/>
    <w:rsid w:val="007A17DC"/>
    <w:rsid w:val="007B3643"/>
    <w:rsid w:val="007C3C22"/>
    <w:rsid w:val="007C43D6"/>
    <w:rsid w:val="007C602C"/>
    <w:rsid w:val="007C6972"/>
    <w:rsid w:val="007D08F9"/>
    <w:rsid w:val="007D3FD4"/>
    <w:rsid w:val="007E0BD7"/>
    <w:rsid w:val="007E52E3"/>
    <w:rsid w:val="007E5BEB"/>
    <w:rsid w:val="007E6F45"/>
    <w:rsid w:val="007F1273"/>
    <w:rsid w:val="00802FED"/>
    <w:rsid w:val="0080604A"/>
    <w:rsid w:val="008107D4"/>
    <w:rsid w:val="00811ACF"/>
    <w:rsid w:val="0081307D"/>
    <w:rsid w:val="008153BD"/>
    <w:rsid w:val="00820449"/>
    <w:rsid w:val="00823876"/>
    <w:rsid w:val="00825734"/>
    <w:rsid w:val="00826936"/>
    <w:rsid w:val="008418DF"/>
    <w:rsid w:val="00844564"/>
    <w:rsid w:val="00852C0C"/>
    <w:rsid w:val="00853560"/>
    <w:rsid w:val="00857A59"/>
    <w:rsid w:val="00861A23"/>
    <w:rsid w:val="00864CCB"/>
    <w:rsid w:val="0087135C"/>
    <w:rsid w:val="0087151E"/>
    <w:rsid w:val="00873E95"/>
    <w:rsid w:val="008828AA"/>
    <w:rsid w:val="008B2CF2"/>
    <w:rsid w:val="008B3245"/>
    <w:rsid w:val="008B5B1E"/>
    <w:rsid w:val="008C2E18"/>
    <w:rsid w:val="008C3F18"/>
    <w:rsid w:val="008C4E0E"/>
    <w:rsid w:val="008C751E"/>
    <w:rsid w:val="008E0EFB"/>
    <w:rsid w:val="008E2C51"/>
    <w:rsid w:val="008E2DC7"/>
    <w:rsid w:val="008E3383"/>
    <w:rsid w:val="008E6A3B"/>
    <w:rsid w:val="008F2A4D"/>
    <w:rsid w:val="008F2EEE"/>
    <w:rsid w:val="008F4443"/>
    <w:rsid w:val="008F448F"/>
    <w:rsid w:val="008F653E"/>
    <w:rsid w:val="00901194"/>
    <w:rsid w:val="00901DF4"/>
    <w:rsid w:val="00905193"/>
    <w:rsid w:val="009154EA"/>
    <w:rsid w:val="0092133B"/>
    <w:rsid w:val="00933885"/>
    <w:rsid w:val="009351C9"/>
    <w:rsid w:val="00943644"/>
    <w:rsid w:val="00947011"/>
    <w:rsid w:val="00955559"/>
    <w:rsid w:val="00960608"/>
    <w:rsid w:val="00967EBA"/>
    <w:rsid w:val="00970CCC"/>
    <w:rsid w:val="00970FF2"/>
    <w:rsid w:val="009743EE"/>
    <w:rsid w:val="00975FD2"/>
    <w:rsid w:val="009A0FC4"/>
    <w:rsid w:val="009A417E"/>
    <w:rsid w:val="009A5485"/>
    <w:rsid w:val="009B143E"/>
    <w:rsid w:val="009B198B"/>
    <w:rsid w:val="009B53DD"/>
    <w:rsid w:val="009C0BA4"/>
    <w:rsid w:val="009C190A"/>
    <w:rsid w:val="009C29B7"/>
    <w:rsid w:val="009C5307"/>
    <w:rsid w:val="009C6671"/>
    <w:rsid w:val="009D278D"/>
    <w:rsid w:val="009D44BD"/>
    <w:rsid w:val="009E4DF3"/>
    <w:rsid w:val="009F79D6"/>
    <w:rsid w:val="00A071C5"/>
    <w:rsid w:val="00A101CF"/>
    <w:rsid w:val="00A1437D"/>
    <w:rsid w:val="00A15F4F"/>
    <w:rsid w:val="00A20992"/>
    <w:rsid w:val="00A20D83"/>
    <w:rsid w:val="00A3356C"/>
    <w:rsid w:val="00A35984"/>
    <w:rsid w:val="00A50922"/>
    <w:rsid w:val="00A543BC"/>
    <w:rsid w:val="00A61B0E"/>
    <w:rsid w:val="00A62C6E"/>
    <w:rsid w:val="00A67496"/>
    <w:rsid w:val="00A73544"/>
    <w:rsid w:val="00A7680A"/>
    <w:rsid w:val="00A80545"/>
    <w:rsid w:val="00A817B7"/>
    <w:rsid w:val="00A81F24"/>
    <w:rsid w:val="00A83EC1"/>
    <w:rsid w:val="00A847CB"/>
    <w:rsid w:val="00A94556"/>
    <w:rsid w:val="00A94F45"/>
    <w:rsid w:val="00AB13AC"/>
    <w:rsid w:val="00AB646F"/>
    <w:rsid w:val="00AC61BE"/>
    <w:rsid w:val="00AD1DC8"/>
    <w:rsid w:val="00AD34E0"/>
    <w:rsid w:val="00AD66D7"/>
    <w:rsid w:val="00AF1D0F"/>
    <w:rsid w:val="00B0372F"/>
    <w:rsid w:val="00B04C0F"/>
    <w:rsid w:val="00B11015"/>
    <w:rsid w:val="00B20E51"/>
    <w:rsid w:val="00B2280D"/>
    <w:rsid w:val="00B26FFC"/>
    <w:rsid w:val="00B333AD"/>
    <w:rsid w:val="00B404A7"/>
    <w:rsid w:val="00B45006"/>
    <w:rsid w:val="00B47F79"/>
    <w:rsid w:val="00B56CB0"/>
    <w:rsid w:val="00B574AD"/>
    <w:rsid w:val="00B578AB"/>
    <w:rsid w:val="00B623C7"/>
    <w:rsid w:val="00B73093"/>
    <w:rsid w:val="00B73E59"/>
    <w:rsid w:val="00B76DC8"/>
    <w:rsid w:val="00B816A4"/>
    <w:rsid w:val="00B82895"/>
    <w:rsid w:val="00B84E2E"/>
    <w:rsid w:val="00B9218F"/>
    <w:rsid w:val="00BA0084"/>
    <w:rsid w:val="00BA057C"/>
    <w:rsid w:val="00BB2220"/>
    <w:rsid w:val="00BB3051"/>
    <w:rsid w:val="00BB7886"/>
    <w:rsid w:val="00BC4666"/>
    <w:rsid w:val="00BD2516"/>
    <w:rsid w:val="00BD3C11"/>
    <w:rsid w:val="00BE035A"/>
    <w:rsid w:val="00BE0E8C"/>
    <w:rsid w:val="00BE2473"/>
    <w:rsid w:val="00BF3EDE"/>
    <w:rsid w:val="00C02108"/>
    <w:rsid w:val="00C02251"/>
    <w:rsid w:val="00C02A89"/>
    <w:rsid w:val="00C26014"/>
    <w:rsid w:val="00C271BF"/>
    <w:rsid w:val="00C31A2A"/>
    <w:rsid w:val="00C42D9E"/>
    <w:rsid w:val="00C50AB7"/>
    <w:rsid w:val="00C675DB"/>
    <w:rsid w:val="00C750DA"/>
    <w:rsid w:val="00C763D0"/>
    <w:rsid w:val="00C80130"/>
    <w:rsid w:val="00CA1108"/>
    <w:rsid w:val="00CB7602"/>
    <w:rsid w:val="00CC2769"/>
    <w:rsid w:val="00CC6052"/>
    <w:rsid w:val="00CE0129"/>
    <w:rsid w:val="00CE7354"/>
    <w:rsid w:val="00D03DB1"/>
    <w:rsid w:val="00D103B5"/>
    <w:rsid w:val="00D1423E"/>
    <w:rsid w:val="00D16F9A"/>
    <w:rsid w:val="00D2172C"/>
    <w:rsid w:val="00D276F6"/>
    <w:rsid w:val="00D329C6"/>
    <w:rsid w:val="00D36EDD"/>
    <w:rsid w:val="00D40B13"/>
    <w:rsid w:val="00D425B0"/>
    <w:rsid w:val="00D4382B"/>
    <w:rsid w:val="00D5266D"/>
    <w:rsid w:val="00D52EEE"/>
    <w:rsid w:val="00D559B6"/>
    <w:rsid w:val="00D6541E"/>
    <w:rsid w:val="00D65EB0"/>
    <w:rsid w:val="00D66CD4"/>
    <w:rsid w:val="00D75DBD"/>
    <w:rsid w:val="00D83137"/>
    <w:rsid w:val="00D870C7"/>
    <w:rsid w:val="00DA100A"/>
    <w:rsid w:val="00DA5F3F"/>
    <w:rsid w:val="00DA754F"/>
    <w:rsid w:val="00DB1F8E"/>
    <w:rsid w:val="00DC6D23"/>
    <w:rsid w:val="00DE23A8"/>
    <w:rsid w:val="00DF5B2B"/>
    <w:rsid w:val="00E006F4"/>
    <w:rsid w:val="00E02377"/>
    <w:rsid w:val="00E1318D"/>
    <w:rsid w:val="00E1658E"/>
    <w:rsid w:val="00E22EDA"/>
    <w:rsid w:val="00E25CCA"/>
    <w:rsid w:val="00E32F28"/>
    <w:rsid w:val="00E41BCA"/>
    <w:rsid w:val="00E449B1"/>
    <w:rsid w:val="00E510F3"/>
    <w:rsid w:val="00E56310"/>
    <w:rsid w:val="00E70D09"/>
    <w:rsid w:val="00E71327"/>
    <w:rsid w:val="00E73E1D"/>
    <w:rsid w:val="00E9204D"/>
    <w:rsid w:val="00E965F5"/>
    <w:rsid w:val="00EA04F6"/>
    <w:rsid w:val="00EA0C67"/>
    <w:rsid w:val="00EB0801"/>
    <w:rsid w:val="00EB3702"/>
    <w:rsid w:val="00EC4195"/>
    <w:rsid w:val="00EE16BF"/>
    <w:rsid w:val="00EE2573"/>
    <w:rsid w:val="00EF0519"/>
    <w:rsid w:val="00EF25E2"/>
    <w:rsid w:val="00EF4F04"/>
    <w:rsid w:val="00F002DF"/>
    <w:rsid w:val="00F00F78"/>
    <w:rsid w:val="00F12F1F"/>
    <w:rsid w:val="00F1532E"/>
    <w:rsid w:val="00F16975"/>
    <w:rsid w:val="00F22E1C"/>
    <w:rsid w:val="00F24C39"/>
    <w:rsid w:val="00F2782C"/>
    <w:rsid w:val="00F34F59"/>
    <w:rsid w:val="00F455FA"/>
    <w:rsid w:val="00F50C71"/>
    <w:rsid w:val="00F50D8D"/>
    <w:rsid w:val="00F61452"/>
    <w:rsid w:val="00F71D66"/>
    <w:rsid w:val="00F73A38"/>
    <w:rsid w:val="00F74219"/>
    <w:rsid w:val="00F75965"/>
    <w:rsid w:val="00F8028E"/>
    <w:rsid w:val="00F821B4"/>
    <w:rsid w:val="00F83C1B"/>
    <w:rsid w:val="00F85270"/>
    <w:rsid w:val="00F97660"/>
    <w:rsid w:val="00FA3CBF"/>
    <w:rsid w:val="00FA4200"/>
    <w:rsid w:val="00FB2DDD"/>
    <w:rsid w:val="00FC2631"/>
    <w:rsid w:val="00FC3810"/>
    <w:rsid w:val="00FC4D74"/>
    <w:rsid w:val="00FC6C35"/>
    <w:rsid w:val="00FD1A4F"/>
    <w:rsid w:val="00FE3B08"/>
    <w:rsid w:val="00FE57FC"/>
    <w:rsid w:val="00FF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3833"/>
  <w15:docId w15:val="{E95BD966-4322-440C-ACAF-5B808E67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2F65"/>
    <w:pPr>
      <w:spacing w:before="120" w:after="120" w:line="240" w:lineRule="exact"/>
      <w:contextualSpacing/>
    </w:pPr>
    <w:rPr>
      <w:color w:val="3C3D3E" w:themeColor="text2"/>
      <w:sz w:val="18"/>
      <w:lang w:val="en-US"/>
    </w:rPr>
  </w:style>
  <w:style w:type="paragraph" w:styleId="Heading1">
    <w:name w:val="heading 1"/>
    <w:aliases w:val="_Heading 1"/>
    <w:link w:val="Heading1Char"/>
    <w:uiPriority w:val="9"/>
    <w:rsid w:val="00534987"/>
    <w:pPr>
      <w:keepNext/>
      <w:keepLines/>
      <w:pageBreakBefore/>
      <w:spacing w:before="160" w:after="240" w:line="400" w:lineRule="exact"/>
      <w:contextualSpacing/>
      <w:outlineLvl w:val="0"/>
    </w:pPr>
    <w:rPr>
      <w:rFonts w:asciiTheme="majorHAnsi" w:eastAsiaTheme="majorEastAsia" w:hAnsiTheme="majorHAnsi" w:cstheme="majorBidi"/>
      <w:b/>
      <w:color w:val="00ACC4" w:themeColor="accent1"/>
      <w:sz w:val="28"/>
      <w:szCs w:val="32"/>
      <w:lang w:val="en-US"/>
    </w:rPr>
  </w:style>
  <w:style w:type="paragraph" w:styleId="Heading2">
    <w:name w:val="heading 2"/>
    <w:aliases w:val="_Heading 2"/>
    <w:link w:val="Heading2Char"/>
    <w:uiPriority w:val="9"/>
    <w:unhideWhenUsed/>
    <w:rsid w:val="003A4F03"/>
    <w:pPr>
      <w:keepNext/>
      <w:keepLines/>
      <w:spacing w:before="160" w:line="320" w:lineRule="exact"/>
      <w:contextualSpacing/>
      <w:outlineLvl w:val="1"/>
    </w:pPr>
    <w:rPr>
      <w:rFonts w:asciiTheme="majorHAnsi" w:eastAsiaTheme="majorEastAsia" w:hAnsiTheme="majorHAnsi" w:cstheme="majorBidi"/>
      <w:b/>
      <w:color w:val="5D7B9A" w:themeColor="background2"/>
      <w:sz w:val="24"/>
      <w:szCs w:val="26"/>
      <w:lang w:val="en-US"/>
    </w:rPr>
  </w:style>
  <w:style w:type="paragraph" w:styleId="Heading3">
    <w:name w:val="heading 3"/>
    <w:basedOn w:val="Normal"/>
    <w:next w:val="Normal"/>
    <w:link w:val="Heading3Char"/>
    <w:uiPriority w:val="9"/>
    <w:semiHidden/>
    <w:unhideWhenUsed/>
    <w:rsid w:val="001524EC"/>
    <w:pPr>
      <w:keepNext/>
      <w:keepLines/>
      <w:spacing w:before="40" w:after="0"/>
      <w:outlineLvl w:val="2"/>
    </w:pPr>
    <w:rPr>
      <w:rFonts w:asciiTheme="majorHAnsi" w:eastAsiaTheme="majorEastAsia" w:hAnsiTheme="majorHAnsi" w:cstheme="majorBidi"/>
      <w:color w:val="00556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_Heading 1 Char"/>
    <w:basedOn w:val="DefaultParagraphFont"/>
    <w:link w:val="Heading1"/>
    <w:uiPriority w:val="9"/>
    <w:rsid w:val="00534987"/>
    <w:rPr>
      <w:rFonts w:asciiTheme="majorHAnsi" w:eastAsiaTheme="majorEastAsia" w:hAnsiTheme="majorHAnsi" w:cstheme="majorBidi"/>
      <w:b/>
      <w:color w:val="00ACC4" w:themeColor="accent1"/>
      <w:sz w:val="28"/>
      <w:szCs w:val="32"/>
      <w:lang w:val="en-US"/>
    </w:rPr>
  </w:style>
  <w:style w:type="character" w:customStyle="1" w:styleId="Heading2Char">
    <w:name w:val="Heading 2 Char"/>
    <w:aliases w:val="_Heading 2 Char"/>
    <w:basedOn w:val="DefaultParagraphFont"/>
    <w:link w:val="Heading2"/>
    <w:uiPriority w:val="9"/>
    <w:rsid w:val="003A4F03"/>
    <w:rPr>
      <w:rFonts w:asciiTheme="majorHAnsi" w:eastAsiaTheme="majorEastAsia" w:hAnsiTheme="majorHAnsi" w:cstheme="majorBidi"/>
      <w:b/>
      <w:color w:val="5D7B9A" w:themeColor="background2"/>
      <w:sz w:val="24"/>
      <w:szCs w:val="26"/>
      <w:lang w:val="en-US"/>
    </w:rPr>
  </w:style>
  <w:style w:type="table" w:styleId="TableGrid">
    <w:name w:val="Table Grid"/>
    <w:basedOn w:val="TableNormal"/>
    <w:rsid w:val="00A50922"/>
    <w:pPr>
      <w:spacing w:after="0" w:line="240" w:lineRule="auto"/>
    </w:pPr>
    <w:rPr>
      <w:color w:val="3C3D3E"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StylePr>
  </w:style>
  <w:style w:type="paragraph" w:styleId="Subtitle">
    <w:name w:val="Subtitle"/>
    <w:aliases w:val="_Subtitle PRO,Subtitle PRO"/>
    <w:link w:val="SubtitleChar"/>
    <w:uiPriority w:val="11"/>
    <w:rsid w:val="00745E17"/>
    <w:pPr>
      <w:spacing w:before="240" w:line="400" w:lineRule="exact"/>
      <w:contextualSpacing/>
    </w:pPr>
    <w:rPr>
      <w:b/>
      <w:color w:val="FFFFFF" w:themeColor="background1"/>
      <w:sz w:val="32"/>
      <w:szCs w:val="32"/>
      <w:lang w:val="en-US"/>
    </w:rPr>
  </w:style>
  <w:style w:type="character" w:customStyle="1" w:styleId="SubtitleChar">
    <w:name w:val="Subtitle Char"/>
    <w:aliases w:val="_Subtitle PRO Char,Subtitle PRO Char"/>
    <w:basedOn w:val="DefaultParagraphFont"/>
    <w:link w:val="Subtitle"/>
    <w:uiPriority w:val="11"/>
    <w:rsid w:val="00745E17"/>
    <w:rPr>
      <w:b/>
      <w:color w:val="FFFFFF" w:themeColor="background1"/>
      <w:sz w:val="32"/>
      <w:szCs w:val="32"/>
      <w:lang w:val="en-US"/>
    </w:rPr>
  </w:style>
  <w:style w:type="paragraph" w:customStyle="1" w:styleId="BodyPRO">
    <w:name w:val="_Body_PRO"/>
    <w:link w:val="BodyPROChar"/>
    <w:qFormat/>
    <w:locked/>
    <w:rsid w:val="008B3245"/>
    <w:pPr>
      <w:spacing w:after="0" w:line="280" w:lineRule="exact"/>
      <w:contextualSpacing/>
    </w:pPr>
    <w:rPr>
      <w:rFonts w:asciiTheme="majorHAnsi" w:hAnsiTheme="majorHAnsi" w:cstheme="majorHAnsi"/>
      <w:bCs/>
      <w:color w:val="3C3D3E" w:themeColor="text2"/>
      <w:sz w:val="20"/>
      <w:szCs w:val="18"/>
      <w:lang w:val="en-US"/>
    </w:rPr>
  </w:style>
  <w:style w:type="character" w:customStyle="1" w:styleId="BodyPROChar">
    <w:name w:val="_Body_PRO Char"/>
    <w:basedOn w:val="DefaultParagraphFont"/>
    <w:link w:val="BodyPRO"/>
    <w:rsid w:val="008B3245"/>
    <w:rPr>
      <w:rFonts w:asciiTheme="majorHAnsi" w:hAnsiTheme="majorHAnsi" w:cstheme="majorHAnsi"/>
      <w:bCs/>
      <w:color w:val="3C3D3E" w:themeColor="text2"/>
      <w:sz w:val="20"/>
      <w:szCs w:val="18"/>
      <w:lang w:val="en-US"/>
    </w:rPr>
  </w:style>
  <w:style w:type="character" w:styleId="Strong">
    <w:name w:val="Strong"/>
    <w:aliases w:val="_Strong_PRO,Strong_PRO"/>
    <w:basedOn w:val="DefaultParagraphFont"/>
    <w:uiPriority w:val="22"/>
    <w:qFormat/>
    <w:rsid w:val="00286F99"/>
    <w:rPr>
      <w:b/>
      <w:bCs/>
      <w:noProof w:val="0"/>
      <w:lang w:val="en-US"/>
    </w:rPr>
  </w:style>
  <w:style w:type="character" w:styleId="Hyperlink">
    <w:name w:val="Hyperlink"/>
    <w:aliases w:val="_Hyperlink"/>
    <w:basedOn w:val="DefaultParagraphFont"/>
    <w:uiPriority w:val="99"/>
    <w:unhideWhenUsed/>
    <w:qFormat/>
    <w:rsid w:val="00021981"/>
    <w:rPr>
      <w:noProof w:val="0"/>
      <w:color w:val="5D7B9A" w:themeColor="background2"/>
      <w:sz w:val="22"/>
      <w:u w:val="single"/>
      <w:lang w:val="en-US"/>
    </w:rPr>
  </w:style>
  <w:style w:type="character" w:customStyle="1" w:styleId="Replacetext">
    <w:name w:val="_Replace text"/>
    <w:basedOn w:val="BodyPROChar"/>
    <w:uiPriority w:val="1"/>
    <w:rsid w:val="00693C0F"/>
    <w:rPr>
      <w:rFonts w:asciiTheme="majorHAnsi" w:hAnsiTheme="majorHAnsi" w:cstheme="majorHAnsi"/>
      <w:bCs/>
      <w:noProof w:val="0"/>
      <w:color w:val="3C3D3E" w:themeColor="text2"/>
      <w:sz w:val="22"/>
      <w:szCs w:val="18"/>
      <w:lang w:val="en-US"/>
    </w:rPr>
  </w:style>
  <w:style w:type="paragraph" w:customStyle="1" w:styleId="BodyPRO0">
    <w:name w:val="Body_PRO"/>
    <w:basedOn w:val="Normal"/>
    <w:link w:val="BodyPROChar0"/>
    <w:locked/>
    <w:rsid w:val="00E32F28"/>
    <w:pPr>
      <w:spacing w:line="240" w:lineRule="auto"/>
      <w:contextualSpacing w:val="0"/>
    </w:pPr>
    <w:rPr>
      <w:bCs/>
      <w:noProof/>
      <w:color w:val="3C3D3E" w:themeColor="text1"/>
      <w:szCs w:val="18"/>
    </w:rPr>
  </w:style>
  <w:style w:type="character" w:customStyle="1" w:styleId="Heading3Char">
    <w:name w:val="Heading 3 Char"/>
    <w:basedOn w:val="DefaultParagraphFont"/>
    <w:link w:val="Heading3"/>
    <w:uiPriority w:val="9"/>
    <w:semiHidden/>
    <w:rsid w:val="001524EC"/>
    <w:rPr>
      <w:rFonts w:asciiTheme="majorHAnsi" w:eastAsiaTheme="majorEastAsia" w:hAnsiTheme="majorHAnsi" w:cstheme="majorBidi"/>
      <w:color w:val="005561" w:themeColor="accent1" w:themeShade="7F"/>
      <w:sz w:val="24"/>
      <w:szCs w:val="24"/>
      <w:lang w:val="en-US"/>
    </w:rPr>
  </w:style>
  <w:style w:type="table" w:customStyle="1" w:styleId="TableGrid1">
    <w:name w:val="Table Grid1"/>
    <w:basedOn w:val="TableNormal"/>
    <w:next w:val="TableGrid"/>
    <w:rsid w:val="006F6980"/>
    <w:pPr>
      <w:spacing w:after="0" w:line="240" w:lineRule="auto"/>
    </w:pPr>
    <w:rPr>
      <w:color w:val="000000"/>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StylePr>
  </w:style>
  <w:style w:type="table" w:customStyle="1" w:styleId="TableGrid2">
    <w:name w:val="Table Grid2"/>
    <w:basedOn w:val="TableNormal"/>
    <w:next w:val="TableGrid"/>
    <w:uiPriority w:val="39"/>
    <w:rsid w:val="006F6980"/>
    <w:pPr>
      <w:spacing w:after="0" w:line="240" w:lineRule="auto"/>
    </w:pPr>
    <w:rPr>
      <w:color w:val="000000"/>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StylePr>
  </w:style>
  <w:style w:type="numbering" w:customStyle="1" w:styleId="PROBullets">
    <w:name w:val="_PRO_Bullets"/>
    <w:basedOn w:val="NoList"/>
    <w:uiPriority w:val="99"/>
    <w:rsid w:val="001524EC"/>
    <w:pPr>
      <w:numPr>
        <w:numId w:val="1"/>
      </w:numPr>
    </w:pPr>
  </w:style>
  <w:style w:type="paragraph" w:styleId="ListParagraph">
    <w:name w:val="List Paragraph"/>
    <w:basedOn w:val="Normal"/>
    <w:qFormat/>
    <w:rsid w:val="0019172C"/>
    <w:pPr>
      <w:ind w:left="720"/>
    </w:pPr>
  </w:style>
  <w:style w:type="numbering" w:customStyle="1" w:styleId="Style1">
    <w:name w:val="Style1"/>
    <w:basedOn w:val="PROBullets"/>
    <w:uiPriority w:val="99"/>
    <w:rsid w:val="0019172C"/>
    <w:pPr>
      <w:numPr>
        <w:numId w:val="6"/>
      </w:numPr>
    </w:pPr>
  </w:style>
  <w:style w:type="character" w:customStyle="1" w:styleId="BodyPROChar0">
    <w:name w:val="Body_PRO Char"/>
    <w:basedOn w:val="DefaultParagraphFont"/>
    <w:link w:val="BodyPRO0"/>
    <w:rsid w:val="00E32F28"/>
    <w:rPr>
      <w:bCs/>
      <w:noProof/>
      <w:color w:val="3C3D3E" w:themeColor="text1"/>
      <w:sz w:val="18"/>
      <w:szCs w:val="18"/>
      <w:lang w:val="en-US"/>
    </w:rPr>
  </w:style>
  <w:style w:type="paragraph" w:styleId="NormalWeb">
    <w:name w:val="Normal (Web)"/>
    <w:basedOn w:val="Normal"/>
    <w:link w:val="NormalWebChar"/>
    <w:uiPriority w:val="99"/>
    <w:unhideWhenUsed/>
    <w:rsid w:val="00B76DC8"/>
    <w:pPr>
      <w:spacing w:before="100" w:beforeAutospacing="1" w:after="100" w:afterAutospacing="1" w:line="240" w:lineRule="auto"/>
      <w:contextualSpacing w:val="0"/>
    </w:pPr>
    <w:rPr>
      <w:rFonts w:ascii="Times New Roman" w:eastAsia="Times New Roman" w:hAnsi="Times New Roman" w:cs="Times New Roman"/>
      <w:color w:val="3C3D3E" w:themeColor="text1"/>
      <w:sz w:val="24"/>
      <w:szCs w:val="24"/>
    </w:rPr>
  </w:style>
  <w:style w:type="table" w:customStyle="1" w:styleId="ListTable3-Accent11">
    <w:name w:val="List Table 3 - Accent 11"/>
    <w:basedOn w:val="TableNormal"/>
    <w:uiPriority w:val="48"/>
    <w:rsid w:val="006F3FCB"/>
    <w:pPr>
      <w:spacing w:after="0" w:line="240" w:lineRule="auto"/>
    </w:pPr>
    <w:tblPr>
      <w:tblStyleRowBandSize w:val="1"/>
      <w:tblStyleColBandSize w:val="1"/>
      <w:tblBorders>
        <w:top w:val="single" w:sz="4" w:space="0" w:color="00ACC4" w:themeColor="accent1"/>
        <w:left w:val="single" w:sz="4" w:space="0" w:color="00ACC4" w:themeColor="accent1"/>
        <w:bottom w:val="single" w:sz="4" w:space="0" w:color="00ACC4" w:themeColor="accent1"/>
        <w:right w:val="single" w:sz="4" w:space="0" w:color="00ACC4" w:themeColor="accent1"/>
      </w:tblBorders>
    </w:tblPr>
    <w:tblStylePr w:type="firstRow">
      <w:rPr>
        <w:b/>
        <w:bCs/>
        <w:color w:val="FFFFFF" w:themeColor="background1"/>
      </w:rPr>
      <w:tblPr/>
      <w:tcPr>
        <w:shd w:val="clear" w:color="auto" w:fill="00ACC4" w:themeFill="accent1"/>
      </w:tcPr>
    </w:tblStylePr>
    <w:tblStylePr w:type="lastRow">
      <w:rPr>
        <w:b/>
        <w:bCs/>
      </w:rPr>
      <w:tblPr/>
      <w:tcPr>
        <w:tcBorders>
          <w:top w:val="double" w:sz="4" w:space="0" w:color="00AC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4" w:themeColor="accent1"/>
          <w:right w:val="single" w:sz="4" w:space="0" w:color="00ACC4" w:themeColor="accent1"/>
        </w:tcBorders>
      </w:tcPr>
    </w:tblStylePr>
    <w:tblStylePr w:type="band1Horz">
      <w:tblPr/>
      <w:tcPr>
        <w:tcBorders>
          <w:top w:val="single" w:sz="4" w:space="0" w:color="00ACC4" w:themeColor="accent1"/>
          <w:bottom w:val="single" w:sz="4" w:space="0" w:color="00AC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4" w:themeColor="accent1"/>
          <w:left w:val="nil"/>
        </w:tcBorders>
      </w:tcPr>
    </w:tblStylePr>
    <w:tblStylePr w:type="swCell">
      <w:tblPr/>
      <w:tcPr>
        <w:tcBorders>
          <w:top w:val="double" w:sz="4" w:space="0" w:color="00ACC4" w:themeColor="accent1"/>
          <w:right w:val="nil"/>
        </w:tcBorders>
      </w:tcPr>
    </w:tblStylePr>
  </w:style>
  <w:style w:type="table" w:customStyle="1" w:styleId="ListTable3-Accent21">
    <w:name w:val="List Table 3 - Accent 21"/>
    <w:basedOn w:val="TableNormal"/>
    <w:uiPriority w:val="48"/>
    <w:rsid w:val="006F3FCB"/>
    <w:pPr>
      <w:spacing w:after="0" w:line="240" w:lineRule="auto"/>
    </w:pPr>
    <w:tblPr>
      <w:tblStyleRowBandSize w:val="1"/>
      <w:tblStyleColBandSize w:val="1"/>
      <w:tblBorders>
        <w:top w:val="single" w:sz="4" w:space="0" w:color="00A28F" w:themeColor="accent2"/>
        <w:left w:val="single" w:sz="4" w:space="0" w:color="00A28F" w:themeColor="accent2"/>
        <w:bottom w:val="single" w:sz="4" w:space="0" w:color="00A28F" w:themeColor="accent2"/>
        <w:right w:val="single" w:sz="4" w:space="0" w:color="00A28F" w:themeColor="accent2"/>
      </w:tblBorders>
    </w:tblPr>
    <w:tblStylePr w:type="firstRow">
      <w:rPr>
        <w:b/>
        <w:bCs/>
        <w:color w:val="FFFFFF" w:themeColor="background1"/>
      </w:rPr>
      <w:tblPr/>
      <w:tcPr>
        <w:shd w:val="clear" w:color="auto" w:fill="00A28F" w:themeFill="accent2"/>
      </w:tcPr>
    </w:tblStylePr>
    <w:tblStylePr w:type="lastRow">
      <w:rPr>
        <w:b/>
        <w:bCs/>
      </w:rPr>
      <w:tblPr/>
      <w:tcPr>
        <w:tcBorders>
          <w:top w:val="double" w:sz="4" w:space="0" w:color="00A28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8F" w:themeColor="accent2"/>
          <w:right w:val="single" w:sz="4" w:space="0" w:color="00A28F" w:themeColor="accent2"/>
        </w:tcBorders>
      </w:tcPr>
    </w:tblStylePr>
    <w:tblStylePr w:type="band1Horz">
      <w:tblPr/>
      <w:tcPr>
        <w:tcBorders>
          <w:top w:val="single" w:sz="4" w:space="0" w:color="00A28F" w:themeColor="accent2"/>
          <w:bottom w:val="single" w:sz="4" w:space="0" w:color="00A28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8F" w:themeColor="accent2"/>
          <w:left w:val="nil"/>
        </w:tcBorders>
      </w:tcPr>
    </w:tblStylePr>
    <w:tblStylePr w:type="swCell">
      <w:tblPr/>
      <w:tcPr>
        <w:tcBorders>
          <w:top w:val="double" w:sz="4" w:space="0" w:color="00A28F" w:themeColor="accent2"/>
          <w:right w:val="nil"/>
        </w:tcBorders>
      </w:tcPr>
    </w:tblStylePr>
  </w:style>
  <w:style w:type="table" w:customStyle="1" w:styleId="ListTable4-Accent51">
    <w:name w:val="List Table 4 - Accent 51"/>
    <w:basedOn w:val="TableNormal"/>
    <w:uiPriority w:val="49"/>
    <w:rsid w:val="003F08CA"/>
    <w:pPr>
      <w:spacing w:after="0" w:line="240" w:lineRule="auto"/>
    </w:pPr>
    <w:tblPr>
      <w:tblStyleRowBandSize w:val="1"/>
      <w:tblStyleColBandSize w:val="1"/>
      <w:tblBorders>
        <w:top w:val="single" w:sz="4" w:space="0" w:color="9CAFC3" w:themeColor="accent5" w:themeTint="99"/>
        <w:left w:val="single" w:sz="4" w:space="0" w:color="9CAFC3" w:themeColor="accent5" w:themeTint="99"/>
        <w:bottom w:val="single" w:sz="4" w:space="0" w:color="9CAFC3" w:themeColor="accent5" w:themeTint="99"/>
        <w:right w:val="single" w:sz="4" w:space="0" w:color="9CAFC3" w:themeColor="accent5" w:themeTint="99"/>
        <w:insideH w:val="single" w:sz="4" w:space="0" w:color="9CAFC3" w:themeColor="accent5" w:themeTint="99"/>
      </w:tblBorders>
    </w:tblPr>
    <w:tblStylePr w:type="firstRow">
      <w:pPr>
        <w:jc w:val="left"/>
      </w:pPr>
      <w:rPr>
        <w:b/>
        <w:bCs/>
        <w:color w:val="FFFFFF" w:themeColor="background1"/>
      </w:rPr>
      <w:tblPr/>
      <w:tcPr>
        <w:tcBorders>
          <w:top w:val="nil"/>
          <w:left w:val="nil"/>
          <w:bottom w:val="nil"/>
          <w:right w:val="nil"/>
          <w:insideH w:val="nil"/>
          <w:insideV w:val="nil"/>
          <w:tl2br w:val="nil"/>
          <w:tr2bl w:val="nil"/>
        </w:tcBorders>
        <w:shd w:val="clear" w:color="auto" w:fill="5D7B9A" w:themeFill="background2"/>
        <w:vAlign w:val="center"/>
      </w:tcPr>
    </w:tblStylePr>
    <w:tblStylePr w:type="lastRow">
      <w:rPr>
        <w:b/>
        <w:bCs/>
      </w:rPr>
      <w:tblPr/>
      <w:tcPr>
        <w:tcBorders>
          <w:top w:val="double" w:sz="4" w:space="0" w:color="9CAFC3" w:themeColor="accent5" w:themeTint="99"/>
        </w:tcBorders>
      </w:tcPr>
    </w:tblStylePr>
    <w:tblStylePr w:type="firstCol">
      <w:rPr>
        <w:b/>
        <w:bCs/>
      </w:rPr>
    </w:tblStylePr>
    <w:tblStylePr w:type="lastCol">
      <w:rPr>
        <w:b/>
        <w:bCs/>
      </w:rPr>
    </w:tblStylePr>
    <w:tblStylePr w:type="band1Vert">
      <w:tblPr/>
      <w:tcPr>
        <w:shd w:val="clear" w:color="auto" w:fill="DEE4EB" w:themeFill="accent5" w:themeFillTint="33"/>
      </w:tcPr>
    </w:tblStylePr>
    <w:tblStylePr w:type="band1Horz">
      <w:tblPr/>
      <w:tcPr>
        <w:shd w:val="clear" w:color="auto" w:fill="DEE4EB" w:themeFill="accent5" w:themeFillTint="33"/>
      </w:tcPr>
    </w:tblStylePr>
  </w:style>
  <w:style w:type="table" w:customStyle="1" w:styleId="ListTable6Colorful-Accent31">
    <w:name w:val="List Table 6 Colorful - Accent 31"/>
    <w:basedOn w:val="TableNormal"/>
    <w:uiPriority w:val="51"/>
    <w:rsid w:val="003F08CA"/>
    <w:pPr>
      <w:spacing w:after="0" w:line="240" w:lineRule="auto"/>
    </w:pPr>
    <w:rPr>
      <w:color w:val="C76408" w:themeColor="accent3" w:themeShade="BF"/>
    </w:rPr>
    <w:tblPr>
      <w:tblStyleRowBandSize w:val="1"/>
      <w:tblStyleColBandSize w:val="1"/>
      <w:tblBorders>
        <w:top w:val="single" w:sz="4" w:space="0" w:color="F6871F" w:themeColor="accent3"/>
        <w:bottom w:val="single" w:sz="4" w:space="0" w:color="F6871F" w:themeColor="accent3"/>
      </w:tblBorders>
    </w:tblPr>
    <w:tblStylePr w:type="firstRow">
      <w:rPr>
        <w:b/>
        <w:bCs/>
      </w:rPr>
      <w:tblPr/>
      <w:tcPr>
        <w:tcBorders>
          <w:bottom w:val="single" w:sz="4" w:space="0" w:color="F6871F" w:themeColor="accent3"/>
        </w:tcBorders>
      </w:tcPr>
    </w:tblStylePr>
    <w:tblStylePr w:type="lastRow">
      <w:rPr>
        <w:b/>
        <w:bCs/>
      </w:rPr>
      <w:tblPr/>
      <w:tcPr>
        <w:tcBorders>
          <w:top w:val="double" w:sz="4" w:space="0" w:color="F6871F" w:themeColor="accent3"/>
        </w:tcBorders>
      </w:tcPr>
    </w:tblStylePr>
    <w:tblStylePr w:type="firstCol">
      <w:rPr>
        <w:b/>
        <w:bCs/>
      </w:rPr>
    </w:tblStylePr>
    <w:tblStylePr w:type="lastCol">
      <w:rPr>
        <w:b/>
        <w:bCs/>
      </w:rPr>
    </w:tblStylePr>
    <w:tblStylePr w:type="band1Vert">
      <w:tblPr/>
      <w:tcPr>
        <w:shd w:val="clear" w:color="auto" w:fill="FDE6D2" w:themeFill="accent3" w:themeFillTint="33"/>
      </w:tcPr>
    </w:tblStylePr>
    <w:tblStylePr w:type="band1Horz">
      <w:tblPr/>
      <w:tcPr>
        <w:shd w:val="clear" w:color="auto" w:fill="FDE6D2" w:themeFill="accent3" w:themeFillTint="33"/>
      </w:tcPr>
    </w:tblStylePr>
  </w:style>
  <w:style w:type="paragraph" w:customStyle="1" w:styleId="TableBodyPRO">
    <w:name w:val="Table Body_PRO"/>
    <w:qFormat/>
    <w:rsid w:val="00D2172C"/>
    <w:pPr>
      <w:spacing w:before="120" w:after="120" w:line="240" w:lineRule="exact"/>
      <w:contextualSpacing/>
      <w:jc w:val="center"/>
    </w:pPr>
    <w:rPr>
      <w:color w:val="3C3D3E" w:themeColor="text1"/>
      <w:sz w:val="16"/>
      <w:szCs w:val="16"/>
      <w:lang w:val="en-US"/>
    </w:rPr>
  </w:style>
  <w:style w:type="paragraph" w:customStyle="1" w:styleId="BulletBodyPro">
    <w:name w:val="_Bullet_Body_Pro"/>
    <w:qFormat/>
    <w:rsid w:val="00594914"/>
    <w:pPr>
      <w:numPr>
        <w:numId w:val="26"/>
      </w:numPr>
      <w:spacing w:before="140" w:after="140" w:line="280" w:lineRule="exact"/>
      <w:contextualSpacing/>
    </w:pPr>
    <w:rPr>
      <w:rFonts w:asciiTheme="majorHAnsi" w:hAnsiTheme="majorHAnsi" w:cstheme="majorHAnsi"/>
      <w:color w:val="3C3D3E" w:themeColor="text2"/>
      <w:sz w:val="20"/>
      <w:lang w:val="en-US"/>
    </w:rPr>
  </w:style>
  <w:style w:type="table" w:customStyle="1" w:styleId="ListTable31">
    <w:name w:val="List Table 31"/>
    <w:basedOn w:val="TableNormal"/>
    <w:uiPriority w:val="48"/>
    <w:rsid w:val="008F2EEE"/>
    <w:pPr>
      <w:spacing w:after="0" w:line="240" w:lineRule="auto"/>
    </w:pPr>
    <w:tblPr>
      <w:tblStyleRowBandSize w:val="1"/>
      <w:tblStyleColBandSize w:val="1"/>
      <w:tblBorders>
        <w:top w:val="single" w:sz="4" w:space="0" w:color="3C3D3E" w:themeColor="text1"/>
        <w:left w:val="single" w:sz="4" w:space="0" w:color="3C3D3E" w:themeColor="text1"/>
        <w:bottom w:val="single" w:sz="4" w:space="0" w:color="3C3D3E" w:themeColor="text1"/>
        <w:right w:val="single" w:sz="4" w:space="0" w:color="3C3D3E" w:themeColor="text1"/>
      </w:tblBorders>
    </w:tblPr>
    <w:tblStylePr w:type="firstRow">
      <w:rPr>
        <w:b/>
        <w:bCs/>
        <w:color w:val="FFFFFF" w:themeColor="background1"/>
      </w:rPr>
      <w:tblPr/>
      <w:tcPr>
        <w:shd w:val="clear" w:color="auto" w:fill="3C3D3E" w:themeFill="text1"/>
      </w:tcPr>
    </w:tblStylePr>
    <w:tblStylePr w:type="lastRow">
      <w:rPr>
        <w:b/>
        <w:bCs/>
      </w:rPr>
      <w:tblPr/>
      <w:tcPr>
        <w:tcBorders>
          <w:top w:val="double" w:sz="4" w:space="0" w:color="3C3D3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D3E" w:themeColor="text1"/>
          <w:right w:val="single" w:sz="4" w:space="0" w:color="3C3D3E" w:themeColor="text1"/>
        </w:tcBorders>
      </w:tcPr>
    </w:tblStylePr>
    <w:tblStylePr w:type="band1Horz">
      <w:tblPr/>
      <w:tcPr>
        <w:tcBorders>
          <w:top w:val="single" w:sz="4" w:space="0" w:color="3C3D3E" w:themeColor="text1"/>
          <w:bottom w:val="single" w:sz="4" w:space="0" w:color="3C3D3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D3E" w:themeColor="text1"/>
          <w:left w:val="nil"/>
        </w:tcBorders>
      </w:tcPr>
    </w:tblStylePr>
    <w:tblStylePr w:type="swCell">
      <w:tblPr/>
      <w:tcPr>
        <w:tcBorders>
          <w:top w:val="double" w:sz="4" w:space="0" w:color="3C3D3E" w:themeColor="text1"/>
          <w:right w:val="nil"/>
        </w:tcBorders>
      </w:tcPr>
    </w:tblStylePr>
  </w:style>
  <w:style w:type="table" w:customStyle="1" w:styleId="TableGridLight1">
    <w:name w:val="Table Grid Light1"/>
    <w:basedOn w:val="TableNormal"/>
    <w:uiPriority w:val="40"/>
    <w:rsid w:val="006B3C3E"/>
    <w:pPr>
      <w:spacing w:before="200" w:after="0" w:line="240" w:lineRule="auto"/>
    </w:pPr>
    <w:rPr>
      <w:color w:val="3C3D3E" w:themeColor="text1"/>
      <w:sz w:val="18"/>
      <w:szCs w:val="1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tiviti2">
    <w:name w:val="Protiviti_2"/>
    <w:basedOn w:val="TableNormal"/>
    <w:uiPriority w:val="99"/>
    <w:locked/>
    <w:rsid w:val="009A417E"/>
    <w:pPr>
      <w:spacing w:after="0" w:line="240" w:lineRule="auto"/>
    </w:pPr>
    <w:rPr>
      <w:rFonts w:ascii="Arial" w:eastAsia="MS Mincho" w:hAnsi="Arial" w:cs="Arial"/>
      <w:color w:val="333333"/>
      <w:sz w:val="18"/>
      <w:szCs w:val="18"/>
      <w:lang w:val="en-US"/>
    </w:rPr>
    <w:tblPr>
      <w:tblInd w:w="-115" w:type="dxa"/>
      <w:tblCellMar>
        <w:top w:w="115" w:type="dxa"/>
        <w:left w:w="115" w:type="dxa"/>
        <w:bottom w:w="115" w:type="dxa"/>
        <w:right w:w="115" w:type="dxa"/>
      </w:tblCellMar>
    </w:tblPr>
  </w:style>
  <w:style w:type="table" w:customStyle="1" w:styleId="TableGrid3">
    <w:name w:val="Table Grid3"/>
    <w:basedOn w:val="TableNormal"/>
    <w:next w:val="TableGrid"/>
    <w:uiPriority w:val="39"/>
    <w:rsid w:val="00901DF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head">
    <w:name w:val="_Resume head"/>
    <w:link w:val="ResumeheadChar"/>
    <w:qFormat/>
    <w:rsid w:val="00D2172C"/>
    <w:pPr>
      <w:pageBreakBefore/>
      <w:spacing w:before="200" w:after="240" w:line="440" w:lineRule="exact"/>
      <w:outlineLvl w:val="0"/>
    </w:pPr>
    <w:rPr>
      <w:rFonts w:ascii="Arial" w:eastAsia="Arial" w:hAnsi="Arial" w:cs="Arial"/>
      <w:color w:val="5D7B9A" w:themeColor="background2"/>
      <w:sz w:val="44"/>
      <w:szCs w:val="20"/>
      <w:lang w:val="en-US" w:eastAsia="ja-JP"/>
    </w:rPr>
  </w:style>
  <w:style w:type="character" w:customStyle="1" w:styleId="Resumesubhead">
    <w:name w:val="_Resume subhead"/>
    <w:basedOn w:val="DefaultParagraphFont"/>
    <w:uiPriority w:val="1"/>
    <w:qFormat/>
    <w:rsid w:val="00901DF4"/>
    <w:rPr>
      <w:rFonts w:ascii="Arial" w:eastAsia="Arial" w:hAnsi="Arial" w:cs="Arial"/>
      <w:color w:val="5D7B9A"/>
      <w:sz w:val="24"/>
      <w:szCs w:val="20"/>
      <w:lang w:eastAsia="ja-JP"/>
    </w:rPr>
  </w:style>
  <w:style w:type="character" w:customStyle="1" w:styleId="ResumeheadChar">
    <w:name w:val="_Resume head Char"/>
    <w:basedOn w:val="DefaultParagraphFont"/>
    <w:link w:val="Resumehead"/>
    <w:rsid w:val="00D2172C"/>
    <w:rPr>
      <w:rFonts w:ascii="Arial" w:eastAsia="Arial" w:hAnsi="Arial" w:cs="Arial"/>
      <w:color w:val="5D7B9A" w:themeColor="background2"/>
      <w:sz w:val="44"/>
      <w:szCs w:val="20"/>
      <w:lang w:val="en-US" w:eastAsia="ja-JP"/>
    </w:rPr>
  </w:style>
  <w:style w:type="character" w:customStyle="1" w:styleId="ResumeDirect">
    <w:name w:val="_Resume Direct"/>
    <w:basedOn w:val="DefaultParagraphFont"/>
    <w:uiPriority w:val="1"/>
    <w:qFormat/>
    <w:rsid w:val="00021981"/>
    <w:rPr>
      <w:rFonts w:ascii="Arial" w:eastAsia="Arial" w:hAnsi="Arial" w:cs="Times New Roman"/>
      <w:bCs/>
      <w:noProof w:val="0"/>
      <w:color w:val="auto"/>
      <w:sz w:val="16"/>
      <w:szCs w:val="20"/>
      <w:lang w:val="en-US"/>
    </w:rPr>
  </w:style>
  <w:style w:type="paragraph" w:customStyle="1" w:styleId="Resumebullets">
    <w:name w:val="_Resume bullets"/>
    <w:qFormat/>
    <w:rsid w:val="00D2172C"/>
    <w:pPr>
      <w:numPr>
        <w:numId w:val="30"/>
      </w:numPr>
      <w:spacing w:after="80" w:line="240" w:lineRule="auto"/>
      <w:ind w:left="187" w:hanging="187"/>
    </w:pPr>
    <w:rPr>
      <w:rFonts w:ascii="Arial" w:eastAsia="Arial" w:hAnsi="Arial" w:cs="Times New Roman"/>
      <w:color w:val="3C3D3E"/>
      <w:sz w:val="18"/>
      <w:szCs w:val="16"/>
      <w:lang w:val="en-US"/>
    </w:rPr>
  </w:style>
  <w:style w:type="paragraph" w:customStyle="1" w:styleId="Resumebody">
    <w:name w:val="_Resume body"/>
    <w:qFormat/>
    <w:rsid w:val="00D2172C"/>
    <w:pPr>
      <w:keepNext/>
      <w:tabs>
        <w:tab w:val="right" w:pos="2520"/>
      </w:tabs>
      <w:spacing w:after="80" w:line="240" w:lineRule="auto"/>
    </w:pPr>
    <w:rPr>
      <w:rFonts w:ascii="Arial" w:eastAsia="Arial" w:hAnsi="Arial" w:cs="Arial"/>
      <w:b/>
      <w:color w:val="3C3D3E"/>
      <w:sz w:val="18"/>
      <w:szCs w:val="16"/>
      <w:lang w:val="en-US" w:eastAsia="ja-JP"/>
    </w:rPr>
  </w:style>
  <w:style w:type="character" w:customStyle="1" w:styleId="ReplaceTextPRO">
    <w:name w:val="Replace_Text_PRO"/>
    <w:basedOn w:val="DefaultParagraphFont"/>
    <w:uiPriority w:val="1"/>
    <w:locked/>
    <w:rsid w:val="00693C0F"/>
    <w:rPr>
      <w:noProof w:val="0"/>
      <w:color w:val="FF0000"/>
      <w:lang w:val="en-US"/>
    </w:rPr>
  </w:style>
  <w:style w:type="paragraph" w:styleId="TOC1">
    <w:name w:val="toc 1"/>
    <w:aliases w:val="_TOC Head 1"/>
    <w:next w:val="Normal"/>
    <w:autoRedefine/>
    <w:uiPriority w:val="39"/>
    <w:unhideWhenUsed/>
    <w:rsid w:val="00752F65"/>
    <w:pPr>
      <w:tabs>
        <w:tab w:val="right" w:leader="dot" w:pos="10070"/>
      </w:tabs>
      <w:spacing w:before="140" w:after="140" w:line="280" w:lineRule="exact"/>
    </w:pPr>
    <w:rPr>
      <w:rFonts w:asciiTheme="majorHAnsi" w:hAnsiTheme="majorHAnsi"/>
      <w:color w:val="3C3D3E" w:themeColor="text2"/>
      <w:lang w:val="en-US"/>
    </w:rPr>
  </w:style>
  <w:style w:type="paragraph" w:styleId="TOC2">
    <w:name w:val="toc 2"/>
    <w:autoRedefine/>
    <w:uiPriority w:val="39"/>
    <w:unhideWhenUsed/>
    <w:rsid w:val="00752F65"/>
    <w:pPr>
      <w:tabs>
        <w:tab w:val="right" w:leader="dot" w:pos="10071"/>
      </w:tabs>
      <w:spacing w:before="140" w:after="140" w:line="280" w:lineRule="exact"/>
      <w:ind w:left="360"/>
    </w:pPr>
    <w:rPr>
      <w:color w:val="3C3D3E" w:themeColor="text2"/>
      <w:sz w:val="20"/>
      <w:lang w:val="en-US"/>
    </w:rPr>
  </w:style>
  <w:style w:type="character" w:styleId="CommentReference">
    <w:name w:val="annotation reference"/>
    <w:basedOn w:val="DefaultParagraphFont"/>
    <w:uiPriority w:val="99"/>
    <w:semiHidden/>
    <w:unhideWhenUsed/>
    <w:rsid w:val="00641CBA"/>
    <w:rPr>
      <w:sz w:val="16"/>
      <w:szCs w:val="16"/>
    </w:rPr>
  </w:style>
  <w:style w:type="paragraph" w:styleId="CommentText">
    <w:name w:val="annotation text"/>
    <w:basedOn w:val="Normal"/>
    <w:link w:val="CommentTextChar"/>
    <w:uiPriority w:val="99"/>
    <w:semiHidden/>
    <w:unhideWhenUsed/>
    <w:rsid w:val="00641CBA"/>
    <w:pPr>
      <w:spacing w:line="240" w:lineRule="auto"/>
    </w:pPr>
    <w:rPr>
      <w:sz w:val="20"/>
      <w:szCs w:val="20"/>
    </w:rPr>
  </w:style>
  <w:style w:type="character" w:customStyle="1" w:styleId="CommentTextChar">
    <w:name w:val="Comment Text Char"/>
    <w:basedOn w:val="DefaultParagraphFont"/>
    <w:link w:val="CommentText"/>
    <w:uiPriority w:val="99"/>
    <w:semiHidden/>
    <w:rsid w:val="00641CBA"/>
    <w:rPr>
      <w:color w:val="3C3D3E" w:themeColor="text2"/>
      <w:sz w:val="20"/>
      <w:szCs w:val="20"/>
      <w:lang w:val="en-US"/>
    </w:rPr>
  </w:style>
  <w:style w:type="paragraph" w:styleId="CommentSubject">
    <w:name w:val="annotation subject"/>
    <w:basedOn w:val="CommentText"/>
    <w:next w:val="CommentText"/>
    <w:link w:val="CommentSubjectChar"/>
    <w:uiPriority w:val="99"/>
    <w:semiHidden/>
    <w:unhideWhenUsed/>
    <w:rsid w:val="00641CBA"/>
    <w:rPr>
      <w:b/>
      <w:bCs/>
    </w:rPr>
  </w:style>
  <w:style w:type="character" w:customStyle="1" w:styleId="CommentSubjectChar">
    <w:name w:val="Comment Subject Char"/>
    <w:basedOn w:val="CommentTextChar"/>
    <w:link w:val="CommentSubject"/>
    <w:uiPriority w:val="99"/>
    <w:semiHidden/>
    <w:rsid w:val="00641CBA"/>
    <w:rPr>
      <w:b/>
      <w:bCs/>
      <w:color w:val="3C3D3E" w:themeColor="text2"/>
      <w:sz w:val="20"/>
      <w:szCs w:val="20"/>
      <w:lang w:val="en-US"/>
    </w:rPr>
  </w:style>
  <w:style w:type="paragraph" w:styleId="BalloonText">
    <w:name w:val="Balloon Text"/>
    <w:basedOn w:val="Normal"/>
    <w:link w:val="BalloonTextChar"/>
    <w:uiPriority w:val="99"/>
    <w:semiHidden/>
    <w:unhideWhenUsed/>
    <w:rsid w:val="00641CB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1CBA"/>
    <w:rPr>
      <w:rFonts w:ascii="Segoe UI" w:hAnsi="Segoe UI" w:cs="Segoe UI"/>
      <w:color w:val="3C3D3E" w:themeColor="text2"/>
      <w:sz w:val="18"/>
      <w:szCs w:val="18"/>
      <w:lang w:val="en-US"/>
    </w:rPr>
  </w:style>
  <w:style w:type="paragraph" w:customStyle="1" w:styleId="Heading1Pro">
    <w:name w:val="_Heading1_Pro"/>
    <w:link w:val="Heading1ProChar"/>
    <w:qFormat/>
    <w:rsid w:val="006404D2"/>
    <w:pPr>
      <w:keepNext/>
      <w:pBdr>
        <w:top w:val="single" w:sz="48" w:space="14" w:color="5D7B9A"/>
      </w:pBdr>
      <w:spacing w:after="280" w:line="280" w:lineRule="exact"/>
      <w:contextualSpacing/>
      <w:outlineLvl w:val="0"/>
    </w:pPr>
    <w:rPr>
      <w:color w:val="00ACC4" w:themeColor="accent1"/>
      <w:sz w:val="28"/>
      <w:lang w:val="en-US"/>
    </w:rPr>
  </w:style>
  <w:style w:type="character" w:customStyle="1" w:styleId="Heading1ProChar">
    <w:name w:val="_Heading1_Pro Char"/>
    <w:basedOn w:val="DefaultParagraphFont"/>
    <w:link w:val="Heading1Pro"/>
    <w:rsid w:val="006404D2"/>
    <w:rPr>
      <w:color w:val="00ACC4" w:themeColor="accent1"/>
      <w:sz w:val="28"/>
      <w:lang w:val="en-US"/>
    </w:rPr>
  </w:style>
  <w:style w:type="paragraph" w:customStyle="1" w:styleId="Heading2Pro">
    <w:name w:val="_Heading2_Pro"/>
    <w:next w:val="BodyPRO"/>
    <w:link w:val="Heading2ProChar"/>
    <w:qFormat/>
    <w:rsid w:val="00260B02"/>
    <w:pPr>
      <w:keepNext/>
      <w:spacing w:before="80" w:after="200" w:line="280" w:lineRule="exact"/>
    </w:pPr>
    <w:rPr>
      <w:b/>
      <w:color w:val="5D7B9A"/>
      <w:sz w:val="24"/>
      <w:lang w:val="en-US"/>
    </w:rPr>
  </w:style>
  <w:style w:type="character" w:customStyle="1" w:styleId="Heading2ProChar">
    <w:name w:val="_Heading2_Pro Char"/>
    <w:basedOn w:val="DefaultParagraphFont"/>
    <w:link w:val="Heading2Pro"/>
    <w:rsid w:val="00260B02"/>
    <w:rPr>
      <w:b/>
      <w:color w:val="5D7B9A"/>
      <w:sz w:val="24"/>
      <w:lang w:val="en-US"/>
    </w:rPr>
  </w:style>
  <w:style w:type="paragraph" w:customStyle="1" w:styleId="InstructionRed">
    <w:name w:val="_Instruction_Red"/>
    <w:basedOn w:val="BodyPRO0"/>
    <w:link w:val="InstructionRedChar"/>
    <w:qFormat/>
    <w:rsid w:val="008B3245"/>
    <w:pPr>
      <w:spacing w:before="0" w:after="160" w:line="259" w:lineRule="auto"/>
    </w:pPr>
    <w:rPr>
      <w:noProof w:val="0"/>
      <w:color w:val="FF0000"/>
      <w:sz w:val="20"/>
    </w:rPr>
  </w:style>
  <w:style w:type="paragraph" w:customStyle="1" w:styleId="Footnote">
    <w:name w:val="_Footnote"/>
    <w:rsid w:val="00BD2516"/>
    <w:pPr>
      <w:spacing w:before="140" w:after="140"/>
    </w:pPr>
    <w:rPr>
      <w:rFonts w:asciiTheme="majorHAnsi" w:eastAsia="Times New Roman" w:hAnsiTheme="majorHAnsi" w:cs="Times New Roman"/>
      <w:color w:val="3C3D3E" w:themeColor="text2"/>
      <w:sz w:val="16"/>
      <w:szCs w:val="20"/>
      <w:lang w:val="en-US"/>
    </w:rPr>
  </w:style>
  <w:style w:type="character" w:customStyle="1" w:styleId="InstructionRedChar">
    <w:name w:val="_Instruction_Red Char"/>
    <w:basedOn w:val="DefaultParagraphFont"/>
    <w:link w:val="InstructionRed"/>
    <w:rsid w:val="008B3245"/>
    <w:rPr>
      <w:bCs/>
      <w:color w:val="FF0000"/>
      <w:sz w:val="20"/>
      <w:szCs w:val="18"/>
      <w:lang w:val="en-US"/>
    </w:rPr>
  </w:style>
  <w:style w:type="table" w:customStyle="1" w:styleId="PROTableStyle1">
    <w:name w:val="PRO Table Style_1"/>
    <w:basedOn w:val="TableProfessional"/>
    <w:uiPriority w:val="99"/>
    <w:rsid w:val="00186E45"/>
    <w:pPr>
      <w:spacing w:line="240" w:lineRule="auto"/>
      <w:jc w:val="center"/>
    </w:pPr>
    <w:rPr>
      <w:color w:val="FFFFFF" w:themeColor="background1"/>
      <w:sz w:val="18"/>
      <w:szCs w:val="20"/>
      <w:lang w:val="en-US" w:eastAsia="en-IN"/>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8" w:type="dxa"/>
        <w:right w:w="58" w:type="dxa"/>
      </w:tblCellMar>
    </w:tblPr>
    <w:tcPr>
      <w:shd w:val="clear" w:color="auto" w:fill="DEE4EB" w:themeFill="background2" w:themeFillTint="33"/>
      <w:vAlign w:val="center"/>
    </w:tcPr>
    <w:tblStylePr w:type="firstRow">
      <w:rPr>
        <w:rFonts w:asciiTheme="majorHAnsi" w:hAnsiTheme="majorHAnsi"/>
        <w:b/>
        <w:bCs/>
        <w:color w:val="FFFFFF" w:themeColor="background1"/>
        <w:sz w:val="16"/>
      </w:rPr>
      <w:tblPr/>
      <w:tcPr>
        <w:tcBorders>
          <w:tl2br w:val="none" w:sz="0" w:space="0" w:color="auto"/>
          <w:tr2bl w:val="none" w:sz="0" w:space="0" w:color="auto"/>
        </w:tcBorders>
        <w:shd w:val="clear" w:color="auto" w:fill="5D7B9A" w:themeFill="background2"/>
      </w:tcPr>
    </w:tblStylePr>
    <w:tblStylePr w:type="lastRow">
      <w:rPr>
        <w:rFonts w:asciiTheme="majorHAnsi" w:hAnsiTheme="majorHAnsi"/>
        <w:b/>
        <w:bCs/>
        <w:color w:val="FFFFFF" w:themeColor="background1"/>
        <w:sz w:val="16"/>
      </w:rPr>
      <w:tblPr/>
      <w:tcPr>
        <w:shd w:val="clear" w:color="auto" w:fill="00ACC4" w:themeFill="accent1"/>
      </w:tcPr>
    </w:tblStylePr>
    <w:tblStylePr w:type="firstCol">
      <w:pPr>
        <w:jc w:val="left"/>
      </w:pPr>
      <w:rPr>
        <w:b/>
        <w:bCs/>
        <w:color w:val="3C3D3E" w:themeColor="text1"/>
      </w:rPr>
      <w:tblPr>
        <w:tblCellMar>
          <w:top w:w="0" w:type="dxa"/>
          <w:left w:w="115" w:type="dxa"/>
          <w:bottom w:w="0" w:type="dxa"/>
          <w:right w:w="115" w:type="dxa"/>
        </w:tblCellMar>
      </w:tblPr>
      <w:tcPr>
        <w:shd w:val="clear" w:color="auto" w:fill="BDCAD7" w:themeFill="background2" w:themeFillTint="66"/>
      </w:tcPr>
    </w:tblStylePr>
    <w:tblStylePr w:type="lastCol">
      <w:rPr>
        <w:b/>
        <w:bCs/>
      </w:rPr>
    </w:tblStylePr>
    <w:tblStylePr w:type="band1Vert">
      <w:tblPr/>
      <w:tcPr>
        <w:shd w:val="clear" w:color="auto" w:fill="D7D8D8" w:themeFill="text1" w:themeFillTint="33"/>
      </w:tcPr>
    </w:tblStylePr>
    <w:tblStylePr w:type="band1Horz">
      <w:rPr>
        <w:color w:val="3C3D3E" w:themeColor="text1"/>
      </w:rPr>
      <w:tblPr/>
      <w:tcPr>
        <w:shd w:val="clear" w:color="auto" w:fill="F2F2F2" w:themeFill="background1" w:themeFillShade="F2"/>
      </w:tcPr>
    </w:tblStylePr>
    <w:tblStylePr w:type="band2Horz">
      <w:rPr>
        <w:color w:val="3C3D3E" w:themeColor="text1"/>
      </w:rPr>
      <w:tblPr/>
      <w:tcPr>
        <w:shd w:val="clear" w:color="auto" w:fill="D9D9D9" w:themeFill="background1" w:themeFillShade="D9"/>
      </w:tcPr>
    </w:tblStylePr>
    <w:tblStylePr w:type="swCell">
      <w:pPr>
        <w:jc w:val="right"/>
      </w:pPr>
      <w:tblPr>
        <w:tblCellMar>
          <w:top w:w="0" w:type="dxa"/>
          <w:left w:w="115" w:type="dxa"/>
          <w:bottom w:w="0" w:type="dxa"/>
          <w:right w:w="115" w:type="dxa"/>
        </w:tblCellMar>
      </w:tblPr>
    </w:tblStylePr>
  </w:style>
  <w:style w:type="character" w:customStyle="1" w:styleId="NormalWebChar">
    <w:name w:val="Normal (Web) Char"/>
    <w:basedOn w:val="DefaultParagraphFont"/>
    <w:link w:val="NormalWeb"/>
    <w:uiPriority w:val="99"/>
    <w:rsid w:val="007124D7"/>
    <w:rPr>
      <w:rFonts w:ascii="Times New Roman" w:eastAsia="Times New Roman" w:hAnsi="Times New Roman" w:cs="Times New Roman"/>
      <w:color w:val="3C3D3E" w:themeColor="text1"/>
      <w:sz w:val="24"/>
      <w:szCs w:val="24"/>
      <w:lang w:val="en-US"/>
    </w:rPr>
  </w:style>
  <w:style w:type="table" w:styleId="TableProfessional">
    <w:name w:val="Table Professional"/>
    <w:basedOn w:val="TableNormal"/>
    <w:uiPriority w:val="99"/>
    <w:semiHidden/>
    <w:unhideWhenUsed/>
    <w:rsid w:val="00FE3B08"/>
    <w:pPr>
      <w:spacing w:before="120" w:after="120" w:line="240" w:lineRule="exac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ing3Pro">
    <w:name w:val="_Heading3_Pro"/>
    <w:next w:val="BodyPRO"/>
    <w:link w:val="Heading3ProChar"/>
    <w:qFormat/>
    <w:rsid w:val="009C190A"/>
    <w:pPr>
      <w:keepNext/>
      <w:spacing w:before="200" w:after="80" w:line="280" w:lineRule="exact"/>
      <w:contextualSpacing/>
    </w:pPr>
    <w:rPr>
      <w:b/>
      <w:color w:val="3C3D3E" w:themeColor="text2"/>
      <w:lang w:val="en-US"/>
    </w:rPr>
  </w:style>
  <w:style w:type="character" w:customStyle="1" w:styleId="Heading3ProChar">
    <w:name w:val="_Heading3_Pro Char"/>
    <w:basedOn w:val="DefaultParagraphFont"/>
    <w:link w:val="Heading3Pro"/>
    <w:rsid w:val="009C190A"/>
    <w:rPr>
      <w:b/>
      <w:color w:val="3C3D3E" w:themeColor="text2"/>
      <w:lang w:val="en-US"/>
    </w:rPr>
  </w:style>
  <w:style w:type="paragraph" w:customStyle="1" w:styleId="ListBullet">
    <w:name w:val="_List Bullet"/>
    <w:basedOn w:val="Normal"/>
    <w:rsid w:val="00C750DA"/>
    <w:pPr>
      <w:numPr>
        <w:numId w:val="32"/>
      </w:numPr>
      <w:spacing w:before="0" w:after="160" w:line="259" w:lineRule="auto"/>
      <w:contextualSpacing w:val="0"/>
    </w:pPr>
    <w:rPr>
      <w:szCs w:val="18"/>
    </w:rPr>
  </w:style>
  <w:style w:type="paragraph" w:customStyle="1" w:styleId="Pro-Quotes">
    <w:name w:val="_Pro-Quotes"/>
    <w:qFormat/>
    <w:rsid w:val="000918C7"/>
    <w:pPr>
      <w:spacing w:before="120" w:after="120" w:line="240" w:lineRule="exact"/>
    </w:pPr>
    <w:rPr>
      <w:color w:val="3C3D3E" w:themeColor="text2"/>
      <w:sz w:val="18"/>
      <w:szCs w:val="18"/>
      <w:lang w:val="en-US"/>
    </w:rPr>
  </w:style>
  <w:style w:type="character" w:styleId="FollowedHyperlink">
    <w:name w:val="FollowedHyperlink"/>
    <w:basedOn w:val="DefaultParagraphFont"/>
    <w:uiPriority w:val="99"/>
    <w:semiHidden/>
    <w:unhideWhenUsed/>
    <w:rsid w:val="0069036F"/>
    <w:rPr>
      <w:color w:val="5D7B9A" w:themeColor="followedHyperlink"/>
      <w:u w:val="single"/>
    </w:rPr>
  </w:style>
  <w:style w:type="paragraph" w:styleId="Revision">
    <w:name w:val="Revision"/>
    <w:hidden/>
    <w:uiPriority w:val="99"/>
    <w:semiHidden/>
    <w:rsid w:val="00086034"/>
    <w:pPr>
      <w:spacing w:after="0" w:line="240" w:lineRule="auto"/>
    </w:pPr>
    <w:rPr>
      <w:color w:val="3C3D3E" w:themeColor="text2"/>
      <w:sz w:val="18"/>
      <w:lang w:val="en-US"/>
    </w:rPr>
  </w:style>
  <w:style w:type="paragraph" w:styleId="Title">
    <w:name w:val="Title"/>
    <w:basedOn w:val="Normal"/>
    <w:next w:val="Normal"/>
    <w:link w:val="TitleChar"/>
    <w:uiPriority w:val="10"/>
    <w:rsid w:val="00752F65"/>
    <w:pPr>
      <w:spacing w:before="0" w:after="300" w:line="240" w:lineRule="auto"/>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752F65"/>
    <w:rPr>
      <w:rFonts w:asciiTheme="majorHAnsi" w:eastAsiaTheme="majorEastAsia" w:hAnsiTheme="majorHAnsi" w:cstheme="majorBidi"/>
      <w:b/>
      <w:color w:val="FFFFFF" w:themeColor="background1"/>
      <w:spacing w:val="5"/>
      <w:kern w:val="28"/>
      <w:sz w:val="48"/>
      <w:szCs w:val="52"/>
      <w:lang w:val="en-US"/>
    </w:rPr>
  </w:style>
  <w:style w:type="table" w:customStyle="1" w:styleId="TableGrid4">
    <w:name w:val="Table Grid4"/>
    <w:basedOn w:val="TableNormal"/>
    <w:next w:val="TableGrid"/>
    <w:uiPriority w:val="39"/>
    <w:rsid w:val="00F6145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6145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145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145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4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0449"/>
    <w:rPr>
      <w:color w:val="3C3D3E" w:themeColor="text2"/>
      <w:sz w:val="18"/>
      <w:lang w:val="en-US"/>
    </w:rPr>
  </w:style>
  <w:style w:type="paragraph" w:styleId="Footer">
    <w:name w:val="footer"/>
    <w:basedOn w:val="Normal"/>
    <w:link w:val="FooterChar"/>
    <w:uiPriority w:val="99"/>
    <w:unhideWhenUsed/>
    <w:rsid w:val="008204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0449"/>
    <w:rPr>
      <w:color w:val="3C3D3E" w:themeColor="text2"/>
      <w:sz w:val="18"/>
      <w:lang w:val="en-US"/>
    </w:rPr>
  </w:style>
  <w:style w:type="character" w:customStyle="1" w:styleId="UnresolvedMention1">
    <w:name w:val="Unresolved Mention1"/>
    <w:basedOn w:val="DefaultParagraphFont"/>
    <w:uiPriority w:val="99"/>
    <w:semiHidden/>
    <w:unhideWhenUsed/>
    <w:rsid w:val="0071462C"/>
    <w:rPr>
      <w:color w:val="808080"/>
      <w:shd w:val="clear" w:color="auto" w:fill="E6E6E6"/>
    </w:rPr>
  </w:style>
  <w:style w:type="paragraph" w:customStyle="1" w:styleId="Default">
    <w:name w:val="Default"/>
    <w:rsid w:val="00EF0519"/>
    <w:pPr>
      <w:autoSpaceDE w:val="0"/>
      <w:autoSpaceDN w:val="0"/>
      <w:adjustRightInd w:val="0"/>
      <w:spacing w:after="0" w:line="240" w:lineRule="auto"/>
    </w:pPr>
    <w:rPr>
      <w:rFonts w:ascii="Arial" w:hAnsi="Arial" w:cs="Arial"/>
      <w:color w:val="000000"/>
      <w:sz w:val="24"/>
      <w:szCs w:val="24"/>
      <w:lang w:val="en-AU"/>
    </w:rPr>
  </w:style>
  <w:style w:type="paragraph" w:styleId="FootnoteText">
    <w:name w:val="footnote text"/>
    <w:basedOn w:val="Normal"/>
    <w:link w:val="FootnoteTextChar"/>
    <w:uiPriority w:val="99"/>
    <w:semiHidden/>
    <w:unhideWhenUsed/>
    <w:rsid w:val="00784BD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84BDF"/>
    <w:rPr>
      <w:color w:val="3C3D3E" w:themeColor="text2"/>
      <w:sz w:val="20"/>
      <w:szCs w:val="20"/>
      <w:lang w:val="en-US"/>
    </w:rPr>
  </w:style>
  <w:style w:type="character" w:styleId="FootnoteReference">
    <w:name w:val="footnote reference"/>
    <w:basedOn w:val="DefaultParagraphFont"/>
    <w:uiPriority w:val="99"/>
    <w:semiHidden/>
    <w:unhideWhenUsed/>
    <w:rsid w:val="00784BDF"/>
    <w:rPr>
      <w:vertAlign w:val="superscript"/>
    </w:rPr>
  </w:style>
  <w:style w:type="paragraph" w:styleId="ListNumber">
    <w:name w:val="List Number"/>
    <w:basedOn w:val="Normal"/>
    <w:rsid w:val="003E024E"/>
    <w:pPr>
      <w:numPr>
        <w:numId w:val="48"/>
      </w:numPr>
      <w:spacing w:before="240" w:after="0" w:line="240" w:lineRule="auto"/>
      <w:contextualSpacing w:val="0"/>
    </w:pPr>
    <w:rPr>
      <w:rFonts w:ascii="Arial" w:eastAsia="Times New Roman" w:hAnsi="Arial" w:cs="Times New Roman"/>
      <w:color w:val="auto"/>
      <w:sz w:val="26"/>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094">
      <w:bodyDiv w:val="1"/>
      <w:marLeft w:val="0"/>
      <w:marRight w:val="0"/>
      <w:marTop w:val="0"/>
      <w:marBottom w:val="0"/>
      <w:divBdr>
        <w:top w:val="none" w:sz="0" w:space="0" w:color="auto"/>
        <w:left w:val="none" w:sz="0" w:space="0" w:color="auto"/>
        <w:bottom w:val="none" w:sz="0" w:space="0" w:color="auto"/>
        <w:right w:val="none" w:sz="0" w:space="0" w:color="auto"/>
      </w:divBdr>
    </w:div>
    <w:div w:id="291328269">
      <w:bodyDiv w:val="1"/>
      <w:marLeft w:val="0"/>
      <w:marRight w:val="0"/>
      <w:marTop w:val="0"/>
      <w:marBottom w:val="0"/>
      <w:divBdr>
        <w:top w:val="none" w:sz="0" w:space="0" w:color="auto"/>
        <w:left w:val="none" w:sz="0" w:space="0" w:color="auto"/>
        <w:bottom w:val="none" w:sz="0" w:space="0" w:color="auto"/>
        <w:right w:val="none" w:sz="0" w:space="0" w:color="auto"/>
      </w:divBdr>
    </w:div>
    <w:div w:id="396900367">
      <w:bodyDiv w:val="1"/>
      <w:marLeft w:val="0"/>
      <w:marRight w:val="0"/>
      <w:marTop w:val="0"/>
      <w:marBottom w:val="0"/>
      <w:divBdr>
        <w:top w:val="none" w:sz="0" w:space="0" w:color="auto"/>
        <w:left w:val="none" w:sz="0" w:space="0" w:color="auto"/>
        <w:bottom w:val="none" w:sz="0" w:space="0" w:color="auto"/>
        <w:right w:val="none" w:sz="0" w:space="0" w:color="auto"/>
      </w:divBdr>
    </w:div>
    <w:div w:id="686293086">
      <w:bodyDiv w:val="1"/>
      <w:marLeft w:val="0"/>
      <w:marRight w:val="0"/>
      <w:marTop w:val="0"/>
      <w:marBottom w:val="0"/>
      <w:divBdr>
        <w:top w:val="none" w:sz="0" w:space="0" w:color="auto"/>
        <w:left w:val="none" w:sz="0" w:space="0" w:color="auto"/>
        <w:bottom w:val="none" w:sz="0" w:space="0" w:color="auto"/>
        <w:right w:val="none" w:sz="0" w:space="0" w:color="auto"/>
      </w:divBdr>
    </w:div>
    <w:div w:id="771433569">
      <w:bodyDiv w:val="1"/>
      <w:marLeft w:val="0"/>
      <w:marRight w:val="0"/>
      <w:marTop w:val="0"/>
      <w:marBottom w:val="0"/>
      <w:divBdr>
        <w:top w:val="none" w:sz="0" w:space="0" w:color="auto"/>
        <w:left w:val="none" w:sz="0" w:space="0" w:color="auto"/>
        <w:bottom w:val="none" w:sz="0" w:space="0" w:color="auto"/>
        <w:right w:val="none" w:sz="0" w:space="0" w:color="auto"/>
      </w:divBdr>
    </w:div>
    <w:div w:id="945623492">
      <w:bodyDiv w:val="1"/>
      <w:marLeft w:val="0"/>
      <w:marRight w:val="0"/>
      <w:marTop w:val="0"/>
      <w:marBottom w:val="0"/>
      <w:divBdr>
        <w:top w:val="none" w:sz="0" w:space="0" w:color="auto"/>
        <w:left w:val="none" w:sz="0" w:space="0" w:color="auto"/>
        <w:bottom w:val="none" w:sz="0" w:space="0" w:color="auto"/>
        <w:right w:val="none" w:sz="0" w:space="0" w:color="auto"/>
      </w:divBdr>
    </w:div>
    <w:div w:id="980691834">
      <w:bodyDiv w:val="1"/>
      <w:marLeft w:val="0"/>
      <w:marRight w:val="0"/>
      <w:marTop w:val="0"/>
      <w:marBottom w:val="0"/>
      <w:divBdr>
        <w:top w:val="none" w:sz="0" w:space="0" w:color="auto"/>
        <w:left w:val="none" w:sz="0" w:space="0" w:color="auto"/>
        <w:bottom w:val="none" w:sz="0" w:space="0" w:color="auto"/>
        <w:right w:val="none" w:sz="0" w:space="0" w:color="auto"/>
      </w:divBdr>
    </w:div>
    <w:div w:id="1098333319">
      <w:bodyDiv w:val="1"/>
      <w:marLeft w:val="0"/>
      <w:marRight w:val="0"/>
      <w:marTop w:val="0"/>
      <w:marBottom w:val="0"/>
      <w:divBdr>
        <w:top w:val="none" w:sz="0" w:space="0" w:color="auto"/>
        <w:left w:val="none" w:sz="0" w:space="0" w:color="auto"/>
        <w:bottom w:val="none" w:sz="0" w:space="0" w:color="auto"/>
        <w:right w:val="none" w:sz="0" w:space="0" w:color="auto"/>
      </w:divBdr>
    </w:div>
    <w:div w:id="1204827458">
      <w:bodyDiv w:val="1"/>
      <w:marLeft w:val="0"/>
      <w:marRight w:val="0"/>
      <w:marTop w:val="0"/>
      <w:marBottom w:val="0"/>
      <w:divBdr>
        <w:top w:val="none" w:sz="0" w:space="0" w:color="auto"/>
        <w:left w:val="none" w:sz="0" w:space="0" w:color="auto"/>
        <w:bottom w:val="none" w:sz="0" w:space="0" w:color="auto"/>
        <w:right w:val="none" w:sz="0" w:space="0" w:color="auto"/>
      </w:divBdr>
      <w:divsChild>
        <w:div w:id="1435513445">
          <w:marLeft w:val="763"/>
          <w:marRight w:val="0"/>
          <w:marTop w:val="101"/>
          <w:marBottom w:val="0"/>
          <w:divBdr>
            <w:top w:val="none" w:sz="0" w:space="0" w:color="auto"/>
            <w:left w:val="none" w:sz="0" w:space="0" w:color="auto"/>
            <w:bottom w:val="none" w:sz="0" w:space="0" w:color="auto"/>
            <w:right w:val="none" w:sz="0" w:space="0" w:color="auto"/>
          </w:divBdr>
        </w:div>
        <w:div w:id="693926755">
          <w:marLeft w:val="1670"/>
          <w:marRight w:val="0"/>
          <w:marTop w:val="101"/>
          <w:marBottom w:val="0"/>
          <w:divBdr>
            <w:top w:val="none" w:sz="0" w:space="0" w:color="auto"/>
            <w:left w:val="none" w:sz="0" w:space="0" w:color="auto"/>
            <w:bottom w:val="none" w:sz="0" w:space="0" w:color="auto"/>
            <w:right w:val="none" w:sz="0" w:space="0" w:color="auto"/>
          </w:divBdr>
        </w:div>
        <w:div w:id="974722283">
          <w:marLeft w:val="1670"/>
          <w:marRight w:val="0"/>
          <w:marTop w:val="101"/>
          <w:marBottom w:val="240"/>
          <w:divBdr>
            <w:top w:val="none" w:sz="0" w:space="0" w:color="auto"/>
            <w:left w:val="none" w:sz="0" w:space="0" w:color="auto"/>
            <w:bottom w:val="none" w:sz="0" w:space="0" w:color="auto"/>
            <w:right w:val="none" w:sz="0" w:space="0" w:color="auto"/>
          </w:divBdr>
        </w:div>
        <w:div w:id="824785774">
          <w:marLeft w:val="763"/>
          <w:marRight w:val="0"/>
          <w:marTop w:val="101"/>
          <w:marBottom w:val="0"/>
          <w:divBdr>
            <w:top w:val="none" w:sz="0" w:space="0" w:color="auto"/>
            <w:left w:val="none" w:sz="0" w:space="0" w:color="auto"/>
            <w:bottom w:val="none" w:sz="0" w:space="0" w:color="auto"/>
            <w:right w:val="none" w:sz="0" w:space="0" w:color="auto"/>
          </w:divBdr>
        </w:div>
        <w:div w:id="428698369">
          <w:marLeft w:val="1670"/>
          <w:marRight w:val="0"/>
          <w:marTop w:val="101"/>
          <w:marBottom w:val="0"/>
          <w:divBdr>
            <w:top w:val="none" w:sz="0" w:space="0" w:color="auto"/>
            <w:left w:val="none" w:sz="0" w:space="0" w:color="auto"/>
            <w:bottom w:val="none" w:sz="0" w:space="0" w:color="auto"/>
            <w:right w:val="none" w:sz="0" w:space="0" w:color="auto"/>
          </w:divBdr>
        </w:div>
        <w:div w:id="1773546903">
          <w:marLeft w:val="1670"/>
          <w:marRight w:val="0"/>
          <w:marTop w:val="101"/>
          <w:marBottom w:val="0"/>
          <w:divBdr>
            <w:top w:val="none" w:sz="0" w:space="0" w:color="auto"/>
            <w:left w:val="none" w:sz="0" w:space="0" w:color="auto"/>
            <w:bottom w:val="none" w:sz="0" w:space="0" w:color="auto"/>
            <w:right w:val="none" w:sz="0" w:space="0" w:color="auto"/>
          </w:divBdr>
        </w:div>
        <w:div w:id="1293435969">
          <w:marLeft w:val="1670"/>
          <w:marRight w:val="0"/>
          <w:marTop w:val="101"/>
          <w:marBottom w:val="0"/>
          <w:divBdr>
            <w:top w:val="none" w:sz="0" w:space="0" w:color="auto"/>
            <w:left w:val="none" w:sz="0" w:space="0" w:color="auto"/>
            <w:bottom w:val="none" w:sz="0" w:space="0" w:color="auto"/>
            <w:right w:val="none" w:sz="0" w:space="0" w:color="auto"/>
          </w:divBdr>
        </w:div>
        <w:div w:id="1322347104">
          <w:marLeft w:val="1670"/>
          <w:marRight w:val="0"/>
          <w:marTop w:val="101"/>
          <w:marBottom w:val="0"/>
          <w:divBdr>
            <w:top w:val="none" w:sz="0" w:space="0" w:color="auto"/>
            <w:left w:val="none" w:sz="0" w:space="0" w:color="auto"/>
            <w:bottom w:val="none" w:sz="0" w:space="0" w:color="auto"/>
            <w:right w:val="none" w:sz="0" w:space="0" w:color="auto"/>
          </w:divBdr>
        </w:div>
        <w:div w:id="593981384">
          <w:marLeft w:val="1670"/>
          <w:marRight w:val="0"/>
          <w:marTop w:val="101"/>
          <w:marBottom w:val="0"/>
          <w:divBdr>
            <w:top w:val="none" w:sz="0" w:space="0" w:color="auto"/>
            <w:left w:val="none" w:sz="0" w:space="0" w:color="auto"/>
            <w:bottom w:val="none" w:sz="0" w:space="0" w:color="auto"/>
            <w:right w:val="none" w:sz="0" w:space="0" w:color="auto"/>
          </w:divBdr>
        </w:div>
        <w:div w:id="1490246494">
          <w:marLeft w:val="1670"/>
          <w:marRight w:val="0"/>
          <w:marTop w:val="101"/>
          <w:marBottom w:val="0"/>
          <w:divBdr>
            <w:top w:val="none" w:sz="0" w:space="0" w:color="auto"/>
            <w:left w:val="none" w:sz="0" w:space="0" w:color="auto"/>
            <w:bottom w:val="none" w:sz="0" w:space="0" w:color="auto"/>
            <w:right w:val="none" w:sz="0" w:space="0" w:color="auto"/>
          </w:divBdr>
        </w:div>
      </w:divsChild>
    </w:div>
    <w:div w:id="1758407280">
      <w:bodyDiv w:val="1"/>
      <w:marLeft w:val="0"/>
      <w:marRight w:val="0"/>
      <w:marTop w:val="0"/>
      <w:marBottom w:val="0"/>
      <w:divBdr>
        <w:top w:val="none" w:sz="0" w:space="0" w:color="auto"/>
        <w:left w:val="none" w:sz="0" w:space="0" w:color="auto"/>
        <w:bottom w:val="none" w:sz="0" w:space="0" w:color="auto"/>
        <w:right w:val="none" w:sz="0" w:space="0" w:color="auto"/>
      </w:divBdr>
    </w:div>
    <w:div w:id="1895116665">
      <w:bodyDiv w:val="1"/>
      <w:marLeft w:val="0"/>
      <w:marRight w:val="0"/>
      <w:marTop w:val="0"/>
      <w:marBottom w:val="0"/>
      <w:divBdr>
        <w:top w:val="none" w:sz="0" w:space="0" w:color="auto"/>
        <w:left w:val="none" w:sz="0" w:space="0" w:color="auto"/>
        <w:bottom w:val="none" w:sz="0" w:space="0" w:color="auto"/>
        <w:right w:val="none" w:sz="0" w:space="0" w:color="auto"/>
      </w:divBdr>
    </w:div>
    <w:div w:id="19743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en.wikipedia.org/wiki/Project_stakeholder" TargetMode="Externa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ictionary.cambridge.org/dictionary/english/opinion" TargetMode="External"/><Relationship Id="rId7" Type="http://schemas.openxmlformats.org/officeDocument/2006/relationships/hyperlink" Target="https://dictionary.cambridge.org/dictionary/english/situation" TargetMode="External"/><Relationship Id="rId2" Type="http://schemas.openxmlformats.org/officeDocument/2006/relationships/hyperlink" Target="https://en.wikipedia.org/wiki/Journal_of_Management" TargetMode="External"/><Relationship Id="rId1" Type="http://schemas.openxmlformats.org/officeDocument/2006/relationships/hyperlink" Target="https://dx.doi.org/10.1177/0149206314525202" TargetMode="External"/><Relationship Id="rId6" Type="http://schemas.openxmlformats.org/officeDocument/2006/relationships/hyperlink" Target="https://dictionary.cambridge.org/dictionary/english/particular" TargetMode="External"/><Relationship Id="rId5" Type="http://schemas.openxmlformats.org/officeDocument/2006/relationships/hyperlink" Target="https://dictionary.cambridge.org/dictionary/english/act" TargetMode="External"/><Relationship Id="rId4" Type="http://schemas.openxmlformats.org/officeDocument/2006/relationships/hyperlink" Target="https://dictionary.cambridge.org/dictionary/english/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rotiviti-Default">
  <a:themeElements>
    <a:clrScheme name="Custom 37">
      <a:dk1>
        <a:srgbClr val="3C3D3E"/>
      </a:dk1>
      <a:lt1>
        <a:sysClr val="window" lastClr="FFFFFF"/>
      </a:lt1>
      <a:dk2>
        <a:srgbClr val="3C3D3E"/>
      </a:dk2>
      <a:lt2>
        <a:srgbClr val="5D7B9A"/>
      </a:lt2>
      <a:accent1>
        <a:srgbClr val="00ACC4"/>
      </a:accent1>
      <a:accent2>
        <a:srgbClr val="00A28F"/>
      </a:accent2>
      <a:accent3>
        <a:srgbClr val="F6871F"/>
      </a:accent3>
      <a:accent4>
        <a:srgbClr val="004068"/>
      </a:accent4>
      <a:accent5>
        <a:srgbClr val="5D7B9A"/>
      </a:accent5>
      <a:accent6>
        <a:srgbClr val="D74B29"/>
      </a:accent6>
      <a:hlink>
        <a:srgbClr val="5D7B9A"/>
      </a:hlink>
      <a:folHlink>
        <a:srgbClr val="5D7B9A"/>
      </a:folHlink>
    </a:clrScheme>
    <a:fontScheme name="Protiviti 2016">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tiviti-Default" id="{D81EDE5F-BEC6-4E81-A5D3-3CA90FCB5D65}" vid="{D942D3B2-3370-4118-9BC5-3D1259360A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D9B40-F75C-4D72-85BF-6EA08E9114C9}"/>
</file>

<file path=customXml/itemProps2.xml><?xml version="1.0" encoding="utf-8"?>
<ds:datastoreItem xmlns:ds="http://schemas.openxmlformats.org/officeDocument/2006/customXml" ds:itemID="{9F282981-4381-4E13-A43F-A9A7F737C7B0}"/>
</file>

<file path=customXml/itemProps3.xml><?xml version="1.0" encoding="utf-8"?>
<ds:datastoreItem xmlns:ds="http://schemas.openxmlformats.org/officeDocument/2006/customXml" ds:itemID="{5EC6C9E9-EC89-4E2F-8F7F-F83040540456}"/>
</file>

<file path=customXml/itemProps4.xml><?xml version="1.0" encoding="utf-8"?>
<ds:datastoreItem xmlns:ds="http://schemas.openxmlformats.org/officeDocument/2006/customXml" ds:itemID="{03ED9B40-F75C-4D72-85BF-6EA08E9114C9}">
  <ds:schemaRefs>
    <ds:schemaRef ds:uri="http://schemas.microsoft.com/sharepoint/v3/contenttype/forms"/>
  </ds:schemaRefs>
</ds:datastoreItem>
</file>

<file path=customXml/itemProps5.xml><?xml version="1.0" encoding="utf-8"?>
<ds:datastoreItem xmlns:ds="http://schemas.openxmlformats.org/officeDocument/2006/customXml" ds:itemID="{37463438-439B-4FC3-91C8-5FED0F891007}"/>
</file>

<file path=docProps/app.xml><?xml version="1.0" encoding="utf-8"?>
<Properties xmlns="http://schemas.openxmlformats.org/officeDocument/2006/extended-properties" xmlns:vt="http://schemas.openxmlformats.org/officeDocument/2006/docPropsVTypes">
  <Template>Normal</Template>
  <TotalTime>10</TotalTime>
  <Pages>20</Pages>
  <Words>7095</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BRI02150_ETRAPart2.7Review-PostSPFAC_Draft4</vt:lpstr>
    </vt:vector>
  </TitlesOfParts>
  <Company>Robert Half</Company>
  <LinksUpToDate>false</LinksUpToDate>
  <CharactersWithSpaces>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BRI02150_ETRAPart2.7Review-PostSPFAC_Draft4</dc:title>
  <dc:creator>Gill, Manoj (PKIC)</dc:creator>
  <cp:lastModifiedBy>Beck, Luke L</cp:lastModifiedBy>
  <cp:revision>3</cp:revision>
  <cp:lastPrinted>2018-10-10T03:42:00Z</cp:lastPrinted>
  <dcterms:created xsi:type="dcterms:W3CDTF">2018-10-22T05:05:00Z</dcterms:created>
  <dcterms:modified xsi:type="dcterms:W3CDTF">2018-10-25T01:44:00Z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iShareTypeOfContent">
    <vt:lpwstr>20;#Proposal|311f708c-abea-4607-8d35-aad1107d4dc1</vt:lpwstr>
  </property>
  <property fmtid="{D5CDD505-2E9C-101B-9397-08002B2CF9AE}" pid="4" name="iShareSource">
    <vt:lpwstr>3;#Protiviti RHI|081ccbfc-482a-43ed-b742-66253821da56</vt:lpwstr>
  </property>
  <property fmtid="{D5CDD505-2E9C-101B-9397-08002B2CF9AE}" pid="5" name="iShareCountry">
    <vt:lpwstr>4;#Global|83b97948-b097-4f45-ad6b-f0b763cc5fe7</vt:lpwstr>
  </property>
  <property fmtid="{D5CDD505-2E9C-101B-9397-08002B2CF9AE}" pid="6" name="DET_EDRMS_RCS">
    <vt:lpwstr>20;#1.2.2 Project Documentation|a3ce4c3c-7960-4756-834e-8cbbf9028802</vt:lpwstr>
  </property>
  <property fmtid="{D5CDD505-2E9C-101B-9397-08002B2CF9AE}" pid="7" name="DET_EDRMS_SecClass">
    <vt:lpwstr/>
  </property>
  <property fmtid="{D5CDD505-2E9C-101B-9397-08002B2CF9AE}" pid="8" name="DET_EDRMS_BusUnit">
    <vt:lpwstr/>
  </property>
  <property fmtid="{D5CDD505-2E9C-101B-9397-08002B2CF9AE}" pid="9" name="RecordPoint_WorkflowType">
    <vt:lpwstr>ActiveSubmitStub</vt:lpwstr>
  </property>
  <property fmtid="{D5CDD505-2E9C-101B-9397-08002B2CF9AE}" pid="10" name="RecordPoint_ActiveItemListId">
    <vt:lpwstr>{96bde5ef-5d94-4999-8d7b-52b0f5adbec3}</vt:lpwstr>
  </property>
  <property fmtid="{D5CDD505-2E9C-101B-9397-08002B2CF9AE}" pid="11" name="RecordPoint_ActiveItemUniqueId">
    <vt:lpwstr>{f3668fc1-54a7-4f2b-815a-684ba905231a}</vt:lpwstr>
  </property>
  <property fmtid="{D5CDD505-2E9C-101B-9397-08002B2CF9AE}" pid="12" name="RecordPoint_ActiveItemWebId">
    <vt:lpwstr>{19e37353-cd24-4058-9992-8247ab2a1119}</vt:lpwstr>
  </property>
  <property fmtid="{D5CDD505-2E9C-101B-9397-08002B2CF9AE}" pid="13" name="RecordPoint_ActiveItemSiteId">
    <vt:lpwstr>{03dc8113-b288-4f44-a289-6e7ea0196235}</vt:lpwstr>
  </property>
  <property fmtid="{D5CDD505-2E9C-101B-9397-08002B2CF9AE}" pid="14" name="RecordPoint_RecordNumberSubmitted">
    <vt:lpwstr>R2018-1288822</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2018-10-10T12:53:53.3868480+11:00</vt:lpwstr>
  </property>
  <property fmtid="{D5CDD505-2E9C-101B-9397-08002B2CF9AE}" pid="19" name="DEECD_Author">
    <vt:lpwstr>94;#Education|5232e41c-5101-41fe-b638-7d41d1371531</vt:lpwstr>
  </property>
  <property fmtid="{D5CDD505-2E9C-101B-9397-08002B2CF9AE}" pid="20" name="ofbb8b9a280a423a91cf717fb81349cd">
    <vt:lpwstr>Education|5232e41c-5101-41fe-b638-7d41d1371531</vt:lpwstr>
  </property>
  <property fmtid="{D5CDD505-2E9C-101B-9397-08002B2CF9AE}" pid="21" name="a319977fc8504e09982f090ae1d7c602">
    <vt:lpwstr>Page|eb523acf-a821-456c-a76b-7607578309d7</vt:lpwstr>
  </property>
  <property fmtid="{D5CDD505-2E9C-101B-9397-08002B2CF9AE}" pid="22" name="DEECD_ItemType">
    <vt:lpwstr>101;#Page|eb523acf-a821-456c-a76b-7607578309d7</vt:lpwstr>
  </property>
</Properties>
</file>