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E7F4C" w14:textId="339E6AE8" w:rsidR="00DF4B18" w:rsidRPr="00EE4FA1" w:rsidRDefault="00DF4B18" w:rsidP="00EE4FA1">
      <w:pPr>
        <w:pStyle w:val="ESBodyText"/>
        <w:jc w:val="center"/>
        <w:rPr>
          <w:b/>
          <w:color w:val="AF272F"/>
          <w:sz w:val="44"/>
        </w:rPr>
      </w:pPr>
      <w:bookmarkStart w:id="0" w:name="_Toc484621888"/>
      <w:bookmarkStart w:id="1" w:name="_GoBack"/>
      <w:bookmarkEnd w:id="0"/>
      <w:bookmarkEnd w:id="1"/>
      <w:r w:rsidRPr="00EE4FA1">
        <w:rPr>
          <w:b/>
          <w:color w:val="AF272F"/>
          <w:sz w:val="44"/>
        </w:rPr>
        <w:t xml:space="preserve">DEPARTMENT OF EDUCATION </w:t>
      </w:r>
      <w:r w:rsidR="008D2D84" w:rsidRPr="00EE4FA1">
        <w:rPr>
          <w:b/>
          <w:color w:val="AF272F"/>
          <w:sz w:val="44"/>
        </w:rPr>
        <w:t>AND</w:t>
      </w:r>
      <w:r w:rsidRPr="00EE4FA1">
        <w:rPr>
          <w:b/>
          <w:color w:val="AF272F"/>
          <w:sz w:val="44"/>
        </w:rPr>
        <w:t xml:space="preserve"> TRAINING 201</w:t>
      </w:r>
      <w:r w:rsidR="003F6D59" w:rsidRPr="00EE4FA1">
        <w:rPr>
          <w:b/>
          <w:color w:val="AF272F"/>
          <w:sz w:val="44"/>
        </w:rPr>
        <w:t>9</w:t>
      </w:r>
      <w:r w:rsidRPr="00EE4FA1">
        <w:rPr>
          <w:b/>
          <w:color w:val="AF272F"/>
          <w:sz w:val="44"/>
        </w:rPr>
        <w:t>-202</w:t>
      </w:r>
      <w:r w:rsidR="00FC7FA3" w:rsidRPr="00EE4FA1">
        <w:rPr>
          <w:b/>
          <w:color w:val="AF272F"/>
          <w:sz w:val="44"/>
        </w:rPr>
        <w:t>3</w:t>
      </w:r>
      <w:r w:rsidRPr="00EE4FA1">
        <w:rPr>
          <w:b/>
          <w:color w:val="AF272F"/>
          <w:sz w:val="44"/>
        </w:rPr>
        <w:br/>
        <w:t>STRATEGIC PLAN</w:t>
      </w:r>
    </w:p>
    <w:p w14:paraId="36F66D4E" w14:textId="62A5FDCA" w:rsidR="00E9584B" w:rsidRPr="00DB42BF" w:rsidRDefault="00E9584B" w:rsidP="00E9584B">
      <w:pPr>
        <w:pStyle w:val="Heading1"/>
        <w:sectPr w:rsidR="00E9584B" w:rsidRPr="00DB42BF" w:rsidSect="00DF218B">
          <w:footerReference w:type="default" r:id="rId12"/>
          <w:pgSz w:w="11900" w:h="16840"/>
          <w:pgMar w:top="1440" w:right="1440" w:bottom="1440" w:left="1440" w:header="709" w:footer="709" w:gutter="0"/>
          <w:cols w:space="708"/>
          <w:vAlign w:val="bottom"/>
          <w:docGrid w:linePitch="360"/>
        </w:sectPr>
      </w:pPr>
    </w:p>
    <w:p w14:paraId="1D16A6C5" w14:textId="20D99217" w:rsidR="00E9584B" w:rsidRPr="00EE4FA1" w:rsidRDefault="00E9584B" w:rsidP="00EE4FA1">
      <w:pPr>
        <w:pStyle w:val="ESBodyText"/>
        <w:rPr>
          <w:b/>
          <w:color w:val="AF272F"/>
          <w:sz w:val="44"/>
        </w:rPr>
      </w:pPr>
      <w:bookmarkStart w:id="2" w:name="_Toc484621889"/>
      <w:bookmarkStart w:id="3" w:name="_Toc514071614"/>
      <w:r w:rsidRPr="00EE4FA1">
        <w:rPr>
          <w:b/>
          <w:color w:val="AF272F"/>
          <w:sz w:val="44"/>
        </w:rPr>
        <w:lastRenderedPageBreak/>
        <w:t>CONTENTS</w:t>
      </w:r>
      <w:bookmarkEnd w:id="2"/>
      <w:bookmarkEnd w:id="3"/>
    </w:p>
    <w:p w14:paraId="55C64C14" w14:textId="46C9189A" w:rsidR="00587441" w:rsidRDefault="00587441" w:rsidP="00447808">
      <w:pPr>
        <w:pStyle w:val="ESHeading1"/>
      </w:pPr>
    </w:p>
    <w:sdt>
      <w:sdtPr>
        <w:rPr>
          <w:b w:val="0"/>
        </w:rPr>
        <w:id w:val="-286048028"/>
        <w:docPartObj>
          <w:docPartGallery w:val="Table of Contents"/>
          <w:docPartUnique/>
        </w:docPartObj>
      </w:sdtPr>
      <w:sdtEndPr>
        <w:rPr>
          <w:bCs/>
          <w:noProof/>
        </w:rPr>
      </w:sdtEndPr>
      <w:sdtContent>
        <w:p w14:paraId="7F53DE40" w14:textId="12480A30" w:rsidR="002507D1" w:rsidRPr="007747E5" w:rsidRDefault="00587441">
          <w:pPr>
            <w:pStyle w:val="TOC1"/>
            <w:rPr>
              <w:rFonts w:asciiTheme="minorHAnsi" w:hAnsiTheme="minorHAnsi" w:cstheme="minorBidi"/>
              <w:b w:val="0"/>
              <w:noProof/>
              <w:color w:val="AF272F"/>
              <w:sz w:val="22"/>
              <w:szCs w:val="22"/>
              <w:lang w:val="en-AU" w:eastAsia="en-AU"/>
            </w:rPr>
          </w:pPr>
          <w:r>
            <w:rPr>
              <w:b w:val="0"/>
            </w:rPr>
            <w:fldChar w:fldCharType="begin"/>
          </w:r>
          <w:r>
            <w:rPr>
              <w:b w:val="0"/>
            </w:rPr>
            <w:instrText xml:space="preserve"> TOC \o "1-1" \h \z \u </w:instrText>
          </w:r>
          <w:r>
            <w:rPr>
              <w:b w:val="0"/>
            </w:rPr>
            <w:fldChar w:fldCharType="separate"/>
          </w:r>
          <w:hyperlink w:anchor="_Toc21601684" w:history="1">
            <w:r w:rsidR="002507D1" w:rsidRPr="007747E5">
              <w:rPr>
                <w:rStyle w:val="Hyperlink"/>
                <w:noProof/>
                <w:color w:val="AF272F"/>
              </w:rPr>
              <w:t>SECRETARY’S MESSAGE</w:t>
            </w:r>
            <w:r w:rsidR="002507D1" w:rsidRPr="007747E5">
              <w:rPr>
                <w:noProof/>
                <w:webHidden/>
                <w:color w:val="AF272F"/>
              </w:rPr>
              <w:tab/>
            </w:r>
            <w:r w:rsidR="002507D1" w:rsidRPr="007747E5">
              <w:rPr>
                <w:noProof/>
                <w:webHidden/>
                <w:color w:val="AF272F"/>
              </w:rPr>
              <w:fldChar w:fldCharType="begin"/>
            </w:r>
            <w:r w:rsidR="002507D1" w:rsidRPr="007747E5">
              <w:rPr>
                <w:noProof/>
                <w:webHidden/>
                <w:color w:val="AF272F"/>
              </w:rPr>
              <w:instrText xml:space="preserve"> PAGEREF _Toc21601684 \h </w:instrText>
            </w:r>
            <w:r w:rsidR="002507D1" w:rsidRPr="007747E5">
              <w:rPr>
                <w:noProof/>
                <w:webHidden/>
                <w:color w:val="AF272F"/>
              </w:rPr>
            </w:r>
            <w:r w:rsidR="002507D1" w:rsidRPr="007747E5">
              <w:rPr>
                <w:noProof/>
                <w:webHidden/>
                <w:color w:val="AF272F"/>
              </w:rPr>
              <w:fldChar w:fldCharType="separate"/>
            </w:r>
            <w:r w:rsidR="00702015">
              <w:rPr>
                <w:noProof/>
                <w:webHidden/>
                <w:color w:val="AF272F"/>
              </w:rPr>
              <w:t>3</w:t>
            </w:r>
            <w:r w:rsidR="002507D1" w:rsidRPr="007747E5">
              <w:rPr>
                <w:noProof/>
                <w:webHidden/>
                <w:color w:val="AF272F"/>
              </w:rPr>
              <w:fldChar w:fldCharType="end"/>
            </w:r>
          </w:hyperlink>
        </w:p>
        <w:p w14:paraId="4F823E0D" w14:textId="666722D7" w:rsidR="002507D1" w:rsidRPr="007747E5" w:rsidRDefault="00645064">
          <w:pPr>
            <w:pStyle w:val="TOC1"/>
            <w:rPr>
              <w:rFonts w:asciiTheme="minorHAnsi" w:hAnsiTheme="minorHAnsi" w:cstheme="minorBidi"/>
              <w:b w:val="0"/>
              <w:noProof/>
              <w:color w:val="AF272F"/>
              <w:sz w:val="22"/>
              <w:szCs w:val="22"/>
              <w:lang w:val="en-AU" w:eastAsia="en-AU"/>
            </w:rPr>
          </w:pPr>
          <w:hyperlink w:anchor="_Toc21601685" w:history="1">
            <w:r w:rsidR="002507D1" w:rsidRPr="007747E5">
              <w:rPr>
                <w:rStyle w:val="Hyperlink"/>
                <w:noProof/>
                <w:color w:val="AF272F"/>
              </w:rPr>
              <w:t>OUR VISION</w:t>
            </w:r>
            <w:r w:rsidR="002507D1" w:rsidRPr="007747E5">
              <w:rPr>
                <w:noProof/>
                <w:webHidden/>
                <w:color w:val="AF272F"/>
              </w:rPr>
              <w:tab/>
            </w:r>
            <w:r w:rsidR="002507D1" w:rsidRPr="007747E5">
              <w:rPr>
                <w:noProof/>
                <w:webHidden/>
                <w:color w:val="AF272F"/>
              </w:rPr>
              <w:fldChar w:fldCharType="begin"/>
            </w:r>
            <w:r w:rsidR="002507D1" w:rsidRPr="007747E5">
              <w:rPr>
                <w:noProof/>
                <w:webHidden/>
                <w:color w:val="AF272F"/>
              </w:rPr>
              <w:instrText xml:space="preserve"> PAGEREF _Toc21601685 \h </w:instrText>
            </w:r>
            <w:r w:rsidR="002507D1" w:rsidRPr="007747E5">
              <w:rPr>
                <w:noProof/>
                <w:webHidden/>
                <w:color w:val="AF272F"/>
              </w:rPr>
            </w:r>
            <w:r w:rsidR="002507D1" w:rsidRPr="007747E5">
              <w:rPr>
                <w:noProof/>
                <w:webHidden/>
                <w:color w:val="AF272F"/>
              </w:rPr>
              <w:fldChar w:fldCharType="separate"/>
            </w:r>
            <w:r w:rsidR="00702015">
              <w:rPr>
                <w:noProof/>
                <w:webHidden/>
                <w:color w:val="AF272F"/>
              </w:rPr>
              <w:t>4</w:t>
            </w:r>
            <w:r w:rsidR="002507D1" w:rsidRPr="007747E5">
              <w:rPr>
                <w:noProof/>
                <w:webHidden/>
                <w:color w:val="AF272F"/>
              </w:rPr>
              <w:fldChar w:fldCharType="end"/>
            </w:r>
          </w:hyperlink>
        </w:p>
        <w:p w14:paraId="52935BDA" w14:textId="170413BD" w:rsidR="002507D1" w:rsidRPr="007747E5" w:rsidRDefault="00645064">
          <w:pPr>
            <w:pStyle w:val="TOC1"/>
            <w:rPr>
              <w:rFonts w:asciiTheme="minorHAnsi" w:hAnsiTheme="minorHAnsi" w:cstheme="minorBidi"/>
              <w:b w:val="0"/>
              <w:noProof/>
              <w:color w:val="AF272F"/>
              <w:sz w:val="22"/>
              <w:szCs w:val="22"/>
              <w:lang w:val="en-AU" w:eastAsia="en-AU"/>
            </w:rPr>
          </w:pPr>
          <w:hyperlink w:anchor="_Toc21601686" w:history="1">
            <w:r w:rsidR="002507D1" w:rsidRPr="007747E5">
              <w:rPr>
                <w:rStyle w:val="Hyperlink"/>
                <w:noProof/>
                <w:color w:val="AF272F"/>
              </w:rPr>
              <w:t>OUR DEPARTMENT</w:t>
            </w:r>
            <w:r w:rsidR="002507D1" w:rsidRPr="007747E5">
              <w:rPr>
                <w:noProof/>
                <w:webHidden/>
                <w:color w:val="AF272F"/>
              </w:rPr>
              <w:tab/>
            </w:r>
            <w:r w:rsidR="002507D1" w:rsidRPr="007747E5">
              <w:rPr>
                <w:noProof/>
                <w:webHidden/>
                <w:color w:val="AF272F"/>
              </w:rPr>
              <w:fldChar w:fldCharType="begin"/>
            </w:r>
            <w:r w:rsidR="002507D1" w:rsidRPr="007747E5">
              <w:rPr>
                <w:noProof/>
                <w:webHidden/>
                <w:color w:val="AF272F"/>
              </w:rPr>
              <w:instrText xml:space="preserve"> PAGEREF _Toc21601686 \h </w:instrText>
            </w:r>
            <w:r w:rsidR="002507D1" w:rsidRPr="007747E5">
              <w:rPr>
                <w:noProof/>
                <w:webHidden/>
                <w:color w:val="AF272F"/>
              </w:rPr>
            </w:r>
            <w:r w:rsidR="002507D1" w:rsidRPr="007747E5">
              <w:rPr>
                <w:noProof/>
                <w:webHidden/>
                <w:color w:val="AF272F"/>
              </w:rPr>
              <w:fldChar w:fldCharType="separate"/>
            </w:r>
            <w:r w:rsidR="00702015">
              <w:rPr>
                <w:noProof/>
                <w:webHidden/>
                <w:color w:val="AF272F"/>
              </w:rPr>
              <w:t>5</w:t>
            </w:r>
            <w:r w:rsidR="002507D1" w:rsidRPr="007747E5">
              <w:rPr>
                <w:noProof/>
                <w:webHidden/>
                <w:color w:val="AF272F"/>
              </w:rPr>
              <w:fldChar w:fldCharType="end"/>
            </w:r>
          </w:hyperlink>
        </w:p>
        <w:p w14:paraId="7A379FF2" w14:textId="5521FAD4" w:rsidR="002507D1" w:rsidRPr="007747E5" w:rsidRDefault="00645064">
          <w:pPr>
            <w:pStyle w:val="TOC1"/>
            <w:rPr>
              <w:rFonts w:asciiTheme="minorHAnsi" w:hAnsiTheme="minorHAnsi" w:cstheme="minorBidi"/>
              <w:b w:val="0"/>
              <w:noProof/>
              <w:color w:val="AF272F"/>
              <w:sz w:val="22"/>
              <w:szCs w:val="22"/>
              <w:lang w:val="en-AU" w:eastAsia="en-AU"/>
            </w:rPr>
          </w:pPr>
          <w:hyperlink w:anchor="_Toc21601687" w:history="1">
            <w:r w:rsidR="002507D1" w:rsidRPr="007747E5">
              <w:rPr>
                <w:rStyle w:val="Hyperlink"/>
                <w:noProof/>
                <w:color w:val="AF272F"/>
              </w:rPr>
              <w:t>OUR OUTCOMES</w:t>
            </w:r>
            <w:r w:rsidR="002507D1" w:rsidRPr="007747E5">
              <w:rPr>
                <w:noProof/>
                <w:webHidden/>
                <w:color w:val="AF272F"/>
              </w:rPr>
              <w:tab/>
            </w:r>
            <w:r w:rsidR="002507D1" w:rsidRPr="007747E5">
              <w:rPr>
                <w:noProof/>
                <w:webHidden/>
                <w:color w:val="AF272F"/>
              </w:rPr>
              <w:fldChar w:fldCharType="begin"/>
            </w:r>
            <w:r w:rsidR="002507D1" w:rsidRPr="007747E5">
              <w:rPr>
                <w:noProof/>
                <w:webHidden/>
                <w:color w:val="AF272F"/>
              </w:rPr>
              <w:instrText xml:space="preserve"> PAGEREF _Toc21601687 \h </w:instrText>
            </w:r>
            <w:r w:rsidR="002507D1" w:rsidRPr="007747E5">
              <w:rPr>
                <w:noProof/>
                <w:webHidden/>
                <w:color w:val="AF272F"/>
              </w:rPr>
            </w:r>
            <w:r w:rsidR="002507D1" w:rsidRPr="007747E5">
              <w:rPr>
                <w:noProof/>
                <w:webHidden/>
                <w:color w:val="AF272F"/>
              </w:rPr>
              <w:fldChar w:fldCharType="separate"/>
            </w:r>
            <w:r w:rsidR="00702015">
              <w:rPr>
                <w:noProof/>
                <w:webHidden/>
                <w:color w:val="AF272F"/>
              </w:rPr>
              <w:t>9</w:t>
            </w:r>
            <w:r w:rsidR="002507D1" w:rsidRPr="007747E5">
              <w:rPr>
                <w:noProof/>
                <w:webHidden/>
                <w:color w:val="AF272F"/>
              </w:rPr>
              <w:fldChar w:fldCharType="end"/>
            </w:r>
          </w:hyperlink>
        </w:p>
        <w:p w14:paraId="42FFFA61" w14:textId="0EE7FE48" w:rsidR="002507D1" w:rsidRPr="007747E5" w:rsidRDefault="00645064">
          <w:pPr>
            <w:pStyle w:val="TOC1"/>
            <w:rPr>
              <w:rFonts w:asciiTheme="minorHAnsi" w:hAnsiTheme="minorHAnsi" w:cstheme="minorBidi"/>
              <w:b w:val="0"/>
              <w:noProof/>
              <w:color w:val="AF272F"/>
              <w:sz w:val="22"/>
              <w:szCs w:val="22"/>
              <w:lang w:val="en-AU" w:eastAsia="en-AU"/>
            </w:rPr>
          </w:pPr>
          <w:hyperlink w:anchor="_Toc21601688" w:history="1">
            <w:r w:rsidR="002507D1" w:rsidRPr="007747E5">
              <w:rPr>
                <w:rStyle w:val="Hyperlink"/>
                <w:noProof/>
                <w:color w:val="AF272F"/>
              </w:rPr>
              <w:t>HOW WE ACHIEVE OUR OUTCOMES</w:t>
            </w:r>
            <w:r w:rsidR="002507D1" w:rsidRPr="007747E5">
              <w:rPr>
                <w:noProof/>
                <w:webHidden/>
                <w:color w:val="AF272F"/>
              </w:rPr>
              <w:tab/>
            </w:r>
            <w:r w:rsidR="002507D1" w:rsidRPr="007747E5">
              <w:rPr>
                <w:noProof/>
                <w:webHidden/>
                <w:color w:val="AF272F"/>
              </w:rPr>
              <w:fldChar w:fldCharType="begin"/>
            </w:r>
            <w:r w:rsidR="002507D1" w:rsidRPr="007747E5">
              <w:rPr>
                <w:noProof/>
                <w:webHidden/>
                <w:color w:val="AF272F"/>
              </w:rPr>
              <w:instrText xml:space="preserve"> PAGEREF _Toc21601688 \h </w:instrText>
            </w:r>
            <w:r w:rsidR="002507D1" w:rsidRPr="007747E5">
              <w:rPr>
                <w:noProof/>
                <w:webHidden/>
                <w:color w:val="AF272F"/>
              </w:rPr>
            </w:r>
            <w:r w:rsidR="002507D1" w:rsidRPr="007747E5">
              <w:rPr>
                <w:noProof/>
                <w:webHidden/>
                <w:color w:val="AF272F"/>
              </w:rPr>
              <w:fldChar w:fldCharType="separate"/>
            </w:r>
            <w:r w:rsidR="00702015">
              <w:rPr>
                <w:noProof/>
                <w:webHidden/>
                <w:color w:val="AF272F"/>
              </w:rPr>
              <w:t>10</w:t>
            </w:r>
            <w:r w:rsidR="002507D1" w:rsidRPr="007747E5">
              <w:rPr>
                <w:noProof/>
                <w:webHidden/>
                <w:color w:val="AF272F"/>
              </w:rPr>
              <w:fldChar w:fldCharType="end"/>
            </w:r>
          </w:hyperlink>
        </w:p>
        <w:p w14:paraId="713531A1" w14:textId="6F4648B9" w:rsidR="002507D1" w:rsidRPr="007747E5" w:rsidRDefault="00645064" w:rsidP="002507D1">
          <w:pPr>
            <w:pStyle w:val="TOC1"/>
            <w:ind w:left="720"/>
            <w:rPr>
              <w:rFonts w:asciiTheme="minorHAnsi" w:hAnsiTheme="minorHAnsi" w:cstheme="minorBidi"/>
              <w:b w:val="0"/>
              <w:noProof/>
              <w:color w:val="AF272F"/>
              <w:sz w:val="22"/>
              <w:szCs w:val="22"/>
              <w:lang w:val="en-AU" w:eastAsia="en-AU"/>
            </w:rPr>
          </w:pPr>
          <w:hyperlink w:anchor="_Toc21601689" w:history="1">
            <w:r w:rsidR="002507D1" w:rsidRPr="007747E5">
              <w:rPr>
                <w:rStyle w:val="Hyperlink"/>
                <w:noProof/>
                <w:color w:val="AF272F"/>
              </w:rPr>
              <w:t>EARLY CHILDHOOD EDUCATION</w:t>
            </w:r>
            <w:r w:rsidR="002507D1" w:rsidRPr="007747E5">
              <w:rPr>
                <w:noProof/>
                <w:webHidden/>
                <w:color w:val="AF272F"/>
              </w:rPr>
              <w:tab/>
            </w:r>
            <w:r w:rsidR="002507D1" w:rsidRPr="007747E5">
              <w:rPr>
                <w:noProof/>
                <w:webHidden/>
                <w:color w:val="AF272F"/>
              </w:rPr>
              <w:fldChar w:fldCharType="begin"/>
            </w:r>
            <w:r w:rsidR="002507D1" w:rsidRPr="007747E5">
              <w:rPr>
                <w:noProof/>
                <w:webHidden/>
                <w:color w:val="AF272F"/>
              </w:rPr>
              <w:instrText xml:space="preserve"> PAGEREF _Toc21601689 \h </w:instrText>
            </w:r>
            <w:r w:rsidR="002507D1" w:rsidRPr="007747E5">
              <w:rPr>
                <w:noProof/>
                <w:webHidden/>
                <w:color w:val="AF272F"/>
              </w:rPr>
            </w:r>
            <w:r w:rsidR="002507D1" w:rsidRPr="007747E5">
              <w:rPr>
                <w:noProof/>
                <w:webHidden/>
                <w:color w:val="AF272F"/>
              </w:rPr>
              <w:fldChar w:fldCharType="separate"/>
            </w:r>
            <w:r w:rsidR="00702015">
              <w:rPr>
                <w:noProof/>
                <w:webHidden/>
                <w:color w:val="AF272F"/>
              </w:rPr>
              <w:t>10</w:t>
            </w:r>
            <w:r w:rsidR="002507D1" w:rsidRPr="007747E5">
              <w:rPr>
                <w:noProof/>
                <w:webHidden/>
                <w:color w:val="AF272F"/>
              </w:rPr>
              <w:fldChar w:fldCharType="end"/>
            </w:r>
          </w:hyperlink>
        </w:p>
        <w:p w14:paraId="20BDD7E4" w14:textId="7C5B5A68" w:rsidR="002507D1" w:rsidRPr="007747E5" w:rsidRDefault="00645064" w:rsidP="002507D1">
          <w:pPr>
            <w:pStyle w:val="TOC1"/>
            <w:ind w:left="720"/>
            <w:rPr>
              <w:rFonts w:asciiTheme="minorHAnsi" w:hAnsiTheme="minorHAnsi" w:cstheme="minorBidi"/>
              <w:b w:val="0"/>
              <w:noProof/>
              <w:color w:val="AF272F"/>
              <w:sz w:val="22"/>
              <w:szCs w:val="22"/>
              <w:lang w:val="en-AU" w:eastAsia="en-AU"/>
            </w:rPr>
          </w:pPr>
          <w:hyperlink w:anchor="_Toc21601690" w:history="1">
            <w:r w:rsidR="002507D1" w:rsidRPr="007747E5">
              <w:rPr>
                <w:rStyle w:val="Hyperlink"/>
                <w:noProof/>
                <w:color w:val="AF272F"/>
              </w:rPr>
              <w:t>SCHOOLS</w:t>
            </w:r>
            <w:r w:rsidR="002507D1" w:rsidRPr="007747E5">
              <w:rPr>
                <w:noProof/>
                <w:webHidden/>
                <w:color w:val="AF272F"/>
              </w:rPr>
              <w:tab/>
            </w:r>
            <w:r w:rsidR="002507D1" w:rsidRPr="007747E5">
              <w:rPr>
                <w:noProof/>
                <w:webHidden/>
                <w:color w:val="AF272F"/>
              </w:rPr>
              <w:fldChar w:fldCharType="begin"/>
            </w:r>
            <w:r w:rsidR="002507D1" w:rsidRPr="007747E5">
              <w:rPr>
                <w:noProof/>
                <w:webHidden/>
                <w:color w:val="AF272F"/>
              </w:rPr>
              <w:instrText xml:space="preserve"> PAGEREF _Toc21601690 \h </w:instrText>
            </w:r>
            <w:r w:rsidR="002507D1" w:rsidRPr="007747E5">
              <w:rPr>
                <w:noProof/>
                <w:webHidden/>
                <w:color w:val="AF272F"/>
              </w:rPr>
            </w:r>
            <w:r w:rsidR="002507D1" w:rsidRPr="007747E5">
              <w:rPr>
                <w:noProof/>
                <w:webHidden/>
                <w:color w:val="AF272F"/>
              </w:rPr>
              <w:fldChar w:fldCharType="separate"/>
            </w:r>
            <w:r w:rsidR="00702015">
              <w:rPr>
                <w:noProof/>
                <w:webHidden/>
                <w:color w:val="AF272F"/>
              </w:rPr>
              <w:t>11</w:t>
            </w:r>
            <w:r w:rsidR="002507D1" w:rsidRPr="007747E5">
              <w:rPr>
                <w:noProof/>
                <w:webHidden/>
                <w:color w:val="AF272F"/>
              </w:rPr>
              <w:fldChar w:fldCharType="end"/>
            </w:r>
          </w:hyperlink>
        </w:p>
        <w:p w14:paraId="2E0FF69C" w14:textId="6E3A5C27" w:rsidR="002507D1" w:rsidRPr="007747E5" w:rsidRDefault="00645064" w:rsidP="002507D1">
          <w:pPr>
            <w:pStyle w:val="TOC1"/>
            <w:ind w:left="720"/>
            <w:rPr>
              <w:rFonts w:asciiTheme="minorHAnsi" w:hAnsiTheme="minorHAnsi" w:cstheme="minorBidi"/>
              <w:b w:val="0"/>
              <w:noProof/>
              <w:color w:val="AF272F"/>
              <w:sz w:val="22"/>
              <w:szCs w:val="22"/>
              <w:lang w:val="en-AU" w:eastAsia="en-AU"/>
            </w:rPr>
          </w:pPr>
          <w:hyperlink w:anchor="_Toc21601691" w:history="1">
            <w:r w:rsidR="002507D1" w:rsidRPr="007747E5">
              <w:rPr>
                <w:rStyle w:val="Hyperlink"/>
                <w:noProof/>
                <w:color w:val="AF272F"/>
                <w:lang w:val="en-AU"/>
              </w:rPr>
              <w:t>HIGHER EDUCATION AND SKILLS</w:t>
            </w:r>
            <w:r w:rsidR="002507D1" w:rsidRPr="007747E5">
              <w:rPr>
                <w:noProof/>
                <w:webHidden/>
                <w:color w:val="AF272F"/>
              </w:rPr>
              <w:tab/>
            </w:r>
            <w:r w:rsidR="002507D1" w:rsidRPr="007747E5">
              <w:rPr>
                <w:noProof/>
                <w:webHidden/>
                <w:color w:val="AF272F"/>
              </w:rPr>
              <w:fldChar w:fldCharType="begin"/>
            </w:r>
            <w:r w:rsidR="002507D1" w:rsidRPr="007747E5">
              <w:rPr>
                <w:noProof/>
                <w:webHidden/>
                <w:color w:val="AF272F"/>
              </w:rPr>
              <w:instrText xml:space="preserve"> PAGEREF _Toc21601691 \h </w:instrText>
            </w:r>
            <w:r w:rsidR="002507D1" w:rsidRPr="007747E5">
              <w:rPr>
                <w:noProof/>
                <w:webHidden/>
                <w:color w:val="AF272F"/>
              </w:rPr>
            </w:r>
            <w:r w:rsidR="002507D1" w:rsidRPr="007747E5">
              <w:rPr>
                <w:noProof/>
                <w:webHidden/>
                <w:color w:val="AF272F"/>
              </w:rPr>
              <w:fldChar w:fldCharType="separate"/>
            </w:r>
            <w:r w:rsidR="00702015">
              <w:rPr>
                <w:noProof/>
                <w:webHidden/>
                <w:color w:val="AF272F"/>
              </w:rPr>
              <w:t>13</w:t>
            </w:r>
            <w:r w:rsidR="002507D1" w:rsidRPr="007747E5">
              <w:rPr>
                <w:noProof/>
                <w:webHidden/>
                <w:color w:val="AF272F"/>
              </w:rPr>
              <w:fldChar w:fldCharType="end"/>
            </w:r>
          </w:hyperlink>
        </w:p>
        <w:p w14:paraId="35747BAA" w14:textId="0137F40E" w:rsidR="002507D1" w:rsidRPr="007747E5" w:rsidRDefault="00645064">
          <w:pPr>
            <w:pStyle w:val="TOC1"/>
            <w:rPr>
              <w:rFonts w:asciiTheme="minorHAnsi" w:hAnsiTheme="minorHAnsi" w:cstheme="minorBidi"/>
              <w:b w:val="0"/>
              <w:noProof/>
              <w:color w:val="AF272F"/>
              <w:sz w:val="22"/>
              <w:szCs w:val="22"/>
              <w:lang w:val="en-AU" w:eastAsia="en-AU"/>
            </w:rPr>
          </w:pPr>
          <w:hyperlink w:anchor="_Toc21601692" w:history="1">
            <w:r w:rsidR="002507D1" w:rsidRPr="007747E5">
              <w:rPr>
                <w:rStyle w:val="Hyperlink"/>
                <w:noProof/>
                <w:color w:val="AF272F"/>
              </w:rPr>
              <w:t>ORGANISATIONAL REFORMS</w:t>
            </w:r>
            <w:r w:rsidR="002507D1" w:rsidRPr="007747E5">
              <w:rPr>
                <w:noProof/>
                <w:webHidden/>
                <w:color w:val="AF272F"/>
              </w:rPr>
              <w:tab/>
            </w:r>
            <w:r w:rsidR="002507D1" w:rsidRPr="007747E5">
              <w:rPr>
                <w:noProof/>
                <w:webHidden/>
                <w:color w:val="AF272F"/>
              </w:rPr>
              <w:fldChar w:fldCharType="begin"/>
            </w:r>
            <w:r w:rsidR="002507D1" w:rsidRPr="007747E5">
              <w:rPr>
                <w:noProof/>
                <w:webHidden/>
                <w:color w:val="AF272F"/>
              </w:rPr>
              <w:instrText xml:space="preserve"> PAGEREF _Toc21601692 \h </w:instrText>
            </w:r>
            <w:r w:rsidR="002507D1" w:rsidRPr="007747E5">
              <w:rPr>
                <w:noProof/>
                <w:webHidden/>
                <w:color w:val="AF272F"/>
              </w:rPr>
            </w:r>
            <w:r w:rsidR="002507D1" w:rsidRPr="007747E5">
              <w:rPr>
                <w:noProof/>
                <w:webHidden/>
                <w:color w:val="AF272F"/>
              </w:rPr>
              <w:fldChar w:fldCharType="separate"/>
            </w:r>
            <w:r w:rsidR="00702015">
              <w:rPr>
                <w:noProof/>
                <w:webHidden/>
                <w:color w:val="AF272F"/>
              </w:rPr>
              <w:t>14</w:t>
            </w:r>
            <w:r w:rsidR="002507D1" w:rsidRPr="007747E5">
              <w:rPr>
                <w:noProof/>
                <w:webHidden/>
                <w:color w:val="AF272F"/>
              </w:rPr>
              <w:fldChar w:fldCharType="end"/>
            </w:r>
          </w:hyperlink>
        </w:p>
        <w:p w14:paraId="50B8FD0D" w14:textId="7241B175" w:rsidR="002507D1" w:rsidRDefault="00645064">
          <w:pPr>
            <w:pStyle w:val="TOC1"/>
            <w:rPr>
              <w:rFonts w:asciiTheme="minorHAnsi" w:hAnsiTheme="minorHAnsi" w:cstheme="minorBidi"/>
              <w:b w:val="0"/>
              <w:noProof/>
              <w:sz w:val="22"/>
              <w:szCs w:val="22"/>
              <w:lang w:val="en-AU" w:eastAsia="en-AU"/>
            </w:rPr>
          </w:pPr>
          <w:hyperlink w:anchor="_Toc21601693" w:history="1">
            <w:r w:rsidR="002507D1" w:rsidRPr="007747E5">
              <w:rPr>
                <w:rStyle w:val="Hyperlink"/>
                <w:noProof/>
                <w:color w:val="AF272F"/>
              </w:rPr>
              <w:t>HOW WE MEASURE OUR SUCCESS</w:t>
            </w:r>
            <w:r w:rsidR="002507D1" w:rsidRPr="007747E5">
              <w:rPr>
                <w:noProof/>
                <w:webHidden/>
                <w:color w:val="AF272F"/>
              </w:rPr>
              <w:tab/>
            </w:r>
            <w:r w:rsidR="002507D1" w:rsidRPr="007747E5">
              <w:rPr>
                <w:noProof/>
                <w:webHidden/>
                <w:color w:val="AF272F"/>
              </w:rPr>
              <w:fldChar w:fldCharType="begin"/>
            </w:r>
            <w:r w:rsidR="002507D1" w:rsidRPr="007747E5">
              <w:rPr>
                <w:noProof/>
                <w:webHidden/>
                <w:color w:val="AF272F"/>
              </w:rPr>
              <w:instrText xml:space="preserve"> PAGEREF _Toc21601693 \h </w:instrText>
            </w:r>
            <w:r w:rsidR="002507D1" w:rsidRPr="007747E5">
              <w:rPr>
                <w:noProof/>
                <w:webHidden/>
                <w:color w:val="AF272F"/>
              </w:rPr>
            </w:r>
            <w:r w:rsidR="002507D1" w:rsidRPr="007747E5">
              <w:rPr>
                <w:noProof/>
                <w:webHidden/>
                <w:color w:val="AF272F"/>
              </w:rPr>
              <w:fldChar w:fldCharType="separate"/>
            </w:r>
            <w:r w:rsidR="00702015">
              <w:rPr>
                <w:noProof/>
                <w:webHidden/>
                <w:color w:val="AF272F"/>
              </w:rPr>
              <w:t>15</w:t>
            </w:r>
            <w:r w:rsidR="002507D1" w:rsidRPr="007747E5">
              <w:rPr>
                <w:noProof/>
                <w:webHidden/>
                <w:color w:val="AF272F"/>
              </w:rPr>
              <w:fldChar w:fldCharType="end"/>
            </w:r>
          </w:hyperlink>
        </w:p>
        <w:p w14:paraId="7C3CE16A" w14:textId="74F1E7BB" w:rsidR="00587441" w:rsidRDefault="00587441">
          <w:r>
            <w:rPr>
              <w:b/>
            </w:rPr>
            <w:fldChar w:fldCharType="end"/>
          </w:r>
        </w:p>
      </w:sdtContent>
    </w:sdt>
    <w:p w14:paraId="2BC1B7C5" w14:textId="77777777" w:rsidR="00587441" w:rsidRDefault="00587441" w:rsidP="00447808">
      <w:pPr>
        <w:pStyle w:val="ESHeading1"/>
      </w:pPr>
    </w:p>
    <w:p w14:paraId="0908A82A" w14:textId="77777777" w:rsidR="00E9584B" w:rsidRDefault="00E9584B" w:rsidP="00E9584B">
      <w:pPr>
        <w:spacing w:after="40"/>
        <w:rPr>
          <w:rFonts w:cstheme="minorHAnsi"/>
          <w:color w:val="7F7F7F" w:themeColor="text1" w:themeTint="80"/>
          <w:sz w:val="13"/>
          <w:szCs w:val="13"/>
        </w:rPr>
      </w:pPr>
    </w:p>
    <w:p w14:paraId="54E629E3" w14:textId="5CF41F39" w:rsidR="004C2513" w:rsidRDefault="004C2513" w:rsidP="00587441">
      <w:pPr>
        <w:pStyle w:val="TOC1"/>
      </w:pPr>
    </w:p>
    <w:p w14:paraId="5C7B66A1" w14:textId="77777777" w:rsidR="004C2513" w:rsidRPr="004C2513" w:rsidRDefault="004C2513" w:rsidP="004C2513"/>
    <w:p w14:paraId="472E40AB" w14:textId="77777777" w:rsidR="004C2513" w:rsidRPr="004C2513" w:rsidRDefault="004C2513" w:rsidP="004C2513"/>
    <w:p w14:paraId="77419D92" w14:textId="77777777" w:rsidR="004C2513" w:rsidRPr="004C2513" w:rsidRDefault="004C2513" w:rsidP="004C2513"/>
    <w:p w14:paraId="5861B79E" w14:textId="77777777" w:rsidR="004C2513" w:rsidRPr="004C2513" w:rsidRDefault="004C2513" w:rsidP="004C2513"/>
    <w:p w14:paraId="768340F5" w14:textId="77777777" w:rsidR="004C2513" w:rsidRPr="004C2513" w:rsidRDefault="004C2513" w:rsidP="004C2513"/>
    <w:p w14:paraId="0E81F61D" w14:textId="77777777" w:rsidR="004C2513" w:rsidRPr="004C2513" w:rsidRDefault="004C2513" w:rsidP="004C2513"/>
    <w:p w14:paraId="591EE1B7" w14:textId="77777777" w:rsidR="004C2513" w:rsidRPr="004C2513" w:rsidRDefault="004C2513" w:rsidP="004C2513"/>
    <w:p w14:paraId="1C11DD92" w14:textId="77777777" w:rsidR="004C2513" w:rsidRPr="004C2513" w:rsidRDefault="004C2513" w:rsidP="004C2513"/>
    <w:p w14:paraId="36257F22" w14:textId="77777777" w:rsidR="004C2513" w:rsidRPr="004C2513" w:rsidRDefault="004C2513" w:rsidP="004C2513"/>
    <w:p w14:paraId="0E3D0487" w14:textId="77777777" w:rsidR="004C2513" w:rsidRPr="004C2513" w:rsidRDefault="004C2513" w:rsidP="004C2513"/>
    <w:p w14:paraId="0F8C56E3" w14:textId="77777777" w:rsidR="004C2513" w:rsidRPr="004C2513" w:rsidRDefault="004C2513" w:rsidP="004C2513"/>
    <w:p w14:paraId="675C9510" w14:textId="77777777" w:rsidR="004C2513" w:rsidRPr="004C2513" w:rsidRDefault="004C2513" w:rsidP="004C2513"/>
    <w:p w14:paraId="62341BE3" w14:textId="77777777" w:rsidR="004C2513" w:rsidRPr="004C2513" w:rsidRDefault="004C2513" w:rsidP="004C2513"/>
    <w:p w14:paraId="29F68379" w14:textId="77777777" w:rsidR="004C2513" w:rsidRPr="004C2513" w:rsidRDefault="004C2513" w:rsidP="004C2513"/>
    <w:p w14:paraId="39B69307" w14:textId="77777777" w:rsidR="004C2513" w:rsidRPr="004C2513" w:rsidRDefault="004C2513" w:rsidP="004C2513"/>
    <w:p w14:paraId="1C5EB350" w14:textId="2C334AB0" w:rsidR="004C2513" w:rsidRDefault="004C2513" w:rsidP="004C2513">
      <w:pPr>
        <w:ind w:firstLine="720"/>
      </w:pPr>
    </w:p>
    <w:p w14:paraId="46C4FEEE" w14:textId="41E92819" w:rsidR="00E9584B" w:rsidRPr="004C2513" w:rsidRDefault="004C2513" w:rsidP="004C2513">
      <w:pPr>
        <w:tabs>
          <w:tab w:val="left" w:pos="780"/>
        </w:tabs>
        <w:sectPr w:rsidR="00E9584B" w:rsidRPr="004C2513" w:rsidSect="00FB40AD">
          <w:headerReference w:type="default" r:id="rId13"/>
          <w:footerReference w:type="default" r:id="rId14"/>
          <w:pgSz w:w="11900" w:h="16840"/>
          <w:pgMar w:top="2144" w:right="1440" w:bottom="1440" w:left="1440" w:header="708" w:footer="708" w:gutter="0"/>
          <w:cols w:space="708"/>
          <w:docGrid w:linePitch="360"/>
        </w:sectPr>
      </w:pPr>
      <w:r>
        <w:tab/>
      </w:r>
    </w:p>
    <w:p w14:paraId="1CE1BC0A" w14:textId="77777777" w:rsidR="00E9584B" w:rsidRDefault="00E9584B" w:rsidP="00E9584B">
      <w:pPr>
        <w:pStyle w:val="ESHeading1"/>
      </w:pPr>
      <w:bookmarkStart w:id="4" w:name="_Toc21601684"/>
      <w:r>
        <w:lastRenderedPageBreak/>
        <w:t>SECRETARY’S MESSAGE</w:t>
      </w:r>
      <w:bookmarkEnd w:id="4"/>
    </w:p>
    <w:p w14:paraId="2079373E" w14:textId="77777777" w:rsidR="00C22B56" w:rsidRPr="000B79B8" w:rsidRDefault="00C22B56" w:rsidP="00C22B56">
      <w:pPr>
        <w:pStyle w:val="ESBodyText"/>
        <w:rPr>
          <w:szCs w:val="24"/>
          <w:lang w:val="en-AU"/>
        </w:rPr>
      </w:pPr>
      <w:bookmarkStart w:id="5" w:name="_Toc455499269"/>
      <w:bookmarkStart w:id="6" w:name="_Toc455499463"/>
      <w:bookmarkStart w:id="7" w:name="_Toc484504379"/>
      <w:r w:rsidRPr="000B79B8">
        <w:rPr>
          <w:szCs w:val="24"/>
          <w:lang w:val="en-AU"/>
        </w:rPr>
        <w:t>I am pleased to introduce the Department of Education and Training’s Strategic Plan for 2019–2023, which will guide our work as we continue to deliver the Victorian Government’s vision for the Education State.</w:t>
      </w:r>
    </w:p>
    <w:p w14:paraId="65491A44" w14:textId="77777777" w:rsidR="00C22B56" w:rsidRPr="000B79B8" w:rsidRDefault="00C22B56" w:rsidP="00C22B56">
      <w:pPr>
        <w:pStyle w:val="ESBodyText"/>
        <w:rPr>
          <w:szCs w:val="24"/>
          <w:lang w:val="en-AU"/>
        </w:rPr>
      </w:pPr>
      <w:r w:rsidRPr="000B79B8">
        <w:rPr>
          <w:szCs w:val="24"/>
          <w:lang w:val="en-AU"/>
        </w:rPr>
        <w:t>Over the past four years, the Department has shown sustained effort in building a world class education system, creating a pathway for lifelong learning from early childhood to higher education and skills.</w:t>
      </w:r>
    </w:p>
    <w:p w14:paraId="40818D40" w14:textId="77777777" w:rsidR="00C22B56" w:rsidRPr="000B79B8" w:rsidRDefault="00C22B56" w:rsidP="00C22B56">
      <w:pPr>
        <w:pStyle w:val="ESBodyText"/>
        <w:rPr>
          <w:szCs w:val="24"/>
          <w:lang w:val="en-AU"/>
        </w:rPr>
      </w:pPr>
      <w:r w:rsidRPr="000B79B8">
        <w:rPr>
          <w:szCs w:val="24"/>
          <w:lang w:val="en-AU"/>
        </w:rPr>
        <w:t>Supported by the Government’s continued significant and targeted investment, we have major reforms underway to build an education system that meets the challenges and opportunities of the future. We have seen encouraging shifts in outcomes across all sectors and our plan builds upon this progress to achieve excellence and equity.</w:t>
      </w:r>
    </w:p>
    <w:p w14:paraId="4514B554" w14:textId="65970B7B" w:rsidR="00C22B56" w:rsidRPr="000B79B8" w:rsidRDefault="00C22B56" w:rsidP="00C22B56">
      <w:pPr>
        <w:pStyle w:val="ESBodyText"/>
        <w:rPr>
          <w:szCs w:val="24"/>
          <w:lang w:val="en-AU"/>
        </w:rPr>
      </w:pPr>
      <w:r w:rsidRPr="000B79B8">
        <w:rPr>
          <w:szCs w:val="24"/>
          <w:lang w:val="en-AU"/>
        </w:rPr>
        <w:t>We know that we cannot achieve this on our own. Together with all Victorian departments and agencies, we are committed to working in an integrated and efficient manner to deliver the services Victorians need. To do this we must be agile and responsive, working closely in partnership with our colleagues across Government, the Commonwealth and the wider education sector.</w:t>
      </w:r>
    </w:p>
    <w:p w14:paraId="467D32A1" w14:textId="77777777" w:rsidR="00C22B56" w:rsidRPr="000B79B8" w:rsidRDefault="00C22B56" w:rsidP="00C22B56">
      <w:pPr>
        <w:pStyle w:val="ESBodyText"/>
        <w:rPr>
          <w:szCs w:val="24"/>
          <w:lang w:val="en-AU"/>
        </w:rPr>
      </w:pPr>
      <w:r w:rsidRPr="000B79B8">
        <w:rPr>
          <w:szCs w:val="24"/>
          <w:lang w:val="en-AU"/>
        </w:rPr>
        <w:t xml:space="preserve">As a Department, we have the unique opportunity to build a future where Victoria is recognised nationally and internationally for the skills, knowledge and expertise of its people. The work we do as a Department ensures Victorians have the skills, knowledge, flexibility and creativity they need to actively participate in and contribute to society. </w:t>
      </w:r>
    </w:p>
    <w:p w14:paraId="5911F8DD" w14:textId="4C0C1F88" w:rsidR="0046149F" w:rsidRPr="000B79B8" w:rsidRDefault="00C22B56" w:rsidP="00C22B56">
      <w:pPr>
        <w:pStyle w:val="ESBodyText"/>
        <w:rPr>
          <w:szCs w:val="24"/>
        </w:rPr>
      </w:pPr>
      <w:r w:rsidRPr="000B79B8">
        <w:rPr>
          <w:szCs w:val="24"/>
          <w:lang w:val="en-AU"/>
        </w:rPr>
        <w:t>I am proud to present our strategic plan and I look forward to continuing to deliver our priorities that lift outcomes for learners across the State.</w:t>
      </w:r>
    </w:p>
    <w:p w14:paraId="218513CC" w14:textId="77777777" w:rsidR="0046149F" w:rsidRPr="000B79B8" w:rsidRDefault="0046149F" w:rsidP="0046149F">
      <w:pPr>
        <w:pStyle w:val="ESBodyText"/>
        <w:rPr>
          <w:sz w:val="20"/>
          <w:szCs w:val="24"/>
        </w:rPr>
      </w:pPr>
    </w:p>
    <w:p w14:paraId="095546F7" w14:textId="77777777" w:rsidR="0046149F" w:rsidRPr="000B79B8" w:rsidRDefault="0046149F" w:rsidP="0046149F">
      <w:pPr>
        <w:pStyle w:val="ESBodyText"/>
        <w:rPr>
          <w:sz w:val="20"/>
          <w:szCs w:val="24"/>
        </w:rPr>
      </w:pPr>
    </w:p>
    <w:p w14:paraId="6C96EF82" w14:textId="77777777" w:rsidR="00C22B56" w:rsidRPr="000B79B8" w:rsidRDefault="00C22B56" w:rsidP="0046149F">
      <w:pPr>
        <w:pStyle w:val="ESBodyText"/>
        <w:rPr>
          <w:b/>
          <w:sz w:val="20"/>
          <w:szCs w:val="24"/>
          <w:lang w:val="en-AU"/>
        </w:rPr>
      </w:pPr>
      <w:r w:rsidRPr="000B79B8">
        <w:rPr>
          <w:b/>
          <w:sz w:val="20"/>
          <w:szCs w:val="24"/>
          <w:lang w:val="en-AU"/>
        </w:rPr>
        <w:t xml:space="preserve">Jenny Atta </w:t>
      </w:r>
    </w:p>
    <w:p w14:paraId="5E5AE629" w14:textId="158A1010" w:rsidR="0046149F" w:rsidRPr="000B79B8" w:rsidRDefault="0046149F" w:rsidP="0046149F">
      <w:pPr>
        <w:pStyle w:val="ESBodyText"/>
        <w:rPr>
          <w:sz w:val="14"/>
        </w:rPr>
      </w:pPr>
      <w:r w:rsidRPr="000B79B8">
        <w:rPr>
          <w:sz w:val="20"/>
          <w:szCs w:val="24"/>
        </w:rPr>
        <w:t>Secretary</w:t>
      </w:r>
    </w:p>
    <w:p w14:paraId="6352B9C0" w14:textId="604D53EB" w:rsidR="00C32785" w:rsidRDefault="00C32785" w:rsidP="00E9584B">
      <w:pPr>
        <w:pStyle w:val="ESBodyText"/>
      </w:pPr>
    </w:p>
    <w:p w14:paraId="119940AE" w14:textId="77777777" w:rsidR="00C32785" w:rsidRDefault="00C32785" w:rsidP="00E9584B">
      <w:pPr>
        <w:pStyle w:val="ESBodyText"/>
      </w:pPr>
    </w:p>
    <w:p w14:paraId="2D600D04" w14:textId="10F316A7" w:rsidR="00C32785" w:rsidRDefault="00C32785" w:rsidP="00E9584B">
      <w:pPr>
        <w:pStyle w:val="ESBodyText"/>
      </w:pPr>
    </w:p>
    <w:p w14:paraId="099156E0" w14:textId="77777777" w:rsidR="00B03B53" w:rsidRDefault="00A301E5" w:rsidP="00632267">
      <w:pPr>
        <w:pStyle w:val="ESHeading1"/>
        <w:sectPr w:rsidR="00B03B53" w:rsidSect="00655977">
          <w:headerReference w:type="default" r:id="rId15"/>
          <w:footerReference w:type="default" r:id="rId16"/>
          <w:pgSz w:w="11900" w:h="16840"/>
          <w:pgMar w:top="1702" w:right="1240" w:bottom="1276" w:left="1304" w:header="624" w:footer="560" w:gutter="0"/>
          <w:cols w:space="397"/>
          <w:docGrid w:linePitch="360"/>
        </w:sectPr>
      </w:pPr>
      <w:r>
        <w:br w:type="page"/>
      </w:r>
    </w:p>
    <w:p w14:paraId="20AAE23C" w14:textId="3E605A73" w:rsidR="005E7225" w:rsidRDefault="0057070E" w:rsidP="005E7225">
      <w:pPr>
        <w:pStyle w:val="ESHeading1"/>
      </w:pPr>
      <w:bookmarkStart w:id="8" w:name="_Toc21601685"/>
      <w:r w:rsidRPr="0057070E">
        <w:lastRenderedPageBreak/>
        <w:t>OUR VISION</w:t>
      </w:r>
      <w:bookmarkEnd w:id="8"/>
    </w:p>
    <w:p w14:paraId="01758E31" w14:textId="226FE412" w:rsidR="005E7225" w:rsidRPr="000909DA" w:rsidRDefault="0057070E" w:rsidP="005E7225">
      <w:pPr>
        <w:pStyle w:val="LK-ESSubheading"/>
      </w:pPr>
      <w:r w:rsidRPr="000909DA">
        <w:rPr>
          <w:sz w:val="22"/>
        </w:rPr>
        <w:t>“Together we give every Victorian the best learning and development experience, making our state a smarter, fairer and more prosperous place.”</w:t>
      </w:r>
      <w:r w:rsidR="005E7225" w:rsidRPr="000909DA">
        <w:rPr>
          <w:sz w:val="28"/>
        </w:rPr>
        <w:t xml:space="preserve"> </w:t>
      </w:r>
    </w:p>
    <w:p w14:paraId="140E9ED0" w14:textId="545BFEB0" w:rsidR="0057070E" w:rsidRDefault="0057070E" w:rsidP="0057070E">
      <w:pPr>
        <w:pStyle w:val="ESBodyText"/>
      </w:pPr>
      <w:r>
        <w:t>The Department is responsible for delivering and regulating statewide learning and development services to at least one-third of all Victorians every year, across the early childhood education, school education and training and skills sectors.</w:t>
      </w:r>
    </w:p>
    <w:p w14:paraId="0FEF5D05" w14:textId="77777777" w:rsidR="0057070E" w:rsidRDefault="0057070E" w:rsidP="0057070E">
      <w:pPr>
        <w:pStyle w:val="ESBodyText"/>
      </w:pPr>
      <w:r>
        <w:t>We support Victorians to reach their potential, regardless of their background, postcode or circumstance, and to develop the knowledge, skills and attributes they need to participate and thrive in a complex economy and society.</w:t>
      </w:r>
    </w:p>
    <w:p w14:paraId="6CD038EB" w14:textId="77777777" w:rsidR="0057070E" w:rsidRDefault="0057070E" w:rsidP="0057070E">
      <w:pPr>
        <w:pStyle w:val="ESBodyText"/>
      </w:pPr>
      <w:r>
        <w:t>As the Department delivers on our vision we need to manage risks and challenges such as a growing population, technology changes and a focus on information security. We also need to provide access to quality services, lift workforce capability and maintain system integrity.</w:t>
      </w:r>
    </w:p>
    <w:p w14:paraId="4AF7CD59" w14:textId="0B2480BE" w:rsidR="00A52440" w:rsidRPr="00810AF4" w:rsidRDefault="0057070E" w:rsidP="0057070E">
      <w:pPr>
        <w:pStyle w:val="ESBodyText"/>
      </w:pPr>
      <w:r>
        <w:t>The goals we set, the changes we implement, the systems we support and the services we offer are all focused on improving outcomes and opportunities for Victorians and supporting them to build, happy, healthy and rewarding lives.</w:t>
      </w:r>
    </w:p>
    <w:p w14:paraId="6A92304F" w14:textId="68158AFA" w:rsidR="00A52440" w:rsidRPr="002375DF" w:rsidRDefault="00A77D3F" w:rsidP="002375DF">
      <w:pPr>
        <w:spacing w:after="0" w:line="240" w:lineRule="auto"/>
        <w:rPr>
          <w:rFonts w:eastAsiaTheme="majorEastAsia" w:cstheme="majorBidi"/>
          <w:b/>
          <w:bCs/>
          <w:caps/>
          <w:color w:val="AF272F"/>
          <w:sz w:val="20"/>
          <w:szCs w:val="20"/>
        </w:rPr>
        <w:sectPr w:rsidR="00A52440" w:rsidRPr="002375DF" w:rsidSect="00045DFB">
          <w:type w:val="continuous"/>
          <w:pgSz w:w="11900" w:h="16840"/>
          <w:pgMar w:top="1701" w:right="1242" w:bottom="1276" w:left="1304" w:header="624" w:footer="561" w:gutter="0"/>
          <w:cols w:space="397"/>
          <w:docGrid w:linePitch="360"/>
        </w:sectPr>
      </w:pPr>
      <w:bookmarkStart w:id="9" w:name="_Toc455151887"/>
      <w:bookmarkStart w:id="10" w:name="_Toc455156867"/>
      <w:bookmarkStart w:id="11" w:name="_Toc455406125"/>
      <w:bookmarkStart w:id="12" w:name="_Toc455406967"/>
      <w:r>
        <w:br w:type="page"/>
      </w:r>
      <w:bookmarkEnd w:id="9"/>
      <w:bookmarkEnd w:id="10"/>
      <w:bookmarkEnd w:id="11"/>
      <w:bookmarkEnd w:id="12"/>
    </w:p>
    <w:p w14:paraId="096130D1" w14:textId="1BF7DF49" w:rsidR="0057070E" w:rsidRDefault="0057070E" w:rsidP="0057070E">
      <w:pPr>
        <w:pStyle w:val="ESHeading1"/>
      </w:pPr>
      <w:bookmarkStart w:id="13" w:name="_Toc21601686"/>
      <w:r>
        <w:lastRenderedPageBreak/>
        <w:t xml:space="preserve">OUR </w:t>
      </w:r>
      <w:r w:rsidRPr="0057070E">
        <w:t>DEPARTMENT</w:t>
      </w:r>
      <w:bookmarkEnd w:id="13"/>
    </w:p>
    <w:p w14:paraId="2D4CBAA5" w14:textId="77777777" w:rsidR="0057070E" w:rsidRPr="0057070E" w:rsidRDefault="0057070E" w:rsidP="0057070E">
      <w:pPr>
        <w:pStyle w:val="ESBodyText"/>
      </w:pPr>
      <w:r w:rsidRPr="0057070E">
        <w:t>We have a regional operating model–known as Learning Places–to deliver education services across the State. Under this model the State is divided into four regions and 17 areas. Schools, early childhood services and training organisations work with the Department via their local regional office. Regional offices connect the Department’s central office and our service providers, so that policy intent and outcomes are delivered in local communities.</w:t>
      </w:r>
    </w:p>
    <w:p w14:paraId="20CCD94F" w14:textId="3504B8A2" w:rsidR="0057070E" w:rsidRDefault="0057070E" w:rsidP="00A52440">
      <w:pPr>
        <w:pStyle w:val="ESBodyText"/>
      </w:pPr>
      <w:r w:rsidRPr="0057070E">
        <w:t>The model is focused on people and place-based service delivery to allow localised, tailored and integrated decision making, service and support. This arrangement also facilitates cross government initiatives and integration of services.</w:t>
      </w:r>
    </w:p>
    <w:p w14:paraId="05544794" w14:textId="508D47FD" w:rsidR="00A52440" w:rsidRPr="002507D1" w:rsidRDefault="000B79B8" w:rsidP="00A52440">
      <w:pPr>
        <w:pStyle w:val="ESBodyText"/>
        <w:rPr>
          <w:b/>
          <w:color w:val="C00000"/>
          <w:lang w:val="en-AU"/>
        </w:rPr>
      </w:pPr>
      <w:r w:rsidRPr="002507D1">
        <w:rPr>
          <w:b/>
          <w:color w:val="C00000"/>
          <w:lang w:val="en-AU"/>
        </w:rPr>
        <w:t>REGIONAL OPERATING MODEL</w:t>
      </w:r>
    </w:p>
    <w:p w14:paraId="3DD5F89F" w14:textId="0054FE5D" w:rsidR="00DF4B18" w:rsidRPr="00E91FC9" w:rsidRDefault="0057070E" w:rsidP="00E91FC9">
      <w:pPr>
        <w:pStyle w:val="ESBodyText"/>
        <w:rPr>
          <w:rFonts w:eastAsiaTheme="majorEastAsia" w:cstheme="majorBidi"/>
          <w:b/>
          <w:bCs/>
          <w:color w:val="AF272F"/>
          <w:szCs w:val="20"/>
        </w:rPr>
      </w:pPr>
      <w:r w:rsidRPr="00E91FC9">
        <w:rPr>
          <w:rFonts w:eastAsiaTheme="majorEastAsia" w:cstheme="majorBidi"/>
          <w:b/>
          <w:bCs/>
          <w:color w:val="AF272F"/>
          <w:szCs w:val="20"/>
        </w:rPr>
        <w:t>North Western Victoria Region</w:t>
      </w:r>
      <w:r w:rsidR="00DF4B18" w:rsidRPr="00E91FC9">
        <w:rPr>
          <w:rFonts w:eastAsiaTheme="majorEastAsia" w:cstheme="majorBidi"/>
          <w:b/>
          <w:bCs/>
          <w:color w:val="AF272F"/>
          <w:szCs w:val="20"/>
        </w:rPr>
        <w:t xml:space="preserve"> </w:t>
      </w:r>
    </w:p>
    <w:p w14:paraId="75A428EF" w14:textId="561F495A" w:rsidR="00DF4B18" w:rsidRPr="00B02A31" w:rsidRDefault="0057070E" w:rsidP="00194DAB">
      <w:pPr>
        <w:pStyle w:val="ListParagraph"/>
        <w:numPr>
          <w:ilvl w:val="0"/>
          <w:numId w:val="6"/>
        </w:numPr>
        <w:ind w:left="426" w:hanging="426"/>
        <w:rPr>
          <w:lang w:val="en-AU"/>
        </w:rPr>
      </w:pPr>
      <w:r>
        <w:rPr>
          <w:lang w:val="en-AU"/>
        </w:rPr>
        <w:t>Mallee</w:t>
      </w:r>
    </w:p>
    <w:p w14:paraId="1F331636" w14:textId="2F947165" w:rsidR="00DF4B18" w:rsidRPr="00B02A31" w:rsidRDefault="0057070E" w:rsidP="00194DAB">
      <w:pPr>
        <w:pStyle w:val="ListParagraph"/>
        <w:numPr>
          <w:ilvl w:val="0"/>
          <w:numId w:val="6"/>
        </w:numPr>
        <w:ind w:left="426" w:hanging="426"/>
        <w:rPr>
          <w:lang w:val="en-AU"/>
        </w:rPr>
      </w:pPr>
      <w:r>
        <w:rPr>
          <w:lang w:val="en-AU"/>
        </w:rPr>
        <w:t>Loddon Campaspe</w:t>
      </w:r>
    </w:p>
    <w:p w14:paraId="05E7CFC4" w14:textId="65B68BE8" w:rsidR="00DF4B18" w:rsidRDefault="0057070E" w:rsidP="00194DAB">
      <w:pPr>
        <w:pStyle w:val="ListParagraph"/>
        <w:numPr>
          <w:ilvl w:val="0"/>
          <w:numId w:val="6"/>
        </w:numPr>
        <w:ind w:left="426" w:hanging="426"/>
        <w:rPr>
          <w:lang w:val="en-AU"/>
        </w:rPr>
      </w:pPr>
      <w:r>
        <w:rPr>
          <w:lang w:val="en-AU"/>
        </w:rPr>
        <w:t>Hume Moreland</w:t>
      </w:r>
    </w:p>
    <w:p w14:paraId="27223626" w14:textId="0AD3CB3D" w:rsidR="0057070E" w:rsidRPr="00DF4FB4" w:rsidRDefault="0057070E" w:rsidP="00194DAB">
      <w:pPr>
        <w:pStyle w:val="ListParagraph"/>
        <w:numPr>
          <w:ilvl w:val="0"/>
          <w:numId w:val="6"/>
        </w:numPr>
        <w:ind w:left="426" w:hanging="426"/>
        <w:rPr>
          <w:lang w:val="en-AU"/>
        </w:rPr>
      </w:pPr>
      <w:r>
        <w:rPr>
          <w:lang w:val="en-AU"/>
        </w:rPr>
        <w:t>North Eastern Melbourne</w:t>
      </w:r>
    </w:p>
    <w:p w14:paraId="291A43E2" w14:textId="6CCD33C5" w:rsidR="00DF4B18" w:rsidRPr="00E91FC9" w:rsidRDefault="00E91FC9" w:rsidP="00E91FC9">
      <w:pPr>
        <w:pStyle w:val="ESBodyText"/>
        <w:rPr>
          <w:rFonts w:eastAsiaTheme="majorEastAsia" w:cstheme="majorBidi"/>
          <w:b/>
          <w:bCs/>
          <w:color w:val="AF272F"/>
          <w:szCs w:val="20"/>
        </w:rPr>
      </w:pPr>
      <w:r>
        <w:rPr>
          <w:rFonts w:eastAsiaTheme="majorEastAsia" w:cstheme="majorBidi"/>
          <w:b/>
          <w:bCs/>
          <w:color w:val="AF272F"/>
          <w:szCs w:val="20"/>
        </w:rPr>
        <w:t>North Ea</w:t>
      </w:r>
      <w:r w:rsidR="0057070E" w:rsidRPr="00E91FC9">
        <w:rPr>
          <w:rFonts w:eastAsiaTheme="majorEastAsia" w:cstheme="majorBidi"/>
          <w:b/>
          <w:bCs/>
          <w:color w:val="AF272F"/>
          <w:szCs w:val="20"/>
        </w:rPr>
        <w:t xml:space="preserve">stern Victoria Region </w:t>
      </w:r>
    </w:p>
    <w:p w14:paraId="0D1ECB1E" w14:textId="7D9215AD" w:rsidR="00DF4B18" w:rsidRPr="00B02A31" w:rsidRDefault="0057070E" w:rsidP="00194DAB">
      <w:pPr>
        <w:pStyle w:val="ListParagraph"/>
        <w:numPr>
          <w:ilvl w:val="0"/>
          <w:numId w:val="7"/>
        </w:numPr>
        <w:ind w:left="426" w:hanging="426"/>
        <w:rPr>
          <w:lang w:val="en-AU"/>
        </w:rPr>
      </w:pPr>
      <w:r>
        <w:rPr>
          <w:lang w:val="en-AU"/>
        </w:rPr>
        <w:t>Ovens Murray</w:t>
      </w:r>
    </w:p>
    <w:p w14:paraId="7E7EE2C4" w14:textId="2FD915D6" w:rsidR="00DF4B18" w:rsidRPr="00B02A31" w:rsidRDefault="0057070E" w:rsidP="00194DAB">
      <w:pPr>
        <w:pStyle w:val="ListParagraph"/>
        <w:numPr>
          <w:ilvl w:val="0"/>
          <w:numId w:val="7"/>
        </w:numPr>
        <w:ind w:left="426" w:hanging="426"/>
        <w:rPr>
          <w:lang w:val="en-AU"/>
        </w:rPr>
      </w:pPr>
      <w:r>
        <w:rPr>
          <w:lang w:val="en-AU"/>
        </w:rPr>
        <w:t>Goulburn</w:t>
      </w:r>
    </w:p>
    <w:p w14:paraId="64CE633A" w14:textId="26D80DF8" w:rsidR="00DF4B18" w:rsidRDefault="0028660A" w:rsidP="00194DAB">
      <w:pPr>
        <w:pStyle w:val="ListParagraph"/>
        <w:numPr>
          <w:ilvl w:val="0"/>
          <w:numId w:val="7"/>
        </w:numPr>
        <w:ind w:left="426" w:hanging="426"/>
        <w:rPr>
          <w:lang w:val="en-AU"/>
        </w:rPr>
      </w:pPr>
      <w:r>
        <w:rPr>
          <w:lang w:val="en-AU"/>
        </w:rPr>
        <w:t xml:space="preserve">Outer </w:t>
      </w:r>
      <w:r w:rsidR="004C2513">
        <w:rPr>
          <w:lang w:val="en-AU"/>
        </w:rPr>
        <w:t>Eastern</w:t>
      </w:r>
      <w:r>
        <w:rPr>
          <w:lang w:val="en-AU"/>
        </w:rPr>
        <w:t xml:space="preserve"> Melbourne</w:t>
      </w:r>
    </w:p>
    <w:p w14:paraId="5B298FC7" w14:textId="58CC85C2" w:rsidR="0028660A" w:rsidRPr="0028660A" w:rsidRDefault="0028660A" w:rsidP="00194DAB">
      <w:pPr>
        <w:pStyle w:val="ListParagraph"/>
        <w:numPr>
          <w:ilvl w:val="0"/>
          <w:numId w:val="7"/>
        </w:numPr>
        <w:ind w:left="426" w:hanging="426"/>
        <w:rPr>
          <w:lang w:val="en-AU"/>
        </w:rPr>
      </w:pPr>
      <w:r>
        <w:rPr>
          <w:lang w:val="en-AU"/>
        </w:rPr>
        <w:t xml:space="preserve">Inner </w:t>
      </w:r>
      <w:r w:rsidR="004C2513">
        <w:rPr>
          <w:lang w:val="en-AU"/>
        </w:rPr>
        <w:t>Eastern</w:t>
      </w:r>
      <w:r>
        <w:rPr>
          <w:lang w:val="en-AU"/>
        </w:rPr>
        <w:t xml:space="preserve"> Melbourne</w:t>
      </w:r>
    </w:p>
    <w:p w14:paraId="15EA6B73" w14:textId="17EDF289" w:rsidR="0028660A" w:rsidRPr="00E91FC9" w:rsidRDefault="00E91FC9" w:rsidP="00E91FC9">
      <w:pPr>
        <w:pStyle w:val="ESBodyText"/>
        <w:rPr>
          <w:rFonts w:eastAsiaTheme="majorEastAsia" w:cstheme="majorBidi"/>
          <w:b/>
          <w:bCs/>
          <w:color w:val="AF272F"/>
          <w:szCs w:val="20"/>
        </w:rPr>
      </w:pPr>
      <w:r>
        <w:rPr>
          <w:rFonts w:eastAsiaTheme="majorEastAsia" w:cstheme="majorBidi"/>
          <w:b/>
          <w:bCs/>
          <w:color w:val="AF272F"/>
          <w:szCs w:val="20"/>
        </w:rPr>
        <w:t>North Ea</w:t>
      </w:r>
      <w:r w:rsidR="0028660A" w:rsidRPr="00E91FC9">
        <w:rPr>
          <w:rFonts w:eastAsiaTheme="majorEastAsia" w:cstheme="majorBidi"/>
          <w:b/>
          <w:bCs/>
          <w:color w:val="AF272F"/>
          <w:szCs w:val="20"/>
        </w:rPr>
        <w:t xml:space="preserve">stern Victoria Region </w:t>
      </w:r>
    </w:p>
    <w:p w14:paraId="2BD08881" w14:textId="69649CA6" w:rsidR="00DF4B18" w:rsidRDefault="0028660A" w:rsidP="00194DAB">
      <w:pPr>
        <w:pStyle w:val="ListParagraph"/>
        <w:numPr>
          <w:ilvl w:val="0"/>
          <w:numId w:val="8"/>
        </w:numPr>
        <w:ind w:left="426" w:hanging="426"/>
        <w:rPr>
          <w:lang w:val="en-AU"/>
        </w:rPr>
      </w:pPr>
      <w:r>
        <w:rPr>
          <w:lang w:val="en-AU"/>
        </w:rPr>
        <w:t>Outer Gippsland</w:t>
      </w:r>
    </w:p>
    <w:p w14:paraId="53DA6A6A" w14:textId="2BE63340" w:rsidR="0028660A" w:rsidRDefault="0028660A" w:rsidP="00194DAB">
      <w:pPr>
        <w:pStyle w:val="ListParagraph"/>
        <w:numPr>
          <w:ilvl w:val="0"/>
          <w:numId w:val="8"/>
        </w:numPr>
        <w:ind w:left="426" w:hanging="426"/>
        <w:rPr>
          <w:lang w:val="en-AU"/>
        </w:rPr>
      </w:pPr>
      <w:r>
        <w:rPr>
          <w:lang w:val="en-AU"/>
        </w:rPr>
        <w:t>Inner Gippsland</w:t>
      </w:r>
    </w:p>
    <w:p w14:paraId="3948DC71" w14:textId="4EA1DA89" w:rsidR="0028660A" w:rsidRPr="00B02A31" w:rsidRDefault="0028660A" w:rsidP="00194DAB">
      <w:pPr>
        <w:pStyle w:val="ListParagraph"/>
        <w:numPr>
          <w:ilvl w:val="0"/>
          <w:numId w:val="8"/>
        </w:numPr>
        <w:ind w:left="426" w:hanging="426"/>
        <w:rPr>
          <w:lang w:val="en-AU"/>
        </w:rPr>
      </w:pPr>
      <w:r>
        <w:rPr>
          <w:lang w:val="en-AU"/>
        </w:rPr>
        <w:t>Southern Melbourne</w:t>
      </w:r>
    </w:p>
    <w:p w14:paraId="0EBE355A" w14:textId="4F113FBC" w:rsidR="00DF4B18" w:rsidRPr="006E3A29" w:rsidRDefault="0028660A" w:rsidP="00194DAB">
      <w:pPr>
        <w:pStyle w:val="ListParagraph"/>
        <w:numPr>
          <w:ilvl w:val="0"/>
          <w:numId w:val="8"/>
        </w:numPr>
        <w:ind w:left="426" w:hanging="426"/>
        <w:rPr>
          <w:lang w:val="en-AU"/>
        </w:rPr>
      </w:pPr>
      <w:r>
        <w:rPr>
          <w:lang w:val="en-AU"/>
        </w:rPr>
        <w:t>Bayside Peninsula</w:t>
      </w:r>
    </w:p>
    <w:p w14:paraId="09595442" w14:textId="21169356" w:rsidR="0028660A" w:rsidRPr="00E91FC9" w:rsidRDefault="00E91FC9" w:rsidP="00E91FC9">
      <w:pPr>
        <w:pStyle w:val="ESBodyText"/>
        <w:rPr>
          <w:rFonts w:eastAsiaTheme="majorEastAsia" w:cstheme="majorBidi"/>
          <w:b/>
          <w:bCs/>
          <w:color w:val="AF272F"/>
          <w:szCs w:val="20"/>
        </w:rPr>
      </w:pPr>
      <w:r>
        <w:rPr>
          <w:rFonts w:eastAsiaTheme="majorEastAsia" w:cstheme="majorBidi"/>
          <w:b/>
          <w:bCs/>
          <w:color w:val="AF272F"/>
          <w:szCs w:val="20"/>
        </w:rPr>
        <w:t>Sout</w:t>
      </w:r>
      <w:r w:rsidR="0028660A" w:rsidRPr="00E91FC9">
        <w:rPr>
          <w:rFonts w:eastAsiaTheme="majorEastAsia" w:cstheme="majorBidi"/>
          <w:b/>
          <w:bCs/>
          <w:color w:val="AF272F"/>
          <w:szCs w:val="20"/>
        </w:rPr>
        <w:t xml:space="preserve">h Western Victoria Region </w:t>
      </w:r>
    </w:p>
    <w:p w14:paraId="08767178" w14:textId="77777777" w:rsidR="0028660A" w:rsidRDefault="0028660A" w:rsidP="00194DAB">
      <w:pPr>
        <w:pStyle w:val="ListParagraph"/>
        <w:numPr>
          <w:ilvl w:val="0"/>
          <w:numId w:val="9"/>
        </w:numPr>
        <w:ind w:left="426" w:hanging="426"/>
        <w:rPr>
          <w:lang w:val="en-AU"/>
        </w:rPr>
      </w:pPr>
      <w:r>
        <w:rPr>
          <w:lang w:val="en-AU"/>
        </w:rPr>
        <w:t>Wimmera South West</w:t>
      </w:r>
    </w:p>
    <w:p w14:paraId="71560536" w14:textId="77777777" w:rsidR="0028660A" w:rsidRDefault="0028660A" w:rsidP="00194DAB">
      <w:pPr>
        <w:pStyle w:val="ListParagraph"/>
        <w:numPr>
          <w:ilvl w:val="0"/>
          <w:numId w:val="9"/>
        </w:numPr>
        <w:ind w:left="426" w:hanging="426"/>
        <w:rPr>
          <w:lang w:val="en-AU"/>
        </w:rPr>
      </w:pPr>
      <w:r>
        <w:rPr>
          <w:lang w:val="en-AU"/>
        </w:rPr>
        <w:t>Barwon</w:t>
      </w:r>
    </w:p>
    <w:p w14:paraId="6E8974B9" w14:textId="6B595B54" w:rsidR="0028660A" w:rsidRDefault="0028660A" w:rsidP="00194DAB">
      <w:pPr>
        <w:pStyle w:val="ListParagraph"/>
        <w:numPr>
          <w:ilvl w:val="0"/>
          <w:numId w:val="9"/>
        </w:numPr>
        <w:ind w:left="426" w:hanging="426"/>
        <w:rPr>
          <w:lang w:val="en-AU"/>
        </w:rPr>
      </w:pPr>
      <w:r>
        <w:rPr>
          <w:lang w:val="en-AU"/>
        </w:rPr>
        <w:t>Central Highlands</w:t>
      </w:r>
    </w:p>
    <w:p w14:paraId="00AB922F" w14:textId="77777777" w:rsidR="0028660A" w:rsidRDefault="0028660A" w:rsidP="00194DAB">
      <w:pPr>
        <w:pStyle w:val="ListParagraph"/>
        <w:numPr>
          <w:ilvl w:val="0"/>
          <w:numId w:val="9"/>
        </w:numPr>
        <w:ind w:left="426" w:hanging="426"/>
        <w:rPr>
          <w:lang w:val="en-AU"/>
        </w:rPr>
      </w:pPr>
      <w:r>
        <w:rPr>
          <w:lang w:val="en-AU"/>
        </w:rPr>
        <w:t>Western Melbourne</w:t>
      </w:r>
    </w:p>
    <w:p w14:paraId="2FA2A8A9" w14:textId="3C01079D" w:rsidR="00DF4B18" w:rsidRPr="00B02A31" w:rsidRDefault="0028660A" w:rsidP="00194DAB">
      <w:pPr>
        <w:pStyle w:val="ListParagraph"/>
        <w:numPr>
          <w:ilvl w:val="0"/>
          <w:numId w:val="9"/>
        </w:numPr>
        <w:ind w:left="426" w:hanging="426"/>
        <w:rPr>
          <w:lang w:val="en-AU"/>
        </w:rPr>
      </w:pPr>
      <w:r>
        <w:rPr>
          <w:lang w:val="en-AU"/>
        </w:rPr>
        <w:t>Brimbank Melton</w:t>
      </w:r>
      <w:r w:rsidR="00DF4B18" w:rsidRPr="00B02A31">
        <w:rPr>
          <w:lang w:val="en-AU"/>
        </w:rPr>
        <w:t xml:space="preserve"> </w:t>
      </w:r>
    </w:p>
    <w:p w14:paraId="057FF467" w14:textId="1072C4A0" w:rsidR="00A52440" w:rsidRDefault="00A52440" w:rsidP="00A52440">
      <w:pPr>
        <w:pStyle w:val="ESBodyText"/>
      </w:pPr>
    </w:p>
    <w:p w14:paraId="18CFCE77" w14:textId="77777777" w:rsidR="00A52440" w:rsidRDefault="00A52440" w:rsidP="00A52440">
      <w:pPr>
        <w:pStyle w:val="ESBodyText"/>
      </w:pPr>
    </w:p>
    <w:p w14:paraId="773063CC" w14:textId="77777777" w:rsidR="00A52440" w:rsidRDefault="00A52440" w:rsidP="00A52440">
      <w:pPr>
        <w:pStyle w:val="ESBodyText"/>
        <w:sectPr w:rsidR="00A52440" w:rsidSect="0057070E">
          <w:pgSz w:w="11900" w:h="16840"/>
          <w:pgMar w:top="2036" w:right="1240" w:bottom="1304" w:left="1304" w:header="624" w:footer="560" w:gutter="0"/>
          <w:cols w:space="397"/>
          <w:docGrid w:linePitch="360"/>
        </w:sectPr>
      </w:pPr>
    </w:p>
    <w:p w14:paraId="598CD052" w14:textId="1F99CAFC" w:rsidR="005E7225" w:rsidRPr="007747E5" w:rsidRDefault="004853F4" w:rsidP="000909DA">
      <w:pPr>
        <w:pStyle w:val="ESBodyText"/>
        <w:ind w:left="284"/>
        <w:rPr>
          <w:b/>
          <w:color w:val="C00000"/>
          <w:sz w:val="20"/>
          <w:lang w:val="en-AU"/>
        </w:rPr>
      </w:pPr>
      <w:bookmarkStart w:id="14" w:name="_Toc455151890"/>
      <w:bookmarkStart w:id="15" w:name="_Toc455156870"/>
      <w:r w:rsidRPr="007747E5">
        <w:rPr>
          <w:b/>
          <w:color w:val="C00000"/>
          <w:sz w:val="20"/>
          <w:lang w:val="en-AU"/>
        </w:rPr>
        <w:lastRenderedPageBreak/>
        <w:t>THE DEPARTMENT’S SERVICES</w:t>
      </w:r>
      <w:r w:rsidR="000B79B8" w:rsidRPr="007747E5">
        <w:rPr>
          <w:b/>
          <w:bCs/>
          <w:caps/>
          <w:color w:val="C00000"/>
          <w:sz w:val="20"/>
        </w:rPr>
        <w:t xml:space="preserve"> </w:t>
      </w:r>
    </w:p>
    <w:p w14:paraId="56F8C019" w14:textId="5BADE22C" w:rsidR="00195F90" w:rsidRPr="004853F4" w:rsidRDefault="004853F4" w:rsidP="00194DAB">
      <w:pPr>
        <w:pStyle w:val="ESBodyText"/>
        <w:numPr>
          <w:ilvl w:val="0"/>
          <w:numId w:val="10"/>
        </w:numPr>
        <w:rPr>
          <w:rFonts w:eastAsiaTheme="majorEastAsia" w:cstheme="majorBidi"/>
          <w:b/>
          <w:bCs/>
          <w:color w:val="AF272F"/>
          <w:szCs w:val="20"/>
          <w:lang w:val="en-AU"/>
        </w:rPr>
      </w:pPr>
      <w:r w:rsidRPr="004853F4">
        <w:rPr>
          <w:rFonts w:eastAsiaTheme="majorEastAsia" w:cstheme="majorBidi"/>
          <w:b/>
          <w:bCs/>
          <w:color w:val="AF272F"/>
          <w:szCs w:val="20"/>
          <w:lang w:val="en-AU"/>
        </w:rPr>
        <w:t>EARLY CHILDHOOD</w:t>
      </w:r>
      <w:r w:rsidRPr="004853F4">
        <w:t xml:space="preserve"> </w:t>
      </w:r>
      <w:r w:rsidRPr="009C390F">
        <w:rPr>
          <w:rFonts w:eastAsiaTheme="majorEastAsia" w:cstheme="majorBidi"/>
          <w:b/>
          <w:bCs/>
          <w:color w:val="AF272F"/>
          <w:szCs w:val="20"/>
          <w:lang w:val="en-AU"/>
        </w:rPr>
        <w:t xml:space="preserve">- </w:t>
      </w:r>
      <w:r w:rsidRPr="004853F4">
        <w:rPr>
          <w:rFonts w:eastAsiaTheme="majorEastAsia" w:cstheme="majorBidi"/>
          <w:b/>
          <w:bCs/>
          <w:color w:val="AF272F"/>
          <w:szCs w:val="20"/>
          <w:lang w:val="en-AU"/>
        </w:rPr>
        <w:t>Birth to 8</w:t>
      </w:r>
    </w:p>
    <w:p w14:paraId="36771A82" w14:textId="5C0F901E" w:rsidR="004853F4" w:rsidRDefault="004853F4" w:rsidP="00194DAB">
      <w:pPr>
        <w:pStyle w:val="ESBodyText"/>
        <w:numPr>
          <w:ilvl w:val="0"/>
          <w:numId w:val="11"/>
        </w:numPr>
        <w:rPr>
          <w:lang w:val="en-AU"/>
        </w:rPr>
      </w:pPr>
      <w:r w:rsidRPr="004853F4">
        <w:t>More than 400,000 children</w:t>
      </w:r>
      <w:r w:rsidRPr="004853F4">
        <w:rPr>
          <w:rFonts w:ascii="Calibri" w:eastAsia="Calibri" w:hAnsi="Calibri" w:cs="Calibri"/>
          <w:color w:val="000000"/>
          <w:w w:val="123"/>
          <w:sz w:val="19"/>
          <w:szCs w:val="22"/>
          <w:lang w:val="en-AU" w:eastAsia="en-AU"/>
        </w:rPr>
        <w:t xml:space="preserve"> </w:t>
      </w:r>
      <w:r w:rsidRPr="004853F4">
        <w:rPr>
          <w:lang w:val="en-AU"/>
        </w:rPr>
        <w:t>and families</w:t>
      </w:r>
    </w:p>
    <w:p w14:paraId="5E4AEA77" w14:textId="55F1C09D" w:rsidR="004853F4" w:rsidRPr="004853F4" w:rsidRDefault="004853F4" w:rsidP="00194DAB">
      <w:pPr>
        <w:pStyle w:val="ESBodyText"/>
        <w:numPr>
          <w:ilvl w:val="0"/>
          <w:numId w:val="11"/>
        </w:numPr>
        <w:rPr>
          <w:lang w:val="en-AU"/>
        </w:rPr>
      </w:pPr>
      <w:r w:rsidRPr="004853F4">
        <w:rPr>
          <w:lang w:val="en-AU"/>
        </w:rPr>
        <w:t>Early years learning and</w:t>
      </w:r>
      <w:r w:rsidRPr="004853F4">
        <w:rPr>
          <w:rFonts w:ascii="Calibri" w:eastAsia="Calibri" w:hAnsi="Calibri" w:cs="Calibri"/>
          <w:color w:val="000000"/>
          <w:w w:val="121"/>
          <w:sz w:val="19"/>
          <w:szCs w:val="22"/>
          <w:lang w:val="en-AU" w:eastAsia="en-AU"/>
        </w:rPr>
        <w:t xml:space="preserve"> </w:t>
      </w:r>
      <w:r w:rsidRPr="004853F4">
        <w:rPr>
          <w:lang w:val="en-AU"/>
        </w:rPr>
        <w:t>development including early</w:t>
      </w:r>
      <w:r w:rsidRPr="004853F4">
        <w:rPr>
          <w:rFonts w:ascii="Calibri" w:eastAsia="Calibri" w:hAnsi="Calibri" w:cs="Calibri"/>
          <w:color w:val="000000"/>
          <w:w w:val="122"/>
          <w:sz w:val="19"/>
          <w:szCs w:val="22"/>
          <w:lang w:val="en-AU" w:eastAsia="en-AU"/>
        </w:rPr>
        <w:t xml:space="preserve"> </w:t>
      </w:r>
      <w:r w:rsidRPr="004853F4">
        <w:rPr>
          <w:lang w:val="en-AU"/>
        </w:rPr>
        <w:t>childhood education and care services</w:t>
      </w:r>
    </w:p>
    <w:p w14:paraId="08A43243" w14:textId="1E28EFFC" w:rsidR="004853F4" w:rsidRPr="004853F4" w:rsidRDefault="004853F4" w:rsidP="00194DAB">
      <w:pPr>
        <w:pStyle w:val="ESBodyText"/>
        <w:numPr>
          <w:ilvl w:val="0"/>
          <w:numId w:val="11"/>
        </w:numPr>
        <w:rPr>
          <w:lang w:val="en-AU"/>
        </w:rPr>
      </w:pPr>
      <w:r w:rsidRPr="004853F4">
        <w:rPr>
          <w:lang w:val="en-AU"/>
        </w:rPr>
        <w:t>Early childhood</w:t>
      </w:r>
      <w:r w:rsidRPr="004853F4">
        <w:rPr>
          <w:rFonts w:ascii="Calibri" w:eastAsia="Calibri" w:hAnsi="Calibri" w:cs="Calibri"/>
          <w:color w:val="000000"/>
          <w:w w:val="121"/>
          <w:sz w:val="19"/>
          <w:szCs w:val="22"/>
          <w:lang w:val="en-AU" w:eastAsia="en-AU"/>
        </w:rPr>
        <w:t xml:space="preserve"> </w:t>
      </w:r>
      <w:r w:rsidRPr="004853F4">
        <w:rPr>
          <w:lang w:val="en-AU"/>
        </w:rPr>
        <w:t>intervention services</w:t>
      </w:r>
    </w:p>
    <w:p w14:paraId="6D5055A6" w14:textId="77777777" w:rsidR="009C390F" w:rsidRDefault="009C390F" w:rsidP="00194DAB">
      <w:pPr>
        <w:pStyle w:val="ESBodyText"/>
        <w:numPr>
          <w:ilvl w:val="0"/>
          <w:numId w:val="11"/>
        </w:numPr>
        <w:rPr>
          <w:lang w:val="en-AU"/>
        </w:rPr>
      </w:pPr>
      <w:r w:rsidRPr="009C390F">
        <w:rPr>
          <w:lang w:val="en-AU"/>
        </w:rPr>
        <w:t>We have a diverse range of public, private and not-for-profit providers serving</w:t>
      </w:r>
      <w:r>
        <w:rPr>
          <w:lang w:val="en-AU"/>
        </w:rPr>
        <w:t xml:space="preserve"> </w:t>
      </w:r>
      <w:r w:rsidRPr="009C390F">
        <w:rPr>
          <w:lang w:val="en-AU"/>
        </w:rPr>
        <w:t>Victorians of all ages:</w:t>
      </w:r>
      <w:r>
        <w:rPr>
          <w:lang w:val="en-AU"/>
        </w:rPr>
        <w:t xml:space="preserve"> </w:t>
      </w:r>
    </w:p>
    <w:p w14:paraId="50EC850D" w14:textId="4EABE3C9" w:rsidR="004853F4" w:rsidRPr="009C390F" w:rsidRDefault="004853F4" w:rsidP="00194DAB">
      <w:pPr>
        <w:pStyle w:val="ESBodyText"/>
        <w:numPr>
          <w:ilvl w:val="1"/>
          <w:numId w:val="13"/>
        </w:numPr>
        <w:ind w:left="1701" w:hanging="141"/>
        <w:rPr>
          <w:lang w:val="en-AU"/>
        </w:rPr>
      </w:pPr>
      <w:r w:rsidRPr="009C390F">
        <w:rPr>
          <w:lang w:val="en-AU"/>
        </w:rPr>
        <w:t>More than 4,200 approved education and care services that provide long day care, kindergarten, outside school hours care, and family day care and approximately 380 licensed children’s services that provide limited hour services such as occasional care</w:t>
      </w:r>
      <w:r w:rsidR="000157E3">
        <w:rPr>
          <w:lang w:val="en-AU"/>
        </w:rPr>
        <w:t>.</w:t>
      </w:r>
    </w:p>
    <w:p w14:paraId="64CAAD60" w14:textId="266557B6" w:rsidR="00195F90" w:rsidRPr="009C390F" w:rsidRDefault="004853F4" w:rsidP="00194DAB">
      <w:pPr>
        <w:pStyle w:val="ESBodyText"/>
        <w:numPr>
          <w:ilvl w:val="0"/>
          <w:numId w:val="10"/>
        </w:numPr>
        <w:rPr>
          <w:rFonts w:eastAsiaTheme="majorEastAsia" w:cstheme="majorBidi"/>
          <w:b/>
          <w:bCs/>
          <w:color w:val="AF272F"/>
          <w:szCs w:val="20"/>
          <w:lang w:val="en-AU"/>
        </w:rPr>
      </w:pPr>
      <w:r w:rsidRPr="004853F4">
        <w:rPr>
          <w:lang w:val="en-AU"/>
        </w:rPr>
        <w:t xml:space="preserve"> </w:t>
      </w:r>
      <w:r w:rsidRPr="004853F4">
        <w:rPr>
          <w:rFonts w:eastAsiaTheme="majorEastAsia" w:cstheme="majorBidi"/>
          <w:b/>
          <w:bCs/>
          <w:color w:val="AF272F"/>
          <w:szCs w:val="20"/>
          <w:lang w:val="en-AU"/>
        </w:rPr>
        <w:t>SCHOOL EDUCATION</w:t>
      </w:r>
      <w:r>
        <w:rPr>
          <w:rFonts w:eastAsiaTheme="majorEastAsia" w:cstheme="majorBidi"/>
          <w:b/>
          <w:bCs/>
          <w:color w:val="AF272F"/>
          <w:szCs w:val="20"/>
          <w:lang w:val="en-AU"/>
        </w:rPr>
        <w:t xml:space="preserve"> – 5 to 18</w:t>
      </w:r>
    </w:p>
    <w:p w14:paraId="7F2B2F3D" w14:textId="407CB9C4" w:rsidR="009C390F" w:rsidRPr="009C390F" w:rsidRDefault="009C390F" w:rsidP="00194DAB">
      <w:pPr>
        <w:pStyle w:val="ESBodyText"/>
        <w:numPr>
          <w:ilvl w:val="0"/>
          <w:numId w:val="12"/>
        </w:numPr>
        <w:rPr>
          <w:lang w:val="en-AU"/>
        </w:rPr>
      </w:pPr>
      <w:r w:rsidRPr="009C390F">
        <w:rPr>
          <w:lang w:val="en-AU"/>
        </w:rPr>
        <w:t>More than 971,000 students</w:t>
      </w:r>
    </w:p>
    <w:p w14:paraId="4E6A30EA" w14:textId="72F29504" w:rsidR="00195F90" w:rsidRDefault="009C390F" w:rsidP="00194DAB">
      <w:pPr>
        <w:pStyle w:val="ESBodyText"/>
        <w:numPr>
          <w:ilvl w:val="0"/>
          <w:numId w:val="12"/>
        </w:numPr>
        <w:rPr>
          <w:lang w:val="en-AU"/>
        </w:rPr>
      </w:pPr>
      <w:r w:rsidRPr="009C390F">
        <w:rPr>
          <w:lang w:val="en-AU"/>
        </w:rPr>
        <w:t>Primary education</w:t>
      </w:r>
    </w:p>
    <w:p w14:paraId="743C01AE" w14:textId="77777777" w:rsidR="009C390F" w:rsidRDefault="009C390F" w:rsidP="00194DAB">
      <w:pPr>
        <w:pStyle w:val="ESBodyText"/>
        <w:numPr>
          <w:ilvl w:val="0"/>
          <w:numId w:val="12"/>
        </w:numPr>
        <w:rPr>
          <w:lang w:val="en-AU"/>
        </w:rPr>
      </w:pPr>
      <w:r w:rsidRPr="009C390F">
        <w:rPr>
          <w:lang w:val="en-AU"/>
        </w:rPr>
        <w:t>Secondary education</w:t>
      </w:r>
    </w:p>
    <w:p w14:paraId="2E205D7D" w14:textId="35B4467E" w:rsidR="00195F90" w:rsidRDefault="009C390F" w:rsidP="00194DAB">
      <w:pPr>
        <w:pStyle w:val="ESBodyText"/>
        <w:numPr>
          <w:ilvl w:val="0"/>
          <w:numId w:val="12"/>
        </w:numPr>
        <w:rPr>
          <w:lang w:val="en-AU"/>
        </w:rPr>
      </w:pPr>
      <w:r w:rsidRPr="009C390F">
        <w:rPr>
          <w:lang w:val="en-AU"/>
        </w:rPr>
        <w:t>Special education</w:t>
      </w:r>
    </w:p>
    <w:p w14:paraId="600129D6" w14:textId="7AF8B3E1" w:rsidR="009C390F" w:rsidRDefault="009C390F" w:rsidP="00194DAB">
      <w:pPr>
        <w:pStyle w:val="ESBodyText"/>
        <w:numPr>
          <w:ilvl w:val="0"/>
          <w:numId w:val="12"/>
        </w:numPr>
        <w:rPr>
          <w:lang w:val="en-AU"/>
        </w:rPr>
      </w:pPr>
      <w:r w:rsidRPr="009C390F">
        <w:rPr>
          <w:lang w:val="en-AU"/>
        </w:rPr>
        <w:t>Health and wellbeing</w:t>
      </w:r>
    </w:p>
    <w:p w14:paraId="3219B7D3" w14:textId="1DE94C46" w:rsidR="009C390F" w:rsidRDefault="009C390F" w:rsidP="00194DAB">
      <w:pPr>
        <w:pStyle w:val="ESBodyText"/>
        <w:numPr>
          <w:ilvl w:val="0"/>
          <w:numId w:val="12"/>
        </w:numPr>
        <w:rPr>
          <w:lang w:val="en-AU"/>
        </w:rPr>
      </w:pPr>
      <w:r w:rsidRPr="009C390F">
        <w:rPr>
          <w:lang w:val="en-AU"/>
        </w:rPr>
        <w:t>We have a diverse range of public, private and not-for-profit providers serving</w:t>
      </w:r>
      <w:r>
        <w:rPr>
          <w:lang w:val="en-AU"/>
        </w:rPr>
        <w:t xml:space="preserve"> </w:t>
      </w:r>
      <w:r w:rsidRPr="009C390F">
        <w:rPr>
          <w:lang w:val="en-AU"/>
        </w:rPr>
        <w:t>Victorians of all ages:</w:t>
      </w:r>
    </w:p>
    <w:p w14:paraId="53D38E09" w14:textId="77777777" w:rsidR="009C390F" w:rsidRPr="009C390F" w:rsidRDefault="009C390F" w:rsidP="00194DAB">
      <w:pPr>
        <w:pStyle w:val="ESBodyText"/>
        <w:numPr>
          <w:ilvl w:val="1"/>
          <w:numId w:val="13"/>
        </w:numPr>
        <w:ind w:left="1701" w:hanging="141"/>
        <w:rPr>
          <w:lang w:val="en-AU"/>
        </w:rPr>
      </w:pPr>
      <w:r w:rsidRPr="009C390F">
        <w:rPr>
          <w:lang w:val="en-AU"/>
        </w:rPr>
        <w:t>1,539 government schools</w:t>
      </w:r>
    </w:p>
    <w:p w14:paraId="1A1FCBDC" w14:textId="6CC9ACF4" w:rsidR="009C390F" w:rsidRPr="009C390F" w:rsidRDefault="009C390F" w:rsidP="00194DAB">
      <w:pPr>
        <w:pStyle w:val="ESBodyText"/>
        <w:numPr>
          <w:ilvl w:val="1"/>
          <w:numId w:val="13"/>
        </w:numPr>
        <w:ind w:left="1701" w:hanging="141"/>
        <w:rPr>
          <w:lang w:val="en-AU"/>
        </w:rPr>
      </w:pPr>
      <w:r w:rsidRPr="009C390F">
        <w:rPr>
          <w:lang w:val="en-AU"/>
        </w:rPr>
        <w:t>713 non-government</w:t>
      </w:r>
      <w:r>
        <w:rPr>
          <w:lang w:val="en-AU"/>
        </w:rPr>
        <w:t xml:space="preserve"> </w:t>
      </w:r>
      <w:r w:rsidRPr="009C390F">
        <w:rPr>
          <w:lang w:val="en-AU"/>
        </w:rPr>
        <w:t>schools (497 Catholic</w:t>
      </w:r>
      <w:r>
        <w:rPr>
          <w:lang w:val="en-AU"/>
        </w:rPr>
        <w:t xml:space="preserve"> </w:t>
      </w:r>
      <w:r w:rsidRPr="009C390F">
        <w:rPr>
          <w:lang w:val="en-AU"/>
        </w:rPr>
        <w:t>schools and 220</w:t>
      </w:r>
      <w:r>
        <w:rPr>
          <w:lang w:val="en-AU"/>
        </w:rPr>
        <w:t xml:space="preserve"> </w:t>
      </w:r>
      <w:r w:rsidRPr="009C390F">
        <w:rPr>
          <w:lang w:val="en-AU"/>
        </w:rPr>
        <w:t>independent schools)</w:t>
      </w:r>
      <w:r w:rsidR="000157E3">
        <w:rPr>
          <w:lang w:val="en-AU"/>
        </w:rPr>
        <w:t>.</w:t>
      </w:r>
    </w:p>
    <w:p w14:paraId="6C967AC1" w14:textId="464BACFE" w:rsidR="009C390F" w:rsidRPr="009C390F" w:rsidRDefault="009C390F" w:rsidP="00194DAB">
      <w:pPr>
        <w:pStyle w:val="ESBodyText"/>
        <w:numPr>
          <w:ilvl w:val="0"/>
          <w:numId w:val="10"/>
        </w:numPr>
        <w:rPr>
          <w:rFonts w:eastAsiaTheme="majorEastAsia" w:cstheme="majorBidi"/>
          <w:b/>
          <w:bCs/>
          <w:color w:val="AF272F"/>
          <w:szCs w:val="20"/>
          <w:lang w:val="en-AU"/>
        </w:rPr>
      </w:pPr>
      <w:r w:rsidRPr="009C390F">
        <w:rPr>
          <w:rFonts w:eastAsiaTheme="majorEastAsia" w:cstheme="majorBidi"/>
          <w:b/>
          <w:bCs/>
          <w:color w:val="AF272F"/>
          <w:szCs w:val="20"/>
          <w:lang w:val="en-AU"/>
        </w:rPr>
        <w:t>TRAINING AND SKILLS AND</w:t>
      </w:r>
      <w:r>
        <w:rPr>
          <w:rFonts w:eastAsiaTheme="majorEastAsia" w:cstheme="majorBidi"/>
          <w:b/>
          <w:bCs/>
          <w:color w:val="AF272F"/>
          <w:szCs w:val="20"/>
          <w:lang w:val="en-AU"/>
        </w:rPr>
        <w:t xml:space="preserve"> </w:t>
      </w:r>
      <w:r w:rsidRPr="009C390F">
        <w:rPr>
          <w:rFonts w:eastAsiaTheme="majorEastAsia" w:cstheme="majorBidi"/>
          <w:b/>
          <w:bCs/>
          <w:color w:val="AF272F"/>
          <w:szCs w:val="20"/>
          <w:lang w:val="en-AU"/>
        </w:rPr>
        <w:t>HIGHER EDUCATION</w:t>
      </w:r>
      <w:r>
        <w:rPr>
          <w:rFonts w:eastAsiaTheme="majorEastAsia" w:cstheme="majorBidi"/>
          <w:b/>
          <w:bCs/>
          <w:color w:val="AF272F"/>
          <w:szCs w:val="20"/>
          <w:lang w:val="en-AU"/>
        </w:rPr>
        <w:t xml:space="preserve"> - </w:t>
      </w:r>
      <w:r w:rsidRPr="009C390F">
        <w:rPr>
          <w:rFonts w:eastAsiaTheme="majorEastAsia" w:cstheme="majorBidi"/>
          <w:b/>
          <w:bCs/>
          <w:color w:val="AF272F"/>
          <w:szCs w:val="20"/>
          <w:lang w:val="en-AU"/>
        </w:rPr>
        <w:t>15 to 65+</w:t>
      </w:r>
    </w:p>
    <w:p w14:paraId="63F03FAA" w14:textId="3D77705E" w:rsidR="009C390F" w:rsidRPr="009C390F" w:rsidRDefault="009C390F" w:rsidP="000157E3">
      <w:pPr>
        <w:pStyle w:val="ESBodyText"/>
        <w:numPr>
          <w:ilvl w:val="0"/>
          <w:numId w:val="19"/>
        </w:numPr>
        <w:rPr>
          <w:lang w:val="en-AU"/>
        </w:rPr>
      </w:pPr>
      <w:r w:rsidRPr="009C390F">
        <w:rPr>
          <w:lang w:val="en-AU"/>
        </w:rPr>
        <w:t>More than 317,000</w:t>
      </w:r>
      <w:r>
        <w:rPr>
          <w:lang w:val="en-AU"/>
        </w:rPr>
        <w:t xml:space="preserve"> </w:t>
      </w:r>
      <w:r w:rsidRPr="009C390F">
        <w:rPr>
          <w:lang w:val="en-AU"/>
        </w:rPr>
        <w:t>government subsidised</w:t>
      </w:r>
      <w:r>
        <w:rPr>
          <w:lang w:val="en-AU"/>
        </w:rPr>
        <w:t xml:space="preserve"> </w:t>
      </w:r>
      <w:r w:rsidRPr="009C390F">
        <w:rPr>
          <w:lang w:val="en-AU"/>
        </w:rPr>
        <w:t>enrolments in vocational</w:t>
      </w:r>
      <w:r>
        <w:rPr>
          <w:lang w:val="en-AU"/>
        </w:rPr>
        <w:t xml:space="preserve"> </w:t>
      </w:r>
      <w:r w:rsidRPr="009C390F">
        <w:rPr>
          <w:lang w:val="en-AU"/>
        </w:rPr>
        <w:t>education and training</w:t>
      </w:r>
    </w:p>
    <w:p w14:paraId="7C816698" w14:textId="4587352E" w:rsidR="009C390F" w:rsidRPr="009C390F" w:rsidRDefault="009C390F" w:rsidP="000157E3">
      <w:pPr>
        <w:pStyle w:val="ESBodyText"/>
        <w:numPr>
          <w:ilvl w:val="0"/>
          <w:numId w:val="19"/>
        </w:numPr>
        <w:rPr>
          <w:lang w:val="en-AU"/>
        </w:rPr>
      </w:pPr>
      <w:r w:rsidRPr="009C390F">
        <w:rPr>
          <w:lang w:val="en-AU"/>
        </w:rPr>
        <w:t>Technical and Further</w:t>
      </w:r>
      <w:r>
        <w:rPr>
          <w:lang w:val="en-AU"/>
        </w:rPr>
        <w:t xml:space="preserve"> </w:t>
      </w:r>
      <w:r w:rsidRPr="009C390F">
        <w:rPr>
          <w:lang w:val="en-AU"/>
        </w:rPr>
        <w:t>Education (TAFEs)</w:t>
      </w:r>
    </w:p>
    <w:p w14:paraId="0B49DF77" w14:textId="4A9DBD0C" w:rsidR="009C390F" w:rsidRPr="009C390F" w:rsidRDefault="009C390F" w:rsidP="000157E3">
      <w:pPr>
        <w:pStyle w:val="ESBodyText"/>
        <w:numPr>
          <w:ilvl w:val="0"/>
          <w:numId w:val="19"/>
        </w:numPr>
        <w:rPr>
          <w:lang w:val="en-AU"/>
        </w:rPr>
      </w:pPr>
      <w:r w:rsidRPr="009C390F">
        <w:rPr>
          <w:lang w:val="en-AU"/>
        </w:rPr>
        <w:t>Universities</w:t>
      </w:r>
    </w:p>
    <w:p w14:paraId="45D027E4" w14:textId="38B56A61" w:rsidR="009C390F" w:rsidRPr="009C390F" w:rsidRDefault="009C390F" w:rsidP="000157E3">
      <w:pPr>
        <w:pStyle w:val="ESBodyText"/>
        <w:numPr>
          <w:ilvl w:val="0"/>
          <w:numId w:val="19"/>
        </w:numPr>
        <w:rPr>
          <w:lang w:val="en-AU"/>
        </w:rPr>
      </w:pPr>
      <w:r w:rsidRPr="009C390F">
        <w:rPr>
          <w:lang w:val="en-AU"/>
        </w:rPr>
        <w:t>Private registered</w:t>
      </w:r>
      <w:r>
        <w:rPr>
          <w:lang w:val="en-AU"/>
        </w:rPr>
        <w:t xml:space="preserve"> </w:t>
      </w:r>
      <w:r w:rsidRPr="009C390F">
        <w:rPr>
          <w:lang w:val="en-AU"/>
        </w:rPr>
        <w:t>training providers</w:t>
      </w:r>
    </w:p>
    <w:p w14:paraId="630F93C7" w14:textId="77777777" w:rsidR="009C390F" w:rsidRDefault="009C390F" w:rsidP="000157E3">
      <w:pPr>
        <w:pStyle w:val="ESBodyText"/>
        <w:numPr>
          <w:ilvl w:val="0"/>
          <w:numId w:val="19"/>
        </w:numPr>
        <w:rPr>
          <w:lang w:val="en-AU"/>
        </w:rPr>
      </w:pPr>
      <w:r w:rsidRPr="009C390F">
        <w:rPr>
          <w:lang w:val="en-AU"/>
        </w:rPr>
        <w:t>Learn Locals</w:t>
      </w:r>
    </w:p>
    <w:p w14:paraId="0FBF56B4" w14:textId="77777777" w:rsidR="009C390F" w:rsidRDefault="009C390F" w:rsidP="000157E3">
      <w:pPr>
        <w:pStyle w:val="ESBodyText"/>
        <w:numPr>
          <w:ilvl w:val="0"/>
          <w:numId w:val="19"/>
        </w:numPr>
        <w:rPr>
          <w:lang w:val="en-AU"/>
        </w:rPr>
      </w:pPr>
      <w:r w:rsidRPr="009C390F">
        <w:rPr>
          <w:lang w:val="en-AU"/>
        </w:rPr>
        <w:t>We have a diverse range of public, private and not-for-profit providers serving</w:t>
      </w:r>
      <w:r>
        <w:rPr>
          <w:lang w:val="en-AU"/>
        </w:rPr>
        <w:t xml:space="preserve"> </w:t>
      </w:r>
      <w:r w:rsidRPr="009C390F">
        <w:rPr>
          <w:lang w:val="en-AU"/>
        </w:rPr>
        <w:t>Victorians of all ages:</w:t>
      </w:r>
    </w:p>
    <w:p w14:paraId="274ED522" w14:textId="3263F0CF" w:rsidR="009C390F" w:rsidRPr="009C390F" w:rsidRDefault="009C390F" w:rsidP="00194DAB">
      <w:pPr>
        <w:pStyle w:val="ESBodyText"/>
        <w:numPr>
          <w:ilvl w:val="1"/>
          <w:numId w:val="13"/>
        </w:numPr>
        <w:ind w:left="1701" w:hanging="141"/>
        <w:rPr>
          <w:lang w:val="en-AU"/>
        </w:rPr>
      </w:pPr>
      <w:r w:rsidRPr="009C390F">
        <w:rPr>
          <w:lang w:val="en-AU"/>
        </w:rPr>
        <w:t>12 TAFE institutes</w:t>
      </w:r>
    </w:p>
    <w:p w14:paraId="57EAAB51" w14:textId="258BFD68" w:rsidR="009C390F" w:rsidRPr="009C390F" w:rsidRDefault="009C390F" w:rsidP="00194DAB">
      <w:pPr>
        <w:pStyle w:val="ESBodyText"/>
        <w:numPr>
          <w:ilvl w:val="1"/>
          <w:numId w:val="13"/>
        </w:numPr>
        <w:ind w:left="1701" w:hanging="141"/>
        <w:rPr>
          <w:lang w:val="en-AU"/>
        </w:rPr>
      </w:pPr>
      <w:r w:rsidRPr="009C390F">
        <w:rPr>
          <w:lang w:val="en-AU"/>
        </w:rPr>
        <w:t>8 public universities (four</w:t>
      </w:r>
      <w:r>
        <w:rPr>
          <w:lang w:val="en-AU"/>
        </w:rPr>
        <w:t xml:space="preserve"> </w:t>
      </w:r>
      <w:r w:rsidRPr="009C390F">
        <w:rPr>
          <w:lang w:val="en-AU"/>
        </w:rPr>
        <w:t>of which are dual-sector</w:t>
      </w:r>
      <w:r>
        <w:rPr>
          <w:lang w:val="en-AU"/>
        </w:rPr>
        <w:t xml:space="preserve"> </w:t>
      </w:r>
      <w:r w:rsidRPr="009C390F">
        <w:rPr>
          <w:lang w:val="en-AU"/>
        </w:rPr>
        <w:t>universities that also provide</w:t>
      </w:r>
      <w:r>
        <w:rPr>
          <w:lang w:val="en-AU"/>
        </w:rPr>
        <w:t xml:space="preserve"> </w:t>
      </w:r>
      <w:r w:rsidRPr="009C390F">
        <w:rPr>
          <w:lang w:val="en-AU"/>
        </w:rPr>
        <w:t>vocational education and</w:t>
      </w:r>
      <w:r>
        <w:rPr>
          <w:lang w:val="en-AU"/>
        </w:rPr>
        <w:t xml:space="preserve"> </w:t>
      </w:r>
      <w:r w:rsidRPr="009C390F">
        <w:rPr>
          <w:lang w:val="en-AU"/>
        </w:rPr>
        <w:t>training), one specialised</w:t>
      </w:r>
      <w:r>
        <w:rPr>
          <w:lang w:val="en-AU"/>
        </w:rPr>
        <w:t xml:space="preserve"> </w:t>
      </w:r>
      <w:r w:rsidRPr="009C390F">
        <w:rPr>
          <w:lang w:val="en-AU"/>
        </w:rPr>
        <w:t>university and campuses of</w:t>
      </w:r>
      <w:r>
        <w:rPr>
          <w:lang w:val="en-AU"/>
        </w:rPr>
        <w:t xml:space="preserve"> </w:t>
      </w:r>
      <w:r w:rsidRPr="009C390F">
        <w:rPr>
          <w:lang w:val="en-AU"/>
        </w:rPr>
        <w:t>the multi-state Australian</w:t>
      </w:r>
      <w:r>
        <w:rPr>
          <w:lang w:val="en-AU"/>
        </w:rPr>
        <w:t xml:space="preserve"> </w:t>
      </w:r>
      <w:r w:rsidRPr="009C390F">
        <w:rPr>
          <w:lang w:val="en-AU"/>
        </w:rPr>
        <w:t>Catholic University</w:t>
      </w:r>
    </w:p>
    <w:p w14:paraId="7FF19E45" w14:textId="5D6F7619" w:rsidR="009C390F" w:rsidRPr="009C390F" w:rsidRDefault="009C390F" w:rsidP="00194DAB">
      <w:pPr>
        <w:pStyle w:val="ESBodyText"/>
        <w:numPr>
          <w:ilvl w:val="1"/>
          <w:numId w:val="13"/>
        </w:numPr>
        <w:ind w:left="1701" w:hanging="141"/>
        <w:rPr>
          <w:lang w:val="en-AU"/>
        </w:rPr>
      </w:pPr>
      <w:r w:rsidRPr="009C390F">
        <w:rPr>
          <w:lang w:val="en-AU"/>
        </w:rPr>
        <w:t>266 community owned</w:t>
      </w:r>
      <w:r>
        <w:rPr>
          <w:lang w:val="en-AU"/>
        </w:rPr>
        <w:t xml:space="preserve"> </w:t>
      </w:r>
      <w:r w:rsidRPr="009C390F">
        <w:rPr>
          <w:lang w:val="en-AU"/>
        </w:rPr>
        <w:t>not-for-profit organisations</w:t>
      </w:r>
      <w:r>
        <w:rPr>
          <w:lang w:val="en-AU"/>
        </w:rPr>
        <w:t xml:space="preserve"> </w:t>
      </w:r>
      <w:r w:rsidRPr="009C390F">
        <w:rPr>
          <w:lang w:val="en-AU"/>
        </w:rPr>
        <w:t>registered as Learn</w:t>
      </w:r>
      <w:r>
        <w:rPr>
          <w:lang w:val="en-AU"/>
        </w:rPr>
        <w:t xml:space="preserve"> </w:t>
      </w:r>
      <w:r w:rsidRPr="009C390F">
        <w:rPr>
          <w:lang w:val="en-AU"/>
        </w:rPr>
        <w:t>Local organisations and</w:t>
      </w:r>
      <w:r>
        <w:rPr>
          <w:lang w:val="en-AU"/>
        </w:rPr>
        <w:t xml:space="preserve"> </w:t>
      </w:r>
      <w:r w:rsidRPr="009C390F">
        <w:rPr>
          <w:lang w:val="en-AU"/>
        </w:rPr>
        <w:t xml:space="preserve">two </w:t>
      </w:r>
      <w:r w:rsidRPr="009C390F">
        <w:rPr>
          <w:lang w:val="en-AU"/>
        </w:rPr>
        <w:lastRenderedPageBreak/>
        <w:t>Adult Education</w:t>
      </w:r>
      <w:r>
        <w:rPr>
          <w:lang w:val="en-AU"/>
        </w:rPr>
        <w:t xml:space="preserve"> </w:t>
      </w:r>
      <w:r w:rsidRPr="009C390F">
        <w:rPr>
          <w:lang w:val="en-AU"/>
        </w:rPr>
        <w:t>Institutions contracted by</w:t>
      </w:r>
      <w:r>
        <w:rPr>
          <w:lang w:val="en-AU"/>
        </w:rPr>
        <w:t xml:space="preserve"> </w:t>
      </w:r>
      <w:r w:rsidRPr="009C390F">
        <w:rPr>
          <w:lang w:val="en-AU"/>
        </w:rPr>
        <w:t>the Adult, Community and</w:t>
      </w:r>
      <w:r>
        <w:rPr>
          <w:lang w:val="en-AU"/>
        </w:rPr>
        <w:t xml:space="preserve"> </w:t>
      </w:r>
      <w:r w:rsidRPr="009C390F">
        <w:rPr>
          <w:lang w:val="en-AU"/>
        </w:rPr>
        <w:t>Further Education Board</w:t>
      </w:r>
      <w:r>
        <w:rPr>
          <w:lang w:val="en-AU"/>
        </w:rPr>
        <w:t xml:space="preserve"> </w:t>
      </w:r>
      <w:r w:rsidRPr="009C390F">
        <w:rPr>
          <w:lang w:val="en-AU"/>
        </w:rPr>
        <w:t>(ACFE) board to deliver</w:t>
      </w:r>
      <w:r>
        <w:rPr>
          <w:lang w:val="en-AU"/>
        </w:rPr>
        <w:t xml:space="preserve"> </w:t>
      </w:r>
      <w:r w:rsidRPr="009C390F">
        <w:rPr>
          <w:lang w:val="en-AU"/>
        </w:rPr>
        <w:t>pre-accredited training</w:t>
      </w:r>
    </w:p>
    <w:p w14:paraId="6906D1EF" w14:textId="6A98D5BF" w:rsidR="009C390F" w:rsidRDefault="009C390F" w:rsidP="00194DAB">
      <w:pPr>
        <w:pStyle w:val="ESBodyText"/>
        <w:numPr>
          <w:ilvl w:val="1"/>
          <w:numId w:val="13"/>
        </w:numPr>
        <w:ind w:left="1701" w:hanging="141"/>
        <w:rPr>
          <w:lang w:val="en-AU"/>
        </w:rPr>
      </w:pPr>
      <w:r w:rsidRPr="009C390F">
        <w:rPr>
          <w:lang w:val="en-AU"/>
        </w:rPr>
        <w:t>321 government contracted</w:t>
      </w:r>
      <w:r>
        <w:rPr>
          <w:lang w:val="en-AU"/>
        </w:rPr>
        <w:t xml:space="preserve"> </w:t>
      </w:r>
      <w:r w:rsidRPr="009C390F">
        <w:rPr>
          <w:lang w:val="en-AU"/>
        </w:rPr>
        <w:t>private registered training</w:t>
      </w:r>
      <w:r>
        <w:rPr>
          <w:lang w:val="en-AU"/>
        </w:rPr>
        <w:t xml:space="preserve"> </w:t>
      </w:r>
      <w:r w:rsidRPr="009C390F">
        <w:rPr>
          <w:lang w:val="en-AU"/>
        </w:rPr>
        <w:t>organisations</w:t>
      </w:r>
      <w:r w:rsidR="000157E3">
        <w:rPr>
          <w:lang w:val="en-AU"/>
        </w:rPr>
        <w:t>.</w:t>
      </w:r>
    </w:p>
    <w:p w14:paraId="5615D5F6" w14:textId="77777777" w:rsidR="005E7225" w:rsidRDefault="005E7225">
      <w:pPr>
        <w:spacing w:after="0" w:line="240" w:lineRule="auto"/>
        <w:rPr>
          <w:rFonts w:eastAsiaTheme="majorEastAsia" w:cstheme="majorBidi"/>
          <w:b/>
          <w:bCs/>
          <w:caps/>
          <w:color w:val="AF272F"/>
          <w:sz w:val="20"/>
          <w:szCs w:val="20"/>
        </w:rPr>
      </w:pPr>
      <w:r>
        <w:br w:type="page"/>
      </w:r>
    </w:p>
    <w:p w14:paraId="6FCE344A" w14:textId="25F978D8" w:rsidR="002375DF" w:rsidRPr="002507D1" w:rsidRDefault="004B2190" w:rsidP="002507D1">
      <w:pPr>
        <w:pStyle w:val="ESBodyText"/>
        <w:spacing w:line="240" w:lineRule="auto"/>
        <w:rPr>
          <w:rFonts w:eastAsiaTheme="majorEastAsia" w:cstheme="majorBidi"/>
          <w:b/>
          <w:bCs/>
          <w:caps/>
          <w:color w:val="AF272F"/>
          <w:szCs w:val="20"/>
        </w:rPr>
      </w:pPr>
      <w:r w:rsidRPr="002507D1">
        <w:rPr>
          <w:rFonts w:eastAsiaTheme="majorEastAsia" w:cstheme="majorBidi"/>
          <w:b/>
          <w:bCs/>
          <w:caps/>
          <w:color w:val="AF272F"/>
          <w:szCs w:val="20"/>
        </w:rPr>
        <w:lastRenderedPageBreak/>
        <w:t>SERVICES AND FUTURE DEMAND</w:t>
      </w:r>
    </w:p>
    <w:p w14:paraId="5C81870F" w14:textId="4CF9CAE0" w:rsidR="003A5289" w:rsidRDefault="004B2190" w:rsidP="003A5289">
      <w:pPr>
        <w:pStyle w:val="BodyText"/>
        <w:jc w:val="both"/>
      </w:pPr>
      <w:r w:rsidRPr="004B2190">
        <w:rPr>
          <w:lang w:val="en-US"/>
        </w:rPr>
        <w:t>Victoria is growing faster than any other state or territory in Australia. Melbourne’s population alone is projected to increase from 5 million in 2018 to 9.3 million in 2056. Over the next four years, 72,000 additional students are anticipated to enter the Victorian school system, increasing the total enrolled students from more than 971,000 to more than 1 million students. Two thirds of these will attend a government school</w:t>
      </w:r>
      <w:r>
        <w:rPr>
          <w:lang w:val="en-US"/>
        </w:rPr>
        <w:t>.</w:t>
      </w:r>
      <w:r w:rsidR="003A5289" w:rsidRPr="003A5289">
        <w:t xml:space="preserve"> </w:t>
      </w:r>
    </w:p>
    <w:p w14:paraId="286E9A42" w14:textId="126B4FA6" w:rsidR="003A5289" w:rsidRDefault="003A5289" w:rsidP="003A5289">
      <w:pPr>
        <w:pStyle w:val="BodyText"/>
        <w:jc w:val="both"/>
        <w:rPr>
          <w:lang w:val="en-US"/>
        </w:rPr>
      </w:pPr>
      <w:r w:rsidRPr="003A5289">
        <w:rPr>
          <w:lang w:val="en-US"/>
        </w:rPr>
        <w:t>The spread of population and jobs growth is and</w:t>
      </w:r>
      <w:r w:rsidR="00E470E9">
        <w:rPr>
          <w:lang w:val="en-US"/>
        </w:rPr>
        <w:t xml:space="preserve"> </w:t>
      </w:r>
      <w:r w:rsidRPr="003A5289">
        <w:rPr>
          <w:lang w:val="en-US"/>
        </w:rPr>
        <w:t xml:space="preserve">will continue to be different across the </w:t>
      </w:r>
      <w:r w:rsidR="004C2513" w:rsidRPr="003A5289">
        <w:rPr>
          <w:lang w:val="en-US"/>
        </w:rPr>
        <w:t>state. Growth</w:t>
      </w:r>
      <w:r w:rsidRPr="003A5289">
        <w:rPr>
          <w:lang w:val="en-US"/>
        </w:rPr>
        <w:t xml:space="preserve">, demographic changes and </w:t>
      </w:r>
      <w:r w:rsidR="00E470E9">
        <w:rPr>
          <w:lang w:val="en-US"/>
        </w:rPr>
        <w:t xml:space="preserve">associated </w:t>
      </w:r>
      <w:r w:rsidR="004C2513" w:rsidRPr="003A5289">
        <w:rPr>
          <w:lang w:val="en-US"/>
        </w:rPr>
        <w:t>impacts</w:t>
      </w:r>
      <w:r w:rsidRPr="003A5289">
        <w:rPr>
          <w:lang w:val="en-US"/>
        </w:rPr>
        <w:t xml:space="preserve"> such as workforce shortages and</w:t>
      </w:r>
      <w:r w:rsidR="00E470E9">
        <w:rPr>
          <w:lang w:val="en-US"/>
        </w:rPr>
        <w:t xml:space="preserve"> </w:t>
      </w:r>
      <w:r w:rsidRPr="003A5289">
        <w:rPr>
          <w:lang w:val="en-US"/>
        </w:rPr>
        <w:t>increased demand for student support services</w:t>
      </w:r>
      <w:r w:rsidR="00E470E9">
        <w:rPr>
          <w:lang w:val="en-US"/>
        </w:rPr>
        <w:t xml:space="preserve"> </w:t>
      </w:r>
      <w:r w:rsidRPr="003A5289">
        <w:rPr>
          <w:lang w:val="en-US"/>
        </w:rPr>
        <w:t>will continue to be a challenge for the Department.</w:t>
      </w:r>
    </w:p>
    <w:p w14:paraId="7EBE2200" w14:textId="6F281187" w:rsidR="003A5289" w:rsidRDefault="003A5289" w:rsidP="003A5289">
      <w:pPr>
        <w:pStyle w:val="BodyText"/>
        <w:jc w:val="both"/>
        <w:rPr>
          <w:lang w:val="en-US"/>
        </w:rPr>
      </w:pPr>
      <w:r w:rsidRPr="003A5289">
        <w:rPr>
          <w:lang w:val="en-US"/>
        </w:rPr>
        <w:t>The significant population growth across Victoria</w:t>
      </w:r>
      <w:r w:rsidR="00E470E9">
        <w:rPr>
          <w:lang w:val="en-US"/>
        </w:rPr>
        <w:t xml:space="preserve"> </w:t>
      </w:r>
      <w:r w:rsidRPr="003A5289">
        <w:rPr>
          <w:lang w:val="en-US"/>
        </w:rPr>
        <w:t>is also increasing demand for early childhood</w:t>
      </w:r>
      <w:r w:rsidR="00E470E9">
        <w:rPr>
          <w:lang w:val="en-US"/>
        </w:rPr>
        <w:t xml:space="preserve"> </w:t>
      </w:r>
      <w:r w:rsidRPr="003A5289">
        <w:rPr>
          <w:lang w:val="en-US"/>
        </w:rPr>
        <w:t>services across the State. The growth in the 0–4</w:t>
      </w:r>
      <w:r w:rsidR="00E470E9">
        <w:rPr>
          <w:lang w:val="en-US"/>
        </w:rPr>
        <w:t xml:space="preserve"> </w:t>
      </w:r>
      <w:r w:rsidRPr="003A5289">
        <w:rPr>
          <w:lang w:val="en-US"/>
        </w:rPr>
        <w:t>year old population is increasing, most noticeably</w:t>
      </w:r>
      <w:r w:rsidR="00E470E9">
        <w:rPr>
          <w:lang w:val="en-US"/>
        </w:rPr>
        <w:t xml:space="preserve"> </w:t>
      </w:r>
      <w:r w:rsidRPr="003A5289">
        <w:rPr>
          <w:lang w:val="en-US"/>
        </w:rPr>
        <w:t>in Melbourne’s growth area suburbs. Over the</w:t>
      </w:r>
      <w:r w:rsidR="00E470E9">
        <w:rPr>
          <w:lang w:val="en-US"/>
        </w:rPr>
        <w:t xml:space="preserve"> </w:t>
      </w:r>
      <w:r w:rsidRPr="003A5289">
        <w:rPr>
          <w:lang w:val="en-US"/>
        </w:rPr>
        <w:t>20 year period from 2011–2031 the population of</w:t>
      </w:r>
      <w:r w:rsidR="00E470E9">
        <w:rPr>
          <w:lang w:val="en-US"/>
        </w:rPr>
        <w:t xml:space="preserve"> </w:t>
      </w:r>
      <w:r w:rsidRPr="003A5289">
        <w:rPr>
          <w:lang w:val="en-US"/>
        </w:rPr>
        <w:t>the 0–4 year old cohort is forecast to grow by</w:t>
      </w:r>
      <w:r w:rsidR="00E470E9">
        <w:rPr>
          <w:lang w:val="en-US"/>
        </w:rPr>
        <w:t xml:space="preserve"> </w:t>
      </w:r>
      <w:r w:rsidRPr="003A5289">
        <w:rPr>
          <w:lang w:val="en-US"/>
        </w:rPr>
        <w:t>78 per cent in growth areas and 21 per cent in all</w:t>
      </w:r>
      <w:r w:rsidR="00E470E9">
        <w:rPr>
          <w:lang w:val="en-US"/>
        </w:rPr>
        <w:t xml:space="preserve"> </w:t>
      </w:r>
      <w:r>
        <w:rPr>
          <w:lang w:val="en-US"/>
        </w:rPr>
        <w:t>other council areas</w:t>
      </w:r>
      <w:r w:rsidR="008526F9">
        <w:rPr>
          <w:rStyle w:val="FootnoteReference"/>
          <w:lang w:val="en-US"/>
        </w:rPr>
        <w:footnoteReference w:id="2"/>
      </w:r>
      <w:r>
        <w:rPr>
          <w:lang w:val="en-US"/>
        </w:rPr>
        <w:t>.</w:t>
      </w:r>
    </w:p>
    <w:p w14:paraId="5B5655D3" w14:textId="6E545A54" w:rsidR="003A5289" w:rsidRDefault="003A5289" w:rsidP="003A5289">
      <w:pPr>
        <w:pStyle w:val="BodyText"/>
        <w:jc w:val="both"/>
        <w:rPr>
          <w:lang w:val="en-US"/>
        </w:rPr>
      </w:pPr>
      <w:r w:rsidRPr="003A5289">
        <w:rPr>
          <w:lang w:val="en-US"/>
        </w:rPr>
        <w:t xml:space="preserve">More facilities will be required to meet </w:t>
      </w:r>
      <w:r w:rsidR="004C2513" w:rsidRPr="003A5289">
        <w:rPr>
          <w:lang w:val="en-US"/>
        </w:rPr>
        <w:t>demand. The</w:t>
      </w:r>
      <w:r w:rsidRPr="003A5289">
        <w:rPr>
          <w:lang w:val="en-US"/>
        </w:rPr>
        <w:t xml:space="preserve"> implementation of almost $5 billion in</w:t>
      </w:r>
      <w:r w:rsidR="00E470E9">
        <w:rPr>
          <w:lang w:val="en-US"/>
        </w:rPr>
        <w:t xml:space="preserve"> T</w:t>
      </w:r>
      <w:r w:rsidRPr="003A5289">
        <w:rPr>
          <w:lang w:val="en-US"/>
        </w:rPr>
        <w:t>hree-</w:t>
      </w:r>
      <w:r w:rsidR="00E470E9">
        <w:rPr>
          <w:lang w:val="en-US"/>
        </w:rPr>
        <w:t>Year-Old K</w:t>
      </w:r>
      <w:r w:rsidRPr="003A5289">
        <w:rPr>
          <w:lang w:val="en-US"/>
        </w:rPr>
        <w:t>indergarten commitments,</w:t>
      </w:r>
      <w:r w:rsidR="00E470E9">
        <w:rPr>
          <w:lang w:val="en-US"/>
        </w:rPr>
        <w:t xml:space="preserve"> </w:t>
      </w:r>
      <w:r w:rsidRPr="003A5289">
        <w:rPr>
          <w:lang w:val="en-US"/>
        </w:rPr>
        <w:t>including $1.68 billion in infrastructure investment</w:t>
      </w:r>
      <w:r w:rsidR="00E470E9">
        <w:rPr>
          <w:lang w:val="en-US"/>
        </w:rPr>
        <w:t xml:space="preserve"> </w:t>
      </w:r>
      <w:r w:rsidRPr="003A5289">
        <w:rPr>
          <w:lang w:val="en-US"/>
        </w:rPr>
        <w:t>over 10 years, will see the building and expansion</w:t>
      </w:r>
      <w:r w:rsidR="00E470E9">
        <w:rPr>
          <w:lang w:val="en-US"/>
        </w:rPr>
        <w:t xml:space="preserve"> </w:t>
      </w:r>
      <w:r w:rsidRPr="003A5289">
        <w:rPr>
          <w:lang w:val="en-US"/>
        </w:rPr>
        <w:t>of almost 1,000 new and existing facilities.</w:t>
      </w:r>
    </w:p>
    <w:p w14:paraId="272D2CC4" w14:textId="23223002" w:rsidR="003A5289" w:rsidRDefault="003A5289" w:rsidP="003A5289">
      <w:pPr>
        <w:pStyle w:val="BodyText"/>
        <w:jc w:val="both"/>
        <w:rPr>
          <w:lang w:val="en-US"/>
        </w:rPr>
      </w:pPr>
      <w:r w:rsidRPr="003A5289">
        <w:rPr>
          <w:lang w:val="en-US"/>
        </w:rPr>
        <w:t xml:space="preserve">The long term economic trend towards </w:t>
      </w:r>
      <w:r w:rsidR="004C2513" w:rsidRPr="003A5289">
        <w:rPr>
          <w:lang w:val="en-US"/>
        </w:rPr>
        <w:t>a more</w:t>
      </w:r>
      <w:r w:rsidRPr="003A5289">
        <w:rPr>
          <w:lang w:val="en-US"/>
        </w:rPr>
        <w:t xml:space="preserve"> complex, competitive and highly skill job</w:t>
      </w:r>
      <w:r w:rsidR="008814C8">
        <w:rPr>
          <w:lang w:val="en-US"/>
        </w:rPr>
        <w:t xml:space="preserve"> </w:t>
      </w:r>
      <w:r w:rsidRPr="003A5289">
        <w:rPr>
          <w:lang w:val="en-US"/>
        </w:rPr>
        <w:t xml:space="preserve">market means Victoria’s Vocational </w:t>
      </w:r>
      <w:r w:rsidR="004C2513" w:rsidRPr="003A5289">
        <w:rPr>
          <w:lang w:val="en-US"/>
        </w:rPr>
        <w:t>Education and</w:t>
      </w:r>
      <w:r w:rsidRPr="003A5289">
        <w:rPr>
          <w:lang w:val="en-US"/>
        </w:rPr>
        <w:t xml:space="preserve"> Training (VET) system will need to adapt.</w:t>
      </w:r>
      <w:r w:rsidR="00E470E9">
        <w:rPr>
          <w:lang w:val="en-US"/>
        </w:rPr>
        <w:t xml:space="preserve"> </w:t>
      </w:r>
      <w:r w:rsidRPr="003A5289">
        <w:rPr>
          <w:lang w:val="en-US"/>
        </w:rPr>
        <w:t>To achieve this, the VET system must ensure</w:t>
      </w:r>
      <w:r w:rsidR="008814C8">
        <w:rPr>
          <w:lang w:val="en-US"/>
        </w:rPr>
        <w:t xml:space="preserve"> </w:t>
      </w:r>
      <w:r w:rsidRPr="003A5289">
        <w:rPr>
          <w:lang w:val="en-US"/>
        </w:rPr>
        <w:t>it is of high quality, accessible to all working</w:t>
      </w:r>
      <w:r w:rsidR="008814C8">
        <w:rPr>
          <w:lang w:val="en-US"/>
        </w:rPr>
        <w:t xml:space="preserve"> </w:t>
      </w:r>
      <w:r w:rsidRPr="003A5289">
        <w:rPr>
          <w:lang w:val="en-US"/>
        </w:rPr>
        <w:t>age Victorians in an equitable and efficient</w:t>
      </w:r>
      <w:r w:rsidR="008814C8">
        <w:rPr>
          <w:lang w:val="en-US"/>
        </w:rPr>
        <w:t xml:space="preserve"> </w:t>
      </w:r>
      <w:r w:rsidRPr="003A5289">
        <w:rPr>
          <w:lang w:val="en-US"/>
        </w:rPr>
        <w:t>manner and responsive to the needs of students,</w:t>
      </w:r>
      <w:r w:rsidR="008814C8">
        <w:rPr>
          <w:lang w:val="en-US"/>
        </w:rPr>
        <w:t xml:space="preserve"> </w:t>
      </w:r>
      <w:r w:rsidRPr="003A5289">
        <w:rPr>
          <w:lang w:val="en-US"/>
        </w:rPr>
        <w:t>employers and industries.</w:t>
      </w:r>
    </w:p>
    <w:p w14:paraId="1771C75F" w14:textId="4ACBB477" w:rsidR="003A5289" w:rsidRDefault="003A5289" w:rsidP="003A5289">
      <w:pPr>
        <w:pStyle w:val="BodyText"/>
        <w:jc w:val="both"/>
        <w:rPr>
          <w:lang w:val="en-US"/>
        </w:rPr>
      </w:pPr>
      <w:r w:rsidRPr="003A5289">
        <w:rPr>
          <w:lang w:val="en-US"/>
        </w:rPr>
        <w:t>The Department is reforming its funding</w:t>
      </w:r>
      <w:r w:rsidR="008814C8">
        <w:rPr>
          <w:lang w:val="en-US"/>
        </w:rPr>
        <w:t xml:space="preserve"> </w:t>
      </w:r>
      <w:r w:rsidRPr="003A5289">
        <w:rPr>
          <w:lang w:val="en-US"/>
        </w:rPr>
        <w:t>models and asset management to ensure all</w:t>
      </w:r>
      <w:r w:rsidR="008814C8">
        <w:rPr>
          <w:lang w:val="en-US"/>
        </w:rPr>
        <w:t xml:space="preserve"> </w:t>
      </w:r>
      <w:r w:rsidRPr="003A5289">
        <w:rPr>
          <w:lang w:val="en-US"/>
        </w:rPr>
        <w:t>Victorians have equitable access to quality</w:t>
      </w:r>
      <w:r w:rsidR="008814C8">
        <w:rPr>
          <w:lang w:val="en-US"/>
        </w:rPr>
        <w:t xml:space="preserve"> </w:t>
      </w:r>
      <w:r w:rsidRPr="003A5289">
        <w:rPr>
          <w:lang w:val="en-US"/>
        </w:rPr>
        <w:t>education and training. This requires targeting</w:t>
      </w:r>
      <w:r w:rsidR="008814C8">
        <w:rPr>
          <w:lang w:val="en-US"/>
        </w:rPr>
        <w:t xml:space="preserve"> </w:t>
      </w:r>
      <w:r w:rsidRPr="003A5289">
        <w:rPr>
          <w:lang w:val="en-US"/>
        </w:rPr>
        <w:t>funding and resources for students in need</w:t>
      </w:r>
      <w:r w:rsidR="008814C8">
        <w:rPr>
          <w:lang w:val="en-US"/>
        </w:rPr>
        <w:t xml:space="preserve"> </w:t>
      </w:r>
      <w:r w:rsidRPr="003A5289">
        <w:rPr>
          <w:lang w:val="en-US"/>
        </w:rPr>
        <w:t>and providing better information about school</w:t>
      </w:r>
      <w:r w:rsidR="008814C8">
        <w:rPr>
          <w:lang w:val="en-US"/>
        </w:rPr>
        <w:t xml:space="preserve"> </w:t>
      </w:r>
      <w:r w:rsidRPr="003A5289">
        <w:rPr>
          <w:lang w:val="en-US"/>
        </w:rPr>
        <w:t>funding, performance and student outcomes to</w:t>
      </w:r>
      <w:r w:rsidR="008814C8">
        <w:rPr>
          <w:lang w:val="en-US"/>
        </w:rPr>
        <w:t xml:space="preserve"> </w:t>
      </w:r>
      <w:r w:rsidRPr="003A5289">
        <w:rPr>
          <w:lang w:val="en-US"/>
        </w:rPr>
        <w:t>encourage collaboration, drive improvement and</w:t>
      </w:r>
      <w:r w:rsidR="008814C8">
        <w:rPr>
          <w:lang w:val="en-US"/>
        </w:rPr>
        <w:t xml:space="preserve"> </w:t>
      </w:r>
      <w:r w:rsidRPr="003A5289">
        <w:rPr>
          <w:lang w:val="en-US"/>
        </w:rPr>
        <w:t>strengthen accountability.</w:t>
      </w:r>
    </w:p>
    <w:p w14:paraId="2AA582AA" w14:textId="7D50F255" w:rsidR="003A5289" w:rsidRPr="003A5289" w:rsidRDefault="003A5289" w:rsidP="003A5289">
      <w:pPr>
        <w:pStyle w:val="BodyText"/>
        <w:jc w:val="both"/>
        <w:rPr>
          <w:lang w:val="en-US"/>
        </w:rPr>
      </w:pPr>
      <w:r w:rsidRPr="003A5289">
        <w:rPr>
          <w:lang w:val="en-US"/>
        </w:rPr>
        <w:t>The Department’s Asset Strategy outlines a vision</w:t>
      </w:r>
      <w:r w:rsidR="008814C8">
        <w:rPr>
          <w:lang w:val="en-US"/>
        </w:rPr>
        <w:t xml:space="preserve"> </w:t>
      </w:r>
      <w:r w:rsidRPr="003A5289">
        <w:rPr>
          <w:lang w:val="en-US"/>
        </w:rPr>
        <w:t>to ‘develop and maintain a high performing asset</w:t>
      </w:r>
      <w:r w:rsidR="008814C8">
        <w:rPr>
          <w:lang w:val="en-US"/>
        </w:rPr>
        <w:t xml:space="preserve"> </w:t>
      </w:r>
      <w:r w:rsidRPr="003A5289">
        <w:rPr>
          <w:lang w:val="en-US"/>
        </w:rPr>
        <w:t>base that supports improved and world leading</w:t>
      </w:r>
      <w:r w:rsidR="008814C8">
        <w:rPr>
          <w:lang w:val="en-US"/>
        </w:rPr>
        <w:t xml:space="preserve"> </w:t>
      </w:r>
      <w:r w:rsidRPr="003A5289">
        <w:rPr>
          <w:lang w:val="en-US"/>
        </w:rPr>
        <w:t>education and development outcomes’. It brings</w:t>
      </w:r>
      <w:r w:rsidR="008814C8">
        <w:rPr>
          <w:lang w:val="en-US"/>
        </w:rPr>
        <w:t xml:space="preserve"> </w:t>
      </w:r>
      <w:r w:rsidRPr="003A5289">
        <w:rPr>
          <w:lang w:val="en-US"/>
        </w:rPr>
        <w:t>together commitments about how to deliver better</w:t>
      </w:r>
      <w:r w:rsidR="008814C8">
        <w:rPr>
          <w:lang w:val="en-US"/>
        </w:rPr>
        <w:t xml:space="preserve"> </w:t>
      </w:r>
      <w:r w:rsidRPr="003A5289">
        <w:rPr>
          <w:lang w:val="en-US"/>
        </w:rPr>
        <w:t>educational services and outcomes by improving</w:t>
      </w:r>
      <w:r w:rsidR="008814C8">
        <w:rPr>
          <w:lang w:val="en-US"/>
        </w:rPr>
        <w:t xml:space="preserve"> </w:t>
      </w:r>
      <w:r w:rsidRPr="003A5289">
        <w:rPr>
          <w:lang w:val="en-US"/>
        </w:rPr>
        <w:t>asset planning, acquisition, operation and disposal</w:t>
      </w:r>
      <w:r w:rsidR="008814C8">
        <w:rPr>
          <w:lang w:val="en-US"/>
        </w:rPr>
        <w:t xml:space="preserve"> </w:t>
      </w:r>
      <w:r w:rsidRPr="003A5289">
        <w:rPr>
          <w:lang w:val="en-US"/>
        </w:rPr>
        <w:t>across the Department’s three portfolios.</w:t>
      </w:r>
    </w:p>
    <w:p w14:paraId="407CF013" w14:textId="13FA6BB8" w:rsidR="002375DF" w:rsidRPr="002507D1" w:rsidRDefault="009E5FB2" w:rsidP="002507D1">
      <w:pPr>
        <w:pStyle w:val="ESBodyText"/>
        <w:spacing w:line="240" w:lineRule="auto"/>
        <w:rPr>
          <w:rFonts w:eastAsiaTheme="majorEastAsia" w:cstheme="majorBidi"/>
          <w:b/>
          <w:bCs/>
          <w:caps/>
          <w:color w:val="AF272F"/>
          <w:szCs w:val="20"/>
        </w:rPr>
      </w:pPr>
      <w:r w:rsidRPr="002507D1">
        <w:rPr>
          <w:rFonts w:eastAsiaTheme="majorEastAsia" w:cstheme="majorBidi"/>
          <w:b/>
          <w:bCs/>
          <w:caps/>
          <w:color w:val="AF272F"/>
          <w:szCs w:val="20"/>
        </w:rPr>
        <w:t>WORKFORCE</w:t>
      </w:r>
    </w:p>
    <w:p w14:paraId="6E45425F" w14:textId="051F9045" w:rsidR="009E5FB2" w:rsidRDefault="009E5FB2" w:rsidP="009E5FB2">
      <w:pPr>
        <w:ind w:left="16" w:right="179"/>
      </w:pPr>
      <w:r>
        <w:t>Victoria’s grow</w:t>
      </w:r>
      <w:r w:rsidR="008814C8">
        <w:t xml:space="preserve">ing population is also placing </w:t>
      </w:r>
      <w:r>
        <w:t xml:space="preserve">additional demands on our services and workforce, with planning and support required for staff across early childhood, schools and higher education. </w:t>
      </w:r>
    </w:p>
    <w:p w14:paraId="7210313E" w14:textId="77777777" w:rsidR="009E5FB2" w:rsidRDefault="009E5FB2" w:rsidP="009E5FB2">
      <w:pPr>
        <w:ind w:left="16" w:right="387"/>
      </w:pPr>
      <w:r>
        <w:lastRenderedPageBreak/>
        <w:t>For early childhood education, it is important to strike a balance between quickly increasing workforce numbers while maintaining quality. The Department will achieve this by attracting new early childhood teachers and educators, encouraging exiting staff to undertake training, as well as providing pre-service and in-service supports to teachers.</w:t>
      </w:r>
    </w:p>
    <w:p w14:paraId="723E05BD" w14:textId="31602A83" w:rsidR="009E5FB2" w:rsidRDefault="009E5FB2" w:rsidP="009E5FB2">
      <w:pPr>
        <w:ind w:left="16" w:right="50"/>
      </w:pPr>
      <w:r>
        <w:t>A high-quality school workforce is essential for improving education outcomes for all students, and the Department plays a central role in building teacher capability and developing school leaders to manage and lead their schools and workforce effectively. Through the Excellence in Teacher Education Reforms the Department aims to attract high-calibre teachers into the system by raising the course quality, status and selection criteria of teaching and ensuring high quality pathways into the teaching profession are in place. Early career teachers will be developed through induction and mentoring programs, and pre-service teachers prepared through the Teach for Australia (TFA) program that targets recruitment and retention of high-quality teachers in government schools with higher numbers of disadvantaged students.</w:t>
      </w:r>
    </w:p>
    <w:p w14:paraId="514BA933" w14:textId="3B723A96" w:rsidR="00903DF5" w:rsidRDefault="00903DF5" w:rsidP="009E5FB2">
      <w:pPr>
        <w:ind w:left="16" w:right="50"/>
      </w:pPr>
    </w:p>
    <w:p w14:paraId="283E6D60" w14:textId="77777777" w:rsidR="00903DF5" w:rsidRDefault="00903DF5" w:rsidP="009E5FB2">
      <w:pPr>
        <w:ind w:left="16" w:right="50"/>
      </w:pPr>
    </w:p>
    <w:p w14:paraId="506F2B5B" w14:textId="77777777" w:rsidR="009E5FB2" w:rsidRDefault="009E5FB2" w:rsidP="009E5FB2">
      <w:pPr>
        <w:ind w:left="16" w:right="50"/>
      </w:pPr>
      <w:r>
        <w:t xml:space="preserve">Teachers in more than 800 government schools will also be supported through the Victorian Professional Learning Communities (PLC) initiative. This initiative is building a culture of continuous evidence-based improvement in teaching and learning. It provides expert advice from teams of experienced educators to coach and train school and instructional leaders in all aspects of professional learning communities. In addition, a communities of practice approach helps school leaders collaborate to share knowledge, expertise and resources across networks. </w:t>
      </w:r>
    </w:p>
    <w:p w14:paraId="7189D3FC" w14:textId="65D99A26" w:rsidR="009779BD" w:rsidRDefault="009779BD" w:rsidP="009779BD">
      <w:pPr>
        <w:pStyle w:val="ESBodyText"/>
      </w:pPr>
      <w:r>
        <w:t>The Department continues to develop current and future principals and school leaders. The Bastow Institute of Educational Leadership is supporting broader Education State work through school leadership initiatives that build the capacity of current leaders and identify and prepare the Department’s next generation of school leaders. The programs include Inspire (Emerging Leaders), Talent Management Frameworks, Victorian Aspirant Principal Assessment and Unlocking Potential: Principal Preparation Program. In addition, the Department supports school principals through the Principal Health and Wellbeing Strategy, area principal forums, and a range of professional advice in areas including finance, data and analytics, family violence, cultural awareness and education support.</w:t>
      </w:r>
    </w:p>
    <w:p w14:paraId="70C59827" w14:textId="1A1C6104" w:rsidR="009E5FB2" w:rsidRDefault="009779BD" w:rsidP="009779BD">
      <w:pPr>
        <w:pStyle w:val="ESBodyText"/>
      </w:pPr>
      <w:r>
        <w:t>The VET sector workforce will continue to be supported and developed through the VET Development Centre, the fellowship program through the International Specialised Skills Institute, the Victorian TAFE Association and the ACFE Board for the development of the Learn Local workforce.</w:t>
      </w:r>
    </w:p>
    <w:p w14:paraId="7D935DE8" w14:textId="754B6F0C" w:rsidR="002D6A1C" w:rsidRPr="002507D1" w:rsidRDefault="008526F9" w:rsidP="00903DF5">
      <w:pPr>
        <w:pStyle w:val="ESBodyText"/>
        <w:spacing w:before="240" w:line="240" w:lineRule="auto"/>
        <w:rPr>
          <w:rFonts w:eastAsiaTheme="majorEastAsia" w:cstheme="majorBidi"/>
          <w:b/>
          <w:bCs/>
          <w:caps/>
          <w:color w:val="AF272F"/>
          <w:szCs w:val="20"/>
        </w:rPr>
      </w:pPr>
      <w:r w:rsidRPr="002507D1">
        <w:rPr>
          <w:rFonts w:eastAsiaTheme="majorEastAsia" w:cstheme="majorBidi"/>
          <w:b/>
          <w:bCs/>
          <w:caps/>
          <w:color w:val="AF272F"/>
          <w:szCs w:val="20"/>
        </w:rPr>
        <w:t>Our Stories: Principal Health and Wellbeing Strategy</w:t>
      </w:r>
      <w:r w:rsidR="00645064">
        <w:rPr>
          <w:rFonts w:eastAsiaTheme="majorEastAsia" w:cstheme="majorBidi"/>
          <w:b/>
          <w:bCs/>
          <w:caps/>
          <w:color w:val="AF272F"/>
          <w:szCs w:val="20"/>
        </w:rPr>
        <w:pict w14:anchorId="41EBA34B">
          <v:rect id="_x0000_i1025" style="width:0;height:1.5pt" o:hralign="center" o:hrstd="t" o:hr="t" fillcolor="#a0a0a0" stroked="f"/>
        </w:pict>
      </w:r>
    </w:p>
    <w:p w14:paraId="6123770A" w14:textId="56BA16F0" w:rsidR="009779BD" w:rsidRDefault="009779BD" w:rsidP="009779BD">
      <w:pPr>
        <w:pStyle w:val="ESBodyText"/>
        <w:rPr>
          <w:lang w:val="en-AU"/>
        </w:rPr>
      </w:pPr>
      <w:r w:rsidRPr="009779BD">
        <w:rPr>
          <w:lang w:val="en-AU"/>
        </w:rPr>
        <w:t>The Department is committed to improving the</w:t>
      </w:r>
      <w:r w:rsidR="00797802">
        <w:rPr>
          <w:lang w:val="en-AU"/>
        </w:rPr>
        <w:t xml:space="preserve"> </w:t>
      </w:r>
      <w:r w:rsidRPr="009779BD">
        <w:rPr>
          <w:lang w:val="en-AU"/>
        </w:rPr>
        <w:t>health and wellbeing of our school leaders in a</w:t>
      </w:r>
      <w:r w:rsidR="00797802">
        <w:rPr>
          <w:lang w:val="en-AU"/>
        </w:rPr>
        <w:t xml:space="preserve"> </w:t>
      </w:r>
      <w:r w:rsidRPr="009779BD">
        <w:rPr>
          <w:lang w:val="en-AU"/>
        </w:rPr>
        <w:t>systemic and sustainable way. Thriving school</w:t>
      </w:r>
      <w:r w:rsidR="00797802">
        <w:rPr>
          <w:lang w:val="en-AU"/>
        </w:rPr>
        <w:t xml:space="preserve"> </w:t>
      </w:r>
      <w:r w:rsidRPr="009779BD">
        <w:rPr>
          <w:lang w:val="en-AU"/>
        </w:rPr>
        <w:t>principals can create a positive environment</w:t>
      </w:r>
      <w:r w:rsidR="00797802">
        <w:rPr>
          <w:lang w:val="en-AU"/>
        </w:rPr>
        <w:t xml:space="preserve"> </w:t>
      </w:r>
      <w:r w:rsidRPr="009779BD">
        <w:rPr>
          <w:lang w:val="en-AU"/>
        </w:rPr>
        <w:t>for teaching and learning where students,</w:t>
      </w:r>
      <w:r w:rsidR="00797802">
        <w:rPr>
          <w:lang w:val="en-AU"/>
        </w:rPr>
        <w:t xml:space="preserve"> </w:t>
      </w:r>
      <w:r w:rsidRPr="009779BD">
        <w:rPr>
          <w:lang w:val="en-AU"/>
        </w:rPr>
        <w:t xml:space="preserve">teachers and school communities </w:t>
      </w:r>
      <w:r w:rsidR="004C2513" w:rsidRPr="009779BD">
        <w:rPr>
          <w:lang w:val="en-AU"/>
        </w:rPr>
        <w:t>flourish. The</w:t>
      </w:r>
      <w:r w:rsidRPr="009779BD">
        <w:rPr>
          <w:lang w:val="en-AU"/>
        </w:rPr>
        <w:t xml:space="preserve"> strategy </w:t>
      </w:r>
      <w:r w:rsidRPr="009779BD">
        <w:rPr>
          <w:lang w:val="en-AU"/>
        </w:rPr>
        <w:lastRenderedPageBreak/>
        <w:t>was developed following a review</w:t>
      </w:r>
      <w:r w:rsidR="00797802">
        <w:rPr>
          <w:lang w:val="en-AU"/>
        </w:rPr>
        <w:t xml:space="preserve"> </w:t>
      </w:r>
      <w:r w:rsidRPr="009779BD">
        <w:rPr>
          <w:lang w:val="en-AU"/>
        </w:rPr>
        <w:t>of leading practice research to address the</w:t>
      </w:r>
      <w:r w:rsidR="00797802">
        <w:rPr>
          <w:lang w:val="en-AU"/>
        </w:rPr>
        <w:t xml:space="preserve"> </w:t>
      </w:r>
      <w:r w:rsidRPr="009779BD">
        <w:rPr>
          <w:lang w:val="en-AU"/>
        </w:rPr>
        <w:t>health and wellbeing challenges faced by</w:t>
      </w:r>
      <w:r w:rsidR="00797802">
        <w:rPr>
          <w:lang w:val="en-AU"/>
        </w:rPr>
        <w:t xml:space="preserve"> </w:t>
      </w:r>
      <w:r w:rsidRPr="009779BD">
        <w:rPr>
          <w:lang w:val="en-AU"/>
        </w:rPr>
        <w:t>principals. Initiatives within the strategy are</w:t>
      </w:r>
      <w:r w:rsidR="00797802">
        <w:rPr>
          <w:lang w:val="en-AU"/>
        </w:rPr>
        <w:t xml:space="preserve"> </w:t>
      </w:r>
      <w:r w:rsidRPr="009779BD">
        <w:rPr>
          <w:lang w:val="en-AU"/>
        </w:rPr>
        <w:t>principal health checks, a complex matters</w:t>
      </w:r>
      <w:r w:rsidR="00797802">
        <w:rPr>
          <w:lang w:val="en-AU"/>
        </w:rPr>
        <w:t xml:space="preserve"> </w:t>
      </w:r>
      <w:r w:rsidRPr="009779BD">
        <w:rPr>
          <w:lang w:val="en-AU"/>
        </w:rPr>
        <w:t>support team, early intervention support and</w:t>
      </w:r>
      <w:r w:rsidR="00797802">
        <w:rPr>
          <w:lang w:val="en-AU"/>
        </w:rPr>
        <w:t xml:space="preserve"> </w:t>
      </w:r>
      <w:r w:rsidRPr="009779BD">
        <w:rPr>
          <w:lang w:val="en-AU"/>
        </w:rPr>
        <w:t>a mentoring program. Following a positive</w:t>
      </w:r>
      <w:r w:rsidR="00797802">
        <w:rPr>
          <w:lang w:val="en-AU"/>
        </w:rPr>
        <w:t xml:space="preserve"> </w:t>
      </w:r>
      <w:r w:rsidRPr="009779BD">
        <w:rPr>
          <w:lang w:val="en-AU"/>
        </w:rPr>
        <w:t>response to the 2018 pilot, principal health and</w:t>
      </w:r>
      <w:r w:rsidR="00797802">
        <w:rPr>
          <w:lang w:val="en-AU"/>
        </w:rPr>
        <w:t xml:space="preserve"> </w:t>
      </w:r>
      <w:r w:rsidRPr="009779BD">
        <w:rPr>
          <w:lang w:val="en-AU"/>
        </w:rPr>
        <w:t>wellbeing initiatives will continue as part of our</w:t>
      </w:r>
      <w:r w:rsidR="00797802">
        <w:rPr>
          <w:lang w:val="en-AU"/>
        </w:rPr>
        <w:t xml:space="preserve"> </w:t>
      </w:r>
      <w:r w:rsidRPr="009779BD">
        <w:rPr>
          <w:lang w:val="en-AU"/>
        </w:rPr>
        <w:t>ongoing services.</w:t>
      </w:r>
    </w:p>
    <w:p w14:paraId="55D1003F" w14:textId="77777777" w:rsidR="0071620B" w:rsidRDefault="0071620B" w:rsidP="00A0311F">
      <w:pPr>
        <w:pStyle w:val="ESHeading2"/>
      </w:pPr>
    </w:p>
    <w:p w14:paraId="4D37D933" w14:textId="77777777" w:rsidR="0071620B" w:rsidRDefault="0071620B">
      <w:pPr>
        <w:spacing w:after="0" w:line="240" w:lineRule="auto"/>
        <w:rPr>
          <w:rFonts w:eastAsiaTheme="majorEastAsia" w:cstheme="majorBidi"/>
          <w:b/>
          <w:bCs/>
          <w:caps/>
          <w:color w:val="AF272F"/>
          <w:sz w:val="20"/>
          <w:szCs w:val="20"/>
        </w:rPr>
      </w:pPr>
      <w:r>
        <w:br w:type="page"/>
      </w:r>
    </w:p>
    <w:p w14:paraId="09654809" w14:textId="40278735" w:rsidR="00A52440" w:rsidRPr="00EE4FA1" w:rsidRDefault="00B827A9" w:rsidP="00EE4FA1">
      <w:pPr>
        <w:pStyle w:val="ESHeading1"/>
      </w:pPr>
      <w:bookmarkStart w:id="16" w:name="_Toc21601687"/>
      <w:bookmarkEnd w:id="14"/>
      <w:bookmarkEnd w:id="15"/>
      <w:r w:rsidRPr="00EE4FA1">
        <w:lastRenderedPageBreak/>
        <w:t>OUR OUTCOMES</w:t>
      </w:r>
      <w:bookmarkEnd w:id="16"/>
    </w:p>
    <w:p w14:paraId="0D89380C" w14:textId="2F746E1E" w:rsidR="00A52440" w:rsidRPr="00770239" w:rsidRDefault="00B827A9" w:rsidP="00B827A9">
      <w:pPr>
        <w:pStyle w:val="BodyText"/>
      </w:pPr>
      <w:r w:rsidRPr="00B827A9">
        <w:t>Realising ou</w:t>
      </w:r>
      <w:r>
        <w:t xml:space="preserve">r vision requires committed and </w:t>
      </w:r>
      <w:r w:rsidRPr="00B827A9">
        <w:t>rigorous focus</w:t>
      </w:r>
      <w:r>
        <w:t xml:space="preserve"> on the impact we are having on </w:t>
      </w:r>
      <w:r w:rsidRPr="00B827A9">
        <w:t>outcomes for</w:t>
      </w:r>
      <w:r>
        <w:t xml:space="preserve"> Victorians. We have identified </w:t>
      </w:r>
      <w:r w:rsidRPr="00B827A9">
        <w:t>three ou</w:t>
      </w:r>
      <w:r>
        <w:t xml:space="preserve">tcome areas in which we seek to </w:t>
      </w:r>
      <w:r w:rsidRPr="00B827A9">
        <w:rPr>
          <w:lang w:val="en-US"/>
        </w:rPr>
        <w:t>achieve excellence:</w:t>
      </w:r>
    </w:p>
    <w:p w14:paraId="4A5C951D" w14:textId="3B2B2E2B" w:rsidR="00352213" w:rsidRPr="000909DA" w:rsidRDefault="00352213" w:rsidP="008526F9">
      <w:pPr>
        <w:pStyle w:val="ESBodyText"/>
        <w:spacing w:line="240" w:lineRule="auto"/>
        <w:rPr>
          <w:rFonts w:eastAsiaTheme="majorEastAsia" w:cstheme="majorBidi"/>
          <w:b/>
          <w:caps/>
          <w:color w:val="AF272F"/>
          <w:szCs w:val="20"/>
        </w:rPr>
      </w:pPr>
      <w:r w:rsidRPr="000909DA">
        <w:rPr>
          <w:rFonts w:eastAsiaTheme="majorEastAsia" w:cstheme="majorBidi"/>
          <w:b/>
          <w:bCs/>
          <w:caps/>
          <w:color w:val="AF272F"/>
          <w:szCs w:val="20"/>
        </w:rPr>
        <w:t>Achievement</w:t>
      </w:r>
    </w:p>
    <w:p w14:paraId="6449E8BF" w14:textId="418FB79A" w:rsidR="00352213" w:rsidRDefault="00352213" w:rsidP="00352213">
      <w:pPr>
        <w:pStyle w:val="ESBodyText"/>
        <w:rPr>
          <w:rFonts w:eastAsiaTheme="majorEastAsia" w:cstheme="majorBidi"/>
          <w:b/>
          <w:bCs/>
          <w:color w:val="AF272F"/>
          <w:szCs w:val="20"/>
        </w:rPr>
      </w:pPr>
      <w:r w:rsidRPr="00770239">
        <w:rPr>
          <w:szCs w:val="20"/>
          <w:lang w:eastAsia="en-AU"/>
        </w:rPr>
        <w:t xml:space="preserve">Raise standards of learning and </w:t>
      </w:r>
      <w:r w:rsidRPr="00770239">
        <w:rPr>
          <w:szCs w:val="20"/>
        </w:rPr>
        <w:t>development</w:t>
      </w:r>
      <w:r w:rsidRPr="00770239">
        <w:rPr>
          <w:szCs w:val="20"/>
          <w:lang w:eastAsia="en-AU"/>
        </w:rPr>
        <w:t xml:space="preserve"> achieved by </w:t>
      </w:r>
      <w:r w:rsidRPr="00770239">
        <w:rPr>
          <w:szCs w:val="20"/>
        </w:rPr>
        <w:t>Victorians</w:t>
      </w:r>
      <w:r w:rsidR="00B827A9">
        <w:rPr>
          <w:szCs w:val="20"/>
          <w:lang w:eastAsia="en-AU"/>
        </w:rPr>
        <w:t xml:space="preserve"> using education and training</w:t>
      </w:r>
    </w:p>
    <w:p w14:paraId="0272C0A1" w14:textId="461BAE87" w:rsidR="00352213" w:rsidRPr="000909DA" w:rsidRDefault="00352213" w:rsidP="008526F9">
      <w:pPr>
        <w:pStyle w:val="ESBodyText"/>
        <w:spacing w:line="240" w:lineRule="auto"/>
        <w:rPr>
          <w:rFonts w:eastAsiaTheme="majorEastAsia" w:cstheme="majorBidi"/>
          <w:b/>
          <w:caps/>
          <w:color w:val="AF272F"/>
          <w:szCs w:val="20"/>
        </w:rPr>
      </w:pPr>
      <w:r w:rsidRPr="000909DA">
        <w:rPr>
          <w:rFonts w:eastAsiaTheme="majorEastAsia" w:cstheme="majorBidi"/>
          <w:b/>
          <w:bCs/>
          <w:caps/>
          <w:color w:val="AF272F"/>
          <w:szCs w:val="20"/>
        </w:rPr>
        <w:t>Engagement</w:t>
      </w:r>
    </w:p>
    <w:p w14:paraId="0C24B90D" w14:textId="6BF949EB" w:rsidR="00352213" w:rsidRPr="00B827A9" w:rsidRDefault="00352213" w:rsidP="00B827A9">
      <w:pPr>
        <w:pStyle w:val="ESBodyText"/>
        <w:rPr>
          <w:rFonts w:eastAsiaTheme="majorEastAsia" w:cstheme="majorBidi"/>
          <w:bCs/>
          <w:szCs w:val="20"/>
        </w:rPr>
      </w:pPr>
      <w:r w:rsidRPr="00C336BA">
        <w:rPr>
          <w:rFonts w:eastAsiaTheme="majorEastAsia" w:cstheme="majorBidi"/>
          <w:bCs/>
          <w:szCs w:val="20"/>
        </w:rPr>
        <w:t>Increase the number of Victorians activ</w:t>
      </w:r>
      <w:r w:rsidR="00B827A9">
        <w:rPr>
          <w:rFonts w:eastAsiaTheme="majorEastAsia" w:cstheme="majorBidi"/>
          <w:bCs/>
          <w:szCs w:val="20"/>
        </w:rPr>
        <w:t xml:space="preserve">ely participating in education and </w:t>
      </w:r>
      <w:r w:rsidRPr="00C336BA">
        <w:rPr>
          <w:rFonts w:eastAsiaTheme="majorEastAsia" w:cstheme="majorBidi"/>
          <w:bCs/>
          <w:szCs w:val="20"/>
        </w:rPr>
        <w:t>training</w:t>
      </w:r>
    </w:p>
    <w:p w14:paraId="77DBF02D" w14:textId="737D890B" w:rsidR="00352213" w:rsidRPr="000909DA" w:rsidRDefault="00352213" w:rsidP="008526F9">
      <w:pPr>
        <w:pStyle w:val="ESBodyText"/>
        <w:spacing w:line="240" w:lineRule="auto"/>
        <w:rPr>
          <w:rFonts w:eastAsiaTheme="majorEastAsia" w:cstheme="majorBidi"/>
          <w:b/>
          <w:caps/>
          <w:color w:val="AF272F"/>
          <w:szCs w:val="20"/>
        </w:rPr>
      </w:pPr>
      <w:r w:rsidRPr="000909DA">
        <w:rPr>
          <w:rFonts w:eastAsiaTheme="majorEastAsia" w:cstheme="majorBidi"/>
          <w:b/>
          <w:bCs/>
          <w:caps/>
          <w:color w:val="AF272F"/>
          <w:szCs w:val="20"/>
        </w:rPr>
        <w:t>Wellbeing</w:t>
      </w:r>
    </w:p>
    <w:p w14:paraId="4B99E0FD" w14:textId="504984A2" w:rsidR="00352213" w:rsidRDefault="00352213" w:rsidP="00352213">
      <w:pPr>
        <w:pStyle w:val="ESBodyText"/>
        <w:rPr>
          <w:rFonts w:eastAsiaTheme="majorEastAsia" w:cstheme="majorBidi"/>
          <w:b/>
          <w:bCs/>
          <w:color w:val="AF272F"/>
          <w:szCs w:val="20"/>
        </w:rPr>
      </w:pPr>
      <w:r w:rsidRPr="00770239">
        <w:rPr>
          <w:szCs w:val="20"/>
        </w:rPr>
        <w:t>Incr</w:t>
      </w:r>
      <w:r w:rsidR="00B827A9">
        <w:rPr>
          <w:szCs w:val="20"/>
        </w:rPr>
        <w:t xml:space="preserve">ease the contribution education and training </w:t>
      </w:r>
      <w:r w:rsidRPr="00770239">
        <w:rPr>
          <w:szCs w:val="20"/>
        </w:rPr>
        <w:t>make to quality of life for all Victorians, particularly children and young people</w:t>
      </w:r>
      <w:r>
        <w:rPr>
          <w:szCs w:val="20"/>
        </w:rPr>
        <w:t>.</w:t>
      </w:r>
    </w:p>
    <w:p w14:paraId="2A91FAAD" w14:textId="66147425" w:rsidR="00352213" w:rsidRPr="00B827A9" w:rsidRDefault="00B827A9" w:rsidP="00B827A9">
      <w:pPr>
        <w:pStyle w:val="ESBodyText"/>
        <w:rPr>
          <w:rFonts w:eastAsiaTheme="majorEastAsia" w:cstheme="majorBidi"/>
          <w:bCs/>
          <w:szCs w:val="20"/>
        </w:rPr>
      </w:pPr>
      <w:r w:rsidRPr="00B827A9">
        <w:rPr>
          <w:rFonts w:eastAsiaTheme="majorEastAsia" w:cstheme="majorBidi"/>
          <w:bCs/>
          <w:szCs w:val="20"/>
        </w:rPr>
        <w:t>We use a s</w:t>
      </w:r>
      <w:r>
        <w:rPr>
          <w:rFonts w:eastAsiaTheme="majorEastAsia" w:cstheme="majorBidi"/>
          <w:bCs/>
          <w:szCs w:val="20"/>
        </w:rPr>
        <w:t xml:space="preserve">et of indicators and associated </w:t>
      </w:r>
      <w:r w:rsidRPr="00B827A9">
        <w:rPr>
          <w:rFonts w:eastAsiaTheme="majorEastAsia" w:cstheme="majorBidi"/>
          <w:bCs/>
          <w:szCs w:val="20"/>
        </w:rPr>
        <w:t>measures to evalua</w:t>
      </w:r>
      <w:r>
        <w:rPr>
          <w:rFonts w:eastAsiaTheme="majorEastAsia" w:cstheme="majorBidi"/>
          <w:bCs/>
          <w:szCs w:val="20"/>
        </w:rPr>
        <w:t xml:space="preserve">te achievement, engagement </w:t>
      </w:r>
      <w:r w:rsidRPr="00B827A9">
        <w:rPr>
          <w:rFonts w:eastAsiaTheme="majorEastAsia" w:cstheme="majorBidi"/>
          <w:bCs/>
          <w:szCs w:val="20"/>
        </w:rPr>
        <w:t>and wellbeing ou</w:t>
      </w:r>
      <w:r>
        <w:rPr>
          <w:rFonts w:eastAsiaTheme="majorEastAsia" w:cstheme="majorBidi"/>
          <w:bCs/>
          <w:szCs w:val="20"/>
        </w:rPr>
        <w:t xml:space="preserve">tcomes for learners. The use of </w:t>
      </w:r>
      <w:r w:rsidRPr="00B827A9">
        <w:rPr>
          <w:rFonts w:eastAsiaTheme="majorEastAsia" w:cstheme="majorBidi"/>
          <w:bCs/>
          <w:szCs w:val="20"/>
        </w:rPr>
        <w:t>outcomes and as</w:t>
      </w:r>
      <w:r>
        <w:rPr>
          <w:rFonts w:eastAsiaTheme="majorEastAsia" w:cstheme="majorBidi"/>
          <w:bCs/>
          <w:szCs w:val="20"/>
        </w:rPr>
        <w:t xml:space="preserve">sociated measures is consistent </w:t>
      </w:r>
      <w:r w:rsidRPr="00B827A9">
        <w:rPr>
          <w:rFonts w:eastAsiaTheme="majorEastAsia" w:cstheme="majorBidi"/>
          <w:bCs/>
          <w:szCs w:val="20"/>
        </w:rPr>
        <w:t>with how high</w:t>
      </w:r>
      <w:r>
        <w:rPr>
          <w:rFonts w:eastAsiaTheme="majorEastAsia" w:cstheme="majorBidi"/>
          <w:bCs/>
          <w:szCs w:val="20"/>
        </w:rPr>
        <w:t xml:space="preserve">-performing systems deliver and </w:t>
      </w:r>
      <w:r w:rsidRPr="00B827A9">
        <w:rPr>
          <w:rFonts w:eastAsiaTheme="majorEastAsia" w:cstheme="majorBidi"/>
          <w:bCs/>
          <w:szCs w:val="20"/>
        </w:rPr>
        <w:t>measure per</w:t>
      </w:r>
      <w:r>
        <w:rPr>
          <w:rFonts w:eastAsiaTheme="majorEastAsia" w:cstheme="majorBidi"/>
          <w:bCs/>
          <w:szCs w:val="20"/>
        </w:rPr>
        <w:t xml:space="preserve">formance, and is aligned to the </w:t>
      </w:r>
      <w:r w:rsidRPr="00B827A9">
        <w:rPr>
          <w:rFonts w:eastAsiaTheme="majorEastAsia" w:cstheme="majorBidi"/>
          <w:bCs/>
          <w:szCs w:val="20"/>
        </w:rPr>
        <w:t>Department’s strategic priorities and the late</w:t>
      </w:r>
      <w:r>
        <w:rPr>
          <w:rFonts w:eastAsiaTheme="majorEastAsia" w:cstheme="majorBidi"/>
          <w:bCs/>
          <w:szCs w:val="20"/>
        </w:rPr>
        <w:t xml:space="preserve">st </w:t>
      </w:r>
      <w:r w:rsidRPr="00B827A9">
        <w:rPr>
          <w:rFonts w:eastAsiaTheme="majorEastAsia" w:cstheme="majorBidi"/>
          <w:bCs/>
          <w:szCs w:val="20"/>
        </w:rPr>
        <w:t>national and international evidence.</w:t>
      </w:r>
    </w:p>
    <w:p w14:paraId="47F8C5E7" w14:textId="567EDDAB" w:rsidR="00A52440" w:rsidRPr="00A35473" w:rsidRDefault="00A0311F" w:rsidP="00DD416B">
      <w:pPr>
        <w:pStyle w:val="ESHeading1"/>
      </w:pPr>
      <w:r>
        <w:br w:type="page"/>
      </w:r>
      <w:bookmarkStart w:id="17" w:name="_Toc21601688"/>
      <w:r w:rsidR="003D344D">
        <w:lastRenderedPageBreak/>
        <w:t xml:space="preserve">HOW WE </w:t>
      </w:r>
      <w:r w:rsidR="00A52440" w:rsidRPr="00DF206D">
        <w:t>ACHIEVE</w:t>
      </w:r>
      <w:r w:rsidR="00A52440">
        <w:t xml:space="preserve"> OUR</w:t>
      </w:r>
      <w:r w:rsidR="00A52440" w:rsidRPr="00DF206D">
        <w:t xml:space="preserve"> </w:t>
      </w:r>
      <w:r w:rsidR="003D344D">
        <w:t>OUTCOMES</w:t>
      </w:r>
      <w:bookmarkEnd w:id="17"/>
    </w:p>
    <w:p w14:paraId="045D768C" w14:textId="046AFC6E" w:rsidR="003D344D" w:rsidRPr="000909DA" w:rsidRDefault="003D344D" w:rsidP="00E91FC9">
      <w:pPr>
        <w:pStyle w:val="ESBodyText"/>
        <w:rPr>
          <w:i/>
          <w:color w:val="C00000"/>
          <w:sz w:val="22"/>
        </w:rPr>
      </w:pPr>
      <w:r w:rsidRPr="000909DA">
        <w:rPr>
          <w:i/>
          <w:color w:val="C00000"/>
          <w:sz w:val="22"/>
          <w:lang w:val="en-AU"/>
        </w:rPr>
        <w:t>Our structure, processes and leadership will support us to achieve the best possible outcomes for Victorians to achieve our outcomes in early</w:t>
      </w:r>
      <w:r w:rsidR="00BC2868" w:rsidRPr="000909DA">
        <w:rPr>
          <w:i/>
          <w:color w:val="C00000"/>
          <w:sz w:val="22"/>
          <w:lang w:val="en-AU"/>
        </w:rPr>
        <w:t xml:space="preserve"> </w:t>
      </w:r>
      <w:r w:rsidRPr="000909DA">
        <w:rPr>
          <w:i/>
          <w:color w:val="C00000"/>
          <w:sz w:val="22"/>
          <w:lang w:val="en-AU"/>
        </w:rPr>
        <w:t>childhood, schools, higher education</w:t>
      </w:r>
      <w:r w:rsidR="00BC2868" w:rsidRPr="000909DA">
        <w:rPr>
          <w:i/>
          <w:color w:val="C00000"/>
          <w:sz w:val="22"/>
          <w:lang w:val="en-AU"/>
        </w:rPr>
        <w:t xml:space="preserve"> </w:t>
      </w:r>
      <w:r w:rsidRPr="000909DA">
        <w:rPr>
          <w:i/>
          <w:color w:val="C00000"/>
          <w:sz w:val="22"/>
          <w:lang w:val="en-AU"/>
        </w:rPr>
        <w:t>and skills we are maintaining our focus</w:t>
      </w:r>
      <w:r w:rsidR="00BC2868" w:rsidRPr="000909DA">
        <w:rPr>
          <w:i/>
          <w:color w:val="C00000"/>
          <w:sz w:val="22"/>
          <w:lang w:val="en-AU"/>
        </w:rPr>
        <w:t xml:space="preserve"> </w:t>
      </w:r>
      <w:r w:rsidRPr="000909DA">
        <w:rPr>
          <w:i/>
          <w:color w:val="C00000"/>
          <w:sz w:val="22"/>
          <w:lang w:val="en-AU"/>
        </w:rPr>
        <w:t>on a high-performance culture, strong</w:t>
      </w:r>
      <w:r w:rsidR="00BC2868" w:rsidRPr="000909DA">
        <w:rPr>
          <w:i/>
          <w:color w:val="C00000"/>
          <w:sz w:val="22"/>
          <w:lang w:val="en-AU"/>
        </w:rPr>
        <w:t xml:space="preserve"> </w:t>
      </w:r>
      <w:r w:rsidRPr="000909DA">
        <w:rPr>
          <w:i/>
          <w:color w:val="C00000"/>
          <w:sz w:val="22"/>
        </w:rPr>
        <w:t>accountability and leadership.</w:t>
      </w:r>
      <w:bookmarkStart w:id="18" w:name="_Toc455151893"/>
      <w:bookmarkStart w:id="19" w:name="_Toc455156873"/>
    </w:p>
    <w:p w14:paraId="30C40A65" w14:textId="54D9AA9E" w:rsidR="00A52440" w:rsidRPr="00EE4FA1" w:rsidRDefault="00BC2868" w:rsidP="00BC2868">
      <w:pPr>
        <w:pStyle w:val="ESHeading2"/>
        <w:rPr>
          <w:sz w:val="24"/>
        </w:rPr>
      </w:pPr>
      <w:bookmarkStart w:id="20" w:name="_Toc21601689"/>
      <w:bookmarkEnd w:id="18"/>
      <w:bookmarkEnd w:id="19"/>
      <w:r w:rsidRPr="00EE4FA1">
        <w:rPr>
          <w:sz w:val="24"/>
        </w:rPr>
        <w:t>EARLY CHILDHOOD EDUCATION</w:t>
      </w:r>
      <w:bookmarkEnd w:id="20"/>
    </w:p>
    <w:p w14:paraId="670DECB3" w14:textId="03C453E7" w:rsidR="000909DA" w:rsidRDefault="00BC2868" w:rsidP="00E91FC9">
      <w:pPr>
        <w:pStyle w:val="ESBodyText"/>
      </w:pPr>
      <w:r w:rsidRPr="00BC2868">
        <w:t xml:space="preserve">There is overwhelming evidence that the period from birth to five years of age is vital for children’s development, and has a profound impact on their future outcomes. Access to high-quality early childhood services is central to giving every </w:t>
      </w:r>
      <w:r w:rsidR="004C2513" w:rsidRPr="00BC2868">
        <w:t>Victorian</w:t>
      </w:r>
      <w:r w:rsidRPr="00BC2868">
        <w:t xml:space="preserve"> child the best start in life. </w:t>
      </w:r>
    </w:p>
    <w:p w14:paraId="2622D629" w14:textId="07F1189A" w:rsidR="00BC2868" w:rsidRDefault="00E40448" w:rsidP="00E91FC9">
      <w:pPr>
        <w:pStyle w:val="ESBodyText"/>
      </w:pPr>
      <w:r>
        <w:t>The Education State Early Childhood Reform</w:t>
      </w:r>
      <w:r w:rsidR="00797802">
        <w:t xml:space="preserve"> </w:t>
      </w:r>
      <w:r>
        <w:t>P</w:t>
      </w:r>
      <w:r w:rsidR="00BC2868" w:rsidRPr="00BC2868">
        <w:t xml:space="preserve">lan – ready for kinder, ready for school, ready for life drives our work to create a higher quality, more equitable and inclusive early childhood system. </w:t>
      </w:r>
    </w:p>
    <w:p w14:paraId="5F47CF88" w14:textId="54E55E6C" w:rsidR="000909DA" w:rsidRDefault="000909DA" w:rsidP="000909DA">
      <w:pPr>
        <w:pStyle w:val="ESBodyText"/>
      </w:pPr>
      <w:r>
        <w:t xml:space="preserve">$92.4 million was provided in the 2019–20 State Budget to support early childhood teachers and educators through increased professional development, mentoring and scholarships so that as three-year-old kindergarten </w:t>
      </w:r>
      <w:r w:rsidR="004C2513">
        <w:t>is implemented</w:t>
      </w:r>
      <w:r>
        <w:t xml:space="preserve"> across Victoria, our children continue to have access to highly trained professionals.</w:t>
      </w:r>
    </w:p>
    <w:p w14:paraId="1BB10880" w14:textId="77777777" w:rsidR="00E40448" w:rsidRDefault="00BC2868" w:rsidP="00E91FC9">
      <w:pPr>
        <w:pStyle w:val="ESBodyText"/>
      </w:pPr>
      <w:r w:rsidRPr="00BC2868">
        <w:t>Over 2019–2023 the Department will deliver</w:t>
      </w:r>
      <w:r>
        <w:t xml:space="preserve"> </w:t>
      </w:r>
      <w:r w:rsidRPr="00BC2868">
        <w:t>several key early childhood initiatives.</w:t>
      </w:r>
    </w:p>
    <w:p w14:paraId="22E80F16" w14:textId="4A770139" w:rsidR="00BC2868" w:rsidRDefault="00BC2868" w:rsidP="00E91FC9">
      <w:pPr>
        <w:pStyle w:val="ESBodyText"/>
      </w:pPr>
      <w:r w:rsidRPr="00BC2868">
        <w:t>In an Australian first, an investment of $5 billion</w:t>
      </w:r>
      <w:r>
        <w:t xml:space="preserve"> </w:t>
      </w:r>
      <w:r w:rsidRPr="00BC2868">
        <w:t>over 10 years will fund kindergarten for all</w:t>
      </w:r>
      <w:r>
        <w:t xml:space="preserve"> </w:t>
      </w:r>
      <w:r w:rsidRPr="00BC2868">
        <w:t>three-year-olds, ensuring Victorian children have</w:t>
      </w:r>
      <w:r>
        <w:t xml:space="preserve"> </w:t>
      </w:r>
      <w:r w:rsidRPr="00BC2868">
        <w:t>access to two years of play-based early learning</w:t>
      </w:r>
      <w:r>
        <w:t xml:space="preserve"> </w:t>
      </w:r>
      <w:r w:rsidRPr="00BC2868">
        <w:t>before school. From 2022, every three-year-old</w:t>
      </w:r>
      <w:r>
        <w:t xml:space="preserve"> </w:t>
      </w:r>
      <w:r w:rsidRPr="00BC2868">
        <w:t>will have access to at least five hours per week in</w:t>
      </w:r>
      <w:r>
        <w:t xml:space="preserve"> </w:t>
      </w:r>
      <w:r w:rsidRPr="00BC2868">
        <w:t>a funded kindergarten program, increasing to 15</w:t>
      </w:r>
      <w:r>
        <w:t xml:space="preserve"> </w:t>
      </w:r>
      <w:r w:rsidRPr="00BC2868">
        <w:t>hours by 2029.</w:t>
      </w:r>
      <w:r>
        <w:t xml:space="preserve"> </w:t>
      </w:r>
    </w:p>
    <w:p w14:paraId="121E17DE" w14:textId="68779A38" w:rsidR="00BC2868" w:rsidRPr="000909DA" w:rsidRDefault="00BC2868" w:rsidP="000909DA">
      <w:pPr>
        <w:pStyle w:val="ESBodyText"/>
        <w:rPr>
          <w:sz w:val="22"/>
        </w:rPr>
      </w:pPr>
      <w:r w:rsidRPr="00BC2868">
        <w:t>To ensure Victoria is ready for this expansion, the</w:t>
      </w:r>
      <w:r>
        <w:t xml:space="preserve"> </w:t>
      </w:r>
      <w:r w:rsidRPr="00BC2868">
        <w:t>Department is initially offering more than 700</w:t>
      </w:r>
      <w:r>
        <w:t xml:space="preserve"> </w:t>
      </w:r>
      <w:r w:rsidRPr="00BC2868">
        <w:t>scholarships to aspiring kindergarten teachers,</w:t>
      </w:r>
      <w:r>
        <w:t xml:space="preserve"> </w:t>
      </w:r>
      <w:r w:rsidRPr="00BC2868">
        <w:t>and funding to assist early childhood teachers</w:t>
      </w:r>
      <w:r>
        <w:t xml:space="preserve"> </w:t>
      </w:r>
      <w:r w:rsidRPr="00BC2868">
        <w:t>relocate to areas where three-year-old</w:t>
      </w:r>
      <w:r>
        <w:t xml:space="preserve"> </w:t>
      </w:r>
      <w:r w:rsidRPr="00BC2868">
        <w:t>kindergarten is initially being delivered.</w:t>
      </w:r>
      <w:r w:rsidRPr="00BC2868">
        <w:rPr>
          <w:sz w:val="22"/>
        </w:rPr>
        <w:t xml:space="preserve"> </w:t>
      </w:r>
      <w:bookmarkStart w:id="21" w:name="_Toc455151894"/>
      <w:bookmarkStart w:id="22" w:name="_Toc455156874"/>
      <w:bookmarkStart w:id="23" w:name="_Toc455406128"/>
      <w:bookmarkStart w:id="24" w:name="_Toc455406970"/>
      <w:r>
        <w:rPr>
          <w:sz w:val="22"/>
        </w:rPr>
        <w:t xml:space="preserve"> </w:t>
      </w:r>
      <w:bookmarkStart w:id="25" w:name="_Toc460341159"/>
      <w:bookmarkEnd w:id="21"/>
      <w:bookmarkEnd w:id="22"/>
      <w:bookmarkEnd w:id="23"/>
      <w:bookmarkEnd w:id="24"/>
    </w:p>
    <w:p w14:paraId="6F2654AB" w14:textId="6161D7BC" w:rsidR="00BC2868" w:rsidRPr="00E91FC9" w:rsidRDefault="00BC2868" w:rsidP="00E91FC9">
      <w:pPr>
        <w:pStyle w:val="ESBodyText"/>
        <w:rPr>
          <w:b/>
          <w:color w:val="C00000"/>
          <w:lang w:val="en-AU"/>
        </w:rPr>
      </w:pPr>
      <w:r w:rsidRPr="00E91FC9">
        <w:rPr>
          <w:b/>
          <w:bCs/>
          <w:color w:val="C00000"/>
        </w:rPr>
        <w:t xml:space="preserve">Figure 2:  </w:t>
      </w:r>
      <w:r w:rsidRPr="00E91FC9">
        <w:rPr>
          <w:b/>
          <w:color w:val="C00000"/>
          <w:lang w:val="en-AU"/>
        </w:rPr>
        <w:t>Three-Year-Old Kindergarten</w:t>
      </w:r>
    </w:p>
    <w:p w14:paraId="345CB427" w14:textId="5D8FF490" w:rsidR="00BC2868" w:rsidRDefault="00BC2868" w:rsidP="00194DAB">
      <w:pPr>
        <w:pStyle w:val="ESBodyText"/>
        <w:numPr>
          <w:ilvl w:val="0"/>
          <w:numId w:val="14"/>
        </w:numPr>
        <w:rPr>
          <w:lang w:val="en-AU"/>
        </w:rPr>
      </w:pPr>
      <w:r w:rsidRPr="00BC2868">
        <w:rPr>
          <w:bCs/>
          <w:lang w:val="en-AU"/>
        </w:rPr>
        <w:t>90,000</w:t>
      </w:r>
      <w:r w:rsidRPr="00BC2868">
        <w:rPr>
          <w:rFonts w:ascii="VIC-Medium" w:hAnsi="VIC-Medium" w:cs="VIC-Medium"/>
          <w:sz w:val="22"/>
          <w:szCs w:val="22"/>
          <w:lang w:val="en-AU"/>
        </w:rPr>
        <w:t xml:space="preserve"> </w:t>
      </w:r>
      <w:r w:rsidR="000909DA">
        <w:rPr>
          <w:bCs/>
          <w:lang w:val="en-AU"/>
        </w:rPr>
        <w:t>c</w:t>
      </w:r>
      <w:r w:rsidRPr="00BC2868">
        <w:rPr>
          <w:bCs/>
          <w:lang w:val="en-AU"/>
        </w:rPr>
        <w:t>hildren will benefit each year</w:t>
      </w:r>
    </w:p>
    <w:p w14:paraId="347AB9A6" w14:textId="73F78072" w:rsidR="00BC2868" w:rsidRDefault="00BC2868" w:rsidP="00194DAB">
      <w:pPr>
        <w:pStyle w:val="ESBodyText"/>
        <w:numPr>
          <w:ilvl w:val="0"/>
          <w:numId w:val="14"/>
        </w:numPr>
        <w:rPr>
          <w:lang w:val="en-AU"/>
        </w:rPr>
      </w:pPr>
      <w:r w:rsidRPr="00BC2868">
        <w:rPr>
          <w:bCs/>
          <w:lang w:val="en-AU"/>
        </w:rPr>
        <w:t>6,000</w:t>
      </w:r>
      <w:r w:rsidRPr="00BC2868">
        <w:rPr>
          <w:lang w:val="en-AU"/>
        </w:rPr>
        <w:t xml:space="preserve"> </w:t>
      </w:r>
      <w:r w:rsidR="000909DA">
        <w:rPr>
          <w:lang w:val="en-AU"/>
        </w:rPr>
        <w:t>n</w:t>
      </w:r>
      <w:r w:rsidRPr="00BC2868">
        <w:rPr>
          <w:lang w:val="en-AU"/>
        </w:rPr>
        <w:t>ew jobs created over 11 years</w:t>
      </w:r>
    </w:p>
    <w:p w14:paraId="6C8BA0F1" w14:textId="2A55EDC0" w:rsidR="000909DA" w:rsidRDefault="000909DA" w:rsidP="00194DAB">
      <w:pPr>
        <w:pStyle w:val="ESBodyText"/>
        <w:numPr>
          <w:ilvl w:val="0"/>
          <w:numId w:val="14"/>
        </w:numPr>
        <w:rPr>
          <w:lang w:val="en-AU"/>
        </w:rPr>
      </w:pPr>
      <w:r>
        <w:rPr>
          <w:lang w:val="en-AU"/>
        </w:rPr>
        <w:t>1,000 new and expanded kindergartens created by our reforms over 11 years</w:t>
      </w:r>
    </w:p>
    <w:p w14:paraId="782D409B" w14:textId="5A9611D6" w:rsidR="00797AE0" w:rsidRPr="00667E33" w:rsidRDefault="00060E42" w:rsidP="00A52440">
      <w:pPr>
        <w:pStyle w:val="ESHeading3"/>
        <w:rPr>
          <w:b w:val="0"/>
          <w:caps/>
          <w:color w:val="auto"/>
          <w:sz w:val="18"/>
        </w:rPr>
      </w:pPr>
      <w:r w:rsidRPr="00667E33">
        <w:rPr>
          <w:rFonts w:eastAsiaTheme="majorEastAsia" w:cstheme="majorBidi"/>
          <w:b w:val="0"/>
          <w:bCs/>
          <w:color w:val="auto"/>
          <w:sz w:val="18"/>
        </w:rPr>
        <w:t>The Department is investing in kindergarten</w:t>
      </w:r>
      <w:r w:rsidRPr="00667E33">
        <w:rPr>
          <w:b w:val="0"/>
          <w:caps/>
          <w:color w:val="auto"/>
          <w:sz w:val="18"/>
        </w:rPr>
        <w:t xml:space="preserve"> </w:t>
      </w:r>
      <w:r w:rsidRPr="00667E33">
        <w:rPr>
          <w:rFonts w:eastAsiaTheme="majorEastAsia" w:cstheme="majorBidi"/>
          <w:b w:val="0"/>
          <w:bCs/>
          <w:color w:val="auto"/>
          <w:sz w:val="18"/>
        </w:rPr>
        <w:t>to ensure all children access a quality program</w:t>
      </w:r>
      <w:r w:rsidRPr="00667E33">
        <w:rPr>
          <w:b w:val="0"/>
          <w:caps/>
          <w:color w:val="auto"/>
          <w:sz w:val="18"/>
        </w:rPr>
        <w:t xml:space="preserve"> </w:t>
      </w:r>
      <w:r w:rsidRPr="00667E33">
        <w:rPr>
          <w:rFonts w:eastAsiaTheme="majorEastAsia" w:cstheme="majorBidi"/>
          <w:b w:val="0"/>
          <w:bCs/>
          <w:color w:val="auto"/>
          <w:sz w:val="18"/>
        </w:rPr>
        <w:t>and start school ready to learn. A $58.1 million</w:t>
      </w:r>
      <w:r w:rsidRPr="00667E33">
        <w:rPr>
          <w:b w:val="0"/>
          <w:caps/>
          <w:color w:val="auto"/>
          <w:sz w:val="18"/>
        </w:rPr>
        <w:t xml:space="preserve"> </w:t>
      </w:r>
      <w:r w:rsidRPr="00667E33">
        <w:rPr>
          <w:rFonts w:eastAsiaTheme="majorEastAsia" w:cstheme="majorBidi"/>
          <w:b w:val="0"/>
          <w:bCs/>
          <w:color w:val="auto"/>
          <w:sz w:val="18"/>
        </w:rPr>
        <w:t>investment over four years in school readiness</w:t>
      </w:r>
      <w:r w:rsidRPr="00667E33">
        <w:rPr>
          <w:b w:val="0"/>
          <w:caps/>
          <w:color w:val="auto"/>
          <w:sz w:val="18"/>
        </w:rPr>
        <w:t xml:space="preserve"> </w:t>
      </w:r>
      <w:r w:rsidRPr="00667E33">
        <w:rPr>
          <w:rFonts w:eastAsiaTheme="majorEastAsia" w:cstheme="majorBidi"/>
          <w:b w:val="0"/>
          <w:bCs/>
          <w:color w:val="auto"/>
          <w:sz w:val="18"/>
        </w:rPr>
        <w:t>funding, allocated based on need, aims to</w:t>
      </w:r>
      <w:r w:rsidRPr="00667E33">
        <w:rPr>
          <w:b w:val="0"/>
          <w:caps/>
          <w:color w:val="auto"/>
          <w:sz w:val="18"/>
        </w:rPr>
        <w:t xml:space="preserve"> </w:t>
      </w:r>
      <w:r w:rsidRPr="00667E33">
        <w:rPr>
          <w:rFonts w:eastAsiaTheme="majorEastAsia" w:cstheme="majorBidi"/>
          <w:b w:val="0"/>
          <w:bCs/>
          <w:color w:val="auto"/>
          <w:sz w:val="18"/>
        </w:rPr>
        <w:t>reduce the impact of educational disadvantage</w:t>
      </w:r>
      <w:r w:rsidRPr="00667E33">
        <w:rPr>
          <w:b w:val="0"/>
          <w:caps/>
          <w:color w:val="auto"/>
          <w:sz w:val="18"/>
        </w:rPr>
        <w:t xml:space="preserve"> </w:t>
      </w:r>
      <w:r w:rsidRPr="00667E33">
        <w:rPr>
          <w:rFonts w:eastAsiaTheme="majorEastAsia" w:cstheme="majorBidi"/>
          <w:b w:val="0"/>
          <w:bCs/>
          <w:color w:val="auto"/>
          <w:sz w:val="18"/>
        </w:rPr>
        <w:t>on children’s learning and development.</w:t>
      </w:r>
      <w:r w:rsidRPr="00667E33">
        <w:rPr>
          <w:b w:val="0"/>
          <w:caps/>
          <w:color w:val="auto"/>
          <w:sz w:val="18"/>
        </w:rPr>
        <w:t xml:space="preserve"> </w:t>
      </w:r>
      <w:r w:rsidRPr="00667E33">
        <w:rPr>
          <w:rFonts w:eastAsiaTheme="majorEastAsia" w:cstheme="majorBidi"/>
          <w:b w:val="0"/>
          <w:bCs/>
          <w:color w:val="auto"/>
          <w:sz w:val="18"/>
        </w:rPr>
        <w:t>Quality improvement grants to services will</w:t>
      </w:r>
      <w:r w:rsidRPr="00667E33">
        <w:rPr>
          <w:b w:val="0"/>
          <w:caps/>
          <w:color w:val="auto"/>
          <w:sz w:val="18"/>
        </w:rPr>
        <w:t xml:space="preserve"> </w:t>
      </w:r>
      <w:r w:rsidRPr="00667E33">
        <w:rPr>
          <w:rFonts w:eastAsiaTheme="majorEastAsia" w:cstheme="majorBidi"/>
          <w:b w:val="0"/>
          <w:bCs/>
          <w:color w:val="auto"/>
          <w:sz w:val="18"/>
        </w:rPr>
        <w:t>enable intensive coaching, training and advice.</w:t>
      </w:r>
      <w:r w:rsidRPr="00667E33">
        <w:rPr>
          <w:b w:val="0"/>
          <w:caps/>
          <w:color w:val="auto"/>
          <w:sz w:val="18"/>
        </w:rPr>
        <w:t xml:space="preserve"> </w:t>
      </w:r>
      <w:r w:rsidRPr="00667E33">
        <w:rPr>
          <w:rFonts w:eastAsiaTheme="majorEastAsia" w:cstheme="majorBidi"/>
          <w:b w:val="0"/>
          <w:bCs/>
          <w:color w:val="auto"/>
          <w:sz w:val="18"/>
        </w:rPr>
        <w:t xml:space="preserve">The </w:t>
      </w:r>
      <w:r w:rsidR="00797AE0" w:rsidRPr="00667E33">
        <w:rPr>
          <w:rFonts w:eastAsiaTheme="majorEastAsia" w:cstheme="majorBidi"/>
          <w:b w:val="0"/>
          <w:bCs/>
          <w:color w:val="auto"/>
          <w:sz w:val="18"/>
        </w:rPr>
        <w:t>D</w:t>
      </w:r>
      <w:r w:rsidRPr="00667E33">
        <w:rPr>
          <w:rFonts w:eastAsiaTheme="majorEastAsia" w:cstheme="majorBidi"/>
          <w:b w:val="0"/>
          <w:bCs/>
          <w:color w:val="auto"/>
          <w:sz w:val="18"/>
        </w:rPr>
        <w:t>epartment is also employing additional</w:t>
      </w:r>
      <w:r w:rsidRPr="00667E33">
        <w:rPr>
          <w:b w:val="0"/>
          <w:caps/>
          <w:color w:val="auto"/>
          <w:sz w:val="18"/>
        </w:rPr>
        <w:t xml:space="preserve"> </w:t>
      </w:r>
      <w:r w:rsidRPr="00667E33">
        <w:rPr>
          <w:rFonts w:eastAsiaTheme="majorEastAsia" w:cstheme="majorBidi"/>
          <w:b w:val="0"/>
          <w:bCs/>
          <w:color w:val="auto"/>
          <w:sz w:val="18"/>
        </w:rPr>
        <w:t>dedicated early childhood staff and providing</w:t>
      </w:r>
      <w:r w:rsidRPr="00667E33">
        <w:rPr>
          <w:b w:val="0"/>
          <w:caps/>
          <w:color w:val="auto"/>
          <w:sz w:val="18"/>
        </w:rPr>
        <w:t xml:space="preserve"> </w:t>
      </w:r>
      <w:r w:rsidRPr="00667E33">
        <w:rPr>
          <w:rFonts w:eastAsiaTheme="majorEastAsia" w:cstheme="majorBidi"/>
          <w:b w:val="0"/>
          <w:bCs/>
          <w:color w:val="auto"/>
          <w:sz w:val="18"/>
        </w:rPr>
        <w:t>extra support to services.</w:t>
      </w:r>
      <w:r w:rsidRPr="00667E33">
        <w:rPr>
          <w:b w:val="0"/>
          <w:caps/>
          <w:color w:val="auto"/>
          <w:sz w:val="18"/>
        </w:rPr>
        <w:t xml:space="preserve"> </w:t>
      </w:r>
    </w:p>
    <w:p w14:paraId="68445C87" w14:textId="3319C6D7" w:rsidR="00BC2868" w:rsidRDefault="00060E42" w:rsidP="00A52440">
      <w:pPr>
        <w:pStyle w:val="ESHeading3"/>
        <w:rPr>
          <w:b w:val="0"/>
          <w:caps/>
          <w:color w:val="auto"/>
          <w:sz w:val="18"/>
        </w:rPr>
      </w:pPr>
      <w:r w:rsidRPr="00667E33">
        <w:rPr>
          <w:rFonts w:eastAsiaTheme="majorEastAsia" w:cstheme="majorBidi"/>
          <w:b w:val="0"/>
          <w:bCs/>
          <w:color w:val="auto"/>
          <w:sz w:val="18"/>
        </w:rPr>
        <w:lastRenderedPageBreak/>
        <w:t xml:space="preserve">The </w:t>
      </w:r>
      <w:r w:rsidR="00797802">
        <w:rPr>
          <w:rFonts w:eastAsiaTheme="majorEastAsia" w:cstheme="majorBidi"/>
          <w:b w:val="0"/>
          <w:bCs/>
          <w:color w:val="auto"/>
          <w:sz w:val="18"/>
        </w:rPr>
        <w:t>Child Information Sharing (CIS</w:t>
      </w:r>
      <w:r w:rsidR="00797AE0" w:rsidRPr="00667E33">
        <w:rPr>
          <w:rFonts w:eastAsiaTheme="majorEastAsia" w:cstheme="majorBidi"/>
          <w:b w:val="0"/>
          <w:bCs/>
          <w:color w:val="auto"/>
          <w:sz w:val="18"/>
        </w:rPr>
        <w:t>) Scheme</w:t>
      </w:r>
      <w:r w:rsidRPr="00667E33">
        <w:rPr>
          <w:rFonts w:eastAsiaTheme="majorEastAsia" w:cstheme="majorBidi"/>
          <w:b w:val="0"/>
          <w:bCs/>
          <w:color w:val="auto"/>
          <w:sz w:val="18"/>
        </w:rPr>
        <w:t>, a</w:t>
      </w:r>
      <w:r w:rsidRPr="00667E33">
        <w:rPr>
          <w:b w:val="0"/>
          <w:caps/>
          <w:color w:val="auto"/>
          <w:sz w:val="18"/>
        </w:rPr>
        <w:t xml:space="preserve"> </w:t>
      </w:r>
      <w:r w:rsidR="00797AE0" w:rsidRPr="00667E33">
        <w:rPr>
          <w:rFonts w:eastAsiaTheme="majorEastAsia" w:cstheme="majorBidi"/>
          <w:b w:val="0"/>
          <w:bCs/>
          <w:color w:val="auto"/>
          <w:sz w:val="18"/>
        </w:rPr>
        <w:t xml:space="preserve">Whole Of Victorian Government </w:t>
      </w:r>
      <w:r w:rsidRPr="00667E33">
        <w:rPr>
          <w:rFonts w:eastAsiaTheme="majorEastAsia" w:cstheme="majorBidi"/>
          <w:b w:val="0"/>
          <w:bCs/>
          <w:color w:val="auto"/>
          <w:sz w:val="18"/>
        </w:rPr>
        <w:t>initiative led by</w:t>
      </w:r>
      <w:r w:rsidRPr="00667E33">
        <w:rPr>
          <w:b w:val="0"/>
          <w:caps/>
          <w:color w:val="auto"/>
          <w:sz w:val="18"/>
        </w:rPr>
        <w:t xml:space="preserve"> </w:t>
      </w:r>
      <w:r w:rsidRPr="00667E33">
        <w:rPr>
          <w:rFonts w:eastAsiaTheme="majorEastAsia" w:cstheme="majorBidi"/>
          <w:b w:val="0"/>
          <w:bCs/>
          <w:color w:val="auto"/>
          <w:sz w:val="18"/>
        </w:rPr>
        <w:t>the department, enables authorised organisations</w:t>
      </w:r>
      <w:r w:rsidRPr="00667E33">
        <w:rPr>
          <w:b w:val="0"/>
          <w:caps/>
          <w:color w:val="auto"/>
          <w:sz w:val="18"/>
        </w:rPr>
        <w:t xml:space="preserve"> </w:t>
      </w:r>
      <w:r w:rsidRPr="00667E33">
        <w:rPr>
          <w:rFonts w:eastAsiaTheme="majorEastAsia" w:cstheme="majorBidi"/>
          <w:b w:val="0"/>
          <w:bCs/>
          <w:color w:val="auto"/>
          <w:sz w:val="18"/>
        </w:rPr>
        <w:t>to appropriately share information with each other</w:t>
      </w:r>
      <w:r w:rsidRPr="00667E33">
        <w:rPr>
          <w:b w:val="0"/>
          <w:caps/>
          <w:color w:val="auto"/>
          <w:sz w:val="18"/>
        </w:rPr>
        <w:t xml:space="preserve"> </w:t>
      </w:r>
      <w:r w:rsidRPr="00667E33">
        <w:rPr>
          <w:rFonts w:eastAsiaTheme="majorEastAsia" w:cstheme="majorBidi"/>
          <w:b w:val="0"/>
          <w:bCs/>
          <w:color w:val="auto"/>
          <w:sz w:val="18"/>
        </w:rPr>
        <w:t>to promote children’s wellbeing and safety.</w:t>
      </w:r>
      <w:r w:rsidRPr="00667E33">
        <w:rPr>
          <w:b w:val="0"/>
          <w:caps/>
          <w:color w:val="auto"/>
          <w:sz w:val="18"/>
        </w:rPr>
        <w:t xml:space="preserve"> </w:t>
      </w:r>
      <w:r w:rsidRPr="00667E33">
        <w:rPr>
          <w:rFonts w:eastAsiaTheme="majorEastAsia" w:cstheme="majorBidi"/>
          <w:b w:val="0"/>
          <w:bCs/>
          <w:color w:val="auto"/>
          <w:sz w:val="18"/>
        </w:rPr>
        <w:t>A $43.4 million investment over four years will</w:t>
      </w:r>
      <w:r w:rsidRPr="00667E33">
        <w:rPr>
          <w:b w:val="0"/>
          <w:caps/>
          <w:color w:val="auto"/>
          <w:sz w:val="18"/>
        </w:rPr>
        <w:t xml:space="preserve"> </w:t>
      </w:r>
      <w:r w:rsidRPr="00667E33">
        <w:rPr>
          <w:rFonts w:eastAsiaTheme="majorEastAsia" w:cstheme="majorBidi"/>
          <w:b w:val="0"/>
          <w:bCs/>
          <w:color w:val="auto"/>
          <w:sz w:val="18"/>
        </w:rPr>
        <w:t xml:space="preserve">support </w:t>
      </w:r>
      <w:r w:rsidR="004C2513" w:rsidRPr="00667E33">
        <w:rPr>
          <w:rFonts w:eastAsiaTheme="majorEastAsia" w:cstheme="majorBidi"/>
          <w:b w:val="0"/>
          <w:bCs/>
          <w:color w:val="auto"/>
          <w:sz w:val="18"/>
        </w:rPr>
        <w:t>Victorian</w:t>
      </w:r>
      <w:r w:rsidRPr="00667E33">
        <w:rPr>
          <w:rFonts w:eastAsiaTheme="majorEastAsia" w:cstheme="majorBidi"/>
          <w:b w:val="0"/>
          <w:bCs/>
          <w:color w:val="auto"/>
          <w:sz w:val="18"/>
        </w:rPr>
        <w:t xml:space="preserve"> workforces to implement the</w:t>
      </w:r>
      <w:r w:rsidRPr="00667E33">
        <w:rPr>
          <w:b w:val="0"/>
          <w:caps/>
          <w:color w:val="auto"/>
          <w:sz w:val="18"/>
        </w:rPr>
        <w:t xml:space="preserve"> </w:t>
      </w:r>
      <w:r w:rsidRPr="00667E33">
        <w:rPr>
          <w:rFonts w:eastAsiaTheme="majorEastAsia" w:cstheme="majorBidi"/>
          <w:b w:val="0"/>
          <w:bCs/>
          <w:color w:val="auto"/>
          <w:sz w:val="18"/>
        </w:rPr>
        <w:t>scheme with early childhood providers and schools</w:t>
      </w:r>
      <w:r w:rsidRPr="00667E33">
        <w:rPr>
          <w:b w:val="0"/>
          <w:caps/>
          <w:color w:val="auto"/>
          <w:sz w:val="18"/>
        </w:rPr>
        <w:t xml:space="preserve"> </w:t>
      </w:r>
      <w:r w:rsidR="00797AE0" w:rsidRPr="00667E33">
        <w:rPr>
          <w:rFonts w:eastAsiaTheme="majorEastAsia" w:cstheme="majorBidi"/>
          <w:b w:val="0"/>
          <w:bCs/>
          <w:color w:val="auto"/>
          <w:sz w:val="18"/>
        </w:rPr>
        <w:t>to join from September 2020. The CIS</w:t>
      </w:r>
      <w:r w:rsidRPr="00667E33">
        <w:rPr>
          <w:rFonts w:eastAsiaTheme="majorEastAsia" w:cstheme="majorBidi"/>
          <w:b w:val="0"/>
          <w:bCs/>
          <w:color w:val="auto"/>
          <w:sz w:val="18"/>
        </w:rPr>
        <w:t xml:space="preserve"> scheme is</w:t>
      </w:r>
      <w:r w:rsidRPr="00667E33">
        <w:rPr>
          <w:b w:val="0"/>
          <w:caps/>
          <w:color w:val="auto"/>
          <w:sz w:val="18"/>
        </w:rPr>
        <w:t xml:space="preserve"> </w:t>
      </w:r>
      <w:r w:rsidR="00797AE0" w:rsidRPr="00667E33">
        <w:rPr>
          <w:rFonts w:eastAsiaTheme="majorEastAsia" w:cstheme="majorBidi"/>
          <w:b w:val="0"/>
          <w:bCs/>
          <w:color w:val="auto"/>
          <w:sz w:val="18"/>
        </w:rPr>
        <w:t>supported by C</w:t>
      </w:r>
      <w:r w:rsidRPr="00667E33">
        <w:rPr>
          <w:rFonts w:eastAsiaTheme="majorEastAsia" w:cstheme="majorBidi"/>
          <w:b w:val="0"/>
          <w:bCs/>
          <w:color w:val="auto"/>
          <w:sz w:val="18"/>
        </w:rPr>
        <w:t xml:space="preserve">hild </w:t>
      </w:r>
      <w:r w:rsidR="00797AE0" w:rsidRPr="00667E33">
        <w:rPr>
          <w:rFonts w:eastAsiaTheme="majorEastAsia" w:cstheme="majorBidi"/>
          <w:b w:val="0"/>
          <w:bCs/>
          <w:color w:val="auto"/>
          <w:sz w:val="18"/>
        </w:rPr>
        <w:t>L</w:t>
      </w:r>
      <w:r w:rsidRPr="00667E33">
        <w:rPr>
          <w:rFonts w:eastAsiaTheme="majorEastAsia" w:cstheme="majorBidi"/>
          <w:b w:val="0"/>
          <w:bCs/>
          <w:color w:val="auto"/>
          <w:sz w:val="18"/>
        </w:rPr>
        <w:t>ink, a new digital register</w:t>
      </w:r>
      <w:r w:rsidRPr="00667E33">
        <w:rPr>
          <w:b w:val="0"/>
          <w:caps/>
          <w:color w:val="auto"/>
          <w:sz w:val="18"/>
        </w:rPr>
        <w:t xml:space="preserve"> </w:t>
      </w:r>
      <w:r w:rsidRPr="00667E33">
        <w:rPr>
          <w:rFonts w:eastAsiaTheme="majorEastAsia" w:cstheme="majorBidi"/>
          <w:b w:val="0"/>
          <w:bCs/>
          <w:color w:val="auto"/>
          <w:sz w:val="18"/>
        </w:rPr>
        <w:t>that displays key information, drawn from existing</w:t>
      </w:r>
      <w:r w:rsidRPr="00667E33">
        <w:rPr>
          <w:b w:val="0"/>
          <w:caps/>
          <w:color w:val="auto"/>
          <w:sz w:val="18"/>
        </w:rPr>
        <w:t xml:space="preserve"> </w:t>
      </w:r>
      <w:r w:rsidRPr="00667E33">
        <w:rPr>
          <w:rFonts w:eastAsiaTheme="majorEastAsia" w:cstheme="majorBidi"/>
          <w:b w:val="0"/>
          <w:bCs/>
          <w:color w:val="auto"/>
          <w:sz w:val="18"/>
        </w:rPr>
        <w:t>government and children’s service systems to</w:t>
      </w:r>
      <w:r w:rsidRPr="00667E33">
        <w:rPr>
          <w:b w:val="0"/>
          <w:caps/>
          <w:color w:val="auto"/>
          <w:sz w:val="18"/>
        </w:rPr>
        <w:t xml:space="preserve"> </w:t>
      </w:r>
      <w:r w:rsidRPr="00667E33">
        <w:rPr>
          <w:rFonts w:eastAsiaTheme="majorEastAsia" w:cstheme="majorBidi"/>
          <w:b w:val="0"/>
          <w:bCs/>
          <w:color w:val="auto"/>
          <w:sz w:val="18"/>
        </w:rPr>
        <w:t>authorised professionals. It will be progressively</w:t>
      </w:r>
      <w:r w:rsidRPr="00667E33">
        <w:rPr>
          <w:b w:val="0"/>
          <w:caps/>
          <w:color w:val="auto"/>
          <w:sz w:val="18"/>
        </w:rPr>
        <w:t xml:space="preserve"> </w:t>
      </w:r>
      <w:r w:rsidRPr="00667E33">
        <w:rPr>
          <w:rFonts w:eastAsiaTheme="majorEastAsia" w:cstheme="majorBidi"/>
          <w:b w:val="0"/>
          <w:bCs/>
          <w:color w:val="auto"/>
          <w:sz w:val="18"/>
        </w:rPr>
        <w:t>implemented from 202</w:t>
      </w:r>
      <w:r w:rsidRPr="00667E33">
        <w:rPr>
          <w:rFonts w:eastAsiaTheme="majorEastAsia" w:cstheme="majorBidi"/>
          <w:b w:val="0"/>
          <w:bCs/>
          <w:caps/>
          <w:color w:val="auto"/>
          <w:sz w:val="18"/>
        </w:rPr>
        <w:t>2.</w:t>
      </w:r>
      <w:r w:rsidRPr="00667E33">
        <w:rPr>
          <w:b w:val="0"/>
          <w:caps/>
          <w:color w:val="auto"/>
          <w:sz w:val="18"/>
        </w:rPr>
        <w:t xml:space="preserve"> </w:t>
      </w:r>
    </w:p>
    <w:p w14:paraId="5B770667" w14:textId="3875F3F3" w:rsidR="002D6A1C" w:rsidRPr="002D6A1C" w:rsidRDefault="000909DA" w:rsidP="00903DF5">
      <w:pPr>
        <w:pStyle w:val="ESBodyText"/>
        <w:spacing w:before="240" w:line="240" w:lineRule="auto"/>
        <w:rPr>
          <w:rFonts w:eastAsiaTheme="majorEastAsia" w:cstheme="majorBidi"/>
          <w:b/>
          <w:bCs/>
          <w:caps/>
          <w:color w:val="AF272F"/>
          <w:szCs w:val="20"/>
        </w:rPr>
      </w:pPr>
      <w:r w:rsidRPr="002D6A1C">
        <w:rPr>
          <w:rFonts w:eastAsiaTheme="majorEastAsia" w:cstheme="majorBidi"/>
          <w:b/>
          <w:bCs/>
          <w:caps/>
          <w:color w:val="AF272F"/>
          <w:szCs w:val="20"/>
        </w:rPr>
        <w:t>OUR STORIES: EARLY CHILDHOOD LANGUAGE PROGRAM</w:t>
      </w:r>
      <w:r w:rsidR="00645064">
        <w:rPr>
          <w:rFonts w:eastAsiaTheme="majorEastAsia" w:cstheme="majorBidi"/>
          <w:bCs/>
          <w:caps/>
          <w:color w:val="AF272F"/>
          <w:szCs w:val="20"/>
        </w:rPr>
        <w:pict w14:anchorId="413BE46B">
          <v:rect id="_x0000_i1026" style="width:0;height:1.5pt" o:hralign="center" o:hrstd="t" o:hr="t" fillcolor="#a0a0a0" stroked="f"/>
        </w:pict>
      </w:r>
    </w:p>
    <w:p w14:paraId="730B5A71" w14:textId="412B7FD1" w:rsidR="000909DA" w:rsidRDefault="000909DA" w:rsidP="00903DF5">
      <w:pPr>
        <w:pStyle w:val="ESHeading3"/>
        <w:spacing w:before="120"/>
        <w:rPr>
          <w:rFonts w:eastAsiaTheme="majorEastAsia" w:cstheme="majorBidi"/>
          <w:bCs/>
        </w:rPr>
      </w:pPr>
      <w:r w:rsidRPr="000909DA">
        <w:rPr>
          <w:rFonts w:eastAsiaTheme="majorEastAsia" w:cstheme="majorBidi"/>
          <w:b w:val="0"/>
          <w:bCs/>
          <w:color w:val="auto"/>
          <w:sz w:val="18"/>
        </w:rPr>
        <w:t>The Early Childhood Language Program actively encourages children in kindergarten to learn in another language. Services delivering the program are located throughout Victoria, with more than one third located in rural or regional areas. The program is delivered in 15 languages, including Arabic, Punjabi, Mandarin, Vietnamese, Greek, French, Italian, Auslan and some Aboriginal languages. Kindergartens deliver the program in a way that reflects the context of their local community and incorporates children’s interests</w:t>
      </w:r>
      <w:r>
        <w:rPr>
          <w:rFonts w:eastAsiaTheme="majorEastAsia" w:cstheme="majorBidi"/>
          <w:b w:val="0"/>
          <w:bCs/>
          <w:color w:val="auto"/>
          <w:sz w:val="18"/>
        </w:rPr>
        <w:t>.</w:t>
      </w:r>
      <w:r>
        <w:rPr>
          <w:rFonts w:eastAsiaTheme="majorEastAsia" w:cstheme="majorBidi"/>
          <w:bCs/>
        </w:rPr>
        <w:br w:type="page"/>
      </w:r>
    </w:p>
    <w:p w14:paraId="18AA872B" w14:textId="46F2F034" w:rsidR="00A52440" w:rsidRPr="00EE4FA1" w:rsidRDefault="00A52440" w:rsidP="00EE4FA1">
      <w:pPr>
        <w:pStyle w:val="ESHeading2"/>
        <w:rPr>
          <w:sz w:val="24"/>
        </w:rPr>
      </w:pPr>
      <w:bookmarkStart w:id="26" w:name="_Toc21601690"/>
      <w:r w:rsidRPr="00EE4FA1">
        <w:rPr>
          <w:sz w:val="24"/>
        </w:rPr>
        <w:lastRenderedPageBreak/>
        <w:t>School</w:t>
      </w:r>
      <w:bookmarkEnd w:id="25"/>
      <w:r w:rsidR="004F266F" w:rsidRPr="00EE4FA1">
        <w:rPr>
          <w:sz w:val="24"/>
        </w:rPr>
        <w:t>s</w:t>
      </w:r>
      <w:bookmarkEnd w:id="26"/>
      <w:r w:rsidRPr="00EE4FA1">
        <w:rPr>
          <w:sz w:val="24"/>
        </w:rPr>
        <w:t xml:space="preserve">  </w:t>
      </w:r>
    </w:p>
    <w:p w14:paraId="4043385F" w14:textId="77777777" w:rsidR="004F266F" w:rsidRDefault="004F266F" w:rsidP="004F266F">
      <w:pPr>
        <w:pStyle w:val="ESHeading3"/>
      </w:pPr>
      <w:bookmarkStart w:id="27" w:name="_Toc460341160"/>
      <w:r w:rsidRPr="004F266F">
        <w:rPr>
          <w:b w:val="0"/>
          <w:sz w:val="18"/>
        </w:rPr>
        <w:t xml:space="preserve">The Department’s focus in schools is all about improving outcomes and creating opportunities for every student, in every classroom, in every community. It is about giving every child and young person the opportunity to succeed in life, </w:t>
      </w:r>
      <w:r w:rsidRPr="004F266F">
        <w:rPr>
          <w:b w:val="0"/>
          <w:sz w:val="18"/>
          <w:lang w:val="en-AU"/>
        </w:rPr>
        <w:t>regardless of background, place or circumstance.</w:t>
      </w:r>
      <w:r w:rsidRPr="004F266F">
        <w:t xml:space="preserve"> </w:t>
      </w:r>
    </w:p>
    <w:p w14:paraId="1B1834A6" w14:textId="77777777" w:rsidR="000909DA" w:rsidRDefault="004F266F" w:rsidP="004F266F">
      <w:pPr>
        <w:pStyle w:val="ESHeading3"/>
        <w:rPr>
          <w:b w:val="0"/>
          <w:sz w:val="18"/>
          <w:lang w:val="en-AU"/>
        </w:rPr>
      </w:pPr>
      <w:r w:rsidRPr="004F266F">
        <w:rPr>
          <w:b w:val="0"/>
          <w:sz w:val="18"/>
          <w:lang w:val="en-AU"/>
        </w:rPr>
        <w:t>This means building an education system that</w:t>
      </w:r>
      <w:r>
        <w:rPr>
          <w:b w:val="0"/>
          <w:sz w:val="18"/>
          <w:lang w:val="en-AU"/>
        </w:rPr>
        <w:t xml:space="preserve"> </w:t>
      </w:r>
      <w:r w:rsidRPr="004F266F">
        <w:rPr>
          <w:b w:val="0"/>
          <w:sz w:val="18"/>
          <w:lang w:val="en-AU"/>
        </w:rPr>
        <w:t>strives for excellence, whether it is through</w:t>
      </w:r>
      <w:r>
        <w:rPr>
          <w:b w:val="0"/>
          <w:sz w:val="18"/>
          <w:lang w:val="en-AU"/>
        </w:rPr>
        <w:t xml:space="preserve"> </w:t>
      </w:r>
      <w:r w:rsidRPr="004F266F">
        <w:rPr>
          <w:b w:val="0"/>
          <w:sz w:val="18"/>
          <w:lang w:val="en-AU"/>
        </w:rPr>
        <w:t>improving the quality of educational services or</w:t>
      </w:r>
      <w:r>
        <w:rPr>
          <w:b w:val="0"/>
          <w:sz w:val="18"/>
          <w:lang w:val="en-AU"/>
        </w:rPr>
        <w:t xml:space="preserve"> </w:t>
      </w:r>
      <w:r w:rsidRPr="004F266F">
        <w:rPr>
          <w:b w:val="0"/>
          <w:sz w:val="18"/>
          <w:lang w:val="en-AU"/>
        </w:rPr>
        <w:t>building the education facilities that meet the</w:t>
      </w:r>
      <w:r>
        <w:rPr>
          <w:b w:val="0"/>
          <w:sz w:val="18"/>
          <w:lang w:val="en-AU"/>
        </w:rPr>
        <w:t xml:space="preserve"> </w:t>
      </w:r>
      <w:r w:rsidRPr="004F266F">
        <w:rPr>
          <w:b w:val="0"/>
          <w:sz w:val="18"/>
          <w:lang w:val="en-AU"/>
        </w:rPr>
        <w:t>demands of Victoria’s growth and creates pride</w:t>
      </w:r>
      <w:r>
        <w:rPr>
          <w:b w:val="0"/>
          <w:sz w:val="18"/>
          <w:lang w:val="en-AU"/>
        </w:rPr>
        <w:t xml:space="preserve"> </w:t>
      </w:r>
      <w:r w:rsidRPr="004F266F">
        <w:rPr>
          <w:b w:val="0"/>
          <w:sz w:val="18"/>
          <w:lang w:val="en-AU"/>
        </w:rPr>
        <w:t>and confidence in our schools.</w:t>
      </w:r>
    </w:p>
    <w:p w14:paraId="7425FCDF" w14:textId="7EC2358E" w:rsidR="004F266F" w:rsidRDefault="004F266F" w:rsidP="004F266F">
      <w:pPr>
        <w:pStyle w:val="ESHeading3"/>
        <w:rPr>
          <w:b w:val="0"/>
          <w:sz w:val="18"/>
          <w:lang w:val="en-AU"/>
        </w:rPr>
      </w:pPr>
      <w:r w:rsidRPr="004F266F">
        <w:rPr>
          <w:b w:val="0"/>
          <w:sz w:val="18"/>
          <w:lang w:val="en-AU"/>
        </w:rPr>
        <w:t>Over 2019–2023 the Department will deliver a</w:t>
      </w:r>
      <w:r>
        <w:rPr>
          <w:b w:val="0"/>
          <w:sz w:val="18"/>
          <w:lang w:val="en-AU"/>
        </w:rPr>
        <w:t xml:space="preserve"> </w:t>
      </w:r>
      <w:r w:rsidRPr="004F266F">
        <w:rPr>
          <w:b w:val="0"/>
          <w:sz w:val="18"/>
          <w:lang w:val="en-AU"/>
        </w:rPr>
        <w:t>number of school education initiatives.</w:t>
      </w:r>
    </w:p>
    <w:p w14:paraId="02372CDD" w14:textId="27F52A20" w:rsidR="004F266F" w:rsidRPr="00EE4FA1" w:rsidRDefault="004F266F" w:rsidP="004F266F">
      <w:pPr>
        <w:pStyle w:val="ESHeading3"/>
        <w:rPr>
          <w:rFonts w:eastAsiaTheme="majorEastAsia" w:cstheme="majorBidi"/>
          <w:bCs/>
          <w:caps/>
          <w:color w:val="AF272F"/>
          <w:sz w:val="18"/>
          <w:szCs w:val="20"/>
          <w:lang w:val="en-AU"/>
        </w:rPr>
      </w:pPr>
      <w:r w:rsidRPr="00EE4FA1">
        <w:rPr>
          <w:rFonts w:eastAsiaTheme="majorEastAsia" w:cstheme="majorBidi"/>
          <w:bCs/>
          <w:caps/>
          <w:color w:val="AF272F"/>
          <w:sz w:val="18"/>
          <w:szCs w:val="20"/>
          <w:lang w:val="en-AU"/>
        </w:rPr>
        <w:t>INFRASTRUCTURE AND SERVICE PLANNING</w:t>
      </w:r>
      <w:r w:rsidRPr="00EE4FA1">
        <w:rPr>
          <w:rFonts w:eastAsiaTheme="majorEastAsia" w:cstheme="majorBidi"/>
          <w:bCs/>
          <w:caps/>
          <w:color w:val="AF272F"/>
          <w:sz w:val="18"/>
          <w:szCs w:val="20"/>
        </w:rPr>
        <w:t xml:space="preserve">  </w:t>
      </w:r>
    </w:p>
    <w:p w14:paraId="77DE2A6E" w14:textId="57B9E292" w:rsidR="004F266F" w:rsidRDefault="004F266F" w:rsidP="004F266F">
      <w:pPr>
        <w:pStyle w:val="ESHeading3"/>
      </w:pPr>
      <w:r w:rsidRPr="004F266F">
        <w:rPr>
          <w:b w:val="0"/>
          <w:sz w:val="18"/>
          <w:lang w:val="en-AU"/>
        </w:rPr>
        <w:t>The Department is delivering a $1.8 billion school</w:t>
      </w:r>
      <w:r>
        <w:rPr>
          <w:b w:val="0"/>
          <w:sz w:val="18"/>
          <w:lang w:val="en-AU"/>
        </w:rPr>
        <w:t xml:space="preserve"> </w:t>
      </w:r>
      <w:r w:rsidRPr="004F266F">
        <w:rPr>
          <w:b w:val="0"/>
          <w:sz w:val="18"/>
          <w:lang w:val="en-AU"/>
        </w:rPr>
        <w:t>infrastructure program. This involves acquiring</w:t>
      </w:r>
      <w:r>
        <w:rPr>
          <w:b w:val="0"/>
          <w:sz w:val="18"/>
          <w:lang w:val="en-AU"/>
        </w:rPr>
        <w:t xml:space="preserve"> </w:t>
      </w:r>
      <w:r w:rsidRPr="004F266F">
        <w:rPr>
          <w:b w:val="0"/>
          <w:sz w:val="18"/>
          <w:lang w:val="en-AU"/>
        </w:rPr>
        <w:t>land, planning and constructing new schools,</w:t>
      </w:r>
      <w:r>
        <w:rPr>
          <w:b w:val="0"/>
          <w:sz w:val="18"/>
          <w:lang w:val="en-AU"/>
        </w:rPr>
        <w:t xml:space="preserve"> </w:t>
      </w:r>
      <w:r w:rsidRPr="004F266F">
        <w:rPr>
          <w:b w:val="0"/>
          <w:sz w:val="18"/>
          <w:lang w:val="en-AU"/>
        </w:rPr>
        <w:t>and expanding, upgrading and modernising</w:t>
      </w:r>
      <w:r>
        <w:rPr>
          <w:b w:val="0"/>
          <w:sz w:val="18"/>
          <w:lang w:val="en-AU"/>
        </w:rPr>
        <w:t xml:space="preserve"> </w:t>
      </w:r>
      <w:r w:rsidRPr="004F266F">
        <w:rPr>
          <w:b w:val="0"/>
          <w:sz w:val="18"/>
          <w:lang w:val="en-AU"/>
        </w:rPr>
        <w:t>existing schools to accommodate an additional</w:t>
      </w:r>
      <w:r>
        <w:rPr>
          <w:b w:val="0"/>
          <w:sz w:val="18"/>
          <w:lang w:val="en-AU"/>
        </w:rPr>
        <w:t xml:space="preserve"> </w:t>
      </w:r>
      <w:r w:rsidRPr="004F266F">
        <w:rPr>
          <w:b w:val="0"/>
          <w:sz w:val="18"/>
          <w:lang w:val="en-AU"/>
        </w:rPr>
        <w:t>18,000 students each year. In 2018, the Victorian</w:t>
      </w:r>
      <w:r>
        <w:rPr>
          <w:b w:val="0"/>
          <w:sz w:val="18"/>
          <w:lang w:val="en-AU"/>
        </w:rPr>
        <w:t xml:space="preserve"> </w:t>
      </w:r>
      <w:r w:rsidRPr="004F266F">
        <w:rPr>
          <w:b w:val="0"/>
          <w:sz w:val="18"/>
          <w:lang w:val="en-AU"/>
        </w:rPr>
        <w:t>Government committed $850 million to open</w:t>
      </w:r>
      <w:r>
        <w:rPr>
          <w:b w:val="0"/>
          <w:sz w:val="18"/>
          <w:lang w:val="en-AU"/>
        </w:rPr>
        <w:t xml:space="preserve"> </w:t>
      </w:r>
      <w:r w:rsidRPr="004F266F">
        <w:rPr>
          <w:b w:val="0"/>
          <w:sz w:val="18"/>
          <w:lang w:val="en-AU"/>
        </w:rPr>
        <w:t>100 new schools over eight years. This included</w:t>
      </w:r>
      <w:r>
        <w:rPr>
          <w:b w:val="0"/>
          <w:sz w:val="18"/>
          <w:lang w:val="en-AU"/>
        </w:rPr>
        <w:t xml:space="preserve"> </w:t>
      </w:r>
      <w:r w:rsidRPr="004F266F">
        <w:rPr>
          <w:b w:val="0"/>
          <w:sz w:val="18"/>
          <w:lang w:val="en-AU"/>
        </w:rPr>
        <w:t>opening 45 new schools by 2022, nine of which</w:t>
      </w:r>
      <w:r>
        <w:rPr>
          <w:b w:val="0"/>
          <w:sz w:val="18"/>
          <w:lang w:val="en-AU"/>
        </w:rPr>
        <w:t xml:space="preserve"> </w:t>
      </w:r>
      <w:r w:rsidRPr="004F266F">
        <w:rPr>
          <w:b w:val="0"/>
          <w:sz w:val="18"/>
          <w:lang w:val="en-AU"/>
        </w:rPr>
        <w:t>are now open. The Department is also removing</w:t>
      </w:r>
      <w:r>
        <w:rPr>
          <w:b w:val="0"/>
          <w:sz w:val="18"/>
          <w:lang w:val="en-AU"/>
        </w:rPr>
        <w:t xml:space="preserve"> </w:t>
      </w:r>
      <w:r w:rsidRPr="004F266F">
        <w:rPr>
          <w:b w:val="0"/>
          <w:sz w:val="18"/>
          <w:lang w:val="en-AU"/>
        </w:rPr>
        <w:t>asbestos in schools and upgrading relocatable</w:t>
      </w:r>
      <w:r>
        <w:rPr>
          <w:b w:val="0"/>
          <w:sz w:val="18"/>
          <w:lang w:val="en-AU"/>
        </w:rPr>
        <w:t xml:space="preserve"> </w:t>
      </w:r>
      <w:r w:rsidRPr="004F266F">
        <w:rPr>
          <w:b w:val="0"/>
          <w:sz w:val="18"/>
          <w:lang w:val="en-AU"/>
        </w:rPr>
        <w:t>classrooms through this program.</w:t>
      </w:r>
      <w:r>
        <w:rPr>
          <w:b w:val="0"/>
          <w:sz w:val="18"/>
          <w:lang w:val="en-AU"/>
        </w:rPr>
        <w:t xml:space="preserve"> </w:t>
      </w:r>
    </w:p>
    <w:p w14:paraId="70AFCE3C" w14:textId="783AC096" w:rsidR="004F266F" w:rsidRPr="004F266F" w:rsidRDefault="004F266F" w:rsidP="00062472">
      <w:pPr>
        <w:pStyle w:val="ESBodyText"/>
        <w:rPr>
          <w:lang w:val="en-AU"/>
        </w:rPr>
      </w:pPr>
      <w:r>
        <w:t>$515 million is being provided over the next two years to ensure every government school has safe, modern and properly maintained buildings.</w:t>
      </w:r>
    </w:p>
    <w:p w14:paraId="102E52CF" w14:textId="14CB1FA3" w:rsidR="004F266F" w:rsidRDefault="004F266F" w:rsidP="004F266F">
      <w:pPr>
        <w:pStyle w:val="ESHeading3"/>
        <w:rPr>
          <w:b w:val="0"/>
          <w:sz w:val="18"/>
          <w:lang w:val="en-AU"/>
        </w:rPr>
      </w:pPr>
      <w:r w:rsidRPr="004F266F">
        <w:rPr>
          <w:b w:val="0"/>
          <w:sz w:val="18"/>
          <w:lang w:val="en-AU"/>
        </w:rPr>
        <w:t>Place-Based Education Plans bring together a</w:t>
      </w:r>
      <w:r>
        <w:rPr>
          <w:b w:val="0"/>
          <w:sz w:val="18"/>
          <w:lang w:val="en-AU"/>
        </w:rPr>
        <w:t xml:space="preserve"> </w:t>
      </w:r>
      <w:r w:rsidRPr="004F266F">
        <w:rPr>
          <w:b w:val="0"/>
          <w:sz w:val="18"/>
          <w:lang w:val="en-AU"/>
        </w:rPr>
        <w:t>range of government investments in a community</w:t>
      </w:r>
      <w:r>
        <w:rPr>
          <w:b w:val="0"/>
          <w:sz w:val="18"/>
          <w:lang w:val="en-AU"/>
        </w:rPr>
        <w:t xml:space="preserve"> </w:t>
      </w:r>
      <w:r w:rsidRPr="004F266F">
        <w:rPr>
          <w:b w:val="0"/>
          <w:sz w:val="18"/>
          <w:lang w:val="en-AU"/>
        </w:rPr>
        <w:t>for maximum impact and benefit for children</w:t>
      </w:r>
      <w:r>
        <w:rPr>
          <w:b w:val="0"/>
          <w:sz w:val="18"/>
          <w:lang w:val="en-AU"/>
        </w:rPr>
        <w:t xml:space="preserve"> </w:t>
      </w:r>
      <w:r w:rsidRPr="004F266F">
        <w:rPr>
          <w:b w:val="0"/>
          <w:sz w:val="18"/>
          <w:lang w:val="en-AU"/>
        </w:rPr>
        <w:t>and young people, enabling the integration of</w:t>
      </w:r>
      <w:r>
        <w:rPr>
          <w:b w:val="0"/>
          <w:sz w:val="18"/>
          <w:lang w:val="en-AU"/>
        </w:rPr>
        <w:t xml:space="preserve"> </w:t>
      </w:r>
      <w:r w:rsidRPr="004F266F">
        <w:rPr>
          <w:b w:val="0"/>
          <w:sz w:val="18"/>
          <w:lang w:val="en-AU"/>
        </w:rPr>
        <w:t>service planning across early childhood, school</w:t>
      </w:r>
      <w:r>
        <w:rPr>
          <w:b w:val="0"/>
          <w:sz w:val="18"/>
          <w:lang w:val="en-AU"/>
        </w:rPr>
        <w:t xml:space="preserve"> </w:t>
      </w:r>
      <w:r w:rsidRPr="004F266F">
        <w:rPr>
          <w:b w:val="0"/>
          <w:sz w:val="18"/>
          <w:lang w:val="en-AU"/>
        </w:rPr>
        <w:t>and tertiary education. Seven plans are being</w:t>
      </w:r>
      <w:r>
        <w:rPr>
          <w:b w:val="0"/>
          <w:sz w:val="18"/>
          <w:lang w:val="en-AU"/>
        </w:rPr>
        <w:t xml:space="preserve"> </w:t>
      </w:r>
      <w:r w:rsidRPr="004F266F">
        <w:rPr>
          <w:b w:val="0"/>
          <w:sz w:val="18"/>
          <w:lang w:val="en-AU"/>
        </w:rPr>
        <w:t>developed across the state to accelerate and</w:t>
      </w:r>
      <w:r>
        <w:rPr>
          <w:b w:val="0"/>
          <w:sz w:val="18"/>
          <w:lang w:val="en-AU"/>
        </w:rPr>
        <w:t xml:space="preserve"> </w:t>
      </w:r>
      <w:r w:rsidRPr="004F266F">
        <w:rPr>
          <w:b w:val="0"/>
          <w:sz w:val="18"/>
          <w:lang w:val="en-AU"/>
        </w:rPr>
        <w:t>coordinate the impact of community-level</w:t>
      </w:r>
      <w:r>
        <w:rPr>
          <w:b w:val="0"/>
          <w:sz w:val="18"/>
          <w:lang w:val="en-AU"/>
        </w:rPr>
        <w:t xml:space="preserve"> </w:t>
      </w:r>
      <w:r w:rsidRPr="004F266F">
        <w:rPr>
          <w:b w:val="0"/>
          <w:sz w:val="18"/>
          <w:lang w:val="en-AU"/>
        </w:rPr>
        <w:t>improvement initiatives.</w:t>
      </w:r>
      <w:r>
        <w:rPr>
          <w:b w:val="0"/>
          <w:sz w:val="18"/>
          <w:lang w:val="en-AU"/>
        </w:rPr>
        <w:t xml:space="preserve"> </w:t>
      </w:r>
    </w:p>
    <w:p w14:paraId="14595D0C" w14:textId="27496EF8" w:rsidR="004F266F" w:rsidRPr="002D6A1C" w:rsidRDefault="004F266F" w:rsidP="00D46471">
      <w:pPr>
        <w:pStyle w:val="ESHeading3"/>
        <w:spacing w:after="0" w:line="240" w:lineRule="auto"/>
        <w:rPr>
          <w:rFonts w:eastAsiaTheme="majorEastAsia" w:cstheme="majorBidi"/>
          <w:caps/>
          <w:color w:val="AF272F"/>
          <w:szCs w:val="20"/>
          <w:lang w:val="en-AU"/>
        </w:rPr>
      </w:pPr>
      <w:r w:rsidRPr="002D6A1C">
        <w:rPr>
          <w:rFonts w:eastAsiaTheme="majorEastAsia" w:cstheme="majorBidi"/>
          <w:caps/>
          <w:color w:val="AF272F"/>
          <w:sz w:val="18"/>
          <w:szCs w:val="20"/>
        </w:rPr>
        <w:t xml:space="preserve">OUR STORIES: </w:t>
      </w:r>
      <w:r w:rsidRPr="003F5CED">
        <w:rPr>
          <w:rFonts w:eastAsiaTheme="majorEastAsia" w:cstheme="majorBidi"/>
          <w:color w:val="AF272F"/>
          <w:sz w:val="18"/>
          <w:szCs w:val="20"/>
        </w:rPr>
        <w:t>findmyschool.vic.gov.au</w:t>
      </w:r>
      <w:r w:rsidR="00645064">
        <w:rPr>
          <w:rFonts w:eastAsiaTheme="majorEastAsia" w:cstheme="majorBidi"/>
          <w:bCs/>
          <w:caps/>
          <w:color w:val="AF272F"/>
          <w:szCs w:val="20"/>
        </w:rPr>
        <w:pict w14:anchorId="14086188">
          <v:rect id="_x0000_i1027" style="width:467.7pt;height:1pt" o:hralign="center" o:hrstd="t" o:hr="t" fillcolor="#a0a0a0" stroked="f"/>
        </w:pict>
      </w:r>
    </w:p>
    <w:p w14:paraId="51472268" w14:textId="7982A078" w:rsidR="004F266F" w:rsidRDefault="004F266F" w:rsidP="00903DF5">
      <w:pPr>
        <w:pStyle w:val="ESHeading3"/>
        <w:spacing w:before="120"/>
      </w:pPr>
      <w:r w:rsidRPr="004F266F">
        <w:rPr>
          <w:b w:val="0"/>
          <w:sz w:val="18"/>
          <w:lang w:val="en-AU"/>
        </w:rPr>
        <w:t>For the first time parents can search for their</w:t>
      </w:r>
      <w:r>
        <w:rPr>
          <w:b w:val="0"/>
          <w:sz w:val="18"/>
          <w:lang w:val="en-AU"/>
        </w:rPr>
        <w:t xml:space="preserve"> </w:t>
      </w:r>
      <w:r w:rsidRPr="004F266F">
        <w:rPr>
          <w:b w:val="0"/>
          <w:sz w:val="18"/>
          <w:lang w:val="en-AU"/>
        </w:rPr>
        <w:t>local government school online by entering</w:t>
      </w:r>
      <w:r>
        <w:rPr>
          <w:b w:val="0"/>
          <w:sz w:val="18"/>
          <w:lang w:val="en-AU"/>
        </w:rPr>
        <w:t xml:space="preserve"> </w:t>
      </w:r>
      <w:r w:rsidRPr="004F266F">
        <w:rPr>
          <w:b w:val="0"/>
          <w:sz w:val="18"/>
          <w:lang w:val="en-AU"/>
        </w:rPr>
        <w:t>their home address. Launched in April 2019,</w:t>
      </w:r>
      <w:r>
        <w:rPr>
          <w:b w:val="0"/>
          <w:sz w:val="18"/>
          <w:lang w:val="en-AU"/>
        </w:rPr>
        <w:t xml:space="preserve"> </w:t>
      </w:r>
      <w:r w:rsidRPr="004F266F">
        <w:rPr>
          <w:b w:val="0"/>
          <w:sz w:val="18"/>
          <w:lang w:val="en-AU"/>
        </w:rPr>
        <w:t>find</w:t>
      </w:r>
      <w:r w:rsidR="004C2513">
        <w:rPr>
          <w:b w:val="0"/>
          <w:sz w:val="18"/>
          <w:lang w:val="en-AU"/>
        </w:rPr>
        <w:t>-</w:t>
      </w:r>
      <w:r w:rsidRPr="004F266F">
        <w:rPr>
          <w:b w:val="0"/>
          <w:sz w:val="18"/>
          <w:lang w:val="en-AU"/>
        </w:rPr>
        <w:t>my</w:t>
      </w:r>
      <w:r w:rsidR="004C2513">
        <w:rPr>
          <w:b w:val="0"/>
          <w:sz w:val="18"/>
          <w:lang w:val="en-AU"/>
        </w:rPr>
        <w:t>-</w:t>
      </w:r>
      <w:r w:rsidRPr="004F266F">
        <w:rPr>
          <w:b w:val="0"/>
          <w:sz w:val="18"/>
          <w:lang w:val="en-AU"/>
        </w:rPr>
        <w:t>school sets out the official and most up</w:t>
      </w:r>
      <w:r>
        <w:rPr>
          <w:b w:val="0"/>
          <w:sz w:val="18"/>
          <w:lang w:val="en-AU"/>
        </w:rPr>
        <w:t xml:space="preserve"> </w:t>
      </w:r>
      <w:r w:rsidRPr="004F266F">
        <w:rPr>
          <w:b w:val="0"/>
          <w:sz w:val="18"/>
          <w:lang w:val="en-AU"/>
        </w:rPr>
        <w:t>to date local school zones.</w:t>
      </w:r>
      <w:r>
        <w:rPr>
          <w:b w:val="0"/>
          <w:sz w:val="18"/>
          <w:lang w:val="en-AU"/>
        </w:rPr>
        <w:t xml:space="preserve"> </w:t>
      </w:r>
      <w:r w:rsidRPr="004F266F">
        <w:rPr>
          <w:b w:val="0"/>
          <w:sz w:val="18"/>
          <w:lang w:val="en-AU"/>
        </w:rPr>
        <w:t>More broadly, the project helps schools to</w:t>
      </w:r>
      <w:r>
        <w:rPr>
          <w:b w:val="0"/>
          <w:sz w:val="18"/>
          <w:lang w:val="en-AU"/>
        </w:rPr>
        <w:t xml:space="preserve"> </w:t>
      </w:r>
      <w:r w:rsidRPr="004F266F">
        <w:rPr>
          <w:b w:val="0"/>
          <w:sz w:val="18"/>
          <w:lang w:val="en-AU"/>
        </w:rPr>
        <w:t>manage growth in enrolments. When a new</w:t>
      </w:r>
      <w:r>
        <w:rPr>
          <w:b w:val="0"/>
          <w:sz w:val="18"/>
          <w:lang w:val="en-AU"/>
        </w:rPr>
        <w:t xml:space="preserve"> </w:t>
      </w:r>
      <w:r w:rsidRPr="004F266F">
        <w:rPr>
          <w:b w:val="0"/>
          <w:sz w:val="18"/>
          <w:lang w:val="en-AU"/>
        </w:rPr>
        <w:t>school is built, the zones for the neighbouring</w:t>
      </w:r>
      <w:r>
        <w:rPr>
          <w:b w:val="0"/>
          <w:sz w:val="18"/>
          <w:lang w:val="en-AU"/>
        </w:rPr>
        <w:t xml:space="preserve"> </w:t>
      </w:r>
      <w:r w:rsidRPr="004F266F">
        <w:rPr>
          <w:b w:val="0"/>
          <w:sz w:val="18"/>
          <w:lang w:val="en-AU"/>
        </w:rPr>
        <w:t>schools are adjusted to ensure all parents</w:t>
      </w:r>
      <w:r>
        <w:rPr>
          <w:b w:val="0"/>
          <w:sz w:val="18"/>
          <w:lang w:val="en-AU"/>
        </w:rPr>
        <w:t xml:space="preserve"> </w:t>
      </w:r>
      <w:r w:rsidRPr="004F266F">
        <w:rPr>
          <w:b w:val="0"/>
          <w:sz w:val="18"/>
          <w:lang w:val="en-AU"/>
        </w:rPr>
        <w:t>know which is their closest school.</w:t>
      </w:r>
      <w:r>
        <w:rPr>
          <w:b w:val="0"/>
          <w:sz w:val="18"/>
          <w:lang w:val="en-AU"/>
        </w:rPr>
        <w:t xml:space="preserve"> </w:t>
      </w:r>
    </w:p>
    <w:p w14:paraId="1B7B5CCD" w14:textId="4A420C18" w:rsidR="007E6240" w:rsidRPr="00EE4FA1" w:rsidRDefault="004F266F" w:rsidP="007E6240">
      <w:pPr>
        <w:pStyle w:val="ESHeading3"/>
        <w:rPr>
          <w:rFonts w:eastAsiaTheme="majorEastAsia" w:cstheme="majorBidi"/>
          <w:bCs/>
          <w:caps/>
          <w:color w:val="AF272F"/>
          <w:sz w:val="18"/>
          <w:szCs w:val="20"/>
          <w:lang w:val="en-AU"/>
        </w:rPr>
      </w:pPr>
      <w:r w:rsidRPr="00EE4FA1">
        <w:rPr>
          <w:rFonts w:eastAsiaTheme="majorEastAsia" w:cstheme="majorBidi"/>
          <w:bCs/>
          <w:caps/>
          <w:color w:val="AF272F"/>
          <w:sz w:val="18"/>
          <w:szCs w:val="20"/>
          <w:lang w:val="en-AU"/>
        </w:rPr>
        <w:t>TEACHING AND LEARNING</w:t>
      </w:r>
      <w:r w:rsidRPr="00EE4FA1">
        <w:rPr>
          <w:rFonts w:eastAsiaTheme="majorEastAsia" w:cstheme="majorBidi"/>
          <w:bCs/>
          <w:caps/>
          <w:color w:val="AF272F"/>
          <w:sz w:val="18"/>
          <w:szCs w:val="20"/>
        </w:rPr>
        <w:t xml:space="preserve">  </w:t>
      </w:r>
    </w:p>
    <w:p w14:paraId="0515D376" w14:textId="77777777" w:rsidR="007E6240" w:rsidRDefault="007E6240" w:rsidP="007E6240">
      <w:pPr>
        <w:pStyle w:val="ESHeading3"/>
      </w:pPr>
      <w:r w:rsidRPr="007E6240">
        <w:rPr>
          <w:b w:val="0"/>
          <w:sz w:val="18"/>
          <w:lang w:val="en-AU"/>
        </w:rPr>
        <w:t>The Literacy and Numeracy Strategy aims to</w:t>
      </w:r>
      <w:r>
        <w:rPr>
          <w:b w:val="0"/>
          <w:sz w:val="18"/>
          <w:lang w:val="en-AU"/>
        </w:rPr>
        <w:t xml:space="preserve"> </w:t>
      </w:r>
      <w:r w:rsidRPr="007E6240">
        <w:rPr>
          <w:b w:val="0"/>
          <w:sz w:val="18"/>
          <w:lang w:val="en-AU"/>
        </w:rPr>
        <w:t>lift key capabilities for every student across</w:t>
      </w:r>
      <w:r>
        <w:rPr>
          <w:b w:val="0"/>
          <w:sz w:val="18"/>
          <w:lang w:val="en-AU"/>
        </w:rPr>
        <w:t xml:space="preserve"> </w:t>
      </w:r>
      <w:r w:rsidRPr="007E6240">
        <w:rPr>
          <w:b w:val="0"/>
          <w:sz w:val="18"/>
          <w:lang w:val="en-AU"/>
        </w:rPr>
        <w:t>Victoria. As part of the strategy, the Department is</w:t>
      </w:r>
      <w:r>
        <w:rPr>
          <w:b w:val="0"/>
          <w:sz w:val="18"/>
          <w:lang w:val="en-AU"/>
        </w:rPr>
        <w:t xml:space="preserve"> </w:t>
      </w:r>
      <w:r w:rsidRPr="007E6240">
        <w:rPr>
          <w:b w:val="0"/>
          <w:sz w:val="18"/>
          <w:lang w:val="en-AU"/>
        </w:rPr>
        <w:t>implementing the Excellence &amp; Equity in Literacy &amp;</w:t>
      </w:r>
      <w:r>
        <w:rPr>
          <w:b w:val="0"/>
          <w:sz w:val="18"/>
          <w:lang w:val="en-AU"/>
        </w:rPr>
        <w:t xml:space="preserve"> </w:t>
      </w:r>
      <w:r w:rsidRPr="007E6240">
        <w:rPr>
          <w:b w:val="0"/>
          <w:sz w:val="18"/>
          <w:lang w:val="en-AU"/>
        </w:rPr>
        <w:t>Numeracy program and the Middle Years Literacy</w:t>
      </w:r>
      <w:r>
        <w:rPr>
          <w:b w:val="0"/>
          <w:sz w:val="18"/>
          <w:lang w:val="en-AU"/>
        </w:rPr>
        <w:t xml:space="preserve"> </w:t>
      </w:r>
      <w:r w:rsidRPr="007E6240">
        <w:rPr>
          <w:b w:val="0"/>
          <w:sz w:val="18"/>
          <w:lang w:val="en-AU"/>
        </w:rPr>
        <w:t>and Numeracy Support initiative-the biggest</w:t>
      </w:r>
      <w:r>
        <w:rPr>
          <w:b w:val="0"/>
          <w:sz w:val="18"/>
          <w:lang w:val="en-AU"/>
        </w:rPr>
        <w:t xml:space="preserve"> </w:t>
      </w:r>
      <w:r w:rsidRPr="007E6240">
        <w:rPr>
          <w:b w:val="0"/>
          <w:sz w:val="18"/>
          <w:lang w:val="en-AU"/>
        </w:rPr>
        <w:t>single investment in individualised student support</w:t>
      </w:r>
      <w:r>
        <w:rPr>
          <w:b w:val="0"/>
          <w:sz w:val="18"/>
          <w:lang w:val="en-AU"/>
        </w:rPr>
        <w:t xml:space="preserve"> </w:t>
      </w:r>
      <w:r w:rsidRPr="007E6240">
        <w:rPr>
          <w:b w:val="0"/>
          <w:sz w:val="18"/>
          <w:lang w:val="en-AU"/>
        </w:rPr>
        <w:t>in Victorian history. It will provide students in Years</w:t>
      </w:r>
      <w:r>
        <w:rPr>
          <w:b w:val="0"/>
          <w:sz w:val="18"/>
          <w:lang w:val="en-AU"/>
        </w:rPr>
        <w:t xml:space="preserve"> </w:t>
      </w:r>
      <w:r w:rsidRPr="007E6240">
        <w:rPr>
          <w:b w:val="0"/>
          <w:sz w:val="18"/>
          <w:lang w:val="en-AU"/>
        </w:rPr>
        <w:t>8 to 10 with additional teaching support.</w:t>
      </w:r>
      <w:r w:rsidRPr="007E6240">
        <w:t xml:space="preserve"> </w:t>
      </w:r>
    </w:p>
    <w:p w14:paraId="1F8FF6FD" w14:textId="77777777" w:rsidR="00062472" w:rsidRDefault="007E6240" w:rsidP="004F266F">
      <w:pPr>
        <w:pStyle w:val="ESHeading3"/>
        <w:rPr>
          <w:b w:val="0"/>
          <w:sz w:val="18"/>
          <w:lang w:val="en-AU"/>
        </w:rPr>
      </w:pPr>
      <w:r w:rsidRPr="007E6240">
        <w:rPr>
          <w:b w:val="0"/>
          <w:sz w:val="18"/>
          <w:lang w:val="en-AU"/>
        </w:rPr>
        <w:lastRenderedPageBreak/>
        <w:t>The Department is implementing the Marrung:</w:t>
      </w:r>
      <w:r>
        <w:rPr>
          <w:b w:val="0"/>
          <w:sz w:val="18"/>
          <w:lang w:val="en-AU"/>
        </w:rPr>
        <w:t xml:space="preserve"> </w:t>
      </w:r>
      <w:r w:rsidRPr="007E6240">
        <w:rPr>
          <w:b w:val="0"/>
          <w:sz w:val="18"/>
          <w:lang w:val="en-AU"/>
        </w:rPr>
        <w:t>Aboriginal Education Plan 2016–2026 to support</w:t>
      </w:r>
      <w:r>
        <w:rPr>
          <w:b w:val="0"/>
          <w:sz w:val="18"/>
          <w:lang w:val="en-AU"/>
        </w:rPr>
        <w:t xml:space="preserve"> </w:t>
      </w:r>
      <w:r w:rsidRPr="007E6240">
        <w:rPr>
          <w:b w:val="0"/>
          <w:sz w:val="18"/>
          <w:lang w:val="en-AU"/>
        </w:rPr>
        <w:t>improved outcomes for Koorie learners across</w:t>
      </w:r>
      <w:r>
        <w:rPr>
          <w:b w:val="0"/>
          <w:sz w:val="18"/>
          <w:lang w:val="en-AU"/>
        </w:rPr>
        <w:t xml:space="preserve"> </w:t>
      </w:r>
      <w:r w:rsidRPr="007E6240">
        <w:rPr>
          <w:b w:val="0"/>
          <w:sz w:val="18"/>
          <w:lang w:val="en-AU"/>
        </w:rPr>
        <w:t>early childhood, schools and higher education and</w:t>
      </w:r>
      <w:r>
        <w:rPr>
          <w:b w:val="0"/>
          <w:sz w:val="18"/>
          <w:lang w:val="en-AU"/>
        </w:rPr>
        <w:t xml:space="preserve"> </w:t>
      </w:r>
      <w:r w:rsidRPr="007E6240">
        <w:rPr>
          <w:b w:val="0"/>
          <w:sz w:val="18"/>
          <w:lang w:val="en-AU"/>
        </w:rPr>
        <w:t>skills sectors. Marrung’s vision is for all Victorians</w:t>
      </w:r>
      <w:r>
        <w:rPr>
          <w:b w:val="0"/>
          <w:sz w:val="18"/>
          <w:lang w:val="en-AU"/>
        </w:rPr>
        <w:t xml:space="preserve"> </w:t>
      </w:r>
      <w:r w:rsidRPr="007E6240">
        <w:rPr>
          <w:b w:val="0"/>
          <w:sz w:val="18"/>
          <w:lang w:val="en-AU"/>
        </w:rPr>
        <w:t>to celebrate the rich and thriving culture,</w:t>
      </w:r>
      <w:r>
        <w:rPr>
          <w:b w:val="0"/>
          <w:sz w:val="18"/>
          <w:lang w:val="en-AU"/>
        </w:rPr>
        <w:t xml:space="preserve"> </w:t>
      </w:r>
      <w:r w:rsidRPr="007E6240">
        <w:rPr>
          <w:b w:val="0"/>
          <w:sz w:val="18"/>
          <w:lang w:val="en-AU"/>
        </w:rPr>
        <w:t>knowledge and experience of our First Nations</w:t>
      </w:r>
      <w:r>
        <w:rPr>
          <w:b w:val="0"/>
          <w:sz w:val="18"/>
          <w:lang w:val="en-AU"/>
        </w:rPr>
        <w:t xml:space="preserve"> </w:t>
      </w:r>
      <w:r w:rsidRPr="007E6240">
        <w:rPr>
          <w:b w:val="0"/>
          <w:sz w:val="18"/>
          <w:lang w:val="en-AU"/>
        </w:rPr>
        <w:t>people and for every Koorie person to feel strong</w:t>
      </w:r>
      <w:r>
        <w:rPr>
          <w:b w:val="0"/>
          <w:sz w:val="18"/>
          <w:lang w:val="en-AU"/>
        </w:rPr>
        <w:t xml:space="preserve"> </w:t>
      </w:r>
      <w:r w:rsidRPr="007E6240">
        <w:rPr>
          <w:b w:val="0"/>
          <w:sz w:val="18"/>
          <w:lang w:val="en-AU"/>
        </w:rPr>
        <w:t>in their cultural identity.</w:t>
      </w:r>
      <w:r>
        <w:rPr>
          <w:b w:val="0"/>
          <w:sz w:val="18"/>
          <w:lang w:val="en-AU"/>
        </w:rPr>
        <w:t xml:space="preserve"> </w:t>
      </w:r>
    </w:p>
    <w:p w14:paraId="02C24756" w14:textId="0F6441E7" w:rsidR="00062472" w:rsidRDefault="007E6240" w:rsidP="00E40448">
      <w:pPr>
        <w:pStyle w:val="ESHeading3"/>
        <w:rPr>
          <w:b w:val="0"/>
        </w:rPr>
      </w:pPr>
      <w:r w:rsidRPr="007E6240">
        <w:rPr>
          <w:b w:val="0"/>
          <w:sz w:val="18"/>
          <w:lang w:val="en-AU"/>
        </w:rPr>
        <w:t>Full implementation of the English as an</w:t>
      </w:r>
      <w:r>
        <w:rPr>
          <w:b w:val="0"/>
          <w:sz w:val="18"/>
          <w:lang w:val="en-AU"/>
        </w:rPr>
        <w:t xml:space="preserve"> </w:t>
      </w:r>
      <w:r w:rsidRPr="007E6240">
        <w:rPr>
          <w:b w:val="0"/>
          <w:sz w:val="18"/>
          <w:lang w:val="en-AU"/>
        </w:rPr>
        <w:t>Additional Language curriculum F-10 is</w:t>
      </w:r>
      <w:r>
        <w:rPr>
          <w:b w:val="0"/>
          <w:sz w:val="18"/>
          <w:lang w:val="en-AU"/>
        </w:rPr>
        <w:t xml:space="preserve"> </w:t>
      </w:r>
      <w:r w:rsidRPr="007E6240">
        <w:rPr>
          <w:b w:val="0"/>
          <w:sz w:val="18"/>
          <w:lang w:val="en-AU"/>
        </w:rPr>
        <w:t>expected to commence from Term 1, 2020,</w:t>
      </w:r>
      <w:r>
        <w:rPr>
          <w:b w:val="0"/>
          <w:sz w:val="18"/>
          <w:lang w:val="en-AU"/>
        </w:rPr>
        <w:t xml:space="preserve"> </w:t>
      </w:r>
      <w:r w:rsidRPr="007E6240">
        <w:rPr>
          <w:b w:val="0"/>
          <w:sz w:val="18"/>
          <w:lang w:val="en-AU"/>
        </w:rPr>
        <w:t>accompanied by a program of support to guide</w:t>
      </w:r>
      <w:r>
        <w:rPr>
          <w:b w:val="0"/>
          <w:sz w:val="18"/>
          <w:lang w:val="en-AU"/>
        </w:rPr>
        <w:t xml:space="preserve"> </w:t>
      </w:r>
      <w:r w:rsidRPr="007E6240">
        <w:rPr>
          <w:b w:val="0"/>
          <w:sz w:val="18"/>
          <w:lang w:val="en-AU"/>
        </w:rPr>
        <w:t>its effective implementation.</w:t>
      </w:r>
      <w:r w:rsidR="004F266F">
        <w:rPr>
          <w:b w:val="0"/>
          <w:sz w:val="18"/>
          <w:lang w:val="en-AU"/>
        </w:rPr>
        <w:t xml:space="preserve"> </w:t>
      </w:r>
      <w:r>
        <w:t xml:space="preserve">  </w:t>
      </w:r>
    </w:p>
    <w:p w14:paraId="3D8734D9" w14:textId="2D78487F" w:rsidR="007E6240" w:rsidRPr="00EE4FA1" w:rsidRDefault="007E6240" w:rsidP="007E6240">
      <w:pPr>
        <w:pStyle w:val="ESHeading3"/>
        <w:rPr>
          <w:rFonts w:eastAsiaTheme="majorEastAsia" w:cstheme="majorBidi"/>
          <w:bCs/>
          <w:caps/>
          <w:color w:val="AF272F"/>
          <w:sz w:val="18"/>
          <w:szCs w:val="20"/>
          <w:lang w:val="en-AU"/>
        </w:rPr>
      </w:pPr>
      <w:r w:rsidRPr="00EE4FA1">
        <w:rPr>
          <w:rFonts w:eastAsiaTheme="majorEastAsia" w:cstheme="majorBidi"/>
          <w:bCs/>
          <w:caps/>
          <w:color w:val="AF272F"/>
          <w:sz w:val="18"/>
          <w:szCs w:val="20"/>
          <w:lang w:val="en-AU"/>
        </w:rPr>
        <w:t>STUDENT HEALTH AND WELLBEING</w:t>
      </w:r>
      <w:r w:rsidRPr="00EE4FA1">
        <w:rPr>
          <w:rFonts w:eastAsiaTheme="majorEastAsia" w:cstheme="majorBidi"/>
          <w:bCs/>
          <w:caps/>
          <w:color w:val="AF272F"/>
          <w:sz w:val="18"/>
          <w:szCs w:val="20"/>
        </w:rPr>
        <w:t xml:space="preserve">  </w:t>
      </w:r>
    </w:p>
    <w:p w14:paraId="441F875F" w14:textId="6C08002F" w:rsidR="007E6240" w:rsidRPr="007E6240" w:rsidRDefault="007E6240" w:rsidP="007E6240">
      <w:pPr>
        <w:pStyle w:val="ESHeading3"/>
        <w:rPr>
          <w:b w:val="0"/>
          <w:sz w:val="18"/>
          <w:lang w:val="en-AU"/>
        </w:rPr>
      </w:pPr>
      <w:r w:rsidRPr="007E6240">
        <w:rPr>
          <w:b w:val="0"/>
          <w:sz w:val="18"/>
          <w:lang w:val="en-AU"/>
        </w:rPr>
        <w:t>The Department is improving collaborative and</w:t>
      </w:r>
      <w:r>
        <w:rPr>
          <w:b w:val="0"/>
          <w:sz w:val="18"/>
          <w:lang w:val="en-AU"/>
        </w:rPr>
        <w:t xml:space="preserve"> </w:t>
      </w:r>
      <w:r w:rsidRPr="007E6240">
        <w:rPr>
          <w:b w:val="0"/>
          <w:sz w:val="18"/>
          <w:lang w:val="en-AU"/>
        </w:rPr>
        <w:t>multidisciplinary practice to improve student</w:t>
      </w:r>
      <w:r>
        <w:rPr>
          <w:b w:val="0"/>
          <w:sz w:val="18"/>
          <w:lang w:val="en-AU"/>
        </w:rPr>
        <w:t xml:space="preserve"> </w:t>
      </w:r>
      <w:r w:rsidRPr="007E6240">
        <w:rPr>
          <w:b w:val="0"/>
          <w:sz w:val="18"/>
          <w:lang w:val="en-AU"/>
        </w:rPr>
        <w:t>health and wellbeing through supporting</w:t>
      </w:r>
      <w:r>
        <w:rPr>
          <w:b w:val="0"/>
          <w:sz w:val="18"/>
          <w:lang w:val="en-AU"/>
        </w:rPr>
        <w:t xml:space="preserve"> </w:t>
      </w:r>
      <w:r w:rsidRPr="007E6240">
        <w:rPr>
          <w:b w:val="0"/>
          <w:sz w:val="18"/>
          <w:lang w:val="en-AU"/>
        </w:rPr>
        <w:t>workforces, specifically student support services,</w:t>
      </w:r>
      <w:r>
        <w:rPr>
          <w:b w:val="0"/>
          <w:sz w:val="18"/>
          <w:lang w:val="en-AU"/>
        </w:rPr>
        <w:t xml:space="preserve"> </w:t>
      </w:r>
      <w:r w:rsidRPr="007E6240">
        <w:rPr>
          <w:b w:val="0"/>
          <w:sz w:val="18"/>
          <w:lang w:val="en-AU"/>
        </w:rPr>
        <w:t>visiting teachers and nurses. The initiative</w:t>
      </w:r>
      <w:r>
        <w:rPr>
          <w:b w:val="0"/>
          <w:sz w:val="18"/>
          <w:lang w:val="en-AU"/>
        </w:rPr>
        <w:t xml:space="preserve"> </w:t>
      </w:r>
      <w:r w:rsidRPr="007E6240">
        <w:rPr>
          <w:b w:val="0"/>
          <w:sz w:val="18"/>
          <w:lang w:val="en-AU"/>
        </w:rPr>
        <w:t>includes the delivery of a practice model,</w:t>
      </w:r>
      <w:r>
        <w:rPr>
          <w:b w:val="0"/>
          <w:sz w:val="18"/>
          <w:lang w:val="en-AU"/>
        </w:rPr>
        <w:t xml:space="preserve"> </w:t>
      </w:r>
      <w:r w:rsidRPr="007E6240">
        <w:rPr>
          <w:b w:val="0"/>
          <w:sz w:val="18"/>
          <w:lang w:val="en-AU"/>
        </w:rPr>
        <w:t>improved professional learning, and attraction</w:t>
      </w:r>
      <w:r>
        <w:rPr>
          <w:b w:val="0"/>
          <w:sz w:val="18"/>
          <w:lang w:val="en-AU"/>
        </w:rPr>
        <w:t xml:space="preserve"> </w:t>
      </w:r>
      <w:r w:rsidRPr="007E6240">
        <w:rPr>
          <w:b w:val="0"/>
          <w:sz w:val="18"/>
          <w:lang w:val="en-AU"/>
        </w:rPr>
        <w:t>and retention strategies.</w:t>
      </w:r>
    </w:p>
    <w:p w14:paraId="070337E3" w14:textId="09F9D3AB" w:rsidR="007E6240" w:rsidRPr="007E6240" w:rsidRDefault="007E6240" w:rsidP="007E6240">
      <w:pPr>
        <w:pStyle w:val="ESHeading3"/>
        <w:rPr>
          <w:b w:val="0"/>
          <w:sz w:val="18"/>
          <w:lang w:val="en-AU"/>
        </w:rPr>
      </w:pPr>
      <w:r w:rsidRPr="007E6240">
        <w:rPr>
          <w:b w:val="0"/>
          <w:sz w:val="18"/>
          <w:lang w:val="en-AU"/>
        </w:rPr>
        <w:t>The Mental Health Practitioners initiative also</w:t>
      </w:r>
      <w:r>
        <w:rPr>
          <w:b w:val="0"/>
          <w:sz w:val="18"/>
          <w:lang w:val="en-AU"/>
        </w:rPr>
        <w:t xml:space="preserve"> </w:t>
      </w:r>
      <w:r w:rsidRPr="007E6240">
        <w:rPr>
          <w:b w:val="0"/>
          <w:sz w:val="18"/>
          <w:lang w:val="en-AU"/>
        </w:rPr>
        <w:t>provides $51.2 million over four years to enable</w:t>
      </w:r>
      <w:r>
        <w:rPr>
          <w:b w:val="0"/>
          <w:sz w:val="18"/>
          <w:lang w:val="en-AU"/>
        </w:rPr>
        <w:t xml:space="preserve"> </w:t>
      </w:r>
      <w:r w:rsidRPr="007E6240">
        <w:rPr>
          <w:b w:val="0"/>
          <w:sz w:val="18"/>
          <w:lang w:val="en-AU"/>
        </w:rPr>
        <w:t>every government secondary school campus to</w:t>
      </w:r>
      <w:r>
        <w:rPr>
          <w:b w:val="0"/>
          <w:sz w:val="18"/>
          <w:lang w:val="en-AU"/>
        </w:rPr>
        <w:t xml:space="preserve"> </w:t>
      </w:r>
      <w:r w:rsidRPr="007E6240">
        <w:rPr>
          <w:b w:val="0"/>
          <w:sz w:val="18"/>
          <w:lang w:val="en-AU"/>
        </w:rPr>
        <w:t>recruit a suitably qualified, school-based mental</w:t>
      </w:r>
      <w:r>
        <w:rPr>
          <w:b w:val="0"/>
          <w:sz w:val="18"/>
          <w:lang w:val="en-AU"/>
        </w:rPr>
        <w:t xml:space="preserve"> </w:t>
      </w:r>
      <w:r w:rsidRPr="007E6240">
        <w:rPr>
          <w:b w:val="0"/>
          <w:sz w:val="18"/>
          <w:lang w:val="en-AU"/>
        </w:rPr>
        <w:t>health practitioner by 2022.</w:t>
      </w:r>
      <w:r>
        <w:rPr>
          <w:b w:val="0"/>
          <w:sz w:val="18"/>
          <w:lang w:val="en-AU"/>
        </w:rPr>
        <w:t xml:space="preserve"> </w:t>
      </w:r>
    </w:p>
    <w:p w14:paraId="525551AA" w14:textId="1891D37E" w:rsidR="007E6240" w:rsidRPr="007E6240" w:rsidRDefault="007E6240" w:rsidP="00062472">
      <w:pPr>
        <w:pStyle w:val="ESBodyText"/>
      </w:pPr>
      <w:r>
        <w:t>$58 million has been provided in the 2019–20 State Budget to expand the School Breakfast Clubs Program to an additional 500 schools, providing healthy breakfasts as well as lunches and school holiday supplies to children from disadvantaged backgrounds</w:t>
      </w:r>
      <w:r w:rsidR="00062472">
        <w:t>.</w:t>
      </w:r>
    </w:p>
    <w:p w14:paraId="568CEA22" w14:textId="77777777" w:rsidR="00E76889" w:rsidRPr="00EE4FA1" w:rsidRDefault="00E76889" w:rsidP="00E76889">
      <w:pPr>
        <w:pStyle w:val="ESHeading3"/>
        <w:rPr>
          <w:rFonts w:eastAsiaTheme="majorEastAsia" w:cstheme="majorBidi"/>
          <w:bCs/>
          <w:caps/>
          <w:color w:val="AF272F"/>
          <w:sz w:val="18"/>
          <w:szCs w:val="20"/>
          <w:lang w:val="en-AU"/>
        </w:rPr>
      </w:pPr>
      <w:r w:rsidRPr="00EE4FA1">
        <w:rPr>
          <w:rFonts w:eastAsiaTheme="majorEastAsia" w:cstheme="majorBidi"/>
          <w:bCs/>
          <w:caps/>
          <w:color w:val="AF272F"/>
          <w:sz w:val="18"/>
          <w:szCs w:val="20"/>
          <w:lang w:val="en-AU"/>
        </w:rPr>
        <w:t>EMPLOYMENT PATHWAYS</w:t>
      </w:r>
    </w:p>
    <w:p w14:paraId="707F6724" w14:textId="77777777" w:rsidR="00162DB6" w:rsidRPr="00162DB6" w:rsidRDefault="00E76889" w:rsidP="00162DB6">
      <w:pPr>
        <w:pStyle w:val="ESHeading3"/>
        <w:rPr>
          <w:sz w:val="18"/>
          <w:lang w:val="en-AU"/>
        </w:rPr>
      </w:pPr>
      <w:r w:rsidRPr="00162DB6">
        <w:rPr>
          <w:b w:val="0"/>
          <w:sz w:val="18"/>
          <w:lang w:val="en-AU"/>
        </w:rPr>
        <w:t xml:space="preserve">HeadStart apprenticeships and traineeships provide a new pathway for secondary school students to complete their Victorian Certificate of Education (VCE) or Victorian Certificate of Applied Learning (VCAL). From 2019, $49.8 million is being invested over four years to roll out HeadStart in 107 schools in 10 sites across Victoria, supporting 1,700 students to undertake an apprenticeship or </w:t>
      </w:r>
      <w:r w:rsidRPr="00162DB6">
        <w:rPr>
          <w:b w:val="0"/>
          <w:color w:val="000000"/>
          <w:sz w:val="18"/>
          <w:lang w:val="en-AU"/>
        </w:rPr>
        <w:t>traineeship alongside VCE or VCAL.</w:t>
      </w:r>
      <w:r w:rsidR="00162DB6" w:rsidRPr="00162DB6">
        <w:rPr>
          <w:sz w:val="18"/>
          <w:lang w:val="en-AU"/>
        </w:rPr>
        <w:t xml:space="preserve"> </w:t>
      </w:r>
    </w:p>
    <w:p w14:paraId="7841337C" w14:textId="74340343" w:rsidR="004F266F" w:rsidRPr="00162DB6" w:rsidRDefault="00162DB6" w:rsidP="00162DB6">
      <w:pPr>
        <w:pStyle w:val="ESHeading3"/>
        <w:rPr>
          <w:b w:val="0"/>
          <w:color w:val="000000"/>
          <w:sz w:val="18"/>
          <w:lang w:val="en-AU"/>
        </w:rPr>
      </w:pPr>
      <w:r w:rsidRPr="00162DB6">
        <w:rPr>
          <w:b w:val="0"/>
          <w:color w:val="000000"/>
          <w:sz w:val="18"/>
          <w:lang w:val="en-AU"/>
        </w:rPr>
        <w:t>The Department is also transforming careers education in Victorian government schools through a $109 million investment over four years to help students make more informed career and pathway decisions, meeting the demands of a rapidly changing globalised job market.</w:t>
      </w:r>
    </w:p>
    <w:p w14:paraId="000580A3" w14:textId="77777777" w:rsidR="00162DB6" w:rsidRPr="00EE4FA1" w:rsidRDefault="00162DB6" w:rsidP="00162DB6">
      <w:pPr>
        <w:pStyle w:val="ESHeading3"/>
        <w:rPr>
          <w:rFonts w:eastAsiaTheme="majorEastAsia" w:cstheme="majorBidi"/>
          <w:bCs/>
          <w:caps/>
          <w:color w:val="AF272F"/>
          <w:sz w:val="18"/>
          <w:szCs w:val="20"/>
          <w:lang w:val="en-AU"/>
        </w:rPr>
      </w:pPr>
      <w:r w:rsidRPr="00EE4FA1">
        <w:rPr>
          <w:rFonts w:eastAsiaTheme="majorEastAsia" w:cstheme="majorBidi"/>
          <w:bCs/>
          <w:caps/>
          <w:color w:val="AF272F"/>
          <w:sz w:val="18"/>
          <w:szCs w:val="20"/>
          <w:lang w:val="en-AU"/>
        </w:rPr>
        <w:t>SUPPORTING OUR SCHOOLS</w:t>
      </w:r>
    </w:p>
    <w:p w14:paraId="0C828989" w14:textId="0C064596" w:rsidR="00162DB6" w:rsidRDefault="00162DB6" w:rsidP="004F266F">
      <w:pPr>
        <w:pStyle w:val="ESHeading3"/>
        <w:rPr>
          <w:color w:val="000000"/>
          <w:lang w:val="en-AU"/>
        </w:rPr>
      </w:pPr>
      <w:r w:rsidRPr="00162DB6">
        <w:rPr>
          <w:b w:val="0"/>
          <w:color w:val="000000"/>
          <w:sz w:val="18"/>
          <w:lang w:val="en-AU"/>
        </w:rPr>
        <w:t>The Department is supporting teachers and</w:t>
      </w:r>
      <w:r>
        <w:rPr>
          <w:color w:val="000000"/>
          <w:lang w:val="en-AU"/>
        </w:rPr>
        <w:t xml:space="preserve"> </w:t>
      </w:r>
      <w:r w:rsidRPr="00162DB6">
        <w:rPr>
          <w:b w:val="0"/>
          <w:color w:val="000000"/>
          <w:sz w:val="18"/>
          <w:lang w:val="en-AU"/>
        </w:rPr>
        <w:t>front line staff with contemporary and fit for</w:t>
      </w:r>
      <w:r>
        <w:rPr>
          <w:color w:val="000000"/>
          <w:lang w:val="en-AU"/>
        </w:rPr>
        <w:t xml:space="preserve"> </w:t>
      </w:r>
      <w:r w:rsidRPr="00162DB6">
        <w:rPr>
          <w:b w:val="0"/>
          <w:color w:val="000000"/>
          <w:sz w:val="18"/>
          <w:lang w:val="en-AU"/>
        </w:rPr>
        <w:t>purpose ICT systems and software. A $67.9 million</w:t>
      </w:r>
      <w:r>
        <w:rPr>
          <w:color w:val="000000"/>
          <w:lang w:val="en-AU"/>
        </w:rPr>
        <w:t xml:space="preserve"> </w:t>
      </w:r>
      <w:r w:rsidRPr="00162DB6">
        <w:rPr>
          <w:b w:val="0"/>
          <w:color w:val="000000"/>
          <w:sz w:val="18"/>
          <w:lang w:val="en-AU"/>
        </w:rPr>
        <w:t>investment is providing a new state-of-the-art</w:t>
      </w:r>
      <w:r w:rsidR="00D46471">
        <w:rPr>
          <w:color w:val="000000"/>
          <w:lang w:val="en-AU"/>
        </w:rPr>
        <w:t xml:space="preserve"> </w:t>
      </w:r>
      <w:r w:rsidRPr="00162DB6">
        <w:rPr>
          <w:b w:val="0"/>
          <w:color w:val="000000"/>
          <w:sz w:val="18"/>
          <w:lang w:val="en-AU"/>
        </w:rPr>
        <w:t>virtual conferencing solution for all schools.</w:t>
      </w:r>
      <w:r>
        <w:rPr>
          <w:color w:val="000000"/>
          <w:lang w:val="en-AU"/>
        </w:rPr>
        <w:t xml:space="preserve"> </w:t>
      </w:r>
      <w:r w:rsidRPr="00162DB6">
        <w:rPr>
          <w:b w:val="0"/>
          <w:color w:val="000000"/>
          <w:sz w:val="18"/>
          <w:lang w:val="en-AU"/>
        </w:rPr>
        <w:t>In addition, $16.4 million has been invested to</w:t>
      </w:r>
      <w:r>
        <w:rPr>
          <w:color w:val="000000"/>
          <w:lang w:val="en-AU"/>
        </w:rPr>
        <w:t xml:space="preserve"> </w:t>
      </w:r>
      <w:r w:rsidRPr="00162DB6">
        <w:rPr>
          <w:b w:val="0"/>
          <w:color w:val="000000"/>
          <w:sz w:val="18"/>
          <w:lang w:val="en-AU"/>
        </w:rPr>
        <w:t>provide staff in rural and regional schools with</w:t>
      </w:r>
      <w:r>
        <w:rPr>
          <w:color w:val="000000"/>
          <w:lang w:val="en-AU"/>
        </w:rPr>
        <w:t xml:space="preserve"> </w:t>
      </w:r>
      <w:r w:rsidRPr="00162DB6">
        <w:rPr>
          <w:b w:val="0"/>
          <w:color w:val="000000"/>
          <w:sz w:val="18"/>
          <w:lang w:val="en-AU"/>
        </w:rPr>
        <w:t>the same level of access. ICT investments are</w:t>
      </w:r>
      <w:r>
        <w:rPr>
          <w:color w:val="000000"/>
          <w:lang w:val="en-AU"/>
        </w:rPr>
        <w:t xml:space="preserve"> </w:t>
      </w:r>
      <w:r w:rsidRPr="00162DB6">
        <w:rPr>
          <w:b w:val="0"/>
          <w:color w:val="000000"/>
          <w:sz w:val="18"/>
          <w:lang w:val="en-AU"/>
        </w:rPr>
        <w:t>providing reliable digital services that connect</w:t>
      </w:r>
      <w:r>
        <w:rPr>
          <w:color w:val="000000"/>
          <w:lang w:val="en-AU"/>
        </w:rPr>
        <w:t xml:space="preserve"> </w:t>
      </w:r>
      <w:r w:rsidRPr="00162DB6">
        <w:rPr>
          <w:b w:val="0"/>
          <w:color w:val="000000"/>
          <w:sz w:val="18"/>
          <w:lang w:val="en-AU"/>
        </w:rPr>
        <w:t>teachers and front line staff to a range of</w:t>
      </w:r>
      <w:r>
        <w:rPr>
          <w:color w:val="000000"/>
          <w:lang w:val="en-AU"/>
        </w:rPr>
        <w:t xml:space="preserve"> </w:t>
      </w:r>
      <w:r w:rsidRPr="00162DB6">
        <w:rPr>
          <w:b w:val="0"/>
          <w:color w:val="000000"/>
          <w:sz w:val="18"/>
          <w:lang w:val="en-AU"/>
        </w:rPr>
        <w:t>resources, regardless of their location.</w:t>
      </w:r>
      <w:r>
        <w:rPr>
          <w:color w:val="000000"/>
          <w:lang w:val="en-AU"/>
        </w:rPr>
        <w:t xml:space="preserve"> </w:t>
      </w:r>
    </w:p>
    <w:p w14:paraId="6E6FB3D6" w14:textId="77777777" w:rsidR="00162DB6" w:rsidRDefault="00162DB6" w:rsidP="004F266F">
      <w:pPr>
        <w:pStyle w:val="ESHeading3"/>
        <w:rPr>
          <w:color w:val="000000"/>
          <w:lang w:val="en-AU"/>
        </w:rPr>
      </w:pPr>
      <w:r w:rsidRPr="00162DB6">
        <w:rPr>
          <w:b w:val="0"/>
          <w:color w:val="000000"/>
          <w:sz w:val="18"/>
          <w:lang w:val="en-AU"/>
        </w:rPr>
        <w:lastRenderedPageBreak/>
        <w:t>The Differentiated Support for School</w:t>
      </w:r>
      <w:r>
        <w:rPr>
          <w:color w:val="000000"/>
          <w:lang w:val="en-AU"/>
        </w:rPr>
        <w:t xml:space="preserve"> </w:t>
      </w:r>
      <w:r w:rsidRPr="00162DB6">
        <w:rPr>
          <w:b w:val="0"/>
          <w:color w:val="000000"/>
          <w:sz w:val="18"/>
          <w:lang w:val="en-AU"/>
        </w:rPr>
        <w:t>Improvement initiative provides funding</w:t>
      </w:r>
      <w:r>
        <w:rPr>
          <w:color w:val="000000"/>
          <w:lang w:val="en-AU"/>
        </w:rPr>
        <w:t xml:space="preserve"> </w:t>
      </w:r>
      <w:r w:rsidRPr="00162DB6">
        <w:rPr>
          <w:b w:val="0"/>
          <w:color w:val="000000"/>
          <w:sz w:val="18"/>
          <w:lang w:val="en-AU"/>
        </w:rPr>
        <w:t>of $50.7 million over four years (2017–2021)</w:t>
      </w:r>
      <w:r>
        <w:rPr>
          <w:color w:val="000000"/>
          <w:lang w:val="en-AU"/>
        </w:rPr>
        <w:t xml:space="preserve"> </w:t>
      </w:r>
      <w:r w:rsidRPr="00162DB6">
        <w:rPr>
          <w:b w:val="0"/>
          <w:color w:val="000000"/>
          <w:sz w:val="18"/>
          <w:lang w:val="en-AU"/>
        </w:rPr>
        <w:t>to target schools with complex challenges.</w:t>
      </w:r>
      <w:r>
        <w:rPr>
          <w:color w:val="000000"/>
          <w:lang w:val="en-AU"/>
        </w:rPr>
        <w:t xml:space="preserve"> </w:t>
      </w:r>
      <w:r w:rsidRPr="00162DB6">
        <w:rPr>
          <w:b w:val="0"/>
          <w:color w:val="000000"/>
          <w:sz w:val="18"/>
          <w:lang w:val="en-AU"/>
        </w:rPr>
        <w:t>The initiative tailors support for schools,</w:t>
      </w:r>
      <w:r>
        <w:rPr>
          <w:color w:val="000000"/>
          <w:lang w:val="en-AU"/>
        </w:rPr>
        <w:t xml:space="preserve"> </w:t>
      </w:r>
      <w:r w:rsidRPr="00162DB6">
        <w:rPr>
          <w:b w:val="0"/>
          <w:color w:val="000000"/>
          <w:sz w:val="18"/>
          <w:lang w:val="en-AU"/>
        </w:rPr>
        <w:t>recognising that schools at different stages</w:t>
      </w:r>
      <w:r>
        <w:rPr>
          <w:color w:val="000000"/>
          <w:lang w:val="en-AU"/>
        </w:rPr>
        <w:t xml:space="preserve"> </w:t>
      </w:r>
      <w:r w:rsidRPr="00162DB6">
        <w:rPr>
          <w:b w:val="0"/>
          <w:color w:val="000000"/>
          <w:sz w:val="18"/>
          <w:lang w:val="en-AU"/>
        </w:rPr>
        <w:t>of their improvement journey require different</w:t>
      </w:r>
      <w:r>
        <w:rPr>
          <w:color w:val="000000"/>
          <w:lang w:val="en-AU"/>
        </w:rPr>
        <w:t xml:space="preserve"> </w:t>
      </w:r>
      <w:r w:rsidRPr="00162DB6">
        <w:rPr>
          <w:b w:val="0"/>
          <w:color w:val="000000"/>
          <w:sz w:val="18"/>
          <w:lang w:val="en-AU"/>
        </w:rPr>
        <w:t>supports. Specific supports may include building</w:t>
      </w:r>
      <w:r>
        <w:rPr>
          <w:color w:val="000000"/>
          <w:lang w:val="en-AU"/>
        </w:rPr>
        <w:t xml:space="preserve"> </w:t>
      </w:r>
      <w:r w:rsidRPr="00162DB6">
        <w:rPr>
          <w:b w:val="0"/>
          <w:color w:val="000000"/>
          <w:sz w:val="18"/>
          <w:lang w:val="en-AU"/>
        </w:rPr>
        <w:t>teacher and leadership capacity, establishing</w:t>
      </w:r>
      <w:r>
        <w:rPr>
          <w:color w:val="000000"/>
          <w:lang w:val="en-AU"/>
        </w:rPr>
        <w:t xml:space="preserve"> </w:t>
      </w:r>
      <w:r w:rsidRPr="00162DB6">
        <w:rPr>
          <w:b w:val="0"/>
          <w:color w:val="000000"/>
          <w:sz w:val="18"/>
          <w:lang w:val="en-AU"/>
        </w:rPr>
        <w:t>school improvement partnerships and providing</w:t>
      </w:r>
      <w:r>
        <w:rPr>
          <w:color w:val="000000"/>
          <w:lang w:val="en-AU"/>
        </w:rPr>
        <w:t xml:space="preserve"> </w:t>
      </w:r>
      <w:r w:rsidRPr="00162DB6">
        <w:rPr>
          <w:b w:val="0"/>
          <w:color w:val="000000"/>
          <w:sz w:val="18"/>
          <w:lang w:val="en-AU"/>
        </w:rPr>
        <w:t>new executive principals where principal</w:t>
      </w:r>
      <w:r>
        <w:rPr>
          <w:color w:val="000000"/>
          <w:lang w:val="en-AU"/>
        </w:rPr>
        <w:t xml:space="preserve"> </w:t>
      </w:r>
      <w:r w:rsidRPr="00162DB6">
        <w:rPr>
          <w:b w:val="0"/>
          <w:color w:val="000000"/>
          <w:sz w:val="18"/>
          <w:lang w:val="en-AU"/>
        </w:rPr>
        <w:t>vacancies arise.</w:t>
      </w:r>
      <w:r>
        <w:rPr>
          <w:color w:val="000000"/>
          <w:lang w:val="en-AU"/>
        </w:rPr>
        <w:t xml:space="preserve"> </w:t>
      </w:r>
    </w:p>
    <w:p w14:paraId="262CED8C" w14:textId="77777777" w:rsidR="00162DB6" w:rsidRDefault="00162DB6" w:rsidP="004F266F">
      <w:pPr>
        <w:pStyle w:val="ESHeading3"/>
        <w:rPr>
          <w:color w:val="000000"/>
          <w:lang w:val="en-AU"/>
        </w:rPr>
      </w:pPr>
      <w:r w:rsidRPr="00162DB6">
        <w:rPr>
          <w:b w:val="0"/>
          <w:color w:val="000000"/>
          <w:sz w:val="18"/>
          <w:lang w:val="en-AU"/>
        </w:rPr>
        <w:t>The Framework for Improving Student Outcomes</w:t>
      </w:r>
      <w:r>
        <w:rPr>
          <w:color w:val="000000"/>
          <w:lang w:val="en-AU"/>
        </w:rPr>
        <w:t xml:space="preserve"> </w:t>
      </w:r>
      <w:r w:rsidRPr="00162DB6">
        <w:rPr>
          <w:b w:val="0"/>
          <w:color w:val="000000"/>
          <w:sz w:val="18"/>
          <w:lang w:val="en-AU"/>
        </w:rPr>
        <w:t>supports the achievement of the Education</w:t>
      </w:r>
      <w:r>
        <w:rPr>
          <w:color w:val="000000"/>
          <w:lang w:val="en-AU"/>
        </w:rPr>
        <w:t xml:space="preserve"> </w:t>
      </w:r>
      <w:r w:rsidRPr="00162DB6">
        <w:rPr>
          <w:b w:val="0"/>
          <w:color w:val="000000"/>
          <w:sz w:val="18"/>
          <w:lang w:val="en-AU"/>
        </w:rPr>
        <w:t>State targets by helping schools focus on the</w:t>
      </w:r>
      <w:r>
        <w:rPr>
          <w:color w:val="000000"/>
          <w:lang w:val="en-AU"/>
        </w:rPr>
        <w:t xml:space="preserve"> </w:t>
      </w:r>
      <w:r w:rsidRPr="00162DB6">
        <w:rPr>
          <w:b w:val="0"/>
          <w:color w:val="000000"/>
          <w:sz w:val="18"/>
          <w:lang w:val="en-AU"/>
        </w:rPr>
        <w:t>areas known to have the greatest impact on</w:t>
      </w:r>
      <w:r>
        <w:rPr>
          <w:color w:val="000000"/>
          <w:lang w:val="en-AU"/>
        </w:rPr>
        <w:t xml:space="preserve"> </w:t>
      </w:r>
      <w:r w:rsidRPr="00162DB6">
        <w:rPr>
          <w:b w:val="0"/>
          <w:color w:val="000000"/>
          <w:sz w:val="18"/>
          <w:lang w:val="en-AU"/>
        </w:rPr>
        <w:t>school improvement.</w:t>
      </w:r>
      <w:r>
        <w:rPr>
          <w:color w:val="000000"/>
          <w:lang w:val="en-AU"/>
        </w:rPr>
        <w:t xml:space="preserve"> </w:t>
      </w:r>
    </w:p>
    <w:p w14:paraId="60F6334A" w14:textId="77777777" w:rsidR="00162DB6" w:rsidRDefault="00162DB6" w:rsidP="004F266F">
      <w:pPr>
        <w:pStyle w:val="ESHeading3"/>
        <w:rPr>
          <w:color w:val="000000"/>
          <w:lang w:val="en-AU"/>
        </w:rPr>
      </w:pPr>
      <w:r w:rsidRPr="00162DB6">
        <w:rPr>
          <w:b w:val="0"/>
          <w:color w:val="000000"/>
          <w:sz w:val="18"/>
          <w:lang w:val="en-AU"/>
        </w:rPr>
        <w:t>The Department is continuing to deliver an</w:t>
      </w:r>
      <w:r>
        <w:rPr>
          <w:color w:val="000000"/>
          <w:lang w:val="en-AU"/>
        </w:rPr>
        <w:t xml:space="preserve"> </w:t>
      </w:r>
      <w:r w:rsidRPr="00162DB6">
        <w:rPr>
          <w:b w:val="0"/>
          <w:color w:val="000000"/>
          <w:sz w:val="18"/>
          <w:lang w:val="en-AU"/>
        </w:rPr>
        <w:t>inclusive education agenda to transform the</w:t>
      </w:r>
      <w:r>
        <w:rPr>
          <w:color w:val="000000"/>
          <w:lang w:val="en-AU"/>
        </w:rPr>
        <w:t xml:space="preserve"> </w:t>
      </w:r>
      <w:r w:rsidRPr="00162DB6">
        <w:rPr>
          <w:b w:val="0"/>
          <w:color w:val="000000"/>
          <w:sz w:val="18"/>
          <w:lang w:val="en-AU"/>
        </w:rPr>
        <w:t>culture and practice of all schools to be fully</w:t>
      </w:r>
      <w:r>
        <w:rPr>
          <w:color w:val="000000"/>
          <w:lang w:val="en-AU"/>
        </w:rPr>
        <w:t xml:space="preserve"> </w:t>
      </w:r>
      <w:r w:rsidRPr="00162DB6">
        <w:rPr>
          <w:b w:val="0"/>
          <w:color w:val="000000"/>
          <w:sz w:val="18"/>
          <w:lang w:val="en-AU"/>
        </w:rPr>
        <w:t>inclusive of students with disabilities and</w:t>
      </w:r>
      <w:r>
        <w:rPr>
          <w:color w:val="000000"/>
          <w:lang w:val="en-AU"/>
        </w:rPr>
        <w:t xml:space="preserve"> </w:t>
      </w:r>
      <w:r w:rsidRPr="00162DB6">
        <w:rPr>
          <w:b w:val="0"/>
          <w:color w:val="000000"/>
          <w:sz w:val="18"/>
          <w:lang w:val="en-AU"/>
        </w:rPr>
        <w:t>additional needs. This includes development of a</w:t>
      </w:r>
      <w:r>
        <w:rPr>
          <w:color w:val="000000"/>
          <w:lang w:val="en-AU"/>
        </w:rPr>
        <w:t xml:space="preserve"> </w:t>
      </w:r>
      <w:r w:rsidRPr="00162DB6">
        <w:rPr>
          <w:b w:val="0"/>
          <w:color w:val="000000"/>
          <w:sz w:val="18"/>
          <w:lang w:val="en-AU"/>
        </w:rPr>
        <w:t>new strengths-based funding and support model</w:t>
      </w:r>
      <w:r>
        <w:rPr>
          <w:color w:val="000000"/>
          <w:lang w:val="en-AU"/>
        </w:rPr>
        <w:t xml:space="preserve"> </w:t>
      </w:r>
      <w:r w:rsidRPr="00162DB6">
        <w:rPr>
          <w:b w:val="0"/>
          <w:color w:val="000000"/>
          <w:sz w:val="18"/>
          <w:lang w:val="en-AU"/>
        </w:rPr>
        <w:t>to meet the needs of all students with disabilities</w:t>
      </w:r>
      <w:r>
        <w:rPr>
          <w:color w:val="000000"/>
          <w:lang w:val="en-AU"/>
        </w:rPr>
        <w:t xml:space="preserve"> </w:t>
      </w:r>
      <w:r w:rsidRPr="00162DB6">
        <w:rPr>
          <w:b w:val="0"/>
          <w:color w:val="000000"/>
          <w:sz w:val="18"/>
          <w:lang w:val="en-AU"/>
        </w:rPr>
        <w:t>and the delivery of the Program for Students</w:t>
      </w:r>
      <w:r>
        <w:rPr>
          <w:color w:val="000000"/>
          <w:lang w:val="en-AU"/>
        </w:rPr>
        <w:t xml:space="preserve"> </w:t>
      </w:r>
      <w:r w:rsidRPr="00162DB6">
        <w:rPr>
          <w:b w:val="0"/>
          <w:color w:val="000000"/>
          <w:sz w:val="18"/>
          <w:lang w:val="en-AU"/>
        </w:rPr>
        <w:t>with Disabilities.</w:t>
      </w:r>
      <w:r>
        <w:rPr>
          <w:color w:val="000000"/>
          <w:lang w:val="en-AU"/>
        </w:rPr>
        <w:t xml:space="preserve"> </w:t>
      </w:r>
    </w:p>
    <w:p w14:paraId="3AEF2279" w14:textId="77777777" w:rsidR="00F637B0" w:rsidRDefault="00162DB6" w:rsidP="004F266F">
      <w:pPr>
        <w:pStyle w:val="ESHeading3"/>
        <w:rPr>
          <w:color w:val="000000"/>
          <w:lang w:val="en-AU"/>
        </w:rPr>
      </w:pPr>
      <w:r w:rsidRPr="00162DB6">
        <w:rPr>
          <w:b w:val="0"/>
          <w:color w:val="000000"/>
          <w:sz w:val="18"/>
          <w:lang w:val="en-AU"/>
        </w:rPr>
        <w:t>The Insight Assessment Platform helps teachers</w:t>
      </w:r>
      <w:r>
        <w:rPr>
          <w:color w:val="000000"/>
          <w:lang w:val="en-AU"/>
        </w:rPr>
        <w:t xml:space="preserve"> </w:t>
      </w:r>
      <w:r w:rsidRPr="00162DB6">
        <w:rPr>
          <w:b w:val="0"/>
          <w:color w:val="000000"/>
          <w:sz w:val="18"/>
          <w:lang w:val="en-AU"/>
        </w:rPr>
        <w:t>assess the progress of all learners and support</w:t>
      </w:r>
      <w:r>
        <w:rPr>
          <w:color w:val="000000"/>
          <w:lang w:val="en-AU"/>
        </w:rPr>
        <w:t xml:space="preserve"> </w:t>
      </w:r>
      <w:r w:rsidRPr="00162DB6">
        <w:rPr>
          <w:b w:val="0"/>
          <w:color w:val="000000"/>
          <w:sz w:val="18"/>
          <w:lang w:val="en-AU"/>
        </w:rPr>
        <w:t>more targeted teaching practices. Managed by</w:t>
      </w:r>
      <w:r>
        <w:rPr>
          <w:color w:val="000000"/>
          <w:lang w:val="en-AU"/>
        </w:rPr>
        <w:t xml:space="preserve"> </w:t>
      </w:r>
      <w:r w:rsidRPr="00162DB6">
        <w:rPr>
          <w:b w:val="0"/>
          <w:color w:val="000000"/>
          <w:sz w:val="18"/>
          <w:lang w:val="en-AU"/>
        </w:rPr>
        <w:t>the Victorian Curriculum and Assessment</w:t>
      </w:r>
      <w:r>
        <w:rPr>
          <w:color w:val="000000"/>
          <w:lang w:val="en-AU"/>
        </w:rPr>
        <w:t xml:space="preserve"> </w:t>
      </w:r>
      <w:r w:rsidRPr="00162DB6">
        <w:rPr>
          <w:b w:val="0"/>
          <w:color w:val="000000"/>
          <w:sz w:val="18"/>
          <w:lang w:val="en-AU"/>
        </w:rPr>
        <w:t>Authority, the platform provides a collection of</w:t>
      </w:r>
      <w:r>
        <w:rPr>
          <w:color w:val="000000"/>
          <w:lang w:val="en-AU"/>
        </w:rPr>
        <w:t xml:space="preserve"> </w:t>
      </w:r>
      <w:r w:rsidRPr="00162DB6">
        <w:rPr>
          <w:b w:val="0"/>
          <w:color w:val="000000"/>
          <w:sz w:val="18"/>
          <w:lang w:val="en-AU"/>
        </w:rPr>
        <w:t>quality online assessment instruments, including</w:t>
      </w:r>
      <w:r>
        <w:rPr>
          <w:color w:val="000000"/>
          <w:lang w:val="en-AU"/>
        </w:rPr>
        <w:t xml:space="preserve"> </w:t>
      </w:r>
      <w:r w:rsidRPr="00162DB6">
        <w:rPr>
          <w:b w:val="0"/>
          <w:color w:val="000000"/>
          <w:sz w:val="18"/>
          <w:lang w:val="en-AU"/>
        </w:rPr>
        <w:t>the Digital Assessment Library (currently</w:t>
      </w:r>
      <w:r>
        <w:rPr>
          <w:color w:val="000000"/>
          <w:lang w:val="en-AU"/>
        </w:rPr>
        <w:t xml:space="preserve"> </w:t>
      </w:r>
      <w:r w:rsidRPr="00162DB6">
        <w:rPr>
          <w:b w:val="0"/>
          <w:color w:val="000000"/>
          <w:sz w:val="18"/>
          <w:lang w:val="en-AU"/>
        </w:rPr>
        <w:t>under development).</w:t>
      </w:r>
      <w:r>
        <w:rPr>
          <w:color w:val="000000"/>
          <w:lang w:val="en-AU"/>
        </w:rPr>
        <w:t xml:space="preserve"> </w:t>
      </w:r>
    </w:p>
    <w:p w14:paraId="28F5EC9D" w14:textId="77777777" w:rsidR="00F637B0" w:rsidRDefault="00162DB6" w:rsidP="004F266F">
      <w:pPr>
        <w:pStyle w:val="ESHeading3"/>
        <w:rPr>
          <w:color w:val="000000"/>
          <w:lang w:val="en-AU"/>
        </w:rPr>
      </w:pPr>
      <w:r w:rsidRPr="00162DB6">
        <w:rPr>
          <w:b w:val="0"/>
          <w:color w:val="000000"/>
          <w:sz w:val="18"/>
          <w:lang w:val="en-AU"/>
        </w:rPr>
        <w:t>The Department is working closely with the</w:t>
      </w:r>
      <w:r>
        <w:rPr>
          <w:color w:val="000000"/>
          <w:lang w:val="en-AU"/>
        </w:rPr>
        <w:t xml:space="preserve"> </w:t>
      </w:r>
      <w:r w:rsidRPr="00162DB6">
        <w:rPr>
          <w:b w:val="0"/>
          <w:color w:val="000000"/>
          <w:sz w:val="18"/>
          <w:lang w:val="en-AU"/>
        </w:rPr>
        <w:t>Departments of Health and Human Services,</w:t>
      </w:r>
      <w:r>
        <w:rPr>
          <w:color w:val="000000"/>
          <w:lang w:val="en-AU"/>
        </w:rPr>
        <w:t xml:space="preserve"> </w:t>
      </w:r>
      <w:r w:rsidRPr="00162DB6">
        <w:rPr>
          <w:b w:val="0"/>
          <w:color w:val="000000"/>
          <w:sz w:val="18"/>
          <w:lang w:val="en-AU"/>
        </w:rPr>
        <w:t>Justice and Community Safety and Premier and</w:t>
      </w:r>
      <w:r>
        <w:rPr>
          <w:color w:val="000000"/>
          <w:lang w:val="en-AU"/>
        </w:rPr>
        <w:t xml:space="preserve"> </w:t>
      </w:r>
      <w:r w:rsidRPr="00162DB6">
        <w:rPr>
          <w:b w:val="0"/>
          <w:color w:val="000000"/>
          <w:sz w:val="18"/>
          <w:lang w:val="en-AU"/>
        </w:rPr>
        <w:t>Cabinet, and Family Safety Victoria and Victoria</w:t>
      </w:r>
      <w:r>
        <w:rPr>
          <w:color w:val="000000"/>
          <w:lang w:val="en-AU"/>
        </w:rPr>
        <w:t xml:space="preserve"> </w:t>
      </w:r>
      <w:r w:rsidRPr="00162DB6">
        <w:rPr>
          <w:b w:val="0"/>
          <w:color w:val="000000"/>
          <w:sz w:val="18"/>
          <w:lang w:val="en-AU"/>
        </w:rPr>
        <w:t>Police to respond to the recommendations from</w:t>
      </w:r>
      <w:r>
        <w:rPr>
          <w:color w:val="000000"/>
          <w:lang w:val="en-AU"/>
        </w:rPr>
        <w:t xml:space="preserve"> </w:t>
      </w:r>
      <w:r w:rsidRPr="00162DB6">
        <w:rPr>
          <w:b w:val="0"/>
          <w:color w:val="000000"/>
          <w:sz w:val="18"/>
          <w:lang w:val="en-AU"/>
        </w:rPr>
        <w:t>the Royal Commission into Family Violence</w:t>
      </w:r>
      <w:r>
        <w:rPr>
          <w:color w:val="000000"/>
          <w:lang w:val="en-AU"/>
        </w:rPr>
        <w:t xml:space="preserve"> </w:t>
      </w:r>
      <w:r w:rsidRPr="00162DB6">
        <w:rPr>
          <w:b w:val="0"/>
          <w:color w:val="000000"/>
          <w:sz w:val="18"/>
          <w:lang w:val="en-AU"/>
        </w:rPr>
        <w:t>(RCFV). The Department also leads the delivery of</w:t>
      </w:r>
      <w:r>
        <w:rPr>
          <w:color w:val="000000"/>
          <w:lang w:val="en-AU"/>
        </w:rPr>
        <w:t xml:space="preserve"> </w:t>
      </w:r>
      <w:r w:rsidRPr="00162DB6">
        <w:rPr>
          <w:b w:val="0"/>
          <w:color w:val="000000"/>
          <w:sz w:val="18"/>
          <w:lang w:val="en-AU"/>
        </w:rPr>
        <w:t>Respectful Relationships (RCFV recommendation</w:t>
      </w:r>
      <w:r>
        <w:rPr>
          <w:color w:val="000000"/>
          <w:lang w:val="en-AU"/>
        </w:rPr>
        <w:t xml:space="preserve"> </w:t>
      </w:r>
      <w:r w:rsidRPr="00162DB6">
        <w:rPr>
          <w:b w:val="0"/>
          <w:color w:val="000000"/>
          <w:sz w:val="18"/>
          <w:lang w:val="en-AU"/>
        </w:rPr>
        <w:t>189) with all Victorian government schools to</w:t>
      </w:r>
      <w:r>
        <w:rPr>
          <w:color w:val="000000"/>
          <w:lang w:val="en-AU"/>
        </w:rPr>
        <w:t xml:space="preserve"> </w:t>
      </w:r>
      <w:r w:rsidRPr="00162DB6">
        <w:rPr>
          <w:b w:val="0"/>
          <w:color w:val="000000"/>
          <w:sz w:val="18"/>
          <w:lang w:val="en-AU"/>
        </w:rPr>
        <w:t>participate by March 2021.</w:t>
      </w:r>
      <w:r>
        <w:rPr>
          <w:color w:val="000000"/>
          <w:lang w:val="en-AU"/>
        </w:rPr>
        <w:t xml:space="preserve"> </w:t>
      </w:r>
    </w:p>
    <w:p w14:paraId="0ED7609B" w14:textId="67CEC878" w:rsidR="006F10F1" w:rsidRDefault="00162DB6" w:rsidP="004F266F">
      <w:pPr>
        <w:pStyle w:val="ESHeading3"/>
      </w:pPr>
      <w:r w:rsidRPr="00162DB6">
        <w:rPr>
          <w:b w:val="0"/>
          <w:color w:val="000000"/>
          <w:sz w:val="18"/>
          <w:lang w:val="en-AU"/>
        </w:rPr>
        <w:t>The Education Justice Initiative is a cross-sector</w:t>
      </w:r>
      <w:r>
        <w:rPr>
          <w:color w:val="000000"/>
          <w:lang w:val="en-AU"/>
        </w:rPr>
        <w:t xml:space="preserve"> </w:t>
      </w:r>
      <w:r w:rsidRPr="00162DB6">
        <w:rPr>
          <w:b w:val="0"/>
          <w:color w:val="000000"/>
          <w:sz w:val="18"/>
          <w:lang w:val="en-AU"/>
        </w:rPr>
        <w:t>collaboration connecting young people appearing</w:t>
      </w:r>
      <w:r>
        <w:rPr>
          <w:color w:val="000000"/>
          <w:lang w:val="en-AU"/>
        </w:rPr>
        <w:t xml:space="preserve"> </w:t>
      </w:r>
      <w:r w:rsidRPr="00162DB6">
        <w:rPr>
          <w:b w:val="0"/>
          <w:color w:val="000000"/>
          <w:sz w:val="18"/>
          <w:lang w:val="en-AU"/>
        </w:rPr>
        <w:t>before the Children’s Courts, including Koori</w:t>
      </w:r>
      <w:r>
        <w:rPr>
          <w:color w:val="000000"/>
          <w:lang w:val="en-AU"/>
        </w:rPr>
        <w:t xml:space="preserve"> </w:t>
      </w:r>
      <w:r w:rsidRPr="00162DB6">
        <w:rPr>
          <w:b w:val="0"/>
          <w:color w:val="000000"/>
          <w:sz w:val="18"/>
          <w:lang w:val="en-AU"/>
        </w:rPr>
        <w:t>Children’s Courts to an appropriate, supported</w:t>
      </w:r>
      <w:r>
        <w:rPr>
          <w:color w:val="000000"/>
          <w:lang w:val="en-AU"/>
        </w:rPr>
        <w:t xml:space="preserve"> </w:t>
      </w:r>
      <w:r w:rsidRPr="00162DB6">
        <w:rPr>
          <w:b w:val="0"/>
          <w:color w:val="000000"/>
          <w:sz w:val="18"/>
          <w:lang w:val="en-AU"/>
        </w:rPr>
        <w:t>education or training pathway, through referral,</w:t>
      </w:r>
      <w:r>
        <w:rPr>
          <w:color w:val="000000"/>
          <w:lang w:val="en-AU"/>
        </w:rPr>
        <w:t xml:space="preserve"> </w:t>
      </w:r>
      <w:r w:rsidRPr="00162DB6">
        <w:rPr>
          <w:b w:val="0"/>
          <w:color w:val="000000"/>
          <w:sz w:val="18"/>
          <w:lang w:val="en-AU"/>
        </w:rPr>
        <w:t>advocacy, collaboration and relationship building</w:t>
      </w:r>
      <w:r>
        <w:rPr>
          <w:color w:val="000000"/>
          <w:lang w:val="en-AU"/>
        </w:rPr>
        <w:t xml:space="preserve"> </w:t>
      </w:r>
      <w:r w:rsidRPr="00162DB6">
        <w:rPr>
          <w:b w:val="0"/>
          <w:color w:val="000000"/>
          <w:sz w:val="18"/>
          <w:lang w:val="en-AU"/>
        </w:rPr>
        <w:t>between staff and schools or training providers.</w:t>
      </w:r>
      <w:r>
        <w:rPr>
          <w:b w:val="0"/>
          <w:sz w:val="18"/>
        </w:rPr>
        <w:t xml:space="preserve"> </w:t>
      </w:r>
    </w:p>
    <w:p w14:paraId="419D3A6C" w14:textId="4208AD5A" w:rsidR="006F10F1" w:rsidRPr="00EE4FA1" w:rsidRDefault="006F10F1" w:rsidP="00EE4FA1">
      <w:pPr>
        <w:pStyle w:val="ESHeading2"/>
        <w:rPr>
          <w:sz w:val="24"/>
          <w:lang w:val="en-AU"/>
        </w:rPr>
      </w:pPr>
      <w:bookmarkStart w:id="28" w:name="_Toc21601691"/>
      <w:r w:rsidRPr="00EE4FA1">
        <w:rPr>
          <w:sz w:val="24"/>
          <w:lang w:val="en-AU"/>
        </w:rPr>
        <w:t>HIGHER EDUCATION AND SKILLS</w:t>
      </w:r>
      <w:bookmarkEnd w:id="28"/>
    </w:p>
    <w:p w14:paraId="066A2205" w14:textId="77777777" w:rsidR="006F10F1" w:rsidRDefault="006F10F1" w:rsidP="006F10F1">
      <w:pPr>
        <w:pStyle w:val="ESHeading3"/>
        <w:rPr>
          <w:b w:val="0"/>
          <w:color w:val="000000"/>
          <w:sz w:val="18"/>
          <w:lang w:val="en-AU"/>
        </w:rPr>
      </w:pPr>
      <w:r w:rsidRPr="006F10F1">
        <w:rPr>
          <w:b w:val="0"/>
          <w:color w:val="000000"/>
          <w:sz w:val="18"/>
          <w:lang w:val="en-AU"/>
        </w:rPr>
        <w:t>The Victorian post-secondary education system</w:t>
      </w:r>
      <w:r>
        <w:rPr>
          <w:b w:val="0"/>
          <w:color w:val="000000"/>
          <w:sz w:val="18"/>
          <w:lang w:val="en-AU"/>
        </w:rPr>
        <w:t xml:space="preserve"> </w:t>
      </w:r>
      <w:r w:rsidRPr="006F10F1">
        <w:rPr>
          <w:b w:val="0"/>
          <w:color w:val="000000"/>
          <w:sz w:val="18"/>
          <w:lang w:val="en-AU"/>
        </w:rPr>
        <w:t>provides people with access to education and</w:t>
      </w:r>
      <w:r>
        <w:rPr>
          <w:b w:val="0"/>
          <w:color w:val="000000"/>
          <w:sz w:val="18"/>
          <w:lang w:val="en-AU"/>
        </w:rPr>
        <w:t xml:space="preserve"> </w:t>
      </w:r>
      <w:r w:rsidRPr="006F10F1">
        <w:rPr>
          <w:b w:val="0"/>
          <w:color w:val="000000"/>
          <w:sz w:val="18"/>
          <w:lang w:val="en-AU"/>
        </w:rPr>
        <w:t>training that leads to jobs and supports lifelong</w:t>
      </w:r>
      <w:r>
        <w:rPr>
          <w:b w:val="0"/>
          <w:color w:val="000000"/>
          <w:sz w:val="18"/>
          <w:lang w:val="en-AU"/>
        </w:rPr>
        <w:t xml:space="preserve"> </w:t>
      </w:r>
      <w:r w:rsidRPr="006F10F1">
        <w:rPr>
          <w:b w:val="0"/>
          <w:color w:val="000000"/>
          <w:sz w:val="18"/>
          <w:lang w:val="en-AU"/>
        </w:rPr>
        <w:t>learning. The system caters to learners including</w:t>
      </w:r>
      <w:r>
        <w:rPr>
          <w:b w:val="0"/>
          <w:color w:val="000000"/>
          <w:sz w:val="18"/>
          <w:lang w:val="en-AU"/>
        </w:rPr>
        <w:t xml:space="preserve"> </w:t>
      </w:r>
      <w:r w:rsidRPr="006F10F1">
        <w:rPr>
          <w:b w:val="0"/>
          <w:color w:val="000000"/>
          <w:sz w:val="18"/>
          <w:lang w:val="en-AU"/>
        </w:rPr>
        <w:t>school graduates, workers looking to upskill</w:t>
      </w:r>
      <w:r>
        <w:rPr>
          <w:b w:val="0"/>
          <w:color w:val="000000"/>
          <w:sz w:val="18"/>
          <w:lang w:val="en-AU"/>
        </w:rPr>
        <w:t xml:space="preserve"> </w:t>
      </w:r>
      <w:r w:rsidRPr="006F10F1">
        <w:rPr>
          <w:b w:val="0"/>
          <w:color w:val="000000"/>
          <w:sz w:val="18"/>
          <w:lang w:val="en-AU"/>
        </w:rPr>
        <w:t>or reskill, those seeking to re-engage with the</w:t>
      </w:r>
      <w:r>
        <w:rPr>
          <w:b w:val="0"/>
          <w:color w:val="000000"/>
          <w:sz w:val="18"/>
          <w:lang w:val="en-AU"/>
        </w:rPr>
        <w:t xml:space="preserve"> </w:t>
      </w:r>
      <w:r w:rsidRPr="006F10F1">
        <w:rPr>
          <w:b w:val="0"/>
          <w:color w:val="000000"/>
          <w:sz w:val="18"/>
          <w:lang w:val="en-AU"/>
        </w:rPr>
        <w:t>workforce, and people facing disadvantage.</w:t>
      </w:r>
      <w:r>
        <w:rPr>
          <w:b w:val="0"/>
          <w:color w:val="000000"/>
          <w:sz w:val="18"/>
          <w:lang w:val="en-AU"/>
        </w:rPr>
        <w:t xml:space="preserve"> </w:t>
      </w:r>
    </w:p>
    <w:p w14:paraId="1E9AD066" w14:textId="77777777" w:rsidR="006F10F1" w:rsidRDefault="006F10F1" w:rsidP="006F10F1">
      <w:pPr>
        <w:pStyle w:val="ESHeading3"/>
        <w:rPr>
          <w:b w:val="0"/>
          <w:color w:val="000000"/>
          <w:sz w:val="18"/>
          <w:lang w:val="en-AU"/>
        </w:rPr>
      </w:pPr>
      <w:r w:rsidRPr="006F10F1">
        <w:rPr>
          <w:b w:val="0"/>
          <w:color w:val="000000"/>
          <w:sz w:val="18"/>
          <w:lang w:val="en-AU"/>
        </w:rPr>
        <w:t xml:space="preserve">The </w:t>
      </w:r>
      <w:r w:rsidRPr="00062472">
        <w:rPr>
          <w:b w:val="0"/>
          <w:i/>
          <w:color w:val="000000"/>
          <w:sz w:val="18"/>
          <w:lang w:val="en-AU"/>
        </w:rPr>
        <w:t xml:space="preserve">Skills First </w:t>
      </w:r>
      <w:r w:rsidRPr="006F10F1">
        <w:rPr>
          <w:b w:val="0"/>
          <w:color w:val="000000"/>
          <w:sz w:val="18"/>
          <w:lang w:val="en-AU"/>
        </w:rPr>
        <w:t>reforms introduced in 2017 aim to</w:t>
      </w:r>
      <w:r>
        <w:rPr>
          <w:b w:val="0"/>
          <w:color w:val="000000"/>
          <w:sz w:val="18"/>
          <w:lang w:val="en-AU"/>
        </w:rPr>
        <w:t xml:space="preserve"> </w:t>
      </w:r>
      <w:r w:rsidRPr="006F10F1">
        <w:rPr>
          <w:b w:val="0"/>
          <w:color w:val="000000"/>
          <w:sz w:val="18"/>
          <w:lang w:val="en-AU"/>
        </w:rPr>
        <w:t>strengthen Victoria’s government-subsidised</w:t>
      </w:r>
      <w:r>
        <w:rPr>
          <w:b w:val="0"/>
          <w:color w:val="000000"/>
          <w:sz w:val="18"/>
          <w:lang w:val="en-AU"/>
        </w:rPr>
        <w:t xml:space="preserve"> </w:t>
      </w:r>
      <w:r w:rsidRPr="006F10F1">
        <w:rPr>
          <w:b w:val="0"/>
          <w:color w:val="000000"/>
          <w:sz w:val="18"/>
          <w:lang w:val="en-AU"/>
        </w:rPr>
        <w:t>training system by improving quality,</w:t>
      </w:r>
      <w:r>
        <w:rPr>
          <w:b w:val="0"/>
          <w:color w:val="000000"/>
          <w:sz w:val="18"/>
          <w:lang w:val="en-AU"/>
        </w:rPr>
        <w:t xml:space="preserve"> </w:t>
      </w:r>
      <w:r w:rsidRPr="006F10F1">
        <w:rPr>
          <w:b w:val="0"/>
          <w:color w:val="000000"/>
          <w:sz w:val="18"/>
          <w:lang w:val="en-AU"/>
        </w:rPr>
        <w:t>meeting Victoria’s skills needs and building</w:t>
      </w:r>
      <w:r>
        <w:rPr>
          <w:b w:val="0"/>
          <w:color w:val="000000"/>
          <w:sz w:val="18"/>
          <w:lang w:val="en-AU"/>
        </w:rPr>
        <w:t xml:space="preserve"> </w:t>
      </w:r>
      <w:r w:rsidRPr="006F10F1">
        <w:rPr>
          <w:b w:val="0"/>
          <w:color w:val="000000"/>
          <w:sz w:val="18"/>
          <w:lang w:val="en-AU"/>
        </w:rPr>
        <w:t>TAFE sustainability.</w:t>
      </w:r>
      <w:r>
        <w:rPr>
          <w:b w:val="0"/>
          <w:color w:val="000000"/>
          <w:sz w:val="18"/>
          <w:lang w:val="en-AU"/>
        </w:rPr>
        <w:t xml:space="preserve"> </w:t>
      </w:r>
    </w:p>
    <w:p w14:paraId="147A6C68" w14:textId="77777777" w:rsidR="006F10F1" w:rsidRDefault="006F10F1" w:rsidP="006F10F1">
      <w:pPr>
        <w:pStyle w:val="ESHeading3"/>
        <w:rPr>
          <w:b w:val="0"/>
          <w:color w:val="000000"/>
          <w:sz w:val="18"/>
          <w:lang w:val="en-AU"/>
        </w:rPr>
      </w:pPr>
      <w:r w:rsidRPr="006F10F1">
        <w:rPr>
          <w:b w:val="0"/>
          <w:color w:val="000000"/>
          <w:sz w:val="18"/>
          <w:lang w:val="en-AU"/>
        </w:rPr>
        <w:t>Over 2019–2023 the Department will deliver</w:t>
      </w:r>
      <w:r>
        <w:rPr>
          <w:b w:val="0"/>
          <w:color w:val="000000"/>
          <w:sz w:val="18"/>
          <w:lang w:val="en-AU"/>
        </w:rPr>
        <w:t xml:space="preserve"> </w:t>
      </w:r>
      <w:r w:rsidRPr="006F10F1">
        <w:rPr>
          <w:b w:val="0"/>
          <w:color w:val="000000"/>
          <w:sz w:val="18"/>
          <w:lang w:val="en-AU"/>
        </w:rPr>
        <w:t>several key initiatives in higher education and</w:t>
      </w:r>
      <w:r>
        <w:rPr>
          <w:b w:val="0"/>
          <w:color w:val="000000"/>
          <w:sz w:val="18"/>
          <w:lang w:val="en-AU"/>
        </w:rPr>
        <w:t xml:space="preserve"> </w:t>
      </w:r>
      <w:r w:rsidRPr="006F10F1">
        <w:rPr>
          <w:b w:val="0"/>
          <w:color w:val="000000"/>
          <w:sz w:val="18"/>
          <w:lang w:val="en-AU"/>
        </w:rPr>
        <w:t>training and skills.</w:t>
      </w:r>
      <w:r>
        <w:rPr>
          <w:b w:val="0"/>
          <w:color w:val="000000"/>
          <w:sz w:val="18"/>
          <w:lang w:val="en-AU"/>
        </w:rPr>
        <w:t xml:space="preserve"> </w:t>
      </w:r>
    </w:p>
    <w:p w14:paraId="582F2E22" w14:textId="77777777" w:rsidR="006F10F1" w:rsidRDefault="006F10F1" w:rsidP="006F10F1">
      <w:pPr>
        <w:pStyle w:val="ESHeading3"/>
        <w:rPr>
          <w:b w:val="0"/>
          <w:color w:val="000000"/>
          <w:sz w:val="18"/>
          <w:lang w:val="en-AU"/>
        </w:rPr>
      </w:pPr>
      <w:r w:rsidRPr="006F10F1">
        <w:rPr>
          <w:b w:val="0"/>
          <w:color w:val="000000"/>
          <w:sz w:val="18"/>
          <w:lang w:val="en-AU"/>
        </w:rPr>
        <w:t>The Department is continuing to monitor</w:t>
      </w:r>
      <w:r>
        <w:rPr>
          <w:b w:val="0"/>
          <w:color w:val="000000"/>
          <w:sz w:val="18"/>
          <w:lang w:val="en-AU"/>
        </w:rPr>
        <w:t xml:space="preserve"> </w:t>
      </w:r>
      <w:r w:rsidRPr="006F10F1">
        <w:rPr>
          <w:b w:val="0"/>
          <w:color w:val="000000"/>
          <w:sz w:val="18"/>
          <w:lang w:val="en-AU"/>
        </w:rPr>
        <w:t>and support delivery of Free TAFE for Priority</w:t>
      </w:r>
      <w:r>
        <w:rPr>
          <w:b w:val="0"/>
          <w:color w:val="000000"/>
          <w:sz w:val="18"/>
          <w:lang w:val="en-AU"/>
        </w:rPr>
        <w:t xml:space="preserve"> </w:t>
      </w:r>
      <w:r w:rsidRPr="006F10F1">
        <w:rPr>
          <w:b w:val="0"/>
          <w:color w:val="000000"/>
          <w:sz w:val="18"/>
          <w:lang w:val="en-AU"/>
        </w:rPr>
        <w:t>Courses which provides tuition fee free training</w:t>
      </w:r>
      <w:r>
        <w:rPr>
          <w:b w:val="0"/>
          <w:color w:val="000000"/>
          <w:sz w:val="18"/>
          <w:lang w:val="en-AU"/>
        </w:rPr>
        <w:t xml:space="preserve"> </w:t>
      </w:r>
      <w:r w:rsidRPr="006F10F1">
        <w:rPr>
          <w:b w:val="0"/>
          <w:color w:val="000000"/>
          <w:sz w:val="18"/>
          <w:lang w:val="en-AU"/>
        </w:rPr>
        <w:t xml:space="preserve">for </w:t>
      </w:r>
      <w:r w:rsidRPr="006F10F1">
        <w:rPr>
          <w:b w:val="0"/>
          <w:color w:val="000000"/>
          <w:sz w:val="18"/>
          <w:lang w:val="en-AU"/>
        </w:rPr>
        <w:lastRenderedPageBreak/>
        <w:t>TAFE students in priority skill areas and key</w:t>
      </w:r>
      <w:r>
        <w:rPr>
          <w:b w:val="0"/>
          <w:color w:val="000000"/>
          <w:sz w:val="18"/>
          <w:lang w:val="en-AU"/>
        </w:rPr>
        <w:t xml:space="preserve"> </w:t>
      </w:r>
      <w:r w:rsidRPr="006F10F1">
        <w:rPr>
          <w:b w:val="0"/>
          <w:color w:val="000000"/>
          <w:sz w:val="18"/>
          <w:lang w:val="en-AU"/>
        </w:rPr>
        <w:t>apprenticeship pathway course. From 2020, two</w:t>
      </w:r>
      <w:r>
        <w:rPr>
          <w:b w:val="0"/>
          <w:color w:val="000000"/>
          <w:sz w:val="18"/>
          <w:lang w:val="en-AU"/>
        </w:rPr>
        <w:t xml:space="preserve"> </w:t>
      </w:r>
      <w:r w:rsidRPr="006F10F1">
        <w:rPr>
          <w:b w:val="0"/>
          <w:color w:val="000000"/>
          <w:sz w:val="18"/>
          <w:lang w:val="en-AU"/>
        </w:rPr>
        <w:t>additional free TAFE courses in early childhood</w:t>
      </w:r>
      <w:r>
        <w:rPr>
          <w:b w:val="0"/>
          <w:color w:val="000000"/>
          <w:sz w:val="18"/>
          <w:lang w:val="en-AU"/>
        </w:rPr>
        <w:t xml:space="preserve"> </w:t>
      </w:r>
      <w:r w:rsidRPr="006F10F1">
        <w:rPr>
          <w:b w:val="0"/>
          <w:color w:val="000000"/>
          <w:sz w:val="18"/>
          <w:lang w:val="en-AU"/>
        </w:rPr>
        <w:t>education and care will be added. Free TAFE for</w:t>
      </w:r>
      <w:r>
        <w:rPr>
          <w:b w:val="0"/>
          <w:color w:val="000000"/>
          <w:sz w:val="18"/>
          <w:lang w:val="en-AU"/>
        </w:rPr>
        <w:t xml:space="preserve"> </w:t>
      </w:r>
      <w:r w:rsidRPr="006F10F1">
        <w:rPr>
          <w:b w:val="0"/>
          <w:color w:val="000000"/>
          <w:sz w:val="18"/>
          <w:lang w:val="en-AU"/>
        </w:rPr>
        <w:t>priority courses builds on recent VET reforms</w:t>
      </w:r>
      <w:r>
        <w:rPr>
          <w:b w:val="0"/>
          <w:color w:val="000000"/>
          <w:sz w:val="18"/>
          <w:lang w:val="en-AU"/>
        </w:rPr>
        <w:t xml:space="preserve"> </w:t>
      </w:r>
      <w:r w:rsidRPr="006F10F1">
        <w:rPr>
          <w:b w:val="0"/>
          <w:color w:val="000000"/>
          <w:sz w:val="18"/>
          <w:lang w:val="en-AU"/>
        </w:rPr>
        <w:t>aimed at lifting quality and aligning training to</w:t>
      </w:r>
      <w:r>
        <w:rPr>
          <w:b w:val="0"/>
          <w:color w:val="000000"/>
          <w:sz w:val="18"/>
          <w:lang w:val="en-AU"/>
        </w:rPr>
        <w:t xml:space="preserve"> </w:t>
      </w:r>
      <w:r w:rsidRPr="006F10F1">
        <w:rPr>
          <w:b w:val="0"/>
          <w:color w:val="000000"/>
          <w:sz w:val="18"/>
          <w:lang w:val="en-AU"/>
        </w:rPr>
        <w:t>the jobs of the Victorian economy.</w:t>
      </w:r>
      <w:r>
        <w:rPr>
          <w:b w:val="0"/>
          <w:color w:val="000000"/>
          <w:sz w:val="18"/>
          <w:lang w:val="en-AU"/>
        </w:rPr>
        <w:t xml:space="preserve"> </w:t>
      </w:r>
    </w:p>
    <w:p w14:paraId="65E652F4" w14:textId="77777777" w:rsidR="006F10F1" w:rsidRDefault="006F10F1" w:rsidP="006F10F1">
      <w:pPr>
        <w:pStyle w:val="ESHeading3"/>
        <w:rPr>
          <w:b w:val="0"/>
          <w:color w:val="000000"/>
          <w:sz w:val="18"/>
          <w:lang w:val="en-AU"/>
        </w:rPr>
      </w:pPr>
      <w:r w:rsidRPr="006F10F1">
        <w:rPr>
          <w:b w:val="0"/>
          <w:color w:val="000000"/>
          <w:sz w:val="18"/>
          <w:lang w:val="en-AU"/>
        </w:rPr>
        <w:t>This initiative supports students to train in courses</w:t>
      </w:r>
      <w:r>
        <w:rPr>
          <w:b w:val="0"/>
          <w:color w:val="000000"/>
          <w:sz w:val="18"/>
          <w:lang w:val="en-AU"/>
        </w:rPr>
        <w:t xml:space="preserve"> </w:t>
      </w:r>
      <w:r w:rsidRPr="006F10F1">
        <w:rPr>
          <w:b w:val="0"/>
          <w:color w:val="000000"/>
          <w:sz w:val="18"/>
          <w:lang w:val="en-AU"/>
        </w:rPr>
        <w:t>that will provide occupations in high-demand</w:t>
      </w:r>
      <w:r>
        <w:rPr>
          <w:b w:val="0"/>
          <w:color w:val="000000"/>
          <w:sz w:val="18"/>
          <w:lang w:val="en-AU"/>
        </w:rPr>
        <w:t xml:space="preserve"> </w:t>
      </w:r>
      <w:r w:rsidRPr="006F10F1">
        <w:rPr>
          <w:b w:val="0"/>
          <w:color w:val="000000"/>
          <w:sz w:val="18"/>
          <w:lang w:val="en-AU"/>
        </w:rPr>
        <w:t>industries and important areas like preventing</w:t>
      </w:r>
      <w:r>
        <w:rPr>
          <w:b w:val="0"/>
          <w:color w:val="000000"/>
          <w:sz w:val="18"/>
          <w:lang w:val="en-AU"/>
        </w:rPr>
        <w:t xml:space="preserve"> </w:t>
      </w:r>
      <w:r w:rsidRPr="006F10F1">
        <w:rPr>
          <w:b w:val="0"/>
          <w:color w:val="000000"/>
          <w:sz w:val="18"/>
          <w:lang w:val="en-AU"/>
        </w:rPr>
        <w:t>family violence and the National Disability</w:t>
      </w:r>
      <w:r>
        <w:rPr>
          <w:b w:val="0"/>
          <w:color w:val="000000"/>
          <w:sz w:val="18"/>
          <w:lang w:val="en-AU"/>
        </w:rPr>
        <w:t xml:space="preserve"> </w:t>
      </w:r>
      <w:r w:rsidRPr="006F10F1">
        <w:rPr>
          <w:b w:val="0"/>
          <w:color w:val="000000"/>
          <w:sz w:val="18"/>
          <w:lang w:val="en-AU"/>
        </w:rPr>
        <w:t>Insurance Scheme. The Department is analysing</w:t>
      </w:r>
      <w:r>
        <w:rPr>
          <w:b w:val="0"/>
          <w:color w:val="000000"/>
          <w:sz w:val="18"/>
          <w:lang w:val="en-AU"/>
        </w:rPr>
        <w:t xml:space="preserve"> </w:t>
      </w:r>
      <w:r w:rsidRPr="006F10F1">
        <w:rPr>
          <w:b w:val="0"/>
          <w:color w:val="000000"/>
          <w:sz w:val="18"/>
          <w:lang w:val="en-AU"/>
        </w:rPr>
        <w:t>student characteristics and how Free TAFE is</w:t>
      </w:r>
      <w:r>
        <w:rPr>
          <w:b w:val="0"/>
          <w:color w:val="000000"/>
          <w:sz w:val="18"/>
          <w:lang w:val="en-AU"/>
        </w:rPr>
        <w:t xml:space="preserve"> </w:t>
      </w:r>
      <w:r w:rsidRPr="006F10F1">
        <w:rPr>
          <w:b w:val="0"/>
          <w:color w:val="000000"/>
          <w:sz w:val="18"/>
          <w:lang w:val="en-AU"/>
        </w:rPr>
        <w:t>changing enrolment and teaching practices.</w:t>
      </w:r>
      <w:r>
        <w:rPr>
          <w:b w:val="0"/>
          <w:color w:val="000000"/>
          <w:sz w:val="18"/>
          <w:lang w:val="en-AU"/>
        </w:rPr>
        <w:t xml:space="preserve"> </w:t>
      </w:r>
      <w:r w:rsidRPr="006F10F1">
        <w:rPr>
          <w:b w:val="0"/>
          <w:color w:val="000000"/>
          <w:sz w:val="18"/>
          <w:lang w:val="en-AU"/>
        </w:rPr>
        <w:t>At the same time, the Department is strengthening</w:t>
      </w:r>
      <w:r>
        <w:rPr>
          <w:b w:val="0"/>
          <w:color w:val="000000"/>
          <w:sz w:val="18"/>
          <w:lang w:val="en-AU"/>
        </w:rPr>
        <w:t xml:space="preserve"> </w:t>
      </w:r>
      <w:r w:rsidRPr="006F10F1">
        <w:rPr>
          <w:b w:val="0"/>
          <w:color w:val="000000"/>
          <w:sz w:val="18"/>
          <w:lang w:val="en-AU"/>
        </w:rPr>
        <w:t>student outcomes by improving TAFE teaching</w:t>
      </w:r>
      <w:r>
        <w:rPr>
          <w:b w:val="0"/>
          <w:color w:val="000000"/>
          <w:sz w:val="18"/>
          <w:lang w:val="en-AU"/>
        </w:rPr>
        <w:t xml:space="preserve"> </w:t>
      </w:r>
      <w:r w:rsidRPr="006F10F1">
        <w:rPr>
          <w:b w:val="0"/>
          <w:color w:val="000000"/>
          <w:sz w:val="18"/>
          <w:lang w:val="en-AU"/>
        </w:rPr>
        <w:t>quality and learning and assessment materials.</w:t>
      </w:r>
      <w:r>
        <w:rPr>
          <w:b w:val="0"/>
          <w:color w:val="000000"/>
          <w:sz w:val="18"/>
          <w:lang w:val="en-AU"/>
        </w:rPr>
        <w:t xml:space="preserve"> </w:t>
      </w:r>
    </w:p>
    <w:p w14:paraId="1C180FEA" w14:textId="41618D6D" w:rsidR="00507B5D" w:rsidRPr="00507B5D" w:rsidRDefault="00507B5D" w:rsidP="00507B5D">
      <w:pPr>
        <w:pStyle w:val="ESHeading3"/>
        <w:rPr>
          <w:b w:val="0"/>
          <w:color w:val="000000"/>
          <w:sz w:val="18"/>
          <w:lang w:val="en-AU"/>
        </w:rPr>
      </w:pPr>
      <w:r w:rsidRPr="00507B5D">
        <w:rPr>
          <w:b w:val="0"/>
          <w:color w:val="000000"/>
          <w:sz w:val="18"/>
          <w:lang w:val="en-AU"/>
        </w:rPr>
        <w:t xml:space="preserve">Working with the Department of Jobs, Precincts and Regions and the Office of Projects Victoria, the Victorian Skills Commissioner and the Local Jobs Commissioner, the Department is undertaking a new approach to strengthen the links between Victoria’s training system and industry demand to create a pipeline of skilled workers, and align training to support delivery of major infrastructure projects. </w:t>
      </w:r>
    </w:p>
    <w:p w14:paraId="15D5499A" w14:textId="77777777" w:rsidR="00062472" w:rsidRDefault="00062472" w:rsidP="00062472">
      <w:pPr>
        <w:pStyle w:val="ESBodyText"/>
      </w:pPr>
      <w:r>
        <w:t>$46.3 million has been provided in the 2019–20 State Budget as part of the Building Better TAFEs Fund to deliver upgrades to regional TAFEs campuses in Geelong, Seymour and Warrnambool.</w:t>
      </w:r>
    </w:p>
    <w:p w14:paraId="3D1B6C9E" w14:textId="77777777" w:rsidR="00507B5D" w:rsidRDefault="00507B5D" w:rsidP="00507B5D">
      <w:pPr>
        <w:pStyle w:val="ESHeading3"/>
        <w:rPr>
          <w:b w:val="0"/>
          <w:color w:val="000000"/>
          <w:sz w:val="18"/>
          <w:lang w:val="en-AU"/>
        </w:rPr>
      </w:pPr>
      <w:r w:rsidRPr="00507B5D">
        <w:rPr>
          <w:b w:val="0"/>
          <w:color w:val="000000"/>
          <w:sz w:val="18"/>
          <w:lang w:val="en-AU"/>
        </w:rPr>
        <w:t>The Department is continuing to implement</w:t>
      </w:r>
      <w:r>
        <w:rPr>
          <w:b w:val="0"/>
          <w:color w:val="000000"/>
          <w:sz w:val="18"/>
          <w:lang w:val="en-AU"/>
        </w:rPr>
        <w:t xml:space="preserve"> </w:t>
      </w:r>
      <w:r w:rsidRPr="00507B5D">
        <w:rPr>
          <w:b w:val="0"/>
          <w:color w:val="000000"/>
          <w:sz w:val="18"/>
          <w:lang w:val="en-AU"/>
        </w:rPr>
        <w:t>the Government’s TAFE asset modernisation</w:t>
      </w:r>
      <w:r>
        <w:rPr>
          <w:b w:val="0"/>
          <w:color w:val="000000"/>
          <w:sz w:val="18"/>
          <w:lang w:val="en-AU"/>
        </w:rPr>
        <w:t xml:space="preserve"> </w:t>
      </w:r>
      <w:r w:rsidRPr="00507B5D">
        <w:rPr>
          <w:b w:val="0"/>
          <w:color w:val="000000"/>
          <w:sz w:val="18"/>
          <w:lang w:val="en-AU"/>
        </w:rPr>
        <w:t>program, which provides a prioritised pipeline</w:t>
      </w:r>
      <w:r>
        <w:rPr>
          <w:b w:val="0"/>
          <w:color w:val="000000"/>
          <w:sz w:val="18"/>
          <w:lang w:val="en-AU"/>
        </w:rPr>
        <w:t xml:space="preserve"> </w:t>
      </w:r>
      <w:r w:rsidRPr="00507B5D">
        <w:rPr>
          <w:b w:val="0"/>
          <w:color w:val="000000"/>
          <w:sz w:val="18"/>
          <w:lang w:val="en-AU"/>
        </w:rPr>
        <w:t>of refurbishment and development projects.</w:t>
      </w:r>
      <w:r>
        <w:rPr>
          <w:b w:val="0"/>
          <w:color w:val="000000"/>
          <w:sz w:val="18"/>
          <w:lang w:val="en-AU"/>
        </w:rPr>
        <w:t xml:space="preserve"> </w:t>
      </w:r>
      <w:r w:rsidRPr="00507B5D">
        <w:rPr>
          <w:b w:val="0"/>
          <w:color w:val="000000"/>
          <w:sz w:val="18"/>
          <w:lang w:val="en-AU"/>
        </w:rPr>
        <w:t>This includes the rollout of the $220 million Building</w:t>
      </w:r>
      <w:r>
        <w:rPr>
          <w:b w:val="0"/>
          <w:color w:val="000000"/>
          <w:sz w:val="18"/>
          <w:lang w:val="en-AU"/>
        </w:rPr>
        <w:t xml:space="preserve"> </w:t>
      </w:r>
      <w:r w:rsidRPr="00507B5D">
        <w:rPr>
          <w:b w:val="0"/>
          <w:color w:val="000000"/>
          <w:sz w:val="18"/>
          <w:lang w:val="en-AU"/>
        </w:rPr>
        <w:t>Better TAFEs Fund.</w:t>
      </w:r>
      <w:r>
        <w:rPr>
          <w:b w:val="0"/>
          <w:color w:val="000000"/>
          <w:sz w:val="18"/>
          <w:lang w:val="en-AU"/>
        </w:rPr>
        <w:t xml:space="preserve"> </w:t>
      </w:r>
    </w:p>
    <w:p w14:paraId="3039C44F" w14:textId="77777777" w:rsidR="00507B5D" w:rsidRDefault="00507B5D" w:rsidP="00507B5D">
      <w:pPr>
        <w:pStyle w:val="ESHeading3"/>
        <w:rPr>
          <w:b w:val="0"/>
          <w:color w:val="000000"/>
          <w:sz w:val="18"/>
          <w:lang w:val="en-AU"/>
        </w:rPr>
      </w:pPr>
      <w:r w:rsidRPr="00507B5D">
        <w:rPr>
          <w:b w:val="0"/>
          <w:color w:val="000000"/>
          <w:sz w:val="18"/>
          <w:lang w:val="en-AU"/>
        </w:rPr>
        <w:t>To strengthen apprenticeships, the 2019–20 State</w:t>
      </w:r>
      <w:r>
        <w:rPr>
          <w:b w:val="0"/>
          <w:color w:val="000000"/>
          <w:sz w:val="18"/>
          <w:lang w:val="en-AU"/>
        </w:rPr>
        <w:t xml:space="preserve"> </w:t>
      </w:r>
      <w:r w:rsidRPr="00507B5D">
        <w:rPr>
          <w:b w:val="0"/>
          <w:color w:val="000000"/>
          <w:sz w:val="18"/>
          <w:lang w:val="en-AU"/>
        </w:rPr>
        <w:t>Budget provided $5.6 million for Victoria’s Big</w:t>
      </w:r>
      <w:r>
        <w:rPr>
          <w:b w:val="0"/>
          <w:color w:val="000000"/>
          <w:sz w:val="18"/>
          <w:lang w:val="en-AU"/>
        </w:rPr>
        <w:t xml:space="preserve"> </w:t>
      </w:r>
      <w:r w:rsidRPr="00507B5D">
        <w:rPr>
          <w:b w:val="0"/>
          <w:color w:val="000000"/>
          <w:sz w:val="18"/>
          <w:lang w:val="en-AU"/>
        </w:rPr>
        <w:t>Build and Social Services higher apprenticeships.</w:t>
      </w:r>
      <w:r>
        <w:rPr>
          <w:b w:val="0"/>
          <w:color w:val="000000"/>
          <w:sz w:val="18"/>
          <w:lang w:val="en-AU"/>
        </w:rPr>
        <w:t xml:space="preserve"> </w:t>
      </w:r>
    </w:p>
    <w:p w14:paraId="0C50F0C9" w14:textId="77777777" w:rsidR="00882080" w:rsidRDefault="00507B5D" w:rsidP="00507B5D">
      <w:pPr>
        <w:pStyle w:val="ESHeading3"/>
        <w:rPr>
          <w:b w:val="0"/>
          <w:color w:val="000000"/>
          <w:sz w:val="18"/>
          <w:lang w:val="en-AU"/>
        </w:rPr>
      </w:pPr>
      <w:r w:rsidRPr="00507B5D">
        <w:rPr>
          <w:b w:val="0"/>
          <w:color w:val="000000"/>
          <w:sz w:val="18"/>
          <w:lang w:val="en-AU"/>
        </w:rPr>
        <w:t>The Department is working in partnership</w:t>
      </w:r>
      <w:r>
        <w:rPr>
          <w:b w:val="0"/>
          <w:color w:val="000000"/>
          <w:sz w:val="18"/>
          <w:lang w:val="en-AU"/>
        </w:rPr>
        <w:t xml:space="preserve"> </w:t>
      </w:r>
      <w:r w:rsidRPr="00507B5D">
        <w:rPr>
          <w:b w:val="0"/>
          <w:color w:val="000000"/>
          <w:sz w:val="18"/>
          <w:lang w:val="en-AU"/>
        </w:rPr>
        <w:t>with industry and tertiary education providers</w:t>
      </w:r>
      <w:r>
        <w:rPr>
          <w:b w:val="0"/>
          <w:color w:val="000000"/>
          <w:sz w:val="18"/>
          <w:lang w:val="en-AU"/>
        </w:rPr>
        <w:t xml:space="preserve"> </w:t>
      </w:r>
      <w:r w:rsidRPr="00507B5D">
        <w:rPr>
          <w:b w:val="0"/>
          <w:color w:val="000000"/>
          <w:sz w:val="18"/>
          <w:lang w:val="en-AU"/>
        </w:rPr>
        <w:t>to give Victorians new opportunities to earn</w:t>
      </w:r>
      <w:r>
        <w:rPr>
          <w:b w:val="0"/>
          <w:color w:val="000000"/>
          <w:sz w:val="18"/>
          <w:lang w:val="en-AU"/>
        </w:rPr>
        <w:t xml:space="preserve"> </w:t>
      </w:r>
      <w:r w:rsidRPr="00507B5D">
        <w:rPr>
          <w:b w:val="0"/>
          <w:color w:val="000000"/>
          <w:sz w:val="18"/>
          <w:lang w:val="en-AU"/>
        </w:rPr>
        <w:t>while undertaking higher qualifications, such</w:t>
      </w:r>
      <w:r>
        <w:rPr>
          <w:b w:val="0"/>
          <w:color w:val="000000"/>
          <w:sz w:val="18"/>
          <w:lang w:val="en-AU"/>
        </w:rPr>
        <w:t xml:space="preserve"> </w:t>
      </w:r>
      <w:r w:rsidRPr="00507B5D">
        <w:rPr>
          <w:b w:val="0"/>
          <w:color w:val="000000"/>
          <w:sz w:val="18"/>
          <w:lang w:val="en-AU"/>
        </w:rPr>
        <w:t>as vocational advanced diplomas and higher</w:t>
      </w:r>
      <w:r>
        <w:rPr>
          <w:b w:val="0"/>
          <w:color w:val="000000"/>
          <w:sz w:val="18"/>
          <w:lang w:val="en-AU"/>
        </w:rPr>
        <w:t xml:space="preserve"> </w:t>
      </w:r>
      <w:r w:rsidRPr="00507B5D">
        <w:rPr>
          <w:b w:val="0"/>
          <w:color w:val="000000"/>
          <w:sz w:val="18"/>
          <w:lang w:val="en-AU"/>
        </w:rPr>
        <w:t>education associate degrees.</w:t>
      </w:r>
      <w:r>
        <w:rPr>
          <w:b w:val="0"/>
          <w:color w:val="000000"/>
          <w:sz w:val="18"/>
          <w:lang w:val="en-AU"/>
        </w:rPr>
        <w:t xml:space="preserve"> </w:t>
      </w:r>
    </w:p>
    <w:p w14:paraId="3B19BF97" w14:textId="7FCED470" w:rsidR="00507B5D" w:rsidRPr="00507B5D" w:rsidRDefault="00507B5D" w:rsidP="00507B5D">
      <w:pPr>
        <w:pStyle w:val="ESHeading3"/>
        <w:rPr>
          <w:b w:val="0"/>
          <w:color w:val="000000"/>
          <w:sz w:val="18"/>
          <w:lang w:val="en-AU"/>
        </w:rPr>
      </w:pPr>
      <w:r w:rsidRPr="00507B5D">
        <w:rPr>
          <w:b w:val="0"/>
          <w:color w:val="000000"/>
          <w:sz w:val="18"/>
          <w:lang w:val="en-AU"/>
        </w:rPr>
        <w:t>Higher education plays a vital role in the Victorian</w:t>
      </w:r>
      <w:r w:rsidR="00882080">
        <w:rPr>
          <w:b w:val="0"/>
          <w:color w:val="000000"/>
          <w:sz w:val="18"/>
          <w:lang w:val="en-AU"/>
        </w:rPr>
        <w:t xml:space="preserve"> </w:t>
      </w:r>
      <w:r w:rsidRPr="00507B5D">
        <w:rPr>
          <w:b w:val="0"/>
          <w:color w:val="000000"/>
          <w:sz w:val="18"/>
          <w:lang w:val="en-AU"/>
        </w:rPr>
        <w:t>economy by producing graduates that meet</w:t>
      </w:r>
      <w:r w:rsidR="00882080">
        <w:rPr>
          <w:b w:val="0"/>
          <w:color w:val="000000"/>
          <w:sz w:val="18"/>
          <w:lang w:val="en-AU"/>
        </w:rPr>
        <w:t xml:space="preserve"> </w:t>
      </w:r>
      <w:r w:rsidRPr="00507B5D">
        <w:rPr>
          <w:b w:val="0"/>
          <w:color w:val="000000"/>
          <w:sz w:val="18"/>
          <w:lang w:val="en-AU"/>
        </w:rPr>
        <w:t>the skills and knowledge needs of business and</w:t>
      </w:r>
      <w:r w:rsidR="00882080">
        <w:rPr>
          <w:b w:val="0"/>
          <w:color w:val="000000"/>
          <w:sz w:val="18"/>
          <w:lang w:val="en-AU"/>
        </w:rPr>
        <w:t xml:space="preserve"> </w:t>
      </w:r>
      <w:r w:rsidRPr="00507B5D">
        <w:rPr>
          <w:b w:val="0"/>
          <w:color w:val="000000"/>
          <w:sz w:val="18"/>
          <w:lang w:val="en-AU"/>
        </w:rPr>
        <w:t>industry, collaborating with industry to research</w:t>
      </w:r>
      <w:r w:rsidR="00882080">
        <w:rPr>
          <w:b w:val="0"/>
          <w:color w:val="000000"/>
          <w:sz w:val="18"/>
          <w:lang w:val="en-AU"/>
        </w:rPr>
        <w:t xml:space="preserve"> </w:t>
      </w:r>
      <w:r w:rsidRPr="00507B5D">
        <w:rPr>
          <w:b w:val="0"/>
          <w:color w:val="000000"/>
          <w:sz w:val="18"/>
          <w:lang w:val="en-AU"/>
        </w:rPr>
        <w:t>emerging technologies to support Victoria’s</w:t>
      </w:r>
      <w:r w:rsidR="00882080">
        <w:rPr>
          <w:b w:val="0"/>
          <w:color w:val="000000"/>
          <w:sz w:val="18"/>
          <w:lang w:val="en-AU"/>
        </w:rPr>
        <w:t xml:space="preserve"> </w:t>
      </w:r>
      <w:r w:rsidRPr="00507B5D">
        <w:rPr>
          <w:b w:val="0"/>
          <w:color w:val="000000"/>
          <w:sz w:val="18"/>
          <w:lang w:val="en-AU"/>
        </w:rPr>
        <w:t>changing economy, and contributing to local and</w:t>
      </w:r>
      <w:r w:rsidR="00882080">
        <w:rPr>
          <w:b w:val="0"/>
          <w:color w:val="000000"/>
          <w:sz w:val="18"/>
          <w:lang w:val="en-AU"/>
        </w:rPr>
        <w:t xml:space="preserve"> </w:t>
      </w:r>
      <w:r w:rsidRPr="00507B5D">
        <w:rPr>
          <w:b w:val="0"/>
          <w:color w:val="000000"/>
          <w:sz w:val="18"/>
          <w:lang w:val="en-AU"/>
        </w:rPr>
        <w:t>regional economies.</w:t>
      </w:r>
    </w:p>
    <w:p w14:paraId="25FA795D" w14:textId="47410204" w:rsidR="00507B5D" w:rsidRDefault="00507B5D" w:rsidP="00507B5D">
      <w:pPr>
        <w:pStyle w:val="ESHeading3"/>
        <w:rPr>
          <w:b w:val="0"/>
          <w:color w:val="000000"/>
          <w:sz w:val="18"/>
          <w:lang w:val="en-AU"/>
        </w:rPr>
      </w:pPr>
      <w:r w:rsidRPr="00507B5D">
        <w:rPr>
          <w:b w:val="0"/>
          <w:color w:val="000000"/>
          <w:sz w:val="18"/>
          <w:lang w:val="en-AU"/>
        </w:rPr>
        <w:t>The Department meets with Vice-Chancellors of</w:t>
      </w:r>
      <w:r w:rsidR="00882080">
        <w:rPr>
          <w:b w:val="0"/>
          <w:color w:val="000000"/>
          <w:sz w:val="18"/>
          <w:lang w:val="en-AU"/>
        </w:rPr>
        <w:t xml:space="preserve"> </w:t>
      </w:r>
      <w:r w:rsidRPr="00507B5D">
        <w:rPr>
          <w:b w:val="0"/>
          <w:color w:val="000000"/>
          <w:sz w:val="18"/>
          <w:lang w:val="en-AU"/>
        </w:rPr>
        <w:t>Victorian universities regularly throughout the year</w:t>
      </w:r>
      <w:r w:rsidR="00882080">
        <w:rPr>
          <w:b w:val="0"/>
          <w:color w:val="000000"/>
          <w:sz w:val="18"/>
          <w:lang w:val="en-AU"/>
        </w:rPr>
        <w:t xml:space="preserve"> </w:t>
      </w:r>
      <w:r w:rsidRPr="00507B5D">
        <w:rPr>
          <w:b w:val="0"/>
          <w:color w:val="000000"/>
          <w:sz w:val="18"/>
          <w:lang w:val="en-AU"/>
        </w:rPr>
        <w:t>to address shared strategic priorities including</w:t>
      </w:r>
      <w:r w:rsidR="00882080">
        <w:rPr>
          <w:b w:val="0"/>
          <w:color w:val="000000"/>
          <w:sz w:val="18"/>
          <w:lang w:val="en-AU"/>
        </w:rPr>
        <w:t xml:space="preserve"> </w:t>
      </w:r>
      <w:r w:rsidRPr="00507B5D">
        <w:rPr>
          <w:b w:val="0"/>
          <w:color w:val="000000"/>
          <w:sz w:val="18"/>
          <w:lang w:val="en-AU"/>
        </w:rPr>
        <w:t>strengthening pathways between vocational</w:t>
      </w:r>
      <w:r w:rsidR="00882080">
        <w:rPr>
          <w:b w:val="0"/>
          <w:color w:val="000000"/>
          <w:sz w:val="18"/>
          <w:lang w:val="en-AU"/>
        </w:rPr>
        <w:t xml:space="preserve"> </w:t>
      </w:r>
      <w:r w:rsidRPr="00507B5D">
        <w:rPr>
          <w:b w:val="0"/>
          <w:color w:val="000000"/>
          <w:sz w:val="18"/>
          <w:lang w:val="en-AU"/>
        </w:rPr>
        <w:t>training and higher education, and the delivery of</w:t>
      </w:r>
      <w:r w:rsidR="00882080">
        <w:rPr>
          <w:b w:val="0"/>
          <w:color w:val="000000"/>
          <w:sz w:val="18"/>
          <w:lang w:val="en-AU"/>
        </w:rPr>
        <w:t xml:space="preserve"> </w:t>
      </w:r>
      <w:r w:rsidRPr="00507B5D">
        <w:rPr>
          <w:b w:val="0"/>
          <w:color w:val="000000"/>
          <w:sz w:val="18"/>
          <w:lang w:val="en-AU"/>
        </w:rPr>
        <w:t>high-quality initial teacher education.</w:t>
      </w:r>
    </w:p>
    <w:p w14:paraId="4715A2DE" w14:textId="77777777" w:rsidR="00882080" w:rsidRPr="006F10F1" w:rsidRDefault="00882080" w:rsidP="00903DF5">
      <w:pPr>
        <w:pStyle w:val="ESHeading3"/>
        <w:spacing w:line="240" w:lineRule="auto"/>
        <w:rPr>
          <w:rFonts w:eastAsiaTheme="majorEastAsia" w:cstheme="majorBidi"/>
          <w:bCs/>
          <w:caps/>
          <w:color w:val="AF272F"/>
          <w:szCs w:val="20"/>
          <w:lang w:val="en-AU"/>
        </w:rPr>
      </w:pPr>
      <w:r w:rsidRPr="002D6A1C">
        <w:rPr>
          <w:rFonts w:eastAsiaTheme="majorEastAsia" w:cstheme="majorBidi"/>
          <w:caps/>
          <w:color w:val="AF272F"/>
          <w:sz w:val="18"/>
          <w:szCs w:val="20"/>
          <w:lang w:val="en-AU"/>
        </w:rPr>
        <w:t>OUR STORIES: FREE TAFE FOR GROWING VICTORIA</w:t>
      </w:r>
      <w:r w:rsidR="00645064">
        <w:rPr>
          <w:rFonts w:eastAsiaTheme="majorEastAsia" w:cstheme="majorBidi"/>
          <w:bCs/>
          <w:caps/>
          <w:color w:val="AF272F"/>
          <w:szCs w:val="20"/>
        </w:rPr>
        <w:pict w14:anchorId="1362DA9E">
          <v:rect id="_x0000_i1028" style="width:0;height:1.5pt" o:hralign="center" o:hrstd="t" o:hr="t" fillcolor="#a0a0a0" stroked="f"/>
        </w:pict>
      </w:r>
    </w:p>
    <w:p w14:paraId="24160142" w14:textId="77777777" w:rsidR="00882080" w:rsidRDefault="00882080" w:rsidP="00903DF5">
      <w:pPr>
        <w:pStyle w:val="ESHeading3"/>
        <w:spacing w:before="120"/>
        <w:rPr>
          <w:b w:val="0"/>
          <w:color w:val="000000"/>
          <w:sz w:val="18"/>
          <w:lang w:val="en-AU"/>
        </w:rPr>
      </w:pPr>
      <w:r w:rsidRPr="006F10F1">
        <w:rPr>
          <w:b w:val="0"/>
          <w:color w:val="000000"/>
          <w:sz w:val="18"/>
          <w:lang w:val="en-AU"/>
        </w:rPr>
        <w:t>Free TAFE for Priority Courses reduces the</w:t>
      </w:r>
      <w:r>
        <w:rPr>
          <w:b w:val="0"/>
          <w:color w:val="000000"/>
          <w:sz w:val="18"/>
          <w:lang w:val="en-AU"/>
        </w:rPr>
        <w:t xml:space="preserve"> </w:t>
      </w:r>
      <w:r w:rsidRPr="006F10F1">
        <w:rPr>
          <w:b w:val="0"/>
          <w:color w:val="000000"/>
          <w:sz w:val="18"/>
          <w:lang w:val="en-AU"/>
        </w:rPr>
        <w:t>financial barrier for eligible students to</w:t>
      </w:r>
      <w:r>
        <w:rPr>
          <w:b w:val="0"/>
          <w:color w:val="000000"/>
          <w:sz w:val="18"/>
          <w:lang w:val="en-AU"/>
        </w:rPr>
        <w:t xml:space="preserve"> </w:t>
      </w:r>
      <w:r w:rsidRPr="006F10F1">
        <w:rPr>
          <w:b w:val="0"/>
          <w:color w:val="000000"/>
          <w:sz w:val="18"/>
          <w:lang w:val="en-AU"/>
        </w:rPr>
        <w:t>train for the jobs that are most in demand.</w:t>
      </w:r>
      <w:r>
        <w:rPr>
          <w:b w:val="0"/>
          <w:color w:val="000000"/>
          <w:sz w:val="18"/>
          <w:lang w:val="en-AU"/>
        </w:rPr>
        <w:t xml:space="preserve"> </w:t>
      </w:r>
      <w:r w:rsidRPr="006F10F1">
        <w:rPr>
          <w:b w:val="0"/>
          <w:color w:val="000000"/>
          <w:sz w:val="18"/>
          <w:lang w:val="en-AU"/>
        </w:rPr>
        <w:t>Students can save up to $2,500 for some</w:t>
      </w:r>
      <w:r>
        <w:rPr>
          <w:b w:val="0"/>
          <w:color w:val="000000"/>
          <w:sz w:val="18"/>
          <w:lang w:val="en-AU"/>
        </w:rPr>
        <w:t xml:space="preserve"> </w:t>
      </w:r>
      <w:r w:rsidRPr="006F10F1">
        <w:rPr>
          <w:b w:val="0"/>
          <w:color w:val="000000"/>
          <w:sz w:val="18"/>
          <w:lang w:val="en-AU"/>
        </w:rPr>
        <w:t>pre-apprenticeship courses, up to more</w:t>
      </w:r>
      <w:r>
        <w:rPr>
          <w:b w:val="0"/>
          <w:color w:val="000000"/>
          <w:sz w:val="18"/>
          <w:lang w:val="en-AU"/>
        </w:rPr>
        <w:t xml:space="preserve"> </w:t>
      </w:r>
      <w:r w:rsidRPr="006F10F1">
        <w:rPr>
          <w:b w:val="0"/>
          <w:color w:val="000000"/>
          <w:sz w:val="18"/>
          <w:lang w:val="en-AU"/>
        </w:rPr>
        <w:t xml:space="preserve">than </w:t>
      </w:r>
      <w:r w:rsidRPr="006F10F1">
        <w:rPr>
          <w:b w:val="0"/>
          <w:color w:val="000000"/>
          <w:sz w:val="18"/>
          <w:lang w:val="en-AU"/>
        </w:rPr>
        <w:lastRenderedPageBreak/>
        <w:t>$10,000 for courses such as the Diploma</w:t>
      </w:r>
      <w:r>
        <w:rPr>
          <w:b w:val="0"/>
          <w:color w:val="000000"/>
          <w:sz w:val="18"/>
          <w:lang w:val="en-AU"/>
        </w:rPr>
        <w:t xml:space="preserve"> </w:t>
      </w:r>
      <w:r w:rsidRPr="006F10F1">
        <w:rPr>
          <w:b w:val="0"/>
          <w:color w:val="000000"/>
          <w:sz w:val="18"/>
          <w:lang w:val="en-AU"/>
        </w:rPr>
        <w:t>of Nursing or Building and Construction.</w:t>
      </w:r>
      <w:r>
        <w:rPr>
          <w:b w:val="0"/>
          <w:color w:val="000000"/>
          <w:sz w:val="18"/>
          <w:lang w:val="en-AU"/>
        </w:rPr>
        <w:t xml:space="preserve"> </w:t>
      </w:r>
    </w:p>
    <w:p w14:paraId="17C9EB7D" w14:textId="3B3C296D" w:rsidR="002D6A1C" w:rsidRDefault="00882080" w:rsidP="002D6A1C">
      <w:pPr>
        <w:pStyle w:val="ESHeading3"/>
        <w:rPr>
          <w:color w:val="000000"/>
          <w:lang w:val="en-AU"/>
        </w:rPr>
      </w:pPr>
      <w:r w:rsidRPr="006F10F1">
        <w:rPr>
          <w:b w:val="0"/>
          <w:color w:val="000000"/>
          <w:sz w:val="18"/>
          <w:lang w:val="en-AU"/>
        </w:rPr>
        <w:t>20 year old Michaela says that being able to</w:t>
      </w:r>
      <w:r>
        <w:rPr>
          <w:b w:val="0"/>
          <w:color w:val="000000"/>
          <w:sz w:val="18"/>
          <w:lang w:val="en-AU"/>
        </w:rPr>
        <w:t xml:space="preserve"> </w:t>
      </w:r>
      <w:r w:rsidRPr="006F10F1">
        <w:rPr>
          <w:b w:val="0"/>
          <w:color w:val="000000"/>
          <w:sz w:val="18"/>
          <w:lang w:val="en-AU"/>
        </w:rPr>
        <w:t>study her TAFE nursing course for free has</w:t>
      </w:r>
      <w:r>
        <w:rPr>
          <w:b w:val="0"/>
          <w:color w:val="000000"/>
          <w:sz w:val="18"/>
          <w:lang w:val="en-AU"/>
        </w:rPr>
        <w:t xml:space="preserve"> </w:t>
      </w:r>
      <w:r w:rsidRPr="006F10F1">
        <w:rPr>
          <w:b w:val="0"/>
          <w:color w:val="000000"/>
          <w:sz w:val="18"/>
          <w:lang w:val="en-AU"/>
        </w:rPr>
        <w:t>‘made my life so much easier’.</w:t>
      </w:r>
      <w:r>
        <w:rPr>
          <w:b w:val="0"/>
          <w:color w:val="000000"/>
          <w:sz w:val="18"/>
          <w:lang w:val="en-AU"/>
        </w:rPr>
        <w:t xml:space="preserve"> </w:t>
      </w:r>
      <w:r w:rsidRPr="00062472">
        <w:rPr>
          <w:b w:val="0"/>
          <w:i/>
          <w:color w:val="000000"/>
          <w:sz w:val="18"/>
          <w:lang w:val="en-AU"/>
        </w:rPr>
        <w:t>‘I’m not going to have to worry about a debt, especially with a young child’</w:t>
      </w:r>
      <w:r w:rsidRPr="006F10F1">
        <w:rPr>
          <w:b w:val="0"/>
          <w:color w:val="000000"/>
          <w:sz w:val="18"/>
          <w:lang w:val="en-AU"/>
        </w:rPr>
        <w:t>. Michaela says.</w:t>
      </w:r>
      <w:r>
        <w:rPr>
          <w:b w:val="0"/>
          <w:color w:val="000000"/>
          <w:sz w:val="18"/>
          <w:lang w:val="en-AU"/>
        </w:rPr>
        <w:t xml:space="preserve"> </w:t>
      </w:r>
      <w:r w:rsidR="002D6A1C">
        <w:rPr>
          <w:b w:val="0"/>
          <w:color w:val="000000"/>
          <w:sz w:val="18"/>
          <w:lang w:val="en-AU"/>
        </w:rPr>
        <w:br w:type="page"/>
      </w:r>
    </w:p>
    <w:p w14:paraId="5C3AFA02" w14:textId="3C8279BA" w:rsidR="0071620B" w:rsidRPr="002D6A1C" w:rsidRDefault="008159D1" w:rsidP="00EE4FA1">
      <w:pPr>
        <w:pStyle w:val="ESHeading1"/>
      </w:pPr>
      <w:bookmarkStart w:id="29" w:name="_Toc21601692"/>
      <w:bookmarkStart w:id="30" w:name="_Toc453849651"/>
      <w:bookmarkStart w:id="31" w:name="_Toc453855597"/>
      <w:bookmarkStart w:id="32" w:name="_Toc453856731"/>
      <w:bookmarkStart w:id="33" w:name="_Toc460341172"/>
      <w:bookmarkStart w:id="34" w:name="_Toc484621910"/>
      <w:bookmarkStart w:id="35" w:name="_Toc514058239"/>
      <w:bookmarkStart w:id="36" w:name="_Toc514058361"/>
      <w:bookmarkStart w:id="37" w:name="_Toc514070484"/>
      <w:bookmarkEnd w:id="27"/>
      <w:r w:rsidRPr="002D6A1C">
        <w:lastRenderedPageBreak/>
        <w:t>ORGANISATIONAL REFORMS</w:t>
      </w:r>
      <w:bookmarkEnd w:id="29"/>
    </w:p>
    <w:p w14:paraId="49674B7A" w14:textId="77777777" w:rsidR="002D6A1C" w:rsidRDefault="008159D1" w:rsidP="0071620B">
      <w:pPr>
        <w:pStyle w:val="ESHeading3"/>
        <w:rPr>
          <w:b w:val="0"/>
          <w:color w:val="auto"/>
          <w:sz w:val="18"/>
        </w:rPr>
      </w:pPr>
      <w:r w:rsidRPr="008159D1">
        <w:rPr>
          <w:b w:val="0"/>
          <w:color w:val="auto"/>
          <w:sz w:val="18"/>
        </w:rPr>
        <w:t>To deliver our significant reform agenda, the</w:t>
      </w:r>
      <w:r>
        <w:rPr>
          <w:b w:val="0"/>
          <w:color w:val="auto"/>
          <w:sz w:val="18"/>
        </w:rPr>
        <w:t xml:space="preserve"> </w:t>
      </w:r>
      <w:r w:rsidRPr="008159D1">
        <w:rPr>
          <w:b w:val="0"/>
          <w:color w:val="auto"/>
          <w:sz w:val="18"/>
        </w:rPr>
        <w:t>Department will continue to build our capability as</w:t>
      </w:r>
      <w:r>
        <w:rPr>
          <w:b w:val="0"/>
          <w:color w:val="auto"/>
          <w:sz w:val="18"/>
        </w:rPr>
        <w:t xml:space="preserve"> </w:t>
      </w:r>
      <w:r w:rsidRPr="008159D1">
        <w:rPr>
          <w:b w:val="0"/>
          <w:color w:val="auto"/>
          <w:sz w:val="18"/>
        </w:rPr>
        <w:t>a workforce, develop best practice policy, improve</w:t>
      </w:r>
      <w:r>
        <w:rPr>
          <w:b w:val="0"/>
          <w:color w:val="auto"/>
          <w:sz w:val="18"/>
        </w:rPr>
        <w:t xml:space="preserve"> </w:t>
      </w:r>
      <w:r w:rsidRPr="008159D1">
        <w:rPr>
          <w:b w:val="0"/>
          <w:color w:val="auto"/>
          <w:sz w:val="18"/>
        </w:rPr>
        <w:t>our systems and provide a safe, inclusive and</w:t>
      </w:r>
      <w:r>
        <w:rPr>
          <w:b w:val="0"/>
          <w:color w:val="auto"/>
          <w:sz w:val="18"/>
        </w:rPr>
        <w:t xml:space="preserve"> </w:t>
      </w:r>
      <w:r w:rsidRPr="008159D1">
        <w:rPr>
          <w:b w:val="0"/>
          <w:color w:val="auto"/>
          <w:sz w:val="18"/>
        </w:rPr>
        <w:t>supportive environment for our people.</w:t>
      </w:r>
      <w:r>
        <w:rPr>
          <w:b w:val="0"/>
          <w:color w:val="auto"/>
          <w:sz w:val="18"/>
        </w:rPr>
        <w:t xml:space="preserve"> </w:t>
      </w:r>
    </w:p>
    <w:p w14:paraId="0B606B4A" w14:textId="5C732BE1" w:rsidR="0071620B" w:rsidRPr="00A729AC" w:rsidRDefault="008159D1" w:rsidP="0071620B">
      <w:pPr>
        <w:pStyle w:val="ESHeading3"/>
        <w:rPr>
          <w:b w:val="0"/>
          <w:color w:val="auto"/>
          <w:sz w:val="18"/>
        </w:rPr>
      </w:pPr>
      <w:r w:rsidRPr="008159D1">
        <w:rPr>
          <w:b w:val="0"/>
          <w:color w:val="auto"/>
          <w:sz w:val="18"/>
          <w:lang w:val="en-AU"/>
        </w:rPr>
        <w:t>Over 2019–2023 the Department will deliver:</w:t>
      </w:r>
      <w:r>
        <w:rPr>
          <w:b w:val="0"/>
          <w:color w:val="auto"/>
          <w:sz w:val="18"/>
        </w:rPr>
        <w:t xml:space="preserve"> </w:t>
      </w:r>
    </w:p>
    <w:p w14:paraId="1BB1CABC" w14:textId="77777777" w:rsidR="008159D1" w:rsidRPr="008159D1" w:rsidRDefault="008159D1" w:rsidP="00194DAB">
      <w:pPr>
        <w:pStyle w:val="ESHeading3"/>
        <w:numPr>
          <w:ilvl w:val="0"/>
          <w:numId w:val="5"/>
        </w:numPr>
        <w:ind w:left="426" w:hanging="284"/>
        <w:rPr>
          <w:b w:val="0"/>
          <w:color w:val="auto"/>
          <w:sz w:val="18"/>
        </w:rPr>
      </w:pPr>
      <w:r w:rsidRPr="008159D1">
        <w:rPr>
          <w:bCs/>
          <w:sz w:val="18"/>
          <w:lang w:val="en-AU"/>
        </w:rPr>
        <w:t xml:space="preserve">Investing in Our People </w:t>
      </w:r>
      <w:r w:rsidRPr="008159D1">
        <w:rPr>
          <w:sz w:val="18"/>
          <w:lang w:val="en-AU"/>
        </w:rPr>
        <w:t xml:space="preserve">– </w:t>
      </w:r>
      <w:r w:rsidRPr="008159D1">
        <w:rPr>
          <w:b w:val="0"/>
          <w:sz w:val="18"/>
          <w:lang w:val="en-AU"/>
        </w:rPr>
        <w:t>This strategy aligns with the Department’s strategic vision, focusing on areas that will have the most impact on our organisation’s delivery and performance. The strategy has five objectives that work to give a holistic approach, ensuring our people are capable, able to perform at their best, and feel empowered, valued and supported.</w:t>
      </w:r>
    </w:p>
    <w:p w14:paraId="5B07E120" w14:textId="77777777" w:rsidR="008159D1" w:rsidRPr="008159D1" w:rsidRDefault="008159D1" w:rsidP="00194DAB">
      <w:pPr>
        <w:pStyle w:val="ESHeading3"/>
        <w:numPr>
          <w:ilvl w:val="0"/>
          <w:numId w:val="5"/>
        </w:numPr>
        <w:ind w:left="426" w:hanging="284"/>
        <w:rPr>
          <w:b w:val="0"/>
          <w:color w:val="auto"/>
          <w:sz w:val="18"/>
        </w:rPr>
      </w:pPr>
      <w:r w:rsidRPr="008159D1">
        <w:rPr>
          <w:bCs/>
          <w:sz w:val="18"/>
          <w:lang w:val="en-AU"/>
        </w:rPr>
        <w:t xml:space="preserve">Wirnalung Ganai 2019–2021 </w:t>
      </w:r>
      <w:r w:rsidRPr="008159D1">
        <w:rPr>
          <w:sz w:val="18"/>
          <w:lang w:val="en-AU"/>
        </w:rPr>
        <w:t xml:space="preserve">– </w:t>
      </w:r>
      <w:r w:rsidRPr="008159D1">
        <w:rPr>
          <w:b w:val="0"/>
          <w:sz w:val="18"/>
          <w:lang w:val="en-AU"/>
        </w:rPr>
        <w:t>The Department’s Aboriginal inclusion plan is aligned to Marrung: Aboriginal Education Plan 2016–2026. The plan’s purpose is for the Department to be a culturally safe place for employees, partners, learners and families; and be an organisation that values and respects Aboriginal voice and expertise and ensures an active commitment to Aboriginal self-determination.</w:t>
      </w:r>
    </w:p>
    <w:p w14:paraId="3DD473BE" w14:textId="20824597" w:rsidR="00725BAF" w:rsidRPr="00725BAF" w:rsidRDefault="008159D1" w:rsidP="00194DAB">
      <w:pPr>
        <w:pStyle w:val="ESHeading3"/>
        <w:numPr>
          <w:ilvl w:val="0"/>
          <w:numId w:val="5"/>
        </w:numPr>
        <w:ind w:left="426" w:hanging="284"/>
        <w:rPr>
          <w:b w:val="0"/>
          <w:color w:val="auto"/>
          <w:sz w:val="18"/>
        </w:rPr>
      </w:pPr>
      <w:r w:rsidRPr="008159D1">
        <w:rPr>
          <w:bCs/>
          <w:sz w:val="18"/>
          <w:lang w:val="en-AU"/>
        </w:rPr>
        <w:t xml:space="preserve">Raising the bar: </w:t>
      </w:r>
      <w:r w:rsidRPr="003D72B1">
        <w:rPr>
          <w:sz w:val="18"/>
          <w:lang w:val="en-AU"/>
        </w:rPr>
        <w:t>Valuing Integrity Strategy 2018–21</w:t>
      </w:r>
      <w:r w:rsidR="003D72B1" w:rsidRPr="003D72B1">
        <w:rPr>
          <w:b w:val="0"/>
          <w:sz w:val="18"/>
          <w:lang w:val="en-AU"/>
        </w:rPr>
        <w:t xml:space="preserve"> – This strategy</w:t>
      </w:r>
      <w:r w:rsidRPr="008159D1">
        <w:rPr>
          <w:b w:val="0"/>
          <w:sz w:val="18"/>
          <w:lang w:val="en-AU"/>
        </w:rPr>
        <w:t xml:space="preserve"> will progress the Integrity Reform agenda. Leveraging the gains made through the Integrity Reform Program, the strategy will continue to embed improvements in business as usual processes and practices, and provide a platform for all integrity-related work across</w:t>
      </w:r>
      <w:r w:rsidRPr="008159D1">
        <w:rPr>
          <w:b w:val="0"/>
          <w:color w:val="auto"/>
          <w:sz w:val="18"/>
        </w:rPr>
        <w:t xml:space="preserve"> </w:t>
      </w:r>
      <w:r w:rsidRPr="008159D1">
        <w:rPr>
          <w:b w:val="0"/>
          <w:sz w:val="18"/>
          <w:lang w:val="en-AU"/>
        </w:rPr>
        <w:t>our education services.</w:t>
      </w:r>
    </w:p>
    <w:p w14:paraId="38482893" w14:textId="4B886E6B" w:rsidR="00A729AC" w:rsidRPr="003214DF" w:rsidRDefault="00725BAF" w:rsidP="00194DAB">
      <w:pPr>
        <w:pStyle w:val="ESHeading3"/>
        <w:numPr>
          <w:ilvl w:val="0"/>
          <w:numId w:val="5"/>
        </w:numPr>
        <w:ind w:left="426" w:hanging="284"/>
        <w:rPr>
          <w:b w:val="0"/>
          <w:color w:val="auto"/>
          <w:sz w:val="18"/>
        </w:rPr>
      </w:pPr>
      <w:r w:rsidRPr="00725BAF">
        <w:rPr>
          <w:bCs/>
          <w:sz w:val="18"/>
          <w:lang w:val="en-AU"/>
        </w:rPr>
        <w:t xml:space="preserve">Departmental Leadership Capabilities Framework </w:t>
      </w:r>
      <w:r w:rsidRPr="00725BAF">
        <w:rPr>
          <w:sz w:val="18"/>
          <w:lang w:val="en-AU"/>
        </w:rPr>
        <w:t xml:space="preserve">– </w:t>
      </w:r>
      <w:r w:rsidRPr="00725BAF">
        <w:rPr>
          <w:b w:val="0"/>
          <w:sz w:val="18"/>
          <w:lang w:val="en-AU"/>
        </w:rPr>
        <w:t xml:space="preserve">This framework contains the 10 priority skills and attributes our leaders need to realise Department’s strategic priorities and deliver the Education State reform </w:t>
      </w:r>
      <w:r w:rsidR="004C2513" w:rsidRPr="00725BAF">
        <w:rPr>
          <w:b w:val="0"/>
          <w:sz w:val="18"/>
          <w:lang w:val="en-AU"/>
        </w:rPr>
        <w:t>agenda. The</w:t>
      </w:r>
      <w:r w:rsidRPr="00725BAF">
        <w:rPr>
          <w:b w:val="0"/>
          <w:sz w:val="18"/>
          <w:lang w:val="en-AU"/>
        </w:rPr>
        <w:t xml:space="preserve"> framework underpins the Department’s</w:t>
      </w:r>
      <w:r w:rsidRPr="00725BAF">
        <w:rPr>
          <w:b w:val="0"/>
          <w:color w:val="auto"/>
          <w:sz w:val="18"/>
        </w:rPr>
        <w:t xml:space="preserve"> </w:t>
      </w:r>
      <w:r w:rsidRPr="00725BAF">
        <w:rPr>
          <w:b w:val="0"/>
          <w:sz w:val="18"/>
          <w:lang w:val="en-AU"/>
        </w:rPr>
        <w:t>Leadership Charter.</w:t>
      </w:r>
    </w:p>
    <w:p w14:paraId="005064D7" w14:textId="32E047E5" w:rsidR="003214DF" w:rsidRPr="003214DF" w:rsidRDefault="003214DF" w:rsidP="003214DF">
      <w:pPr>
        <w:pStyle w:val="ESHeading3"/>
        <w:rPr>
          <w:rFonts w:eastAsiaTheme="majorEastAsia" w:cstheme="majorBidi"/>
          <w:bCs/>
          <w:caps/>
          <w:color w:val="AF272F"/>
          <w:szCs w:val="20"/>
        </w:rPr>
      </w:pPr>
      <w:bookmarkStart w:id="38" w:name="_Toc460341173"/>
      <w:bookmarkEnd w:id="30"/>
      <w:bookmarkEnd w:id="31"/>
      <w:bookmarkEnd w:id="32"/>
      <w:bookmarkEnd w:id="33"/>
      <w:bookmarkEnd w:id="34"/>
      <w:bookmarkEnd w:id="35"/>
      <w:bookmarkEnd w:id="36"/>
      <w:bookmarkEnd w:id="37"/>
      <w:r w:rsidRPr="002D6A1C">
        <w:rPr>
          <w:rFonts w:eastAsiaTheme="majorEastAsia" w:cstheme="majorBidi"/>
          <w:caps/>
          <w:color w:val="AF272F"/>
          <w:sz w:val="18"/>
          <w:szCs w:val="20"/>
        </w:rPr>
        <w:t>OUR STORIES: PATHWAYS AT DET PROGRAM</w:t>
      </w:r>
      <w:r w:rsidR="00645064">
        <w:rPr>
          <w:rFonts w:eastAsiaTheme="majorEastAsia" w:cstheme="majorBidi"/>
          <w:bCs/>
          <w:caps/>
          <w:color w:val="AF272F"/>
          <w:szCs w:val="20"/>
        </w:rPr>
        <w:pict w14:anchorId="1C97B61C">
          <v:rect id="_x0000_i1029" style="width:0;height:1.5pt" o:hralign="center" o:hrstd="t" o:hr="t" fillcolor="#a0a0a0" stroked="f"/>
        </w:pict>
      </w:r>
    </w:p>
    <w:p w14:paraId="367A7CEA" w14:textId="7F2046D3" w:rsidR="003214DF" w:rsidRDefault="003214DF" w:rsidP="00A52440">
      <w:pPr>
        <w:pStyle w:val="ESBodyText"/>
      </w:pPr>
      <w:r w:rsidRPr="003214DF">
        <w:t>The Pathways at DET program aims to</w:t>
      </w:r>
      <w:r>
        <w:t xml:space="preserve"> </w:t>
      </w:r>
      <w:r w:rsidRPr="003214DF">
        <w:t>strengthen professional practice and</w:t>
      </w:r>
      <w:r>
        <w:t xml:space="preserve"> </w:t>
      </w:r>
      <w:r w:rsidRPr="003214DF">
        <w:t>connection between corporate areas and</w:t>
      </w:r>
      <w:r>
        <w:t xml:space="preserve"> </w:t>
      </w:r>
      <w:r w:rsidRPr="003214DF">
        <w:t>school leadership, leading to improved</w:t>
      </w:r>
      <w:r>
        <w:t xml:space="preserve"> </w:t>
      </w:r>
      <w:r w:rsidRPr="003214DF">
        <w:t>outcomes for students, building stronger</w:t>
      </w:r>
      <w:r>
        <w:t xml:space="preserve"> </w:t>
      </w:r>
      <w:r w:rsidRPr="003214DF">
        <w:t>relationships and knowledge sharing</w:t>
      </w:r>
      <w:r>
        <w:t xml:space="preserve"> </w:t>
      </w:r>
      <w:r w:rsidRPr="003214DF">
        <w:t>opportunities and improving career pathways</w:t>
      </w:r>
      <w:r>
        <w:t xml:space="preserve"> </w:t>
      </w:r>
      <w:r w:rsidRPr="003214DF">
        <w:t>for senior school educator into public policy</w:t>
      </w:r>
      <w:r>
        <w:t xml:space="preserve"> </w:t>
      </w:r>
      <w:r w:rsidRPr="003214DF">
        <w:t>and administration roles. The program</w:t>
      </w:r>
      <w:r>
        <w:t xml:space="preserve"> </w:t>
      </w:r>
      <w:r w:rsidRPr="003214DF">
        <w:t>invites principals and leading teachers to</w:t>
      </w:r>
      <w:r>
        <w:t xml:space="preserve"> </w:t>
      </w:r>
      <w:r w:rsidRPr="003214DF">
        <w:t>swap their senior educator roles in Victorian</w:t>
      </w:r>
      <w:r>
        <w:t xml:space="preserve"> </w:t>
      </w:r>
      <w:r w:rsidRPr="003214DF">
        <w:t>government schools for a term in a corporate</w:t>
      </w:r>
      <w:r>
        <w:t xml:space="preserve"> </w:t>
      </w:r>
      <w:r w:rsidRPr="003214DF">
        <w:t>role. The program has been highly successful</w:t>
      </w:r>
      <w:r>
        <w:t xml:space="preserve"> </w:t>
      </w:r>
      <w:r w:rsidRPr="003214DF">
        <w:t>in leveraging opportunities for designing,</w:t>
      </w:r>
      <w:r>
        <w:t xml:space="preserve"> </w:t>
      </w:r>
      <w:r w:rsidRPr="003214DF">
        <w:t>implementing and operating a world class</w:t>
      </w:r>
      <w:r>
        <w:t xml:space="preserve"> </w:t>
      </w:r>
      <w:r w:rsidRPr="003214DF">
        <w:t>public education system.</w:t>
      </w:r>
      <w:r>
        <w:t xml:space="preserve"> </w:t>
      </w:r>
      <w:bookmarkEnd w:id="38"/>
    </w:p>
    <w:p w14:paraId="020E75BE" w14:textId="77777777" w:rsidR="002D6A1C" w:rsidRDefault="002D6A1C">
      <w:pPr>
        <w:spacing w:after="0" w:line="240" w:lineRule="auto"/>
      </w:pPr>
      <w:r>
        <w:br w:type="page"/>
      </w:r>
    </w:p>
    <w:p w14:paraId="568A051A" w14:textId="7BEDBE8E" w:rsidR="003214DF" w:rsidRPr="00EE4FA1" w:rsidRDefault="002D6A1C" w:rsidP="00EE4FA1">
      <w:pPr>
        <w:pStyle w:val="ESHeading1"/>
      </w:pPr>
      <w:bookmarkStart w:id="39" w:name="_Toc21601693"/>
      <w:r w:rsidRPr="002D6A1C">
        <w:lastRenderedPageBreak/>
        <w:t>HOW WE MEASURE OUR SUCCESS</w:t>
      </w:r>
      <w:bookmarkEnd w:id="39"/>
    </w:p>
    <w:p w14:paraId="28A39751" w14:textId="77777777" w:rsidR="004A7F8C" w:rsidRPr="00EE4FA1" w:rsidRDefault="004A7F8C" w:rsidP="004A7F8C">
      <w:pPr>
        <w:pStyle w:val="ESHeading3"/>
        <w:rPr>
          <w:rFonts w:eastAsiaTheme="majorEastAsia" w:cstheme="majorBidi"/>
          <w:bCs/>
          <w:caps/>
          <w:color w:val="AF272F"/>
          <w:sz w:val="18"/>
          <w:szCs w:val="20"/>
        </w:rPr>
      </w:pPr>
      <w:r w:rsidRPr="00EE4FA1">
        <w:rPr>
          <w:rFonts w:eastAsiaTheme="majorEastAsia" w:cstheme="majorBidi"/>
          <w:bCs/>
          <w:caps/>
          <w:color w:val="AF272F"/>
          <w:sz w:val="18"/>
          <w:szCs w:val="20"/>
        </w:rPr>
        <w:t>REPORTING PROGRESS</w:t>
      </w:r>
    </w:p>
    <w:p w14:paraId="70096C2F" w14:textId="77777777" w:rsidR="00903DF5" w:rsidRDefault="004A7F8C" w:rsidP="00E91FC9">
      <w:pPr>
        <w:pStyle w:val="ESBodyText"/>
        <w:rPr>
          <w:color w:val="000000"/>
          <w:lang w:val="en-AU"/>
        </w:rPr>
      </w:pPr>
      <w:r w:rsidRPr="004A7F8C">
        <w:rPr>
          <w:color w:val="000000"/>
          <w:lang w:val="en-AU"/>
        </w:rPr>
        <w:t xml:space="preserve">The Department reports progress across its portfolios through a set of outcome indicators and performance measures published in the </w:t>
      </w:r>
      <w:r w:rsidRPr="00903DF5">
        <w:rPr>
          <w:color w:val="B92330"/>
          <w:u w:val="single"/>
          <w:lang w:val="en-AU"/>
        </w:rPr>
        <w:t>State Budget Papers</w:t>
      </w:r>
      <w:r w:rsidR="003D72B1">
        <w:rPr>
          <w:rStyle w:val="FootnoteReference"/>
          <w:lang w:val="en-AU"/>
        </w:rPr>
        <w:footnoteReference w:id="3"/>
      </w:r>
      <w:r w:rsidRPr="004A7F8C">
        <w:rPr>
          <w:color w:val="000000"/>
          <w:lang w:val="en-AU"/>
        </w:rPr>
        <w:t xml:space="preserve">. The Department also reports progress against these outcome indicators and performance measures in its </w:t>
      </w:r>
      <w:r w:rsidRPr="00903DF5">
        <w:rPr>
          <w:color w:val="B92330"/>
          <w:u w:val="single"/>
          <w:lang w:val="en-AU"/>
        </w:rPr>
        <w:t>Annual Report</w:t>
      </w:r>
      <w:r w:rsidR="00903DF5">
        <w:rPr>
          <w:rStyle w:val="FootnoteReference"/>
          <w:lang w:val="en-AU"/>
        </w:rPr>
        <w:footnoteReference w:id="4"/>
      </w:r>
      <w:r w:rsidRPr="004A7F8C">
        <w:rPr>
          <w:color w:val="000000"/>
          <w:lang w:val="en-AU"/>
        </w:rPr>
        <w:t xml:space="preserve">, available on the Department’s website. </w:t>
      </w:r>
    </w:p>
    <w:p w14:paraId="489AB6B5" w14:textId="6F078241" w:rsidR="004A7F8C" w:rsidRPr="00903DF5" w:rsidRDefault="004A7F8C" w:rsidP="00E91FC9">
      <w:pPr>
        <w:pStyle w:val="ESBodyText"/>
        <w:rPr>
          <w:color w:val="000000"/>
          <w:lang w:val="en-AU"/>
        </w:rPr>
      </w:pPr>
      <w:r w:rsidRPr="004A7F8C">
        <w:rPr>
          <w:color w:val="000000"/>
          <w:lang w:val="en-AU"/>
        </w:rPr>
        <w:t>In 2015, the Government set ambitious targets for significant school improvement over 10 years.</w:t>
      </w:r>
      <w:r w:rsidR="00903DF5">
        <w:rPr>
          <w:color w:val="000000"/>
          <w:lang w:val="en-AU"/>
        </w:rPr>
        <w:t xml:space="preserve"> </w:t>
      </w:r>
      <w:r w:rsidRPr="004A7F8C">
        <w:rPr>
          <w:color w:val="000000"/>
          <w:lang w:val="en-AU"/>
        </w:rPr>
        <w:t>These targets focus on excellence and equity, and our goal to equip all school students with the personal and practical skills for success in life and work. The targets relate to the success of all school sectors and for all students (Figure 3).</w:t>
      </w:r>
    </w:p>
    <w:p w14:paraId="06E1DAB2" w14:textId="74D83CE4" w:rsidR="0008449B" w:rsidRPr="00E91FC9" w:rsidRDefault="004A7F8C" w:rsidP="00E91FC9">
      <w:pPr>
        <w:pStyle w:val="ESBodyText"/>
        <w:rPr>
          <w:b/>
          <w:color w:val="C00000"/>
          <w:lang w:val="en-AU"/>
        </w:rPr>
      </w:pPr>
      <w:r>
        <w:t xml:space="preserve"> </w:t>
      </w:r>
      <w:r w:rsidR="00F434FD" w:rsidRPr="00E91FC9">
        <w:rPr>
          <w:b/>
          <w:bCs/>
          <w:color w:val="C00000"/>
        </w:rPr>
        <w:t>Figure</w:t>
      </w:r>
      <w:r w:rsidR="00E91FC9" w:rsidRPr="00E91FC9">
        <w:rPr>
          <w:b/>
          <w:bCs/>
          <w:caps/>
          <w:color w:val="C00000"/>
        </w:rPr>
        <w:t xml:space="preserve"> </w:t>
      </w:r>
      <w:r w:rsidR="004C2513" w:rsidRPr="00E91FC9">
        <w:rPr>
          <w:b/>
          <w:bCs/>
          <w:caps/>
          <w:color w:val="C00000"/>
        </w:rPr>
        <w:t>3:</w:t>
      </w:r>
      <w:r w:rsidR="0008449B" w:rsidRPr="00E91FC9">
        <w:rPr>
          <w:b/>
          <w:bCs/>
          <w:color w:val="C00000"/>
        </w:rPr>
        <w:t xml:space="preserve">  </w:t>
      </w:r>
      <w:r w:rsidR="0008449B" w:rsidRPr="00E91FC9">
        <w:rPr>
          <w:b/>
          <w:color w:val="C00000"/>
          <w:lang w:val="en-AU"/>
        </w:rPr>
        <w:t>Education State Schools Targets</w:t>
      </w:r>
      <w:r w:rsidR="0008449B" w:rsidRPr="00E91FC9">
        <w:rPr>
          <w:b/>
          <w:caps/>
          <w:color w:val="C00000"/>
        </w:rPr>
        <w:t xml:space="preserve">  </w:t>
      </w:r>
    </w:p>
    <w:p w14:paraId="0529326D" w14:textId="77777777" w:rsidR="0008449B" w:rsidRPr="00F434FD" w:rsidRDefault="0008449B" w:rsidP="00194DAB">
      <w:pPr>
        <w:pStyle w:val="ESBodyText"/>
        <w:numPr>
          <w:ilvl w:val="0"/>
          <w:numId w:val="18"/>
        </w:numPr>
        <w:rPr>
          <w:b/>
          <w:color w:val="C00000"/>
          <w:lang w:val="en-AU"/>
        </w:rPr>
      </w:pPr>
      <w:r w:rsidRPr="00F434FD">
        <w:rPr>
          <w:b/>
          <w:color w:val="C00000"/>
          <w:lang w:val="en-AU"/>
        </w:rPr>
        <w:t>LEARNING FOR LIFE</w:t>
      </w:r>
    </w:p>
    <w:p w14:paraId="75729252" w14:textId="77777777" w:rsidR="0008449B" w:rsidRPr="0008449B" w:rsidRDefault="0008449B" w:rsidP="00194DAB">
      <w:pPr>
        <w:pStyle w:val="ESBodyText"/>
        <w:numPr>
          <w:ilvl w:val="1"/>
          <w:numId w:val="18"/>
        </w:numPr>
        <w:rPr>
          <w:lang w:val="en-AU"/>
        </w:rPr>
      </w:pPr>
      <w:r w:rsidRPr="0008449B">
        <w:rPr>
          <w:lang w:val="en-AU"/>
        </w:rPr>
        <w:t>More</w:t>
      </w:r>
      <w:r>
        <w:rPr>
          <w:lang w:val="en-AU"/>
        </w:rPr>
        <w:t xml:space="preserve"> </w:t>
      </w:r>
      <w:r w:rsidRPr="0008449B">
        <w:rPr>
          <w:lang w:val="en-AU"/>
        </w:rPr>
        <w:t>students</w:t>
      </w:r>
      <w:r>
        <w:rPr>
          <w:lang w:val="en-AU"/>
        </w:rPr>
        <w:t xml:space="preserve"> </w:t>
      </w:r>
      <w:r w:rsidRPr="0008449B">
        <w:rPr>
          <w:lang w:val="en-AU"/>
        </w:rPr>
        <w:t>excel in</w:t>
      </w:r>
      <w:r>
        <w:rPr>
          <w:lang w:val="en-AU"/>
        </w:rPr>
        <w:t xml:space="preserve"> </w:t>
      </w:r>
      <w:r w:rsidRPr="0008449B">
        <w:rPr>
          <w:lang w:val="en-AU"/>
        </w:rPr>
        <w:t>scientific</w:t>
      </w:r>
      <w:r>
        <w:rPr>
          <w:lang w:val="en-AU"/>
        </w:rPr>
        <w:t xml:space="preserve"> </w:t>
      </w:r>
      <w:r w:rsidRPr="0008449B">
        <w:rPr>
          <w:lang w:val="en-AU"/>
        </w:rPr>
        <w:t>literacy</w:t>
      </w:r>
    </w:p>
    <w:p w14:paraId="5184F996" w14:textId="77777777" w:rsidR="0008449B" w:rsidRDefault="0008449B" w:rsidP="00194DAB">
      <w:pPr>
        <w:pStyle w:val="ESBodyText"/>
        <w:numPr>
          <w:ilvl w:val="1"/>
          <w:numId w:val="18"/>
        </w:numPr>
        <w:rPr>
          <w:lang w:val="en-AU"/>
        </w:rPr>
      </w:pPr>
      <w:r w:rsidRPr="0008449B">
        <w:rPr>
          <w:lang w:val="en-AU"/>
        </w:rPr>
        <w:t>More students</w:t>
      </w:r>
      <w:r>
        <w:rPr>
          <w:lang w:val="en-AU"/>
        </w:rPr>
        <w:t xml:space="preserve"> </w:t>
      </w:r>
      <w:r w:rsidRPr="0008449B">
        <w:rPr>
          <w:lang w:val="en-AU"/>
        </w:rPr>
        <w:t>develop strong</w:t>
      </w:r>
      <w:r>
        <w:rPr>
          <w:lang w:val="en-AU"/>
        </w:rPr>
        <w:t xml:space="preserve"> </w:t>
      </w:r>
      <w:r w:rsidRPr="0008449B">
        <w:rPr>
          <w:lang w:val="en-AU"/>
        </w:rPr>
        <w:t>critical and creative</w:t>
      </w:r>
      <w:r>
        <w:rPr>
          <w:lang w:val="en-AU"/>
        </w:rPr>
        <w:t xml:space="preserve"> </w:t>
      </w:r>
      <w:r w:rsidRPr="0008449B">
        <w:rPr>
          <w:lang w:val="en-AU"/>
        </w:rPr>
        <w:t>thinking skills arts</w:t>
      </w:r>
    </w:p>
    <w:p w14:paraId="70D8BD2A" w14:textId="628852D3" w:rsidR="0008449B" w:rsidRPr="0008449B" w:rsidRDefault="0008449B" w:rsidP="00194DAB">
      <w:pPr>
        <w:pStyle w:val="ESBodyText"/>
        <w:numPr>
          <w:ilvl w:val="1"/>
          <w:numId w:val="18"/>
        </w:numPr>
        <w:rPr>
          <w:lang w:val="en-AU"/>
        </w:rPr>
      </w:pPr>
      <w:r w:rsidRPr="0008449B">
        <w:rPr>
          <w:lang w:val="en-AU"/>
        </w:rPr>
        <w:t>More students excel in the</w:t>
      </w:r>
      <w:r w:rsidRPr="0052642A">
        <w:rPr>
          <w:lang w:val="en-AU"/>
        </w:rPr>
        <w:t xml:space="preserve"> </w:t>
      </w:r>
      <w:r w:rsidR="0052642A" w:rsidRPr="0052642A">
        <w:rPr>
          <w:lang w:val="en-AU"/>
        </w:rPr>
        <w:t>arts</w:t>
      </w:r>
    </w:p>
    <w:p w14:paraId="4AB8B870" w14:textId="5CA53978" w:rsidR="0008449B" w:rsidRDefault="0008449B" w:rsidP="00194DAB">
      <w:pPr>
        <w:pStyle w:val="ESBodyText"/>
        <w:numPr>
          <w:ilvl w:val="1"/>
          <w:numId w:val="18"/>
        </w:numPr>
        <w:rPr>
          <w:lang w:val="en-AU"/>
        </w:rPr>
      </w:pPr>
      <w:r w:rsidRPr="0008449B">
        <w:rPr>
          <w:lang w:val="en-AU"/>
        </w:rPr>
        <w:t>More students excel in reading and mathematics</w:t>
      </w:r>
    </w:p>
    <w:p w14:paraId="499A8F61" w14:textId="563418AA" w:rsidR="0008449B" w:rsidRPr="00F434FD" w:rsidRDefault="0008449B" w:rsidP="00194DAB">
      <w:pPr>
        <w:pStyle w:val="ESBodyText"/>
        <w:numPr>
          <w:ilvl w:val="0"/>
          <w:numId w:val="18"/>
        </w:numPr>
        <w:rPr>
          <w:b/>
          <w:color w:val="C00000"/>
          <w:lang w:val="en-AU"/>
        </w:rPr>
      </w:pPr>
      <w:r w:rsidRPr="00F434FD">
        <w:rPr>
          <w:b/>
          <w:color w:val="C00000"/>
          <w:lang w:val="en-AU"/>
        </w:rPr>
        <w:t>BREAKING THE LINK</w:t>
      </w:r>
    </w:p>
    <w:p w14:paraId="27A30F92" w14:textId="3714DAB2" w:rsidR="0008449B" w:rsidRDefault="0008449B" w:rsidP="00194DAB">
      <w:pPr>
        <w:pStyle w:val="ESBodyText"/>
        <w:numPr>
          <w:ilvl w:val="1"/>
          <w:numId w:val="18"/>
        </w:numPr>
        <w:rPr>
          <w:lang w:val="en-AU"/>
        </w:rPr>
      </w:pPr>
      <w:r w:rsidRPr="0008449B">
        <w:rPr>
          <w:lang w:val="en-AU"/>
        </w:rPr>
        <w:t>More</w:t>
      </w:r>
      <w:r>
        <w:rPr>
          <w:lang w:val="en-AU"/>
        </w:rPr>
        <w:t xml:space="preserve"> </w:t>
      </w:r>
      <w:r w:rsidRPr="0008449B">
        <w:rPr>
          <w:lang w:val="en-AU"/>
        </w:rPr>
        <w:t>students stay</w:t>
      </w:r>
      <w:r>
        <w:rPr>
          <w:lang w:val="en-AU"/>
        </w:rPr>
        <w:t xml:space="preserve"> </w:t>
      </w:r>
      <w:r w:rsidRPr="0008449B">
        <w:rPr>
          <w:lang w:val="en-AU"/>
        </w:rPr>
        <w:t>in education</w:t>
      </w:r>
      <w:r>
        <w:rPr>
          <w:lang w:val="en-AU"/>
        </w:rPr>
        <w:t xml:space="preserve"> </w:t>
      </w:r>
      <w:r w:rsidRPr="0008449B">
        <w:rPr>
          <w:lang w:val="en-AU"/>
        </w:rPr>
        <w:t>for better</w:t>
      </w:r>
      <w:r>
        <w:rPr>
          <w:lang w:val="en-AU"/>
        </w:rPr>
        <w:t xml:space="preserve"> </w:t>
      </w:r>
      <w:r w:rsidRPr="0008449B">
        <w:rPr>
          <w:lang w:val="en-AU"/>
        </w:rPr>
        <w:t>pathways</w:t>
      </w:r>
    </w:p>
    <w:p w14:paraId="3616A0FA" w14:textId="2F7004A8" w:rsidR="00903DF5" w:rsidRDefault="00903DF5" w:rsidP="00194DAB">
      <w:pPr>
        <w:pStyle w:val="ESBodyText"/>
        <w:numPr>
          <w:ilvl w:val="1"/>
          <w:numId w:val="18"/>
        </w:numPr>
        <w:rPr>
          <w:lang w:val="en-AU"/>
        </w:rPr>
      </w:pPr>
      <w:r>
        <w:rPr>
          <w:lang w:val="en-AU"/>
        </w:rPr>
        <w:t>Reduce the impact of disadvantage</w:t>
      </w:r>
    </w:p>
    <w:p w14:paraId="6C7F1605" w14:textId="366BB4F7" w:rsidR="0008449B" w:rsidRPr="00F434FD" w:rsidRDefault="0008449B" w:rsidP="00194DAB">
      <w:pPr>
        <w:pStyle w:val="ESBodyText"/>
        <w:numPr>
          <w:ilvl w:val="0"/>
          <w:numId w:val="18"/>
        </w:numPr>
        <w:rPr>
          <w:b/>
          <w:color w:val="C00000"/>
          <w:lang w:val="en-AU"/>
        </w:rPr>
      </w:pPr>
      <w:r w:rsidRPr="00F434FD">
        <w:rPr>
          <w:b/>
          <w:color w:val="C00000"/>
          <w:lang w:val="en-AU"/>
        </w:rPr>
        <w:t>PRIDE &amp; CONFIDENCE IN OUR SCHOOLS</w:t>
      </w:r>
    </w:p>
    <w:p w14:paraId="5D0A25EB" w14:textId="71FF70C7" w:rsidR="0008449B" w:rsidRDefault="0008449B" w:rsidP="00194DAB">
      <w:pPr>
        <w:pStyle w:val="ESBodyText"/>
        <w:numPr>
          <w:ilvl w:val="1"/>
          <w:numId w:val="18"/>
        </w:numPr>
        <w:rPr>
          <w:lang w:val="en-AU"/>
        </w:rPr>
      </w:pPr>
      <w:r w:rsidRPr="0008449B">
        <w:rPr>
          <w:lang w:val="en-AU"/>
        </w:rPr>
        <w:t>Raise the levels of</w:t>
      </w:r>
      <w:r>
        <w:rPr>
          <w:lang w:val="en-AU"/>
        </w:rPr>
        <w:t xml:space="preserve"> </w:t>
      </w:r>
      <w:r w:rsidRPr="0008449B">
        <w:rPr>
          <w:lang w:val="en-AU"/>
        </w:rPr>
        <w:t>community pride and</w:t>
      </w:r>
      <w:r>
        <w:rPr>
          <w:lang w:val="en-AU"/>
        </w:rPr>
        <w:t xml:space="preserve"> </w:t>
      </w:r>
      <w:r w:rsidRPr="0008449B">
        <w:rPr>
          <w:lang w:val="en-AU"/>
        </w:rPr>
        <w:t>confidence in Victorian</w:t>
      </w:r>
      <w:r>
        <w:rPr>
          <w:lang w:val="en-AU"/>
        </w:rPr>
        <w:t xml:space="preserve"> </w:t>
      </w:r>
      <w:r w:rsidRPr="0008449B">
        <w:rPr>
          <w:lang w:val="en-AU"/>
        </w:rPr>
        <w:t>government schools</w:t>
      </w:r>
    </w:p>
    <w:p w14:paraId="6F967036" w14:textId="2C2CEF59" w:rsidR="0052642A" w:rsidRPr="00F434FD" w:rsidRDefault="0052642A" w:rsidP="00194DAB">
      <w:pPr>
        <w:pStyle w:val="ESBodyText"/>
        <w:numPr>
          <w:ilvl w:val="0"/>
          <w:numId w:val="18"/>
        </w:numPr>
        <w:rPr>
          <w:b/>
          <w:color w:val="C00000"/>
          <w:lang w:val="en-AU"/>
        </w:rPr>
      </w:pPr>
      <w:r w:rsidRPr="00F434FD">
        <w:rPr>
          <w:b/>
          <w:color w:val="C00000"/>
          <w:lang w:val="en-AU"/>
        </w:rPr>
        <w:t>HAPPY, HEALTHY &amp; RESILIENT KIDS</w:t>
      </w:r>
    </w:p>
    <w:p w14:paraId="6B1B5BE1" w14:textId="0A1CF7F9" w:rsidR="0052642A" w:rsidRPr="0052642A" w:rsidRDefault="0052642A" w:rsidP="00194DAB">
      <w:pPr>
        <w:pStyle w:val="ESBodyText"/>
        <w:numPr>
          <w:ilvl w:val="1"/>
          <w:numId w:val="18"/>
        </w:numPr>
        <w:rPr>
          <w:lang w:val="en-AU"/>
        </w:rPr>
      </w:pPr>
      <w:r w:rsidRPr="0052642A">
        <w:rPr>
          <w:lang w:val="en-AU"/>
        </w:rPr>
        <w:t>More students</w:t>
      </w:r>
      <w:r>
        <w:rPr>
          <w:lang w:val="en-AU"/>
        </w:rPr>
        <w:t xml:space="preserve"> </w:t>
      </w:r>
      <w:r w:rsidRPr="0052642A">
        <w:rPr>
          <w:lang w:val="en-AU"/>
        </w:rPr>
        <w:t>will be physically active</w:t>
      </w:r>
      <w:r w:rsidRPr="0052642A">
        <w:t xml:space="preserve"> </w:t>
      </w:r>
    </w:p>
    <w:p w14:paraId="70A30C48" w14:textId="51713D34" w:rsidR="0008449B" w:rsidRPr="004A7F8C" w:rsidRDefault="0052642A" w:rsidP="0008449B">
      <w:pPr>
        <w:pStyle w:val="ESBodyText"/>
        <w:numPr>
          <w:ilvl w:val="1"/>
          <w:numId w:val="18"/>
        </w:numPr>
        <w:rPr>
          <w:lang w:val="en-AU"/>
        </w:rPr>
      </w:pPr>
      <w:r w:rsidRPr="0052642A">
        <w:rPr>
          <w:lang w:val="en-AU"/>
        </w:rPr>
        <w:t>More students</w:t>
      </w:r>
      <w:r>
        <w:rPr>
          <w:lang w:val="en-AU"/>
        </w:rPr>
        <w:t xml:space="preserve"> </w:t>
      </w:r>
      <w:r w:rsidRPr="0052642A">
        <w:rPr>
          <w:lang w:val="en-AU"/>
        </w:rPr>
        <w:t>will be resilient</w:t>
      </w:r>
    </w:p>
    <w:p w14:paraId="31FFDE42" w14:textId="77777777" w:rsidR="004A7F8C" w:rsidRPr="00EE4FA1" w:rsidRDefault="004A7F8C" w:rsidP="004A7F8C">
      <w:pPr>
        <w:pStyle w:val="ESHeading3"/>
        <w:rPr>
          <w:rFonts w:eastAsiaTheme="majorEastAsia" w:cstheme="majorBidi"/>
          <w:bCs/>
          <w:caps/>
          <w:color w:val="AF272F"/>
          <w:sz w:val="18"/>
          <w:szCs w:val="20"/>
        </w:rPr>
      </w:pPr>
      <w:r w:rsidRPr="00EE4FA1">
        <w:rPr>
          <w:rFonts w:eastAsiaTheme="majorEastAsia" w:cstheme="majorBidi"/>
          <w:bCs/>
          <w:caps/>
          <w:color w:val="AF272F"/>
          <w:sz w:val="18"/>
          <w:szCs w:val="20"/>
        </w:rPr>
        <w:t>REGIONAL PERFORMANCE FRAMEWORK</w:t>
      </w:r>
    </w:p>
    <w:p w14:paraId="2C1B5A69" w14:textId="4C9601DE" w:rsidR="004A7F8C" w:rsidRPr="004A7F8C" w:rsidRDefault="004A7F8C" w:rsidP="004A7F8C">
      <w:pPr>
        <w:autoSpaceDE w:val="0"/>
        <w:autoSpaceDN w:val="0"/>
        <w:adjustRightInd w:val="0"/>
        <w:spacing w:after="0" w:line="240" w:lineRule="auto"/>
        <w:rPr>
          <w:b/>
          <w:bCs/>
          <w:color w:val="B92330"/>
          <w:lang w:val="en-AU"/>
        </w:rPr>
      </w:pPr>
      <w:r w:rsidRPr="004A7F8C">
        <w:rPr>
          <w:color w:val="000000"/>
          <w:lang w:val="en-AU"/>
        </w:rPr>
        <w:t xml:space="preserve">The Department’s Regional Performance Framework supports understanding, measuring and monitoring of regional impact on student outcomes. The Framework is the basis of bi-annual Regional Performance Reviews where Department senior leaders have deep and structured conversations about performance to support delivery of Education State reforms. </w:t>
      </w:r>
    </w:p>
    <w:p w14:paraId="12080824" w14:textId="166B43F9" w:rsidR="004A7F8C" w:rsidRPr="00EE4FA1" w:rsidRDefault="004A7F8C" w:rsidP="004A7F8C">
      <w:pPr>
        <w:pStyle w:val="ESHeading3"/>
        <w:rPr>
          <w:rFonts w:eastAsiaTheme="majorEastAsia" w:cstheme="majorBidi"/>
          <w:bCs/>
          <w:caps/>
          <w:color w:val="AF272F"/>
          <w:sz w:val="18"/>
          <w:szCs w:val="20"/>
        </w:rPr>
      </w:pPr>
      <w:r w:rsidRPr="00EE4FA1">
        <w:rPr>
          <w:rFonts w:eastAsiaTheme="majorEastAsia" w:cstheme="majorBidi"/>
          <w:bCs/>
          <w:caps/>
          <w:color w:val="AF272F"/>
          <w:sz w:val="18"/>
          <w:szCs w:val="20"/>
        </w:rPr>
        <w:t>EVALUATION</w:t>
      </w:r>
    </w:p>
    <w:p w14:paraId="6BAF10B3" w14:textId="32C297F6" w:rsidR="004A7F8C" w:rsidRPr="004A7F8C" w:rsidRDefault="004A7F8C" w:rsidP="004A7F8C">
      <w:pPr>
        <w:pStyle w:val="ESHeading3"/>
        <w:rPr>
          <w:rFonts w:eastAsia="Arial"/>
          <w:b w:val="0"/>
          <w:color w:val="auto"/>
          <w:sz w:val="18"/>
        </w:rPr>
      </w:pPr>
      <w:r w:rsidRPr="004A7F8C">
        <w:rPr>
          <w:rFonts w:eastAsia="Arial"/>
          <w:b w:val="0"/>
          <w:color w:val="auto"/>
          <w:sz w:val="18"/>
        </w:rPr>
        <w:lastRenderedPageBreak/>
        <w:t>Evaluation is fundamental to continuous</w:t>
      </w:r>
      <w:r w:rsidRPr="004A7F8C">
        <w:rPr>
          <w:rFonts w:eastAsia="Arial"/>
          <w:b w:val="0"/>
        </w:rPr>
        <w:t xml:space="preserve"> </w:t>
      </w:r>
      <w:r w:rsidRPr="004A7F8C">
        <w:rPr>
          <w:rFonts w:eastAsia="Arial"/>
          <w:b w:val="0"/>
          <w:color w:val="auto"/>
          <w:sz w:val="18"/>
        </w:rPr>
        <w:t>improvement and to building a solid evidence</w:t>
      </w:r>
      <w:r w:rsidRPr="004A7F8C">
        <w:rPr>
          <w:rFonts w:eastAsia="Arial"/>
          <w:b w:val="0"/>
        </w:rPr>
        <w:t xml:space="preserve"> </w:t>
      </w:r>
      <w:r w:rsidRPr="004A7F8C">
        <w:rPr>
          <w:rFonts w:eastAsia="Arial"/>
          <w:b w:val="0"/>
          <w:color w:val="auto"/>
          <w:sz w:val="18"/>
        </w:rPr>
        <w:t>base that will enable policy and programs to</w:t>
      </w:r>
      <w:r w:rsidRPr="004A7F8C">
        <w:rPr>
          <w:rFonts w:eastAsia="Arial"/>
          <w:b w:val="0"/>
        </w:rPr>
        <w:t xml:space="preserve"> </w:t>
      </w:r>
      <w:r w:rsidRPr="004A7F8C">
        <w:rPr>
          <w:rFonts w:eastAsia="Arial"/>
          <w:b w:val="0"/>
          <w:color w:val="auto"/>
          <w:sz w:val="18"/>
        </w:rPr>
        <w:t>meet the needs of all Victorians. The Department</w:t>
      </w:r>
      <w:r w:rsidRPr="004A7F8C">
        <w:rPr>
          <w:rFonts w:eastAsia="Arial"/>
          <w:b w:val="0"/>
        </w:rPr>
        <w:t xml:space="preserve"> </w:t>
      </w:r>
      <w:r w:rsidRPr="004A7F8C">
        <w:rPr>
          <w:rFonts w:eastAsia="Arial"/>
          <w:b w:val="0"/>
          <w:color w:val="auto"/>
          <w:sz w:val="18"/>
        </w:rPr>
        <w:t>continues to strengthen its evaluation culture</w:t>
      </w:r>
      <w:r w:rsidRPr="004A7F8C">
        <w:rPr>
          <w:rFonts w:eastAsia="Arial"/>
          <w:b w:val="0"/>
        </w:rPr>
        <w:t xml:space="preserve"> </w:t>
      </w:r>
      <w:r w:rsidRPr="004A7F8C">
        <w:rPr>
          <w:rFonts w:eastAsia="Arial"/>
          <w:b w:val="0"/>
          <w:color w:val="auto"/>
          <w:sz w:val="18"/>
        </w:rPr>
        <w:t>by undertaking high-quality periodic reviews</w:t>
      </w:r>
      <w:r w:rsidRPr="004A7F8C">
        <w:rPr>
          <w:rFonts w:eastAsia="Arial"/>
          <w:b w:val="0"/>
        </w:rPr>
        <w:t xml:space="preserve"> </w:t>
      </w:r>
      <w:r w:rsidRPr="004A7F8C">
        <w:rPr>
          <w:rFonts w:eastAsia="Arial"/>
          <w:b w:val="0"/>
          <w:color w:val="auto"/>
          <w:sz w:val="18"/>
        </w:rPr>
        <w:t>that inform policy, program and service decision</w:t>
      </w:r>
      <w:r w:rsidRPr="004A7F8C">
        <w:rPr>
          <w:rFonts w:eastAsia="Arial"/>
          <w:b w:val="0"/>
        </w:rPr>
        <w:t xml:space="preserve"> </w:t>
      </w:r>
      <w:r w:rsidRPr="004A7F8C">
        <w:rPr>
          <w:rFonts w:eastAsia="Arial"/>
          <w:b w:val="0"/>
          <w:color w:val="auto"/>
          <w:sz w:val="18"/>
        </w:rPr>
        <w:t>making and improvements.</w:t>
      </w:r>
    </w:p>
    <w:p w14:paraId="69F914B9" w14:textId="77777777" w:rsidR="00EE4FA1" w:rsidRPr="003214DF" w:rsidRDefault="00EE4FA1" w:rsidP="00EE4FA1">
      <w:pPr>
        <w:pStyle w:val="ESHeading3"/>
        <w:rPr>
          <w:rFonts w:eastAsiaTheme="majorEastAsia" w:cstheme="majorBidi"/>
          <w:bCs/>
          <w:caps/>
          <w:color w:val="AF272F"/>
          <w:szCs w:val="20"/>
        </w:rPr>
      </w:pPr>
      <w:r w:rsidRPr="002D6A1C">
        <w:rPr>
          <w:rFonts w:eastAsiaTheme="majorEastAsia" w:cstheme="majorBidi"/>
          <w:caps/>
          <w:color w:val="AF272F"/>
          <w:sz w:val="18"/>
          <w:szCs w:val="20"/>
        </w:rPr>
        <w:t>OUR STORIES: PATHWAYS AT DET PROGRAM</w:t>
      </w:r>
      <w:r w:rsidR="00645064">
        <w:rPr>
          <w:rFonts w:eastAsiaTheme="majorEastAsia" w:cstheme="majorBidi"/>
          <w:bCs/>
          <w:caps/>
          <w:color w:val="AF272F"/>
          <w:szCs w:val="20"/>
        </w:rPr>
        <w:pict w14:anchorId="2B8D6219">
          <v:rect id="_x0000_i1030" style="width:0;height:1.5pt" o:hralign="center" o:hrstd="t" o:hr="t" fillcolor="#a0a0a0" stroked="f"/>
        </w:pict>
      </w:r>
    </w:p>
    <w:p w14:paraId="2C175670" w14:textId="77777777" w:rsidR="00903DF5" w:rsidRDefault="004A7F8C" w:rsidP="00EF3F31">
      <w:pPr>
        <w:pStyle w:val="ESBulletsinTable"/>
        <w:numPr>
          <w:ilvl w:val="0"/>
          <w:numId w:val="0"/>
        </w:numPr>
      </w:pPr>
      <w:r w:rsidRPr="004A7F8C">
        <w:rPr>
          <w:rFonts w:cs="Arial"/>
          <w:szCs w:val="18"/>
          <w:lang w:val="en-US"/>
        </w:rPr>
        <w:t>The Department is committed to using</w:t>
      </w:r>
      <w:r>
        <w:t xml:space="preserve"> </w:t>
      </w:r>
      <w:r w:rsidRPr="004A7F8C">
        <w:rPr>
          <w:rFonts w:cs="Arial"/>
          <w:szCs w:val="18"/>
          <w:lang w:val="en-US"/>
        </w:rPr>
        <w:t>accurate data and evidence to improve the</w:t>
      </w:r>
      <w:r>
        <w:t xml:space="preserve"> </w:t>
      </w:r>
      <w:r w:rsidRPr="004A7F8C">
        <w:rPr>
          <w:rFonts w:cs="Arial"/>
          <w:szCs w:val="18"/>
          <w:lang w:val="en-US"/>
        </w:rPr>
        <w:t>learning outcomes for schools.</w:t>
      </w:r>
      <w:r>
        <w:t xml:space="preserve"> </w:t>
      </w:r>
    </w:p>
    <w:p w14:paraId="2157E495" w14:textId="77777777" w:rsidR="00903DF5" w:rsidRDefault="004A7F8C" w:rsidP="00EF3F31">
      <w:pPr>
        <w:pStyle w:val="ESBulletsinTable"/>
        <w:numPr>
          <w:ilvl w:val="0"/>
          <w:numId w:val="0"/>
        </w:numPr>
      </w:pPr>
      <w:r w:rsidRPr="004A7F8C">
        <w:rPr>
          <w:rFonts w:cs="Arial"/>
          <w:szCs w:val="18"/>
          <w:lang w:val="en-US"/>
        </w:rPr>
        <w:t>The Panorama School Reports give schools</w:t>
      </w:r>
      <w:r>
        <w:t xml:space="preserve"> </w:t>
      </w:r>
      <w:r w:rsidRPr="004A7F8C">
        <w:rPr>
          <w:rFonts w:cs="Arial"/>
          <w:szCs w:val="18"/>
          <w:lang w:val="en-US"/>
        </w:rPr>
        <w:t>a comprehensive view of their performance</w:t>
      </w:r>
      <w:r>
        <w:t xml:space="preserve"> </w:t>
      </w:r>
      <w:r w:rsidRPr="004A7F8C">
        <w:rPr>
          <w:rFonts w:cs="Arial"/>
          <w:szCs w:val="18"/>
          <w:lang w:val="en-US"/>
        </w:rPr>
        <w:t>and enable them to make comparisons with</w:t>
      </w:r>
      <w:r>
        <w:t xml:space="preserve"> </w:t>
      </w:r>
      <w:r w:rsidRPr="004A7F8C">
        <w:rPr>
          <w:rFonts w:cs="Arial"/>
          <w:szCs w:val="18"/>
          <w:lang w:val="en-US"/>
        </w:rPr>
        <w:t>similar schools, their immediate networks and</w:t>
      </w:r>
      <w:r>
        <w:t xml:space="preserve"> </w:t>
      </w:r>
      <w:r w:rsidRPr="004A7F8C">
        <w:rPr>
          <w:rFonts w:cs="Arial"/>
          <w:szCs w:val="18"/>
          <w:lang w:val="en-US"/>
        </w:rPr>
        <w:t>schools across the state.</w:t>
      </w:r>
      <w:r>
        <w:t xml:space="preserve"> </w:t>
      </w:r>
    </w:p>
    <w:p w14:paraId="1107A170" w14:textId="23F4B890" w:rsidR="00A52440" w:rsidRPr="00903DF5" w:rsidRDefault="004A7F8C" w:rsidP="00EF3F31">
      <w:pPr>
        <w:pStyle w:val="ESBulletsinTable"/>
        <w:numPr>
          <w:ilvl w:val="0"/>
          <w:numId w:val="0"/>
        </w:numPr>
        <w:rPr>
          <w:rFonts w:cs="Arial"/>
          <w:szCs w:val="18"/>
          <w:lang w:val="en-US"/>
        </w:rPr>
      </w:pPr>
      <w:r w:rsidRPr="004A7F8C">
        <w:rPr>
          <w:rFonts w:cs="Arial"/>
          <w:szCs w:val="18"/>
          <w:lang w:val="en-US"/>
        </w:rPr>
        <w:t>Principals and the Department’s Senior</w:t>
      </w:r>
      <w:r>
        <w:t xml:space="preserve"> </w:t>
      </w:r>
      <w:r w:rsidRPr="004A7F8C">
        <w:rPr>
          <w:rFonts w:cs="Arial"/>
          <w:szCs w:val="18"/>
          <w:lang w:val="en-US"/>
        </w:rPr>
        <w:t>Education Improvement Leaders use the</w:t>
      </w:r>
      <w:r>
        <w:t xml:space="preserve"> </w:t>
      </w:r>
      <w:r w:rsidRPr="004A7F8C">
        <w:rPr>
          <w:rFonts w:cs="Arial"/>
          <w:szCs w:val="18"/>
          <w:lang w:val="en-US"/>
        </w:rPr>
        <w:t>reports to help guide discussions and make</w:t>
      </w:r>
      <w:r>
        <w:t xml:space="preserve"> </w:t>
      </w:r>
      <w:r w:rsidRPr="004A7F8C">
        <w:rPr>
          <w:rFonts w:cs="Arial"/>
          <w:szCs w:val="18"/>
          <w:lang w:val="en-US"/>
        </w:rPr>
        <w:t>program, project and funding decisions that</w:t>
      </w:r>
      <w:r>
        <w:t xml:space="preserve"> </w:t>
      </w:r>
      <w:r w:rsidRPr="004A7F8C">
        <w:rPr>
          <w:rFonts w:cs="Arial"/>
          <w:szCs w:val="18"/>
          <w:lang w:val="en-US"/>
        </w:rPr>
        <w:t>best improve outcomes for their students.</w:t>
      </w:r>
      <w:bookmarkEnd w:id="5"/>
      <w:bookmarkEnd w:id="6"/>
      <w:bookmarkEnd w:id="7"/>
    </w:p>
    <w:sectPr w:rsidR="00A52440" w:rsidRPr="00903DF5" w:rsidSect="00045DFB">
      <w:headerReference w:type="default" r:id="rId17"/>
      <w:pgSz w:w="11900" w:h="16840" w:code="9"/>
      <w:pgMar w:top="1701" w:right="1242" w:bottom="1276" w:left="1304" w:header="624" w:footer="42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C77AF" w14:textId="77777777" w:rsidR="00097882" w:rsidRDefault="00097882" w:rsidP="008766A4">
      <w:r>
        <w:separator/>
      </w:r>
    </w:p>
  </w:endnote>
  <w:endnote w:type="continuationSeparator" w:id="0">
    <w:p w14:paraId="422C3F0F" w14:textId="77777777" w:rsidR="00097882" w:rsidRDefault="00097882" w:rsidP="008766A4">
      <w:r>
        <w:continuationSeparator/>
      </w:r>
    </w:p>
  </w:endnote>
  <w:endnote w:type="continuationNotice" w:id="1">
    <w:p w14:paraId="4C1A851C" w14:textId="77777777" w:rsidR="00097882" w:rsidRDefault="000978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C-Medium">
    <w:panose1 w:val="00000000000000000000"/>
    <w:charset w:val="00"/>
    <w:family w:val="swiss"/>
    <w:notTrueType/>
    <w:pitch w:val="default"/>
    <w:sig w:usb0="00000003" w:usb1="00000000" w:usb2="00000000" w:usb3="00000000" w:csb0="00000001" w:csb1="00000000"/>
  </w:font>
  <w:font w:name="VIC-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45331" w14:textId="712F8068" w:rsidR="00097882" w:rsidRDefault="00097882" w:rsidP="008C2397">
    <w:pPr>
      <w:pStyle w:val="Footer"/>
      <w:tabs>
        <w:tab w:val="clear" w:pos="4320"/>
        <w:tab w:val="clear" w:pos="8640"/>
        <w:tab w:val="left" w:pos="720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FD6E2" w14:textId="7476C2F3" w:rsidR="007747E5" w:rsidRPr="007747E5" w:rsidRDefault="007747E5" w:rsidP="007747E5">
    <w:pPr>
      <w:autoSpaceDE w:val="0"/>
      <w:autoSpaceDN w:val="0"/>
      <w:adjustRightInd w:val="0"/>
      <w:spacing w:after="60" w:line="240" w:lineRule="auto"/>
      <w:rPr>
        <w:rFonts w:cstheme="minorHAnsi"/>
        <w:sz w:val="13"/>
        <w:szCs w:val="13"/>
      </w:rPr>
    </w:pPr>
    <w:r w:rsidRPr="007747E5">
      <w:rPr>
        <w:rFonts w:cstheme="minorHAnsi"/>
        <w:sz w:val="13"/>
        <w:szCs w:val="13"/>
      </w:rPr>
      <w:t xml:space="preserve">Melbourne </w:t>
    </w:r>
    <w:r w:rsidR="004C2513">
      <w:rPr>
        <w:rFonts w:cstheme="minorHAnsi"/>
        <w:sz w:val="13"/>
        <w:szCs w:val="13"/>
      </w:rPr>
      <w:t>October</w:t>
    </w:r>
    <w:r w:rsidRPr="007747E5">
      <w:rPr>
        <w:rFonts w:cstheme="minorHAnsi"/>
        <w:sz w:val="13"/>
        <w:szCs w:val="13"/>
      </w:rPr>
      <w:t>-19</w:t>
    </w:r>
  </w:p>
  <w:p w14:paraId="146911BD" w14:textId="7B369B4C" w:rsidR="007747E5" w:rsidRPr="007747E5" w:rsidRDefault="007747E5" w:rsidP="007747E5">
    <w:pPr>
      <w:autoSpaceDE w:val="0"/>
      <w:autoSpaceDN w:val="0"/>
      <w:adjustRightInd w:val="0"/>
      <w:spacing w:after="60" w:line="240" w:lineRule="auto"/>
      <w:rPr>
        <w:rFonts w:cstheme="minorHAnsi"/>
        <w:sz w:val="13"/>
        <w:szCs w:val="13"/>
      </w:rPr>
    </w:pPr>
    <w:r w:rsidRPr="007747E5">
      <w:rPr>
        <w:rFonts w:cstheme="minorHAnsi"/>
        <w:sz w:val="13"/>
        <w:szCs w:val="13"/>
      </w:rPr>
      <w:t>©State of Victoria (Department</w:t>
    </w:r>
    <w:r>
      <w:rPr>
        <w:rFonts w:cstheme="minorHAnsi"/>
        <w:sz w:val="13"/>
        <w:szCs w:val="13"/>
      </w:rPr>
      <w:t xml:space="preserve"> </w:t>
    </w:r>
    <w:r w:rsidRPr="007747E5">
      <w:rPr>
        <w:rFonts w:cstheme="minorHAnsi"/>
        <w:sz w:val="13"/>
        <w:szCs w:val="13"/>
      </w:rPr>
      <w:t>of Education and Training) 2019</w:t>
    </w:r>
  </w:p>
  <w:p w14:paraId="7DC9660D" w14:textId="051C273E" w:rsidR="007747E5" w:rsidRPr="007747E5" w:rsidRDefault="007747E5" w:rsidP="007747E5">
    <w:pPr>
      <w:autoSpaceDE w:val="0"/>
      <w:autoSpaceDN w:val="0"/>
      <w:adjustRightInd w:val="0"/>
      <w:spacing w:after="60" w:line="240" w:lineRule="auto"/>
      <w:rPr>
        <w:rFonts w:cstheme="minorHAnsi"/>
        <w:sz w:val="13"/>
        <w:szCs w:val="13"/>
      </w:rPr>
    </w:pPr>
    <w:r w:rsidRPr="007747E5">
      <w:rPr>
        <w:rFonts w:cstheme="minorHAnsi"/>
        <w:sz w:val="13"/>
        <w:szCs w:val="13"/>
      </w:rPr>
      <w:t>The copyright in this document is owned</w:t>
    </w:r>
    <w:r>
      <w:rPr>
        <w:rFonts w:cstheme="minorHAnsi"/>
        <w:sz w:val="13"/>
        <w:szCs w:val="13"/>
      </w:rPr>
      <w:t xml:space="preserve"> </w:t>
    </w:r>
    <w:r w:rsidRPr="007747E5">
      <w:rPr>
        <w:rFonts w:cstheme="minorHAnsi"/>
        <w:sz w:val="13"/>
        <w:szCs w:val="13"/>
      </w:rPr>
      <w:t>by the State of Victoria (Department of</w:t>
    </w:r>
    <w:r>
      <w:rPr>
        <w:rFonts w:cstheme="minorHAnsi"/>
        <w:sz w:val="13"/>
        <w:szCs w:val="13"/>
      </w:rPr>
      <w:t xml:space="preserve"> </w:t>
    </w:r>
    <w:r w:rsidRPr="007747E5">
      <w:rPr>
        <w:rFonts w:cstheme="minorHAnsi"/>
        <w:sz w:val="13"/>
        <w:szCs w:val="13"/>
      </w:rPr>
      <w:t>Education and Training), or in the case of</w:t>
    </w:r>
    <w:r>
      <w:rPr>
        <w:rFonts w:cstheme="minorHAnsi"/>
        <w:sz w:val="13"/>
        <w:szCs w:val="13"/>
      </w:rPr>
      <w:t xml:space="preserve"> </w:t>
    </w:r>
    <w:r w:rsidRPr="007747E5">
      <w:rPr>
        <w:rFonts w:cstheme="minorHAnsi"/>
        <w:sz w:val="13"/>
        <w:szCs w:val="13"/>
      </w:rPr>
      <w:t>some materials, by third parties (third party</w:t>
    </w:r>
    <w:r>
      <w:rPr>
        <w:rFonts w:cstheme="minorHAnsi"/>
        <w:sz w:val="13"/>
        <w:szCs w:val="13"/>
      </w:rPr>
      <w:t xml:space="preserve"> </w:t>
    </w:r>
    <w:r w:rsidRPr="007747E5">
      <w:rPr>
        <w:rFonts w:cstheme="minorHAnsi"/>
        <w:sz w:val="13"/>
        <w:szCs w:val="13"/>
      </w:rPr>
      <w:t>materials). No part may be reproduced by any</w:t>
    </w:r>
    <w:r>
      <w:rPr>
        <w:rFonts w:cstheme="minorHAnsi"/>
        <w:sz w:val="13"/>
        <w:szCs w:val="13"/>
      </w:rPr>
      <w:t xml:space="preserve"> </w:t>
    </w:r>
    <w:r w:rsidRPr="007747E5">
      <w:rPr>
        <w:rFonts w:cstheme="minorHAnsi"/>
        <w:sz w:val="13"/>
        <w:szCs w:val="13"/>
      </w:rPr>
      <w:t>process except in accordance with the provisions</w:t>
    </w:r>
    <w:r>
      <w:rPr>
        <w:rFonts w:cstheme="minorHAnsi"/>
        <w:sz w:val="13"/>
        <w:szCs w:val="13"/>
      </w:rPr>
      <w:t xml:space="preserve"> </w:t>
    </w:r>
    <w:r w:rsidRPr="007747E5">
      <w:rPr>
        <w:rFonts w:cstheme="minorHAnsi"/>
        <w:sz w:val="13"/>
        <w:szCs w:val="13"/>
      </w:rPr>
      <w:t>of the Copyright Act 1968, the National Education</w:t>
    </w:r>
    <w:r>
      <w:rPr>
        <w:rFonts w:cstheme="minorHAnsi"/>
        <w:sz w:val="13"/>
        <w:szCs w:val="13"/>
      </w:rPr>
      <w:t xml:space="preserve"> </w:t>
    </w:r>
    <w:r w:rsidRPr="007747E5">
      <w:rPr>
        <w:rFonts w:cstheme="minorHAnsi"/>
        <w:sz w:val="13"/>
        <w:szCs w:val="13"/>
      </w:rPr>
      <w:t>Access Licence for Schools (NEALS) (see below) or</w:t>
    </w:r>
    <w:r>
      <w:rPr>
        <w:rFonts w:cstheme="minorHAnsi"/>
        <w:sz w:val="13"/>
        <w:szCs w:val="13"/>
      </w:rPr>
      <w:t xml:space="preserve"> </w:t>
    </w:r>
    <w:r w:rsidRPr="007747E5">
      <w:rPr>
        <w:rFonts w:cstheme="minorHAnsi"/>
        <w:sz w:val="13"/>
        <w:szCs w:val="13"/>
      </w:rPr>
      <w:t>with permission.</w:t>
    </w:r>
  </w:p>
  <w:p w14:paraId="47B63D03" w14:textId="34225965" w:rsidR="007747E5" w:rsidRPr="007747E5" w:rsidRDefault="007747E5" w:rsidP="007747E5">
    <w:pPr>
      <w:autoSpaceDE w:val="0"/>
      <w:autoSpaceDN w:val="0"/>
      <w:adjustRightInd w:val="0"/>
      <w:spacing w:after="60" w:line="240" w:lineRule="auto"/>
      <w:rPr>
        <w:rFonts w:cstheme="minorHAnsi"/>
        <w:sz w:val="13"/>
        <w:szCs w:val="13"/>
      </w:rPr>
    </w:pPr>
    <w:r w:rsidRPr="007747E5">
      <w:rPr>
        <w:rFonts w:cstheme="minorHAnsi"/>
        <w:sz w:val="13"/>
        <w:szCs w:val="13"/>
      </w:rPr>
      <w:t>An educational institution situated in Australia which</w:t>
    </w:r>
    <w:r>
      <w:rPr>
        <w:rFonts w:cstheme="minorHAnsi"/>
        <w:sz w:val="13"/>
        <w:szCs w:val="13"/>
      </w:rPr>
      <w:t xml:space="preserve"> </w:t>
    </w:r>
    <w:r w:rsidRPr="007747E5">
      <w:rPr>
        <w:rFonts w:cstheme="minorHAnsi"/>
        <w:sz w:val="13"/>
        <w:szCs w:val="13"/>
      </w:rPr>
      <w:t>is not conducted for profit, or a body responsible</w:t>
    </w:r>
    <w:r>
      <w:rPr>
        <w:rFonts w:cstheme="minorHAnsi"/>
        <w:sz w:val="13"/>
        <w:szCs w:val="13"/>
      </w:rPr>
      <w:t xml:space="preserve"> </w:t>
    </w:r>
    <w:r w:rsidRPr="007747E5">
      <w:rPr>
        <w:rFonts w:cstheme="minorHAnsi"/>
        <w:sz w:val="13"/>
        <w:szCs w:val="13"/>
      </w:rPr>
      <w:t>for administering such an institution may copy and</w:t>
    </w:r>
    <w:r>
      <w:rPr>
        <w:rFonts w:cstheme="minorHAnsi"/>
        <w:sz w:val="13"/>
        <w:szCs w:val="13"/>
      </w:rPr>
      <w:t xml:space="preserve"> </w:t>
    </w:r>
    <w:r w:rsidRPr="007747E5">
      <w:rPr>
        <w:rFonts w:cstheme="minorHAnsi"/>
        <w:sz w:val="13"/>
        <w:szCs w:val="13"/>
      </w:rPr>
      <w:t>communicate the materials, other than third party</w:t>
    </w:r>
    <w:r>
      <w:rPr>
        <w:rFonts w:cstheme="minorHAnsi"/>
        <w:sz w:val="13"/>
        <w:szCs w:val="13"/>
      </w:rPr>
      <w:t xml:space="preserve"> </w:t>
    </w:r>
    <w:r w:rsidRPr="007747E5">
      <w:rPr>
        <w:rFonts w:cstheme="minorHAnsi"/>
        <w:sz w:val="13"/>
        <w:szCs w:val="13"/>
      </w:rPr>
      <w:t>materials, for the educational purposes of the institution.</w:t>
    </w:r>
  </w:p>
  <w:p w14:paraId="354F8584" w14:textId="77777777" w:rsidR="007747E5" w:rsidRPr="007747E5" w:rsidRDefault="007747E5" w:rsidP="007747E5">
    <w:pPr>
      <w:autoSpaceDE w:val="0"/>
      <w:autoSpaceDN w:val="0"/>
      <w:adjustRightInd w:val="0"/>
      <w:spacing w:after="60" w:line="240" w:lineRule="auto"/>
      <w:rPr>
        <w:rFonts w:cstheme="minorHAnsi"/>
        <w:sz w:val="13"/>
        <w:szCs w:val="13"/>
      </w:rPr>
    </w:pPr>
    <w:r w:rsidRPr="007747E5">
      <w:rPr>
        <w:rFonts w:cstheme="minorHAnsi"/>
        <w:sz w:val="13"/>
        <w:szCs w:val="13"/>
      </w:rPr>
      <w:t>Authorised by the Department of Education and Training</w:t>
    </w:r>
  </w:p>
  <w:p w14:paraId="61E2BB8F" w14:textId="46C1E23C" w:rsidR="00097882" w:rsidRPr="0079365B" w:rsidRDefault="007747E5" w:rsidP="007747E5">
    <w:pPr>
      <w:autoSpaceDE w:val="0"/>
      <w:autoSpaceDN w:val="0"/>
      <w:adjustRightInd w:val="0"/>
      <w:spacing w:after="60" w:line="240" w:lineRule="auto"/>
      <w:rPr>
        <w:rFonts w:cstheme="minorHAnsi"/>
        <w:sz w:val="13"/>
        <w:szCs w:val="13"/>
      </w:rPr>
    </w:pPr>
    <w:r w:rsidRPr="007747E5">
      <w:rPr>
        <w:rFonts w:cstheme="minorHAnsi"/>
        <w:sz w:val="13"/>
        <w:szCs w:val="13"/>
      </w:rPr>
      <w:t>2 Treasury Place, East Melbourne, Victoria, 3002</w:t>
    </w:r>
  </w:p>
  <w:p w14:paraId="52424ADE" w14:textId="450F950B" w:rsidR="00097882" w:rsidRDefault="00097882" w:rsidP="00DF4B18">
    <w:pPr>
      <w:pStyle w:val="Footer"/>
      <w:tabs>
        <w:tab w:val="clear" w:pos="4320"/>
        <w:tab w:val="clear" w:pos="8640"/>
        <w:tab w:val="left" w:pos="8098"/>
      </w:tabs>
    </w:pPr>
    <w:r>
      <w:rPr>
        <w:rFonts w:eastAsia="Arial" w:cs="Times New Roman"/>
        <w:noProof/>
        <w:color w:val="C00000"/>
        <w:sz w:val="15"/>
        <w:szCs w:val="15"/>
        <w:lang w:val="en-AU"/>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46875" w14:textId="77777777" w:rsidR="00097882" w:rsidRPr="0079365B" w:rsidRDefault="00097882" w:rsidP="008A23B7">
    <w:pPr>
      <w:autoSpaceDE w:val="0"/>
      <w:autoSpaceDN w:val="0"/>
      <w:adjustRightInd w:val="0"/>
      <w:spacing w:after="0" w:line="240" w:lineRule="auto"/>
      <w:rPr>
        <w:rFonts w:cstheme="minorHAnsi"/>
        <w:sz w:val="13"/>
        <w:szCs w:val="13"/>
      </w:rPr>
    </w:pPr>
  </w:p>
  <w:p w14:paraId="58484D69" w14:textId="5A2B3E04" w:rsidR="00097882" w:rsidRDefault="00097882" w:rsidP="00DF4B18">
    <w:pPr>
      <w:pStyle w:val="Footer"/>
      <w:tabs>
        <w:tab w:val="clear" w:pos="4320"/>
        <w:tab w:val="clear" w:pos="8640"/>
        <w:tab w:val="left" w:pos="8098"/>
      </w:tabs>
    </w:pPr>
    <w:r w:rsidRPr="009F77B4">
      <w:rPr>
        <w:noProof/>
        <w:color w:val="C00000"/>
        <w:sz w:val="15"/>
        <w:szCs w:val="15"/>
      </w:rPr>
      <w:fldChar w:fldCharType="begin"/>
    </w:r>
    <w:r w:rsidRPr="009F77B4">
      <w:rPr>
        <w:noProof/>
        <w:color w:val="C00000"/>
        <w:sz w:val="15"/>
        <w:szCs w:val="15"/>
      </w:rPr>
      <w:instrText xml:space="preserve"> FILENAME  \* MERGEFORMAT </w:instrText>
    </w:r>
    <w:r w:rsidRPr="009F77B4">
      <w:rPr>
        <w:noProof/>
        <w:color w:val="C00000"/>
        <w:sz w:val="15"/>
        <w:szCs w:val="15"/>
      </w:rPr>
      <w:fldChar w:fldCharType="separate"/>
    </w:r>
    <w:r w:rsidR="00045DFB">
      <w:rPr>
        <w:noProof/>
        <w:color w:val="C00000"/>
        <w:sz w:val="15"/>
        <w:szCs w:val="15"/>
      </w:rPr>
      <w:t>Strategic Plan 2019-23 accessible version</w:t>
    </w:r>
    <w:r w:rsidRPr="009F77B4">
      <w:rPr>
        <w:noProof/>
        <w:color w:val="C00000"/>
        <w:sz w:val="15"/>
        <w:szCs w:val="15"/>
      </w:rPr>
      <w:fldChar w:fldCharType="end"/>
    </w:r>
    <w:sdt>
      <w:sdtPr>
        <w:rPr>
          <w:rFonts w:eastAsia="Arial" w:cs="Times New Roman"/>
          <w:color w:val="C00000"/>
          <w:sz w:val="15"/>
          <w:szCs w:val="15"/>
          <w:lang w:val="en-AU"/>
        </w:rPr>
        <w:id w:val="371966515"/>
        <w:docPartObj>
          <w:docPartGallery w:val="Page Numbers (Bottom of Page)"/>
          <w:docPartUnique/>
        </w:docPartObj>
      </w:sdtPr>
      <w:sdtEndPr>
        <w:rPr>
          <w:noProof/>
        </w:rPr>
      </w:sdtEndPr>
      <w:sdtContent>
        <w:r w:rsidRPr="009F77B4">
          <w:rPr>
            <w:noProof/>
            <w:color w:val="C00000"/>
            <w:sz w:val="15"/>
            <w:szCs w:val="15"/>
            <w:lang w:val="en-AU" w:eastAsia="en-AU"/>
          </w:rPr>
          <w:drawing>
            <wp:anchor distT="0" distB="0" distL="114300" distR="114300" simplePos="0" relativeHeight="251658240" behindDoc="1" locked="0" layoutInCell="1" allowOverlap="1" wp14:anchorId="1152013C" wp14:editId="598CD7BC">
              <wp:simplePos x="0" y="0"/>
              <wp:positionH relativeFrom="page">
                <wp:posOffset>3823335</wp:posOffset>
              </wp:positionH>
              <wp:positionV relativeFrom="page">
                <wp:posOffset>6915473</wp:posOffset>
              </wp:positionV>
              <wp:extent cx="6851137" cy="657488"/>
              <wp:effectExtent l="0" t="0" r="0" b="9525"/>
              <wp:wrapNone/>
              <wp:docPr id="2" name="Picture 2" descr="Victoria State Government Education and Trainin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6879595" cy="660219"/>
                      </a:xfrm>
                      <a:prstGeom prst="rect">
                        <a:avLst/>
                      </a:prstGeom>
                    </pic:spPr>
                  </pic:pic>
                </a:graphicData>
              </a:graphic>
              <wp14:sizeRelH relativeFrom="margin">
                <wp14:pctWidth>0</wp14:pctWidth>
              </wp14:sizeRelH>
              <wp14:sizeRelV relativeFrom="margin">
                <wp14:pctHeight>0</wp14:pctHeight>
              </wp14:sizeRelV>
            </wp:anchor>
          </w:drawing>
        </w:r>
        <w:r w:rsidRPr="009F77B4">
          <w:rPr>
            <w:rFonts w:eastAsia="Arial" w:cs="Times New Roman"/>
            <w:color w:val="C00000"/>
            <w:sz w:val="15"/>
            <w:szCs w:val="15"/>
            <w:lang w:val="en-AU"/>
          </w:rPr>
          <w:t xml:space="preserve"> – Page </w:t>
        </w:r>
        <w:r w:rsidRPr="009F77B4">
          <w:rPr>
            <w:rFonts w:eastAsia="Arial" w:cs="Times New Roman"/>
            <w:color w:val="C00000"/>
            <w:sz w:val="15"/>
            <w:szCs w:val="15"/>
            <w:lang w:val="en-AU"/>
          </w:rPr>
          <w:fldChar w:fldCharType="begin"/>
        </w:r>
        <w:r w:rsidRPr="009F77B4">
          <w:rPr>
            <w:rFonts w:eastAsia="Arial" w:cs="Times New Roman"/>
            <w:color w:val="C00000"/>
            <w:sz w:val="15"/>
            <w:szCs w:val="15"/>
            <w:lang w:val="en-AU"/>
          </w:rPr>
          <w:instrText xml:space="preserve"> TITLE  \* MERGEFORMAT </w:instrText>
        </w:r>
        <w:r w:rsidRPr="009F77B4">
          <w:rPr>
            <w:rFonts w:eastAsia="Arial" w:cs="Times New Roman"/>
            <w:color w:val="C00000"/>
            <w:sz w:val="15"/>
            <w:szCs w:val="15"/>
            <w:lang w:val="en-AU"/>
          </w:rPr>
          <w:fldChar w:fldCharType="end"/>
        </w:r>
        <w:r w:rsidRPr="009F77B4">
          <w:rPr>
            <w:rFonts w:eastAsia="Arial" w:cs="Times New Roman"/>
            <w:color w:val="C00000"/>
            <w:sz w:val="15"/>
            <w:szCs w:val="15"/>
            <w:lang w:val="en-AU"/>
          </w:rPr>
          <w:fldChar w:fldCharType="begin"/>
        </w:r>
        <w:r w:rsidRPr="009F77B4">
          <w:rPr>
            <w:rFonts w:eastAsia="Arial" w:cs="Times New Roman"/>
            <w:color w:val="C00000"/>
            <w:sz w:val="15"/>
            <w:szCs w:val="15"/>
            <w:lang w:val="en-AU"/>
          </w:rPr>
          <w:instrText xml:space="preserve"> PAGE   \* MERGEFORMAT </w:instrText>
        </w:r>
        <w:r w:rsidRPr="009F77B4">
          <w:rPr>
            <w:rFonts w:eastAsia="Arial" w:cs="Times New Roman"/>
            <w:color w:val="C00000"/>
            <w:sz w:val="15"/>
            <w:szCs w:val="15"/>
            <w:lang w:val="en-AU"/>
          </w:rPr>
          <w:fldChar w:fldCharType="separate"/>
        </w:r>
        <w:r w:rsidR="00645064">
          <w:rPr>
            <w:rFonts w:eastAsia="Arial" w:cs="Times New Roman"/>
            <w:noProof/>
            <w:color w:val="C00000"/>
            <w:sz w:val="15"/>
            <w:szCs w:val="15"/>
            <w:lang w:val="en-AU"/>
          </w:rPr>
          <w:t>16</w:t>
        </w:r>
        <w:r w:rsidRPr="009F77B4">
          <w:rPr>
            <w:rFonts w:eastAsia="Arial" w:cs="Times New Roman"/>
            <w:noProof/>
            <w:color w:val="C00000"/>
            <w:sz w:val="15"/>
            <w:szCs w:val="15"/>
            <w:lang w:val="en-AU"/>
          </w:rPr>
          <w:fldChar w:fldCharType="end"/>
        </w:r>
      </w:sdtContent>
    </w:sdt>
    <w:r>
      <w:rPr>
        <w:rFonts w:eastAsia="Arial" w:cs="Times New Roman"/>
        <w:noProof/>
        <w:color w:val="C00000"/>
        <w:sz w:val="15"/>
        <w:szCs w:val="15"/>
        <w:lang w:val="en-AU"/>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3EC41" w14:textId="77777777" w:rsidR="00097882" w:rsidRDefault="00097882" w:rsidP="008766A4">
      <w:r>
        <w:separator/>
      </w:r>
    </w:p>
  </w:footnote>
  <w:footnote w:type="continuationSeparator" w:id="0">
    <w:p w14:paraId="60C1483F" w14:textId="77777777" w:rsidR="00097882" w:rsidRDefault="00097882" w:rsidP="008766A4">
      <w:r>
        <w:continuationSeparator/>
      </w:r>
    </w:p>
  </w:footnote>
  <w:footnote w:type="continuationNotice" w:id="1">
    <w:p w14:paraId="2312FC26" w14:textId="77777777" w:rsidR="00097882" w:rsidRDefault="00097882">
      <w:pPr>
        <w:spacing w:after="0" w:line="240" w:lineRule="auto"/>
      </w:pPr>
    </w:p>
  </w:footnote>
  <w:footnote w:id="2">
    <w:p w14:paraId="33E1CE7B" w14:textId="0A789DFE" w:rsidR="00B00794" w:rsidRPr="000157E3" w:rsidRDefault="00B00794" w:rsidP="008526F9">
      <w:pPr>
        <w:autoSpaceDE w:val="0"/>
        <w:autoSpaceDN w:val="0"/>
        <w:adjustRightInd w:val="0"/>
        <w:spacing w:after="0" w:line="240" w:lineRule="auto"/>
        <w:rPr>
          <w:rStyle w:val="Hyperlink"/>
          <w:rFonts w:ascii="VIC-Medium" w:hAnsi="VIC-Medium" w:cs="VIC-Medium"/>
          <w:color w:val="AF272F"/>
          <w:sz w:val="16"/>
          <w:szCs w:val="16"/>
          <w:lang w:val="en-AU"/>
        </w:rPr>
      </w:pPr>
      <w:r>
        <w:rPr>
          <w:rStyle w:val="FootnoteReference"/>
        </w:rPr>
        <w:footnoteRef/>
      </w:r>
      <w:r>
        <w:t xml:space="preserve"> </w:t>
      </w:r>
      <w:r>
        <w:rPr>
          <w:rFonts w:ascii="VIC-Regular" w:hAnsi="VIC-Regular" w:cs="VIC-Regular"/>
          <w:color w:val="000000"/>
          <w:sz w:val="9"/>
          <w:szCs w:val="9"/>
          <w:lang w:val="en-AU"/>
        </w:rPr>
        <w:t xml:space="preserve">1 </w:t>
      </w:r>
      <w:r>
        <w:rPr>
          <w:rFonts w:ascii="VIC-Regular" w:hAnsi="VIC-Regular" w:cs="VIC-Regular"/>
          <w:color w:val="000000"/>
          <w:sz w:val="16"/>
          <w:szCs w:val="16"/>
          <w:lang w:val="en-AU"/>
        </w:rPr>
        <w:t>VAGO report</w:t>
      </w:r>
      <w:r w:rsidRPr="000157E3">
        <w:rPr>
          <w:rFonts w:ascii="VIC-Regular" w:hAnsi="VIC-Regular" w:cs="VIC-Regular"/>
          <w:color w:val="AF272F"/>
          <w:sz w:val="16"/>
          <w:szCs w:val="16"/>
          <w:lang w:val="en-AU"/>
        </w:rPr>
        <w:t xml:space="preserve"> </w:t>
      </w:r>
      <w:r w:rsidR="000157E3" w:rsidRPr="000157E3">
        <w:rPr>
          <w:rFonts w:ascii="VIC-Medium" w:hAnsi="VIC-Medium" w:cs="VIC-Medium"/>
          <w:color w:val="AF272F"/>
          <w:sz w:val="16"/>
          <w:szCs w:val="16"/>
          <w:lang w:val="en-AU"/>
        </w:rPr>
        <w:fldChar w:fldCharType="begin"/>
      </w:r>
      <w:r w:rsidR="000157E3" w:rsidRPr="000157E3">
        <w:rPr>
          <w:rFonts w:ascii="VIC-Medium" w:hAnsi="VIC-Medium" w:cs="VIC-Medium"/>
          <w:color w:val="AF272F"/>
          <w:sz w:val="16"/>
          <w:szCs w:val="16"/>
          <w:lang w:val="en-AU"/>
        </w:rPr>
        <w:instrText xml:space="preserve"> HYPERLINK "https://www.audit.vic.gov.au/sites/default/files/2017-08/20170823-Effectively-Planning-for-Population-Growth.pdf" </w:instrText>
      </w:r>
      <w:r w:rsidR="000157E3" w:rsidRPr="000157E3">
        <w:rPr>
          <w:rFonts w:ascii="VIC-Medium" w:hAnsi="VIC-Medium" w:cs="VIC-Medium"/>
          <w:color w:val="AF272F"/>
          <w:sz w:val="16"/>
          <w:szCs w:val="16"/>
          <w:lang w:val="en-AU"/>
        </w:rPr>
        <w:fldChar w:fldCharType="separate"/>
      </w:r>
      <w:r w:rsidRPr="000157E3">
        <w:rPr>
          <w:rStyle w:val="Hyperlink"/>
          <w:rFonts w:ascii="VIC-Medium" w:hAnsi="VIC-Medium" w:cs="VIC-Medium"/>
          <w:color w:val="AF272F"/>
          <w:sz w:val="16"/>
          <w:szCs w:val="16"/>
          <w:lang w:val="en-AU"/>
        </w:rPr>
        <w:t>https://www.audit.vic.gov.au/sites/default/files/2017-08/20170823-</w:t>
      </w:r>
    </w:p>
    <w:p w14:paraId="10D6E0E1" w14:textId="7CEA15F2" w:rsidR="00B00794" w:rsidRPr="008526F9" w:rsidRDefault="00B00794" w:rsidP="008526F9">
      <w:pPr>
        <w:pStyle w:val="FootnoteText"/>
        <w:rPr>
          <w:lang w:val="en-AU"/>
        </w:rPr>
      </w:pPr>
      <w:r w:rsidRPr="000157E3">
        <w:rPr>
          <w:rStyle w:val="Hyperlink"/>
          <w:rFonts w:ascii="VIC-Medium" w:hAnsi="VIC-Medium" w:cs="VIC-Medium"/>
          <w:color w:val="AF272F"/>
          <w:sz w:val="16"/>
          <w:szCs w:val="16"/>
          <w:lang w:val="en-AU"/>
        </w:rPr>
        <w:t>Effectively-Planning-for-Population-Growth.pdf</w:t>
      </w:r>
      <w:r w:rsidR="000157E3" w:rsidRPr="000157E3">
        <w:rPr>
          <w:rFonts w:ascii="VIC-Medium" w:hAnsi="VIC-Medium" w:cs="VIC-Medium"/>
          <w:color w:val="AF272F"/>
          <w:sz w:val="16"/>
          <w:szCs w:val="16"/>
          <w:lang w:val="en-AU"/>
        </w:rPr>
        <w:fldChar w:fldCharType="end"/>
      </w:r>
      <w:r>
        <w:rPr>
          <w:rFonts w:ascii="VIC-Medium" w:hAnsi="VIC-Medium" w:cs="VIC-Medium"/>
          <w:color w:val="B92330"/>
          <w:sz w:val="16"/>
          <w:szCs w:val="16"/>
          <w:lang w:val="en-AU"/>
        </w:rPr>
        <w:t xml:space="preserve"> </w:t>
      </w:r>
      <w:r>
        <w:rPr>
          <w:rFonts w:ascii="VIC-Regular" w:hAnsi="VIC-Regular" w:cs="VIC-Regular"/>
          <w:color w:val="000000"/>
          <w:sz w:val="16"/>
          <w:szCs w:val="16"/>
          <w:lang w:val="en-AU"/>
        </w:rPr>
        <w:t>and ViF 2016.</w:t>
      </w:r>
    </w:p>
  </w:footnote>
  <w:footnote w:id="3">
    <w:p w14:paraId="55EF5AAB" w14:textId="772D7360" w:rsidR="003D72B1" w:rsidRPr="00903DF5" w:rsidRDefault="003D72B1">
      <w:pPr>
        <w:pStyle w:val="FootnoteText"/>
        <w:rPr>
          <w:color w:val="AF272F"/>
          <w:sz w:val="16"/>
          <w:szCs w:val="16"/>
          <w:lang w:val="en-AU"/>
        </w:rPr>
      </w:pPr>
      <w:r w:rsidRPr="00903DF5">
        <w:rPr>
          <w:rStyle w:val="FootnoteReference"/>
          <w:sz w:val="16"/>
          <w:szCs w:val="16"/>
        </w:rPr>
        <w:footnoteRef/>
      </w:r>
      <w:r w:rsidRPr="00903DF5">
        <w:rPr>
          <w:color w:val="AF272F"/>
          <w:sz w:val="16"/>
          <w:szCs w:val="16"/>
        </w:rPr>
        <w:t xml:space="preserve"> https://www.dtf.vic.gov.au/state-budget</w:t>
      </w:r>
    </w:p>
  </w:footnote>
  <w:footnote w:id="4">
    <w:p w14:paraId="43D7A45A" w14:textId="3201E7F7" w:rsidR="00903DF5" w:rsidRPr="00903DF5" w:rsidRDefault="00903DF5">
      <w:pPr>
        <w:pStyle w:val="FootnoteText"/>
        <w:rPr>
          <w:lang w:val="en-AU"/>
        </w:rPr>
      </w:pPr>
      <w:r w:rsidRPr="00903DF5">
        <w:rPr>
          <w:rStyle w:val="FootnoteReference"/>
          <w:sz w:val="16"/>
          <w:szCs w:val="16"/>
        </w:rPr>
        <w:footnoteRef/>
      </w:r>
      <w:r w:rsidRPr="00903DF5">
        <w:rPr>
          <w:color w:val="AF272F"/>
          <w:sz w:val="16"/>
          <w:szCs w:val="16"/>
        </w:rPr>
        <w:t xml:space="preserve"> https://www.education.vic.gov.au/about/department/Pages/default.aspx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7E984" w14:textId="3FC2E3E6" w:rsidR="00097882" w:rsidRPr="00FB40AD" w:rsidRDefault="00097882" w:rsidP="007747E5">
    <w:pPr>
      <w:spacing w:after="60"/>
      <w:rPr>
        <w:color w:val="808080" w:themeColor="background1" w:themeShade="80"/>
        <w:sz w:val="22"/>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3682A" w14:textId="77777777" w:rsidR="00097882" w:rsidRPr="00FB40AD" w:rsidRDefault="00097882" w:rsidP="008766A4">
    <w:pP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F971C" w14:textId="5C3FDCC0" w:rsidR="00097882" w:rsidRPr="00FB40AD" w:rsidRDefault="00097882" w:rsidP="008766A4">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047821C8"/>
    <w:multiLevelType w:val="hybridMultilevel"/>
    <w:tmpl w:val="4E405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6C245E"/>
    <w:multiLevelType w:val="hybridMultilevel"/>
    <w:tmpl w:val="E78201B6"/>
    <w:lvl w:ilvl="0" w:tplc="0C090017">
      <w:start w:val="1"/>
      <w:numFmt w:val="lowerLetter"/>
      <w:lvlText w:val="%1)"/>
      <w:lvlJc w:val="left"/>
      <w:pPr>
        <w:ind w:left="1440" w:hanging="360"/>
      </w:pPr>
    </w:lvl>
    <w:lvl w:ilvl="1" w:tplc="0C090005">
      <w:start w:val="1"/>
      <w:numFmt w:val="bullet"/>
      <w:lvlText w:val=""/>
      <w:lvlJc w:val="left"/>
      <w:pPr>
        <w:ind w:left="2160" w:hanging="360"/>
      </w:pPr>
      <w:rPr>
        <w:rFonts w:ascii="Wingdings" w:hAnsi="Wingding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C687D30"/>
    <w:multiLevelType w:val="hybridMultilevel"/>
    <w:tmpl w:val="B8D411D2"/>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CD71A69"/>
    <w:multiLevelType w:val="hybridMultilevel"/>
    <w:tmpl w:val="178CD1AA"/>
    <w:lvl w:ilvl="0" w:tplc="0C090019">
      <w:start w:val="1"/>
      <w:numFmt w:val="lowerLetter"/>
      <w:lvlText w:val="%1."/>
      <w:lvlJc w:val="left"/>
      <w:pPr>
        <w:ind w:left="720" w:hanging="360"/>
      </w:pPr>
    </w:lvl>
    <w:lvl w:ilvl="1" w:tplc="0C090005">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614896"/>
    <w:multiLevelType w:val="hybridMultilevel"/>
    <w:tmpl w:val="81AADF3E"/>
    <w:lvl w:ilvl="0" w:tplc="34F89848">
      <w:start w:val="1"/>
      <w:numFmt w:val="bullet"/>
      <w:pStyle w:val="ES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33554"/>
    <w:multiLevelType w:val="hybridMultilevel"/>
    <w:tmpl w:val="F326AB6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60527E"/>
    <w:multiLevelType w:val="hybridMultilevel"/>
    <w:tmpl w:val="F8600FE6"/>
    <w:lvl w:ilvl="0" w:tplc="623C0AE0">
      <w:start w:val="1"/>
      <w:numFmt w:val="bullet"/>
      <w:pStyle w:val="ESBulletsinTable"/>
      <w:lvlText w:val=""/>
      <w:lvlJc w:val="left"/>
      <w:pPr>
        <w:ind w:left="360" w:hanging="360"/>
      </w:pPr>
      <w:rPr>
        <w:rFonts w:ascii="Symbol" w:hAnsi="Symbol" w:hint="default"/>
        <w:color w:val="auto"/>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06058"/>
    <w:multiLevelType w:val="hybridMultilevel"/>
    <w:tmpl w:val="B8D411D2"/>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4B1D5D56"/>
    <w:multiLevelType w:val="hybridMultilevel"/>
    <w:tmpl w:val="1054B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CD3610"/>
    <w:multiLevelType w:val="hybridMultilevel"/>
    <w:tmpl w:val="38BCEB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F60072"/>
    <w:multiLevelType w:val="hybridMultilevel"/>
    <w:tmpl w:val="85220942"/>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2" w15:restartNumberingAfterBreak="0">
    <w:nsid w:val="568A23E7"/>
    <w:multiLevelType w:val="hybridMultilevel"/>
    <w:tmpl w:val="8FC893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DC936E0"/>
    <w:multiLevelType w:val="hybridMultilevel"/>
    <w:tmpl w:val="CD6E8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376EDB"/>
    <w:multiLevelType w:val="hybridMultilevel"/>
    <w:tmpl w:val="38BCEB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802DDF"/>
    <w:multiLevelType w:val="hybridMultilevel"/>
    <w:tmpl w:val="FF9EFC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1506919"/>
    <w:multiLevelType w:val="hybridMultilevel"/>
    <w:tmpl w:val="7458C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5120E6"/>
    <w:multiLevelType w:val="hybridMultilevel"/>
    <w:tmpl w:val="0772F1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B4430D"/>
    <w:multiLevelType w:val="hybridMultilevel"/>
    <w:tmpl w:val="0C7654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5"/>
  </w:num>
  <w:num w:numId="5">
    <w:abstractNumId w:val="18"/>
  </w:num>
  <w:num w:numId="6">
    <w:abstractNumId w:val="13"/>
  </w:num>
  <w:num w:numId="7">
    <w:abstractNumId w:val="9"/>
  </w:num>
  <w:num w:numId="8">
    <w:abstractNumId w:val="16"/>
  </w:num>
  <w:num w:numId="9">
    <w:abstractNumId w:val="15"/>
  </w:num>
  <w:num w:numId="10">
    <w:abstractNumId w:val="12"/>
  </w:num>
  <w:num w:numId="11">
    <w:abstractNumId w:val="11"/>
  </w:num>
  <w:num w:numId="12">
    <w:abstractNumId w:val="3"/>
  </w:num>
  <w:num w:numId="13">
    <w:abstractNumId w:val="2"/>
  </w:num>
  <w:num w:numId="14">
    <w:abstractNumId w:val="6"/>
  </w:num>
  <w:num w:numId="15">
    <w:abstractNumId w:val="17"/>
  </w:num>
  <w:num w:numId="16">
    <w:abstractNumId w:val="10"/>
  </w:num>
  <w:num w:numId="17">
    <w:abstractNumId w:val="14"/>
  </w:num>
  <w:num w:numId="18">
    <w:abstractNumId w:val="4"/>
  </w:num>
  <w:num w:numId="1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AU" w:vendorID="64" w:dllVersion="6" w:nlCheck="1" w:checkStyle="0"/>
  <w:activeWritingStyle w:appName="MSWord" w:lang="en-GB" w:vendorID="64" w:dllVersion="6" w:nlCheck="1" w:checkStyle="1"/>
  <w:activeWritingStyle w:appName="MSWord" w:lang="en-US" w:vendorID="64" w:dllVersion="131078" w:nlCheck="1" w:checkStyle="1"/>
  <w:activeWritingStyle w:appName="MSWord" w:lang="en-AU" w:vendorID="64" w:dllVersion="131078" w:nlCheck="1" w:checkStyle="1"/>
  <w:stylePaneSortMethod w:val="0000"/>
  <w:documentProtection w:enforcement="0"/>
  <w:autoFormatOverride/>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3C3C"/>
    <w:rsid w:val="00003E4D"/>
    <w:rsid w:val="00006733"/>
    <w:rsid w:val="00012077"/>
    <w:rsid w:val="00013A85"/>
    <w:rsid w:val="000157E3"/>
    <w:rsid w:val="00020353"/>
    <w:rsid w:val="000214DA"/>
    <w:rsid w:val="0002268D"/>
    <w:rsid w:val="00022AD7"/>
    <w:rsid w:val="00022ED0"/>
    <w:rsid w:val="000235E7"/>
    <w:rsid w:val="00023D1E"/>
    <w:rsid w:val="000277E6"/>
    <w:rsid w:val="00033B79"/>
    <w:rsid w:val="00040BF9"/>
    <w:rsid w:val="00043C3D"/>
    <w:rsid w:val="00044869"/>
    <w:rsid w:val="00045BEA"/>
    <w:rsid w:val="00045DFB"/>
    <w:rsid w:val="0005183B"/>
    <w:rsid w:val="00052EDB"/>
    <w:rsid w:val="0005488F"/>
    <w:rsid w:val="00055431"/>
    <w:rsid w:val="00055FBA"/>
    <w:rsid w:val="0005676E"/>
    <w:rsid w:val="000574FE"/>
    <w:rsid w:val="00057633"/>
    <w:rsid w:val="000601A7"/>
    <w:rsid w:val="00060E42"/>
    <w:rsid w:val="00060EC2"/>
    <w:rsid w:val="00062472"/>
    <w:rsid w:val="0006515F"/>
    <w:rsid w:val="00066310"/>
    <w:rsid w:val="0007204F"/>
    <w:rsid w:val="00073409"/>
    <w:rsid w:val="0007499C"/>
    <w:rsid w:val="00074CF0"/>
    <w:rsid w:val="00080544"/>
    <w:rsid w:val="0008123C"/>
    <w:rsid w:val="0008449B"/>
    <w:rsid w:val="00084BE2"/>
    <w:rsid w:val="000852D5"/>
    <w:rsid w:val="000857BA"/>
    <w:rsid w:val="00085815"/>
    <w:rsid w:val="00086139"/>
    <w:rsid w:val="00086346"/>
    <w:rsid w:val="00086DCD"/>
    <w:rsid w:val="000909DA"/>
    <w:rsid w:val="00091D2C"/>
    <w:rsid w:val="00093B40"/>
    <w:rsid w:val="00093F17"/>
    <w:rsid w:val="00095484"/>
    <w:rsid w:val="00096744"/>
    <w:rsid w:val="00097882"/>
    <w:rsid w:val="000A0D73"/>
    <w:rsid w:val="000A1B86"/>
    <w:rsid w:val="000A7B71"/>
    <w:rsid w:val="000B0611"/>
    <w:rsid w:val="000B0FAB"/>
    <w:rsid w:val="000B2624"/>
    <w:rsid w:val="000B36CA"/>
    <w:rsid w:val="000B4D35"/>
    <w:rsid w:val="000B79B8"/>
    <w:rsid w:val="000B7C0E"/>
    <w:rsid w:val="000B7DB1"/>
    <w:rsid w:val="000C03F1"/>
    <w:rsid w:val="000C28DA"/>
    <w:rsid w:val="000C360F"/>
    <w:rsid w:val="000C383C"/>
    <w:rsid w:val="000C499D"/>
    <w:rsid w:val="000C5DBC"/>
    <w:rsid w:val="000C70BD"/>
    <w:rsid w:val="000C7F79"/>
    <w:rsid w:val="000C7F96"/>
    <w:rsid w:val="000D1B9C"/>
    <w:rsid w:val="000D1E52"/>
    <w:rsid w:val="000D4D3E"/>
    <w:rsid w:val="000D70EE"/>
    <w:rsid w:val="000E0872"/>
    <w:rsid w:val="000E204F"/>
    <w:rsid w:val="000E393D"/>
    <w:rsid w:val="000E6D68"/>
    <w:rsid w:val="000E7CB6"/>
    <w:rsid w:val="000F0B6E"/>
    <w:rsid w:val="000F155E"/>
    <w:rsid w:val="000F1A17"/>
    <w:rsid w:val="000F4C22"/>
    <w:rsid w:val="000F6D54"/>
    <w:rsid w:val="00101DD9"/>
    <w:rsid w:val="00101E70"/>
    <w:rsid w:val="00102AAA"/>
    <w:rsid w:val="0010616B"/>
    <w:rsid w:val="00107FDC"/>
    <w:rsid w:val="00110738"/>
    <w:rsid w:val="001118A8"/>
    <w:rsid w:val="00112EC7"/>
    <w:rsid w:val="001152A7"/>
    <w:rsid w:val="00116EF5"/>
    <w:rsid w:val="00122441"/>
    <w:rsid w:val="001260B3"/>
    <w:rsid w:val="001271E3"/>
    <w:rsid w:val="00127682"/>
    <w:rsid w:val="0013101B"/>
    <w:rsid w:val="00137384"/>
    <w:rsid w:val="00137CC7"/>
    <w:rsid w:val="00141BC2"/>
    <w:rsid w:val="00141C8B"/>
    <w:rsid w:val="001421C0"/>
    <w:rsid w:val="001428FD"/>
    <w:rsid w:val="00142958"/>
    <w:rsid w:val="0014310A"/>
    <w:rsid w:val="001440C1"/>
    <w:rsid w:val="0014454D"/>
    <w:rsid w:val="00146CE7"/>
    <w:rsid w:val="00147CC8"/>
    <w:rsid w:val="001501F5"/>
    <w:rsid w:val="00151DCF"/>
    <w:rsid w:val="00156996"/>
    <w:rsid w:val="00157B98"/>
    <w:rsid w:val="001600B0"/>
    <w:rsid w:val="001627F6"/>
    <w:rsid w:val="00162DB6"/>
    <w:rsid w:val="00163D68"/>
    <w:rsid w:val="00164CCC"/>
    <w:rsid w:val="00164DAF"/>
    <w:rsid w:val="00165B73"/>
    <w:rsid w:val="001668B7"/>
    <w:rsid w:val="00166DA6"/>
    <w:rsid w:val="00167FF7"/>
    <w:rsid w:val="001712C0"/>
    <w:rsid w:val="00173D1F"/>
    <w:rsid w:val="00173E1F"/>
    <w:rsid w:val="001757EB"/>
    <w:rsid w:val="00176131"/>
    <w:rsid w:val="001773EA"/>
    <w:rsid w:val="0017785C"/>
    <w:rsid w:val="00184F84"/>
    <w:rsid w:val="0018657D"/>
    <w:rsid w:val="001873A0"/>
    <w:rsid w:val="00190E3D"/>
    <w:rsid w:val="001917D0"/>
    <w:rsid w:val="001919C3"/>
    <w:rsid w:val="00191C5C"/>
    <w:rsid w:val="00193A4B"/>
    <w:rsid w:val="00193B7F"/>
    <w:rsid w:val="00194DAB"/>
    <w:rsid w:val="00195053"/>
    <w:rsid w:val="00195145"/>
    <w:rsid w:val="00195408"/>
    <w:rsid w:val="00195F90"/>
    <w:rsid w:val="00197AE5"/>
    <w:rsid w:val="00197DAF"/>
    <w:rsid w:val="001A16CB"/>
    <w:rsid w:val="001A2D2A"/>
    <w:rsid w:val="001A30EC"/>
    <w:rsid w:val="001A3E58"/>
    <w:rsid w:val="001A4138"/>
    <w:rsid w:val="001A7CDA"/>
    <w:rsid w:val="001B34EA"/>
    <w:rsid w:val="001B517D"/>
    <w:rsid w:val="001B6B3D"/>
    <w:rsid w:val="001B6E46"/>
    <w:rsid w:val="001C57B1"/>
    <w:rsid w:val="001C5DAA"/>
    <w:rsid w:val="001C61B5"/>
    <w:rsid w:val="001C708A"/>
    <w:rsid w:val="001C7481"/>
    <w:rsid w:val="001D3787"/>
    <w:rsid w:val="001D5DD8"/>
    <w:rsid w:val="001E0C92"/>
    <w:rsid w:val="001E2768"/>
    <w:rsid w:val="001E2F1D"/>
    <w:rsid w:val="001E2F26"/>
    <w:rsid w:val="001E4720"/>
    <w:rsid w:val="001E5523"/>
    <w:rsid w:val="001E557E"/>
    <w:rsid w:val="001E6B7E"/>
    <w:rsid w:val="001E7CC2"/>
    <w:rsid w:val="001F0B6B"/>
    <w:rsid w:val="001F2772"/>
    <w:rsid w:val="001F752A"/>
    <w:rsid w:val="00200B0F"/>
    <w:rsid w:val="00201F2C"/>
    <w:rsid w:val="00203B7E"/>
    <w:rsid w:val="00203BAE"/>
    <w:rsid w:val="0020457E"/>
    <w:rsid w:val="00205CD1"/>
    <w:rsid w:val="00206F78"/>
    <w:rsid w:val="00213D47"/>
    <w:rsid w:val="00214DD3"/>
    <w:rsid w:val="00216504"/>
    <w:rsid w:val="00217011"/>
    <w:rsid w:val="002173EE"/>
    <w:rsid w:val="00220818"/>
    <w:rsid w:val="002211B7"/>
    <w:rsid w:val="0022212D"/>
    <w:rsid w:val="002232F2"/>
    <w:rsid w:val="00224398"/>
    <w:rsid w:val="00224842"/>
    <w:rsid w:val="00226B71"/>
    <w:rsid w:val="00227F2C"/>
    <w:rsid w:val="00230EBC"/>
    <w:rsid w:val="0023118B"/>
    <w:rsid w:val="00232297"/>
    <w:rsid w:val="0023362E"/>
    <w:rsid w:val="002375DF"/>
    <w:rsid w:val="002423A1"/>
    <w:rsid w:val="00243FDD"/>
    <w:rsid w:val="00245BF1"/>
    <w:rsid w:val="0024636C"/>
    <w:rsid w:val="002507D1"/>
    <w:rsid w:val="002508E2"/>
    <w:rsid w:val="00251661"/>
    <w:rsid w:val="00253329"/>
    <w:rsid w:val="002533C1"/>
    <w:rsid w:val="002547CC"/>
    <w:rsid w:val="0025492D"/>
    <w:rsid w:val="00255584"/>
    <w:rsid w:val="00255E0C"/>
    <w:rsid w:val="00256C09"/>
    <w:rsid w:val="00257828"/>
    <w:rsid w:val="002602E8"/>
    <w:rsid w:val="00262439"/>
    <w:rsid w:val="0026543E"/>
    <w:rsid w:val="00265F97"/>
    <w:rsid w:val="00271F77"/>
    <w:rsid w:val="00273F15"/>
    <w:rsid w:val="00274660"/>
    <w:rsid w:val="00276829"/>
    <w:rsid w:val="00283354"/>
    <w:rsid w:val="00283953"/>
    <w:rsid w:val="0028472E"/>
    <w:rsid w:val="0028481B"/>
    <w:rsid w:val="00284F04"/>
    <w:rsid w:val="0028660A"/>
    <w:rsid w:val="002915AD"/>
    <w:rsid w:val="002922DD"/>
    <w:rsid w:val="002935B2"/>
    <w:rsid w:val="00293C98"/>
    <w:rsid w:val="002965B2"/>
    <w:rsid w:val="002A00A5"/>
    <w:rsid w:val="002A368B"/>
    <w:rsid w:val="002A455B"/>
    <w:rsid w:val="002A66FF"/>
    <w:rsid w:val="002A6B0B"/>
    <w:rsid w:val="002A6BD3"/>
    <w:rsid w:val="002B06F1"/>
    <w:rsid w:val="002B1C15"/>
    <w:rsid w:val="002B200E"/>
    <w:rsid w:val="002B210B"/>
    <w:rsid w:val="002B25FF"/>
    <w:rsid w:val="002B2706"/>
    <w:rsid w:val="002B4957"/>
    <w:rsid w:val="002B7E60"/>
    <w:rsid w:val="002C0166"/>
    <w:rsid w:val="002C3A1A"/>
    <w:rsid w:val="002C4581"/>
    <w:rsid w:val="002C4771"/>
    <w:rsid w:val="002C5393"/>
    <w:rsid w:val="002C6FC4"/>
    <w:rsid w:val="002C7054"/>
    <w:rsid w:val="002C73EA"/>
    <w:rsid w:val="002D325B"/>
    <w:rsid w:val="002D399F"/>
    <w:rsid w:val="002D4128"/>
    <w:rsid w:val="002D437F"/>
    <w:rsid w:val="002D5D8D"/>
    <w:rsid w:val="002D6A1C"/>
    <w:rsid w:val="002D7A99"/>
    <w:rsid w:val="002E1E59"/>
    <w:rsid w:val="002E251C"/>
    <w:rsid w:val="002E2B2F"/>
    <w:rsid w:val="002E3CFD"/>
    <w:rsid w:val="002E58E1"/>
    <w:rsid w:val="002E733F"/>
    <w:rsid w:val="002E7783"/>
    <w:rsid w:val="002F24C5"/>
    <w:rsid w:val="002F3B09"/>
    <w:rsid w:val="002F489B"/>
    <w:rsid w:val="002F4B43"/>
    <w:rsid w:val="002F5D3D"/>
    <w:rsid w:val="002F6692"/>
    <w:rsid w:val="002F6E70"/>
    <w:rsid w:val="002F701E"/>
    <w:rsid w:val="00300616"/>
    <w:rsid w:val="00303ADE"/>
    <w:rsid w:val="00303FA7"/>
    <w:rsid w:val="00305A14"/>
    <w:rsid w:val="00306D09"/>
    <w:rsid w:val="00307E9F"/>
    <w:rsid w:val="00311C6C"/>
    <w:rsid w:val="00312931"/>
    <w:rsid w:val="00313EA4"/>
    <w:rsid w:val="00314FA2"/>
    <w:rsid w:val="003151E2"/>
    <w:rsid w:val="00316B67"/>
    <w:rsid w:val="0031712F"/>
    <w:rsid w:val="003172FA"/>
    <w:rsid w:val="003214DF"/>
    <w:rsid w:val="00322EDC"/>
    <w:rsid w:val="0032562F"/>
    <w:rsid w:val="00326F48"/>
    <w:rsid w:val="00330CDC"/>
    <w:rsid w:val="00340E67"/>
    <w:rsid w:val="00341E2F"/>
    <w:rsid w:val="0034209E"/>
    <w:rsid w:val="00342BF1"/>
    <w:rsid w:val="003437ED"/>
    <w:rsid w:val="00344D4C"/>
    <w:rsid w:val="00346D2C"/>
    <w:rsid w:val="00347714"/>
    <w:rsid w:val="003508B9"/>
    <w:rsid w:val="00352213"/>
    <w:rsid w:val="00352882"/>
    <w:rsid w:val="003535DB"/>
    <w:rsid w:val="00353F00"/>
    <w:rsid w:val="003575BB"/>
    <w:rsid w:val="0036034B"/>
    <w:rsid w:val="0036376A"/>
    <w:rsid w:val="00363ABD"/>
    <w:rsid w:val="0036518C"/>
    <w:rsid w:val="003667B2"/>
    <w:rsid w:val="0036688A"/>
    <w:rsid w:val="00366B77"/>
    <w:rsid w:val="00370431"/>
    <w:rsid w:val="00370DCA"/>
    <w:rsid w:val="00371234"/>
    <w:rsid w:val="00371ACC"/>
    <w:rsid w:val="00374F57"/>
    <w:rsid w:val="00375287"/>
    <w:rsid w:val="00377A23"/>
    <w:rsid w:val="00380109"/>
    <w:rsid w:val="00380181"/>
    <w:rsid w:val="003811ED"/>
    <w:rsid w:val="003824ED"/>
    <w:rsid w:val="0038299F"/>
    <w:rsid w:val="00383B97"/>
    <w:rsid w:val="003842F5"/>
    <w:rsid w:val="003851D8"/>
    <w:rsid w:val="003925E1"/>
    <w:rsid w:val="00393C47"/>
    <w:rsid w:val="00394AD6"/>
    <w:rsid w:val="00394F3B"/>
    <w:rsid w:val="00397566"/>
    <w:rsid w:val="003A0359"/>
    <w:rsid w:val="003A0679"/>
    <w:rsid w:val="003A0892"/>
    <w:rsid w:val="003A160B"/>
    <w:rsid w:val="003A2B8F"/>
    <w:rsid w:val="003A3DFC"/>
    <w:rsid w:val="003A4076"/>
    <w:rsid w:val="003A4B69"/>
    <w:rsid w:val="003A5289"/>
    <w:rsid w:val="003A6C0C"/>
    <w:rsid w:val="003B01B0"/>
    <w:rsid w:val="003B11E1"/>
    <w:rsid w:val="003B4118"/>
    <w:rsid w:val="003B5ADA"/>
    <w:rsid w:val="003B5CBD"/>
    <w:rsid w:val="003B661A"/>
    <w:rsid w:val="003B7A38"/>
    <w:rsid w:val="003C08D6"/>
    <w:rsid w:val="003C1B23"/>
    <w:rsid w:val="003C2E48"/>
    <w:rsid w:val="003C3497"/>
    <w:rsid w:val="003C55B0"/>
    <w:rsid w:val="003C6FE6"/>
    <w:rsid w:val="003D2567"/>
    <w:rsid w:val="003D26E9"/>
    <w:rsid w:val="003D344D"/>
    <w:rsid w:val="003D3C1E"/>
    <w:rsid w:val="003D5220"/>
    <w:rsid w:val="003D6552"/>
    <w:rsid w:val="003D72B1"/>
    <w:rsid w:val="003E03EB"/>
    <w:rsid w:val="003E29B5"/>
    <w:rsid w:val="003E42FB"/>
    <w:rsid w:val="003E4C71"/>
    <w:rsid w:val="003E6D16"/>
    <w:rsid w:val="003E712B"/>
    <w:rsid w:val="003E7156"/>
    <w:rsid w:val="003F030C"/>
    <w:rsid w:val="003F0374"/>
    <w:rsid w:val="003F1DA3"/>
    <w:rsid w:val="003F21DB"/>
    <w:rsid w:val="003F5CED"/>
    <w:rsid w:val="003F6D59"/>
    <w:rsid w:val="003F6E2A"/>
    <w:rsid w:val="00401009"/>
    <w:rsid w:val="0040383A"/>
    <w:rsid w:val="004056CA"/>
    <w:rsid w:val="00405BE0"/>
    <w:rsid w:val="00413F77"/>
    <w:rsid w:val="004159B9"/>
    <w:rsid w:val="004164A4"/>
    <w:rsid w:val="004219DE"/>
    <w:rsid w:val="0042224F"/>
    <w:rsid w:val="0042385D"/>
    <w:rsid w:val="00423FD6"/>
    <w:rsid w:val="00425DA3"/>
    <w:rsid w:val="00426A27"/>
    <w:rsid w:val="0042793A"/>
    <w:rsid w:val="00431FC0"/>
    <w:rsid w:val="00437783"/>
    <w:rsid w:val="00437FDF"/>
    <w:rsid w:val="00440A74"/>
    <w:rsid w:val="004421B1"/>
    <w:rsid w:val="00442535"/>
    <w:rsid w:val="00442C5E"/>
    <w:rsid w:val="00447808"/>
    <w:rsid w:val="004530A3"/>
    <w:rsid w:val="0045439A"/>
    <w:rsid w:val="00454984"/>
    <w:rsid w:val="00456589"/>
    <w:rsid w:val="00457F52"/>
    <w:rsid w:val="0046149F"/>
    <w:rsid w:val="004615C4"/>
    <w:rsid w:val="00464AB1"/>
    <w:rsid w:val="00464FA7"/>
    <w:rsid w:val="00480981"/>
    <w:rsid w:val="004822D0"/>
    <w:rsid w:val="004833D0"/>
    <w:rsid w:val="0048440D"/>
    <w:rsid w:val="004853F4"/>
    <w:rsid w:val="00485CF0"/>
    <w:rsid w:val="00486FFA"/>
    <w:rsid w:val="00487846"/>
    <w:rsid w:val="00491729"/>
    <w:rsid w:val="00492342"/>
    <w:rsid w:val="00496153"/>
    <w:rsid w:val="00496968"/>
    <w:rsid w:val="00496D18"/>
    <w:rsid w:val="00496F82"/>
    <w:rsid w:val="004A077D"/>
    <w:rsid w:val="004A0C24"/>
    <w:rsid w:val="004A283B"/>
    <w:rsid w:val="004A60F5"/>
    <w:rsid w:val="004A7F8C"/>
    <w:rsid w:val="004B1A30"/>
    <w:rsid w:val="004B20EA"/>
    <w:rsid w:val="004B2190"/>
    <w:rsid w:val="004B3384"/>
    <w:rsid w:val="004B4585"/>
    <w:rsid w:val="004B5984"/>
    <w:rsid w:val="004B6666"/>
    <w:rsid w:val="004B733A"/>
    <w:rsid w:val="004C0266"/>
    <w:rsid w:val="004C0AA0"/>
    <w:rsid w:val="004C2513"/>
    <w:rsid w:val="004C4520"/>
    <w:rsid w:val="004C7F56"/>
    <w:rsid w:val="004D03D1"/>
    <w:rsid w:val="004D062C"/>
    <w:rsid w:val="004D1926"/>
    <w:rsid w:val="004D1C83"/>
    <w:rsid w:val="004D3967"/>
    <w:rsid w:val="004D7640"/>
    <w:rsid w:val="004E188F"/>
    <w:rsid w:val="004E262D"/>
    <w:rsid w:val="004E4752"/>
    <w:rsid w:val="004E4DBE"/>
    <w:rsid w:val="004F266F"/>
    <w:rsid w:val="004F2CC0"/>
    <w:rsid w:val="004F4349"/>
    <w:rsid w:val="004F49B7"/>
    <w:rsid w:val="004F59EF"/>
    <w:rsid w:val="004F6F85"/>
    <w:rsid w:val="004F73C0"/>
    <w:rsid w:val="00502357"/>
    <w:rsid w:val="0050241F"/>
    <w:rsid w:val="00504E4E"/>
    <w:rsid w:val="00505A64"/>
    <w:rsid w:val="00505B2A"/>
    <w:rsid w:val="00506A64"/>
    <w:rsid w:val="00507B5D"/>
    <w:rsid w:val="00510753"/>
    <w:rsid w:val="00511706"/>
    <w:rsid w:val="00511FD3"/>
    <w:rsid w:val="00516491"/>
    <w:rsid w:val="00516BA4"/>
    <w:rsid w:val="0052115E"/>
    <w:rsid w:val="0052642A"/>
    <w:rsid w:val="00526BB6"/>
    <w:rsid w:val="00527189"/>
    <w:rsid w:val="00531462"/>
    <w:rsid w:val="0053292B"/>
    <w:rsid w:val="005358F2"/>
    <w:rsid w:val="005361E0"/>
    <w:rsid w:val="00540B5B"/>
    <w:rsid w:val="00540EA4"/>
    <w:rsid w:val="0054347C"/>
    <w:rsid w:val="005443B6"/>
    <w:rsid w:val="0054464E"/>
    <w:rsid w:val="00545767"/>
    <w:rsid w:val="00545CCB"/>
    <w:rsid w:val="00550C74"/>
    <w:rsid w:val="00551B14"/>
    <w:rsid w:val="00553059"/>
    <w:rsid w:val="0055428A"/>
    <w:rsid w:val="00554504"/>
    <w:rsid w:val="00555409"/>
    <w:rsid w:val="00557DC1"/>
    <w:rsid w:val="00557DDF"/>
    <w:rsid w:val="005615A6"/>
    <w:rsid w:val="005619F0"/>
    <w:rsid w:val="0056283C"/>
    <w:rsid w:val="00562B0B"/>
    <w:rsid w:val="0057070E"/>
    <w:rsid w:val="005711D2"/>
    <w:rsid w:val="005711DB"/>
    <w:rsid w:val="005741A1"/>
    <w:rsid w:val="005757D0"/>
    <w:rsid w:val="00575E3B"/>
    <w:rsid w:val="0057654B"/>
    <w:rsid w:val="00577051"/>
    <w:rsid w:val="00580547"/>
    <w:rsid w:val="00580685"/>
    <w:rsid w:val="00582CAA"/>
    <w:rsid w:val="005832B7"/>
    <w:rsid w:val="00584F39"/>
    <w:rsid w:val="00587441"/>
    <w:rsid w:val="00592C13"/>
    <w:rsid w:val="00595CC0"/>
    <w:rsid w:val="00596923"/>
    <w:rsid w:val="005A08D2"/>
    <w:rsid w:val="005A16D3"/>
    <w:rsid w:val="005A1F58"/>
    <w:rsid w:val="005A23F9"/>
    <w:rsid w:val="005A4024"/>
    <w:rsid w:val="005A4674"/>
    <w:rsid w:val="005A49CD"/>
    <w:rsid w:val="005A7A56"/>
    <w:rsid w:val="005B3B56"/>
    <w:rsid w:val="005B50A0"/>
    <w:rsid w:val="005B50E2"/>
    <w:rsid w:val="005B6290"/>
    <w:rsid w:val="005C0D70"/>
    <w:rsid w:val="005C0E9E"/>
    <w:rsid w:val="005C176A"/>
    <w:rsid w:val="005D3102"/>
    <w:rsid w:val="005D4766"/>
    <w:rsid w:val="005D47B4"/>
    <w:rsid w:val="005D7629"/>
    <w:rsid w:val="005E1849"/>
    <w:rsid w:val="005E4CD6"/>
    <w:rsid w:val="005E60FC"/>
    <w:rsid w:val="005E7225"/>
    <w:rsid w:val="005F4525"/>
    <w:rsid w:val="00600EB1"/>
    <w:rsid w:val="00604747"/>
    <w:rsid w:val="00607A98"/>
    <w:rsid w:val="00612EC2"/>
    <w:rsid w:val="0061410A"/>
    <w:rsid w:val="00614381"/>
    <w:rsid w:val="00614425"/>
    <w:rsid w:val="006147BF"/>
    <w:rsid w:val="00614B03"/>
    <w:rsid w:val="00614F52"/>
    <w:rsid w:val="00617387"/>
    <w:rsid w:val="00620ECB"/>
    <w:rsid w:val="0062173F"/>
    <w:rsid w:val="00623DD3"/>
    <w:rsid w:val="0062681E"/>
    <w:rsid w:val="006272FC"/>
    <w:rsid w:val="00631501"/>
    <w:rsid w:val="00632267"/>
    <w:rsid w:val="00637699"/>
    <w:rsid w:val="00637799"/>
    <w:rsid w:val="00637A6F"/>
    <w:rsid w:val="006417DB"/>
    <w:rsid w:val="006448D5"/>
    <w:rsid w:val="00644BD4"/>
    <w:rsid w:val="00645064"/>
    <w:rsid w:val="00647F73"/>
    <w:rsid w:val="00652750"/>
    <w:rsid w:val="006530ED"/>
    <w:rsid w:val="006543FD"/>
    <w:rsid w:val="006549E5"/>
    <w:rsid w:val="0065515A"/>
    <w:rsid w:val="00655977"/>
    <w:rsid w:val="006563FC"/>
    <w:rsid w:val="00665078"/>
    <w:rsid w:val="00665CA5"/>
    <w:rsid w:val="00666338"/>
    <w:rsid w:val="00667BA6"/>
    <w:rsid w:val="00667E33"/>
    <w:rsid w:val="00672851"/>
    <w:rsid w:val="00674DF4"/>
    <w:rsid w:val="00675812"/>
    <w:rsid w:val="006766E6"/>
    <w:rsid w:val="006771C2"/>
    <w:rsid w:val="0067783E"/>
    <w:rsid w:val="00680258"/>
    <w:rsid w:val="006810FB"/>
    <w:rsid w:val="006812A5"/>
    <w:rsid w:val="006815A7"/>
    <w:rsid w:val="00682CD8"/>
    <w:rsid w:val="00682FB6"/>
    <w:rsid w:val="00684F51"/>
    <w:rsid w:val="0068506B"/>
    <w:rsid w:val="00685B9F"/>
    <w:rsid w:val="00685C5E"/>
    <w:rsid w:val="00686654"/>
    <w:rsid w:val="00690788"/>
    <w:rsid w:val="0069090C"/>
    <w:rsid w:val="00691142"/>
    <w:rsid w:val="006918EF"/>
    <w:rsid w:val="00691EE6"/>
    <w:rsid w:val="006935C9"/>
    <w:rsid w:val="006935D2"/>
    <w:rsid w:val="0069391C"/>
    <w:rsid w:val="00694796"/>
    <w:rsid w:val="0069488D"/>
    <w:rsid w:val="00695F61"/>
    <w:rsid w:val="0069739E"/>
    <w:rsid w:val="00697824"/>
    <w:rsid w:val="00697C27"/>
    <w:rsid w:val="006A0236"/>
    <w:rsid w:val="006A1B46"/>
    <w:rsid w:val="006A1D20"/>
    <w:rsid w:val="006A33EE"/>
    <w:rsid w:val="006A588C"/>
    <w:rsid w:val="006C48C0"/>
    <w:rsid w:val="006C682C"/>
    <w:rsid w:val="006C7570"/>
    <w:rsid w:val="006D35D8"/>
    <w:rsid w:val="006D3A91"/>
    <w:rsid w:val="006D516E"/>
    <w:rsid w:val="006D689B"/>
    <w:rsid w:val="006D68C9"/>
    <w:rsid w:val="006D71A7"/>
    <w:rsid w:val="006E0737"/>
    <w:rsid w:val="006E24D7"/>
    <w:rsid w:val="006E5559"/>
    <w:rsid w:val="006E5C22"/>
    <w:rsid w:val="006E6609"/>
    <w:rsid w:val="006E660A"/>
    <w:rsid w:val="006E675D"/>
    <w:rsid w:val="006F097B"/>
    <w:rsid w:val="006F10F1"/>
    <w:rsid w:val="006F41C7"/>
    <w:rsid w:val="006F5155"/>
    <w:rsid w:val="00702015"/>
    <w:rsid w:val="00703B03"/>
    <w:rsid w:val="00704EE8"/>
    <w:rsid w:val="00705C37"/>
    <w:rsid w:val="00707DF7"/>
    <w:rsid w:val="00710F7D"/>
    <w:rsid w:val="00713CCD"/>
    <w:rsid w:val="00715BDA"/>
    <w:rsid w:val="0071620B"/>
    <w:rsid w:val="007200C1"/>
    <w:rsid w:val="0072150B"/>
    <w:rsid w:val="00723E1F"/>
    <w:rsid w:val="00724834"/>
    <w:rsid w:val="007254E8"/>
    <w:rsid w:val="00725BAF"/>
    <w:rsid w:val="0072620F"/>
    <w:rsid w:val="00726CEC"/>
    <w:rsid w:val="0072781E"/>
    <w:rsid w:val="00730F15"/>
    <w:rsid w:val="007310CC"/>
    <w:rsid w:val="007335ED"/>
    <w:rsid w:val="00735DB1"/>
    <w:rsid w:val="007369EF"/>
    <w:rsid w:val="00740DAD"/>
    <w:rsid w:val="007417B7"/>
    <w:rsid w:val="00745400"/>
    <w:rsid w:val="00745947"/>
    <w:rsid w:val="007507BB"/>
    <w:rsid w:val="00751081"/>
    <w:rsid w:val="00754C6D"/>
    <w:rsid w:val="0075661B"/>
    <w:rsid w:val="00756A43"/>
    <w:rsid w:val="0076019A"/>
    <w:rsid w:val="00760728"/>
    <w:rsid w:val="007640F8"/>
    <w:rsid w:val="007641B4"/>
    <w:rsid w:val="007659FB"/>
    <w:rsid w:val="00765C28"/>
    <w:rsid w:val="007661A1"/>
    <w:rsid w:val="00766650"/>
    <w:rsid w:val="00770239"/>
    <w:rsid w:val="00771462"/>
    <w:rsid w:val="007715D8"/>
    <w:rsid w:val="007747E5"/>
    <w:rsid w:val="007818DA"/>
    <w:rsid w:val="00781B3B"/>
    <w:rsid w:val="007845C2"/>
    <w:rsid w:val="00784798"/>
    <w:rsid w:val="00785250"/>
    <w:rsid w:val="00785BAF"/>
    <w:rsid w:val="007875F8"/>
    <w:rsid w:val="007900AB"/>
    <w:rsid w:val="00790925"/>
    <w:rsid w:val="00791FF7"/>
    <w:rsid w:val="00794BCD"/>
    <w:rsid w:val="0079655E"/>
    <w:rsid w:val="00797802"/>
    <w:rsid w:val="00797AE0"/>
    <w:rsid w:val="007A2B14"/>
    <w:rsid w:val="007A42EA"/>
    <w:rsid w:val="007A596B"/>
    <w:rsid w:val="007A6011"/>
    <w:rsid w:val="007A753A"/>
    <w:rsid w:val="007A7D7B"/>
    <w:rsid w:val="007B0D76"/>
    <w:rsid w:val="007B10A3"/>
    <w:rsid w:val="007B1D0E"/>
    <w:rsid w:val="007B45B3"/>
    <w:rsid w:val="007B576C"/>
    <w:rsid w:val="007B69B1"/>
    <w:rsid w:val="007B6BF1"/>
    <w:rsid w:val="007B7C9C"/>
    <w:rsid w:val="007C0C55"/>
    <w:rsid w:val="007C1276"/>
    <w:rsid w:val="007C2E7B"/>
    <w:rsid w:val="007D0457"/>
    <w:rsid w:val="007D0C4C"/>
    <w:rsid w:val="007D2665"/>
    <w:rsid w:val="007D394B"/>
    <w:rsid w:val="007E28F2"/>
    <w:rsid w:val="007E4B26"/>
    <w:rsid w:val="007E6240"/>
    <w:rsid w:val="007F034A"/>
    <w:rsid w:val="007F2BB0"/>
    <w:rsid w:val="007F3794"/>
    <w:rsid w:val="007F4B58"/>
    <w:rsid w:val="007F55FC"/>
    <w:rsid w:val="007F5B72"/>
    <w:rsid w:val="007F65A0"/>
    <w:rsid w:val="007F739F"/>
    <w:rsid w:val="007F7B46"/>
    <w:rsid w:val="008001FE"/>
    <w:rsid w:val="00800813"/>
    <w:rsid w:val="00800A76"/>
    <w:rsid w:val="00810AF4"/>
    <w:rsid w:val="00811265"/>
    <w:rsid w:val="00812BC1"/>
    <w:rsid w:val="008159D1"/>
    <w:rsid w:val="00816019"/>
    <w:rsid w:val="00816ED5"/>
    <w:rsid w:val="008263FA"/>
    <w:rsid w:val="008265E1"/>
    <w:rsid w:val="00826981"/>
    <w:rsid w:val="008277DE"/>
    <w:rsid w:val="00827E4D"/>
    <w:rsid w:val="008306E5"/>
    <w:rsid w:val="008321DF"/>
    <w:rsid w:val="0083377D"/>
    <w:rsid w:val="00834F48"/>
    <w:rsid w:val="00835FFE"/>
    <w:rsid w:val="00836F6C"/>
    <w:rsid w:val="0083758F"/>
    <w:rsid w:val="00841589"/>
    <w:rsid w:val="00841F2A"/>
    <w:rsid w:val="00845CB0"/>
    <w:rsid w:val="008470D4"/>
    <w:rsid w:val="00851637"/>
    <w:rsid w:val="008526F9"/>
    <w:rsid w:val="00857C32"/>
    <w:rsid w:val="00860AFE"/>
    <w:rsid w:val="0086274E"/>
    <w:rsid w:val="0086284B"/>
    <w:rsid w:val="00866256"/>
    <w:rsid w:val="00866927"/>
    <w:rsid w:val="00867056"/>
    <w:rsid w:val="008674CD"/>
    <w:rsid w:val="00872EA4"/>
    <w:rsid w:val="00873FC6"/>
    <w:rsid w:val="008748FE"/>
    <w:rsid w:val="00874C07"/>
    <w:rsid w:val="008766A4"/>
    <w:rsid w:val="00877262"/>
    <w:rsid w:val="008775AB"/>
    <w:rsid w:val="0088118F"/>
    <w:rsid w:val="008814C8"/>
    <w:rsid w:val="00882080"/>
    <w:rsid w:val="00883526"/>
    <w:rsid w:val="00884699"/>
    <w:rsid w:val="00885440"/>
    <w:rsid w:val="00886346"/>
    <w:rsid w:val="008910D3"/>
    <w:rsid w:val="00894FC9"/>
    <w:rsid w:val="00895870"/>
    <w:rsid w:val="00897078"/>
    <w:rsid w:val="008978A7"/>
    <w:rsid w:val="008A0094"/>
    <w:rsid w:val="008A1D74"/>
    <w:rsid w:val="008A23B7"/>
    <w:rsid w:val="008A2730"/>
    <w:rsid w:val="008A3DC2"/>
    <w:rsid w:val="008A58DB"/>
    <w:rsid w:val="008A672D"/>
    <w:rsid w:val="008A7A28"/>
    <w:rsid w:val="008A7D25"/>
    <w:rsid w:val="008B0114"/>
    <w:rsid w:val="008B2B7A"/>
    <w:rsid w:val="008B5326"/>
    <w:rsid w:val="008B6A1C"/>
    <w:rsid w:val="008C122B"/>
    <w:rsid w:val="008C2397"/>
    <w:rsid w:val="008C2B7D"/>
    <w:rsid w:val="008C2FD5"/>
    <w:rsid w:val="008C3526"/>
    <w:rsid w:val="008C6095"/>
    <w:rsid w:val="008C6FA8"/>
    <w:rsid w:val="008C7AB3"/>
    <w:rsid w:val="008D2D84"/>
    <w:rsid w:val="008D3F86"/>
    <w:rsid w:val="008D43DE"/>
    <w:rsid w:val="008D49D4"/>
    <w:rsid w:val="008E28E3"/>
    <w:rsid w:val="008E37D4"/>
    <w:rsid w:val="008E39D8"/>
    <w:rsid w:val="008E4033"/>
    <w:rsid w:val="008E5016"/>
    <w:rsid w:val="008E53FA"/>
    <w:rsid w:val="008E5D99"/>
    <w:rsid w:val="008E7019"/>
    <w:rsid w:val="008E770A"/>
    <w:rsid w:val="008F0F12"/>
    <w:rsid w:val="008F4551"/>
    <w:rsid w:val="008F5817"/>
    <w:rsid w:val="009008BD"/>
    <w:rsid w:val="00902258"/>
    <w:rsid w:val="0090264D"/>
    <w:rsid w:val="009028A9"/>
    <w:rsid w:val="00903C21"/>
    <w:rsid w:val="00903DF5"/>
    <w:rsid w:val="00904A6F"/>
    <w:rsid w:val="00910CE2"/>
    <w:rsid w:val="00911DDE"/>
    <w:rsid w:val="0091247B"/>
    <w:rsid w:val="00914B7D"/>
    <w:rsid w:val="00917847"/>
    <w:rsid w:val="00922394"/>
    <w:rsid w:val="00923EF0"/>
    <w:rsid w:val="00924204"/>
    <w:rsid w:val="009262B3"/>
    <w:rsid w:val="00930EF4"/>
    <w:rsid w:val="00932213"/>
    <w:rsid w:val="00932473"/>
    <w:rsid w:val="00932552"/>
    <w:rsid w:val="00933910"/>
    <w:rsid w:val="00936705"/>
    <w:rsid w:val="00936ACF"/>
    <w:rsid w:val="00942306"/>
    <w:rsid w:val="0094402A"/>
    <w:rsid w:val="009443AB"/>
    <w:rsid w:val="0094589E"/>
    <w:rsid w:val="009464C9"/>
    <w:rsid w:val="009469F7"/>
    <w:rsid w:val="009546B7"/>
    <w:rsid w:val="0095570C"/>
    <w:rsid w:val="00955B65"/>
    <w:rsid w:val="009573F2"/>
    <w:rsid w:val="009619D5"/>
    <w:rsid w:val="00961D42"/>
    <w:rsid w:val="00961F27"/>
    <w:rsid w:val="00962707"/>
    <w:rsid w:val="00971D0A"/>
    <w:rsid w:val="009721A1"/>
    <w:rsid w:val="00973294"/>
    <w:rsid w:val="0097380B"/>
    <w:rsid w:val="00974CD2"/>
    <w:rsid w:val="00976974"/>
    <w:rsid w:val="00976AE9"/>
    <w:rsid w:val="0097776D"/>
    <w:rsid w:val="009779BD"/>
    <w:rsid w:val="00980015"/>
    <w:rsid w:val="0098078D"/>
    <w:rsid w:val="009809A2"/>
    <w:rsid w:val="00981CB0"/>
    <w:rsid w:val="00981D10"/>
    <w:rsid w:val="00985F19"/>
    <w:rsid w:val="0098711B"/>
    <w:rsid w:val="0098752B"/>
    <w:rsid w:val="00987938"/>
    <w:rsid w:val="00987E7C"/>
    <w:rsid w:val="00990972"/>
    <w:rsid w:val="00990C1C"/>
    <w:rsid w:val="0099218C"/>
    <w:rsid w:val="00992BDA"/>
    <w:rsid w:val="009939D9"/>
    <w:rsid w:val="00997ADD"/>
    <w:rsid w:val="00997D89"/>
    <w:rsid w:val="009A0096"/>
    <w:rsid w:val="009A2788"/>
    <w:rsid w:val="009A5856"/>
    <w:rsid w:val="009B4374"/>
    <w:rsid w:val="009B45A8"/>
    <w:rsid w:val="009C390F"/>
    <w:rsid w:val="009C5C92"/>
    <w:rsid w:val="009D3298"/>
    <w:rsid w:val="009E2C89"/>
    <w:rsid w:val="009E3B69"/>
    <w:rsid w:val="009E49FB"/>
    <w:rsid w:val="009E52E9"/>
    <w:rsid w:val="009E5FB2"/>
    <w:rsid w:val="009F2302"/>
    <w:rsid w:val="009F511C"/>
    <w:rsid w:val="009F630D"/>
    <w:rsid w:val="009F715F"/>
    <w:rsid w:val="009F77B4"/>
    <w:rsid w:val="00A01D01"/>
    <w:rsid w:val="00A0311F"/>
    <w:rsid w:val="00A053CA"/>
    <w:rsid w:val="00A06C93"/>
    <w:rsid w:val="00A06E6E"/>
    <w:rsid w:val="00A10670"/>
    <w:rsid w:val="00A152DD"/>
    <w:rsid w:val="00A1558F"/>
    <w:rsid w:val="00A156DD"/>
    <w:rsid w:val="00A2167C"/>
    <w:rsid w:val="00A22608"/>
    <w:rsid w:val="00A22FA6"/>
    <w:rsid w:val="00A26097"/>
    <w:rsid w:val="00A26B5C"/>
    <w:rsid w:val="00A26EB0"/>
    <w:rsid w:val="00A27ABF"/>
    <w:rsid w:val="00A301E5"/>
    <w:rsid w:val="00A303F1"/>
    <w:rsid w:val="00A32098"/>
    <w:rsid w:val="00A3280B"/>
    <w:rsid w:val="00A33F1B"/>
    <w:rsid w:val="00A33F53"/>
    <w:rsid w:val="00A34727"/>
    <w:rsid w:val="00A348C5"/>
    <w:rsid w:val="00A3632A"/>
    <w:rsid w:val="00A40480"/>
    <w:rsid w:val="00A4169C"/>
    <w:rsid w:val="00A44F6F"/>
    <w:rsid w:val="00A452D0"/>
    <w:rsid w:val="00A468D4"/>
    <w:rsid w:val="00A46B76"/>
    <w:rsid w:val="00A52440"/>
    <w:rsid w:val="00A53549"/>
    <w:rsid w:val="00A535EE"/>
    <w:rsid w:val="00A553D2"/>
    <w:rsid w:val="00A55E65"/>
    <w:rsid w:val="00A61567"/>
    <w:rsid w:val="00A6176B"/>
    <w:rsid w:val="00A62FCB"/>
    <w:rsid w:val="00A62FFB"/>
    <w:rsid w:val="00A639E7"/>
    <w:rsid w:val="00A64308"/>
    <w:rsid w:val="00A643B0"/>
    <w:rsid w:val="00A64C98"/>
    <w:rsid w:val="00A703AF"/>
    <w:rsid w:val="00A71BD7"/>
    <w:rsid w:val="00A727D2"/>
    <w:rsid w:val="00A729AC"/>
    <w:rsid w:val="00A74112"/>
    <w:rsid w:val="00A7490C"/>
    <w:rsid w:val="00A75901"/>
    <w:rsid w:val="00A77203"/>
    <w:rsid w:val="00A77603"/>
    <w:rsid w:val="00A77D3F"/>
    <w:rsid w:val="00A81594"/>
    <w:rsid w:val="00A815DD"/>
    <w:rsid w:val="00A83C7A"/>
    <w:rsid w:val="00A84163"/>
    <w:rsid w:val="00A85446"/>
    <w:rsid w:val="00A85638"/>
    <w:rsid w:val="00A877A6"/>
    <w:rsid w:val="00A925C7"/>
    <w:rsid w:val="00A94FB6"/>
    <w:rsid w:val="00A9521E"/>
    <w:rsid w:val="00A9765D"/>
    <w:rsid w:val="00AA27FE"/>
    <w:rsid w:val="00AA2BA1"/>
    <w:rsid w:val="00AA2F58"/>
    <w:rsid w:val="00AA577E"/>
    <w:rsid w:val="00AA7AEF"/>
    <w:rsid w:val="00AB01DA"/>
    <w:rsid w:val="00AB19D4"/>
    <w:rsid w:val="00AB3AD7"/>
    <w:rsid w:val="00AB493B"/>
    <w:rsid w:val="00AB622C"/>
    <w:rsid w:val="00AB63B0"/>
    <w:rsid w:val="00AB780E"/>
    <w:rsid w:val="00AC0EB7"/>
    <w:rsid w:val="00AC1AF3"/>
    <w:rsid w:val="00AC47B2"/>
    <w:rsid w:val="00AC51E9"/>
    <w:rsid w:val="00AC7FB4"/>
    <w:rsid w:val="00AD0F01"/>
    <w:rsid w:val="00AD100E"/>
    <w:rsid w:val="00AD10FA"/>
    <w:rsid w:val="00AD704A"/>
    <w:rsid w:val="00AD77CB"/>
    <w:rsid w:val="00AE7034"/>
    <w:rsid w:val="00AF11DD"/>
    <w:rsid w:val="00AF18D0"/>
    <w:rsid w:val="00AF2FD7"/>
    <w:rsid w:val="00AF3097"/>
    <w:rsid w:val="00AF3A28"/>
    <w:rsid w:val="00B00794"/>
    <w:rsid w:val="00B020FE"/>
    <w:rsid w:val="00B02C0E"/>
    <w:rsid w:val="00B03B53"/>
    <w:rsid w:val="00B03EB1"/>
    <w:rsid w:val="00B040E4"/>
    <w:rsid w:val="00B0533C"/>
    <w:rsid w:val="00B07F00"/>
    <w:rsid w:val="00B105F8"/>
    <w:rsid w:val="00B10C6D"/>
    <w:rsid w:val="00B119E9"/>
    <w:rsid w:val="00B11EAE"/>
    <w:rsid w:val="00B13853"/>
    <w:rsid w:val="00B139A3"/>
    <w:rsid w:val="00B15A95"/>
    <w:rsid w:val="00B1758B"/>
    <w:rsid w:val="00B2347A"/>
    <w:rsid w:val="00B253D9"/>
    <w:rsid w:val="00B26FC2"/>
    <w:rsid w:val="00B27B65"/>
    <w:rsid w:val="00B30A62"/>
    <w:rsid w:val="00B3445B"/>
    <w:rsid w:val="00B365EF"/>
    <w:rsid w:val="00B45191"/>
    <w:rsid w:val="00B4675E"/>
    <w:rsid w:val="00B47190"/>
    <w:rsid w:val="00B47988"/>
    <w:rsid w:val="00B50BBD"/>
    <w:rsid w:val="00B51180"/>
    <w:rsid w:val="00B51861"/>
    <w:rsid w:val="00B51D3C"/>
    <w:rsid w:val="00B52044"/>
    <w:rsid w:val="00B52722"/>
    <w:rsid w:val="00B52DC9"/>
    <w:rsid w:val="00B5680B"/>
    <w:rsid w:val="00B63B69"/>
    <w:rsid w:val="00B65157"/>
    <w:rsid w:val="00B66D2C"/>
    <w:rsid w:val="00B67531"/>
    <w:rsid w:val="00B67BE1"/>
    <w:rsid w:val="00B70E3E"/>
    <w:rsid w:val="00B71FF6"/>
    <w:rsid w:val="00B72363"/>
    <w:rsid w:val="00B7306A"/>
    <w:rsid w:val="00B731FC"/>
    <w:rsid w:val="00B746C6"/>
    <w:rsid w:val="00B755EF"/>
    <w:rsid w:val="00B777AD"/>
    <w:rsid w:val="00B777DB"/>
    <w:rsid w:val="00B77E3C"/>
    <w:rsid w:val="00B80B1A"/>
    <w:rsid w:val="00B810A1"/>
    <w:rsid w:val="00B827A9"/>
    <w:rsid w:val="00B82FB4"/>
    <w:rsid w:val="00B83F33"/>
    <w:rsid w:val="00B86763"/>
    <w:rsid w:val="00B91D51"/>
    <w:rsid w:val="00B9300A"/>
    <w:rsid w:val="00B93E96"/>
    <w:rsid w:val="00B94A1B"/>
    <w:rsid w:val="00B94D6B"/>
    <w:rsid w:val="00B955B1"/>
    <w:rsid w:val="00B97B4D"/>
    <w:rsid w:val="00BA0039"/>
    <w:rsid w:val="00BA0BBA"/>
    <w:rsid w:val="00BA1377"/>
    <w:rsid w:val="00BA182F"/>
    <w:rsid w:val="00BA20A3"/>
    <w:rsid w:val="00BA3B3C"/>
    <w:rsid w:val="00BA5096"/>
    <w:rsid w:val="00BA512B"/>
    <w:rsid w:val="00BA6766"/>
    <w:rsid w:val="00BB0B6A"/>
    <w:rsid w:val="00BB0FB7"/>
    <w:rsid w:val="00BB6BB9"/>
    <w:rsid w:val="00BB7878"/>
    <w:rsid w:val="00BC0392"/>
    <w:rsid w:val="00BC21A9"/>
    <w:rsid w:val="00BC2868"/>
    <w:rsid w:val="00BC2E45"/>
    <w:rsid w:val="00BC558F"/>
    <w:rsid w:val="00BD0A9E"/>
    <w:rsid w:val="00BD1F20"/>
    <w:rsid w:val="00BD249A"/>
    <w:rsid w:val="00BD39A9"/>
    <w:rsid w:val="00BD4FE9"/>
    <w:rsid w:val="00BD5395"/>
    <w:rsid w:val="00BD55E1"/>
    <w:rsid w:val="00BD58D8"/>
    <w:rsid w:val="00BD5EB9"/>
    <w:rsid w:val="00BD613F"/>
    <w:rsid w:val="00BD68F7"/>
    <w:rsid w:val="00BD7570"/>
    <w:rsid w:val="00BD79CD"/>
    <w:rsid w:val="00BE0228"/>
    <w:rsid w:val="00BE06A6"/>
    <w:rsid w:val="00BE0A99"/>
    <w:rsid w:val="00BE19DE"/>
    <w:rsid w:val="00BE355F"/>
    <w:rsid w:val="00BE4E35"/>
    <w:rsid w:val="00BE609D"/>
    <w:rsid w:val="00BE6351"/>
    <w:rsid w:val="00BF0D36"/>
    <w:rsid w:val="00BF169A"/>
    <w:rsid w:val="00BF24CD"/>
    <w:rsid w:val="00BF28DC"/>
    <w:rsid w:val="00BF2DA7"/>
    <w:rsid w:val="00C0181D"/>
    <w:rsid w:val="00C01A3E"/>
    <w:rsid w:val="00C0342E"/>
    <w:rsid w:val="00C047FB"/>
    <w:rsid w:val="00C052CB"/>
    <w:rsid w:val="00C072AD"/>
    <w:rsid w:val="00C073D2"/>
    <w:rsid w:val="00C1188D"/>
    <w:rsid w:val="00C12009"/>
    <w:rsid w:val="00C13AB0"/>
    <w:rsid w:val="00C14973"/>
    <w:rsid w:val="00C2114D"/>
    <w:rsid w:val="00C21716"/>
    <w:rsid w:val="00C219E0"/>
    <w:rsid w:val="00C22B56"/>
    <w:rsid w:val="00C239A4"/>
    <w:rsid w:val="00C24BB3"/>
    <w:rsid w:val="00C257BF"/>
    <w:rsid w:val="00C270DE"/>
    <w:rsid w:val="00C27CAF"/>
    <w:rsid w:val="00C305C0"/>
    <w:rsid w:val="00C30A70"/>
    <w:rsid w:val="00C32785"/>
    <w:rsid w:val="00C32FD5"/>
    <w:rsid w:val="00C35FBD"/>
    <w:rsid w:val="00C36395"/>
    <w:rsid w:val="00C40636"/>
    <w:rsid w:val="00C42D7E"/>
    <w:rsid w:val="00C45281"/>
    <w:rsid w:val="00C46989"/>
    <w:rsid w:val="00C506E2"/>
    <w:rsid w:val="00C515A4"/>
    <w:rsid w:val="00C532E3"/>
    <w:rsid w:val="00C53CE5"/>
    <w:rsid w:val="00C544EA"/>
    <w:rsid w:val="00C55957"/>
    <w:rsid w:val="00C55B17"/>
    <w:rsid w:val="00C607D3"/>
    <w:rsid w:val="00C608EE"/>
    <w:rsid w:val="00C62B89"/>
    <w:rsid w:val="00C633CF"/>
    <w:rsid w:val="00C64801"/>
    <w:rsid w:val="00C66721"/>
    <w:rsid w:val="00C6714E"/>
    <w:rsid w:val="00C6792F"/>
    <w:rsid w:val="00C70A2B"/>
    <w:rsid w:val="00C7517B"/>
    <w:rsid w:val="00C75813"/>
    <w:rsid w:val="00C8076D"/>
    <w:rsid w:val="00C81245"/>
    <w:rsid w:val="00C81262"/>
    <w:rsid w:val="00C81826"/>
    <w:rsid w:val="00C82E95"/>
    <w:rsid w:val="00C90572"/>
    <w:rsid w:val="00C91AC2"/>
    <w:rsid w:val="00C91E7A"/>
    <w:rsid w:val="00C91FF0"/>
    <w:rsid w:val="00C92CC5"/>
    <w:rsid w:val="00C93F65"/>
    <w:rsid w:val="00C96775"/>
    <w:rsid w:val="00CA005C"/>
    <w:rsid w:val="00CA00D6"/>
    <w:rsid w:val="00CA13FA"/>
    <w:rsid w:val="00CA1CAD"/>
    <w:rsid w:val="00CA637C"/>
    <w:rsid w:val="00CB080F"/>
    <w:rsid w:val="00CB099D"/>
    <w:rsid w:val="00CB0AB0"/>
    <w:rsid w:val="00CB0F90"/>
    <w:rsid w:val="00CB3BC1"/>
    <w:rsid w:val="00CB7295"/>
    <w:rsid w:val="00CC2BEB"/>
    <w:rsid w:val="00CC2E81"/>
    <w:rsid w:val="00CC32E5"/>
    <w:rsid w:val="00CC475C"/>
    <w:rsid w:val="00CC5AAC"/>
    <w:rsid w:val="00CC5B9A"/>
    <w:rsid w:val="00CC6885"/>
    <w:rsid w:val="00CC7400"/>
    <w:rsid w:val="00CD0B2D"/>
    <w:rsid w:val="00CD3499"/>
    <w:rsid w:val="00CD5009"/>
    <w:rsid w:val="00CD529A"/>
    <w:rsid w:val="00CD5533"/>
    <w:rsid w:val="00CD6688"/>
    <w:rsid w:val="00CD7B7A"/>
    <w:rsid w:val="00CE4FE7"/>
    <w:rsid w:val="00CE5D7D"/>
    <w:rsid w:val="00CE60C5"/>
    <w:rsid w:val="00CE6360"/>
    <w:rsid w:val="00CE63CB"/>
    <w:rsid w:val="00CE6413"/>
    <w:rsid w:val="00CF0C3A"/>
    <w:rsid w:val="00CF1BB0"/>
    <w:rsid w:val="00CF1D38"/>
    <w:rsid w:val="00CF2FA6"/>
    <w:rsid w:val="00CF689E"/>
    <w:rsid w:val="00CF7858"/>
    <w:rsid w:val="00D00E7A"/>
    <w:rsid w:val="00D014E8"/>
    <w:rsid w:val="00D049D0"/>
    <w:rsid w:val="00D05733"/>
    <w:rsid w:val="00D079BC"/>
    <w:rsid w:val="00D101C5"/>
    <w:rsid w:val="00D1047F"/>
    <w:rsid w:val="00D10D0D"/>
    <w:rsid w:val="00D12977"/>
    <w:rsid w:val="00D1402D"/>
    <w:rsid w:val="00D14EAF"/>
    <w:rsid w:val="00D1587E"/>
    <w:rsid w:val="00D167AD"/>
    <w:rsid w:val="00D212C5"/>
    <w:rsid w:val="00D215A9"/>
    <w:rsid w:val="00D22573"/>
    <w:rsid w:val="00D228D7"/>
    <w:rsid w:val="00D25BC5"/>
    <w:rsid w:val="00D31299"/>
    <w:rsid w:val="00D37F6A"/>
    <w:rsid w:val="00D41426"/>
    <w:rsid w:val="00D43747"/>
    <w:rsid w:val="00D46471"/>
    <w:rsid w:val="00D4746E"/>
    <w:rsid w:val="00D4775A"/>
    <w:rsid w:val="00D50432"/>
    <w:rsid w:val="00D50DC3"/>
    <w:rsid w:val="00D52EC1"/>
    <w:rsid w:val="00D53A91"/>
    <w:rsid w:val="00D549BD"/>
    <w:rsid w:val="00D56B99"/>
    <w:rsid w:val="00D5707B"/>
    <w:rsid w:val="00D63C0B"/>
    <w:rsid w:val="00D671EE"/>
    <w:rsid w:val="00D6766A"/>
    <w:rsid w:val="00D701AB"/>
    <w:rsid w:val="00D7361C"/>
    <w:rsid w:val="00D745D8"/>
    <w:rsid w:val="00D74808"/>
    <w:rsid w:val="00D74A31"/>
    <w:rsid w:val="00D80738"/>
    <w:rsid w:val="00D82DAB"/>
    <w:rsid w:val="00D83FEF"/>
    <w:rsid w:val="00D84C0F"/>
    <w:rsid w:val="00D85F96"/>
    <w:rsid w:val="00D87954"/>
    <w:rsid w:val="00D9130A"/>
    <w:rsid w:val="00D953D0"/>
    <w:rsid w:val="00D971FC"/>
    <w:rsid w:val="00DA0037"/>
    <w:rsid w:val="00DA0C80"/>
    <w:rsid w:val="00DA0CEA"/>
    <w:rsid w:val="00DA6007"/>
    <w:rsid w:val="00DA6832"/>
    <w:rsid w:val="00DA70C4"/>
    <w:rsid w:val="00DA7C85"/>
    <w:rsid w:val="00DB2335"/>
    <w:rsid w:val="00DB6824"/>
    <w:rsid w:val="00DC01C7"/>
    <w:rsid w:val="00DC22A1"/>
    <w:rsid w:val="00DC4C36"/>
    <w:rsid w:val="00DC60E9"/>
    <w:rsid w:val="00DC64A5"/>
    <w:rsid w:val="00DC77BE"/>
    <w:rsid w:val="00DC7857"/>
    <w:rsid w:val="00DD1C60"/>
    <w:rsid w:val="00DD23FB"/>
    <w:rsid w:val="00DD3796"/>
    <w:rsid w:val="00DD416B"/>
    <w:rsid w:val="00DD5F96"/>
    <w:rsid w:val="00DD6096"/>
    <w:rsid w:val="00DD60C3"/>
    <w:rsid w:val="00DD6C6C"/>
    <w:rsid w:val="00DE18A7"/>
    <w:rsid w:val="00DE2124"/>
    <w:rsid w:val="00DE2B89"/>
    <w:rsid w:val="00DE4669"/>
    <w:rsid w:val="00DE4B5A"/>
    <w:rsid w:val="00DE7799"/>
    <w:rsid w:val="00DF19EC"/>
    <w:rsid w:val="00DF1C42"/>
    <w:rsid w:val="00DF218B"/>
    <w:rsid w:val="00DF2D67"/>
    <w:rsid w:val="00DF3B00"/>
    <w:rsid w:val="00DF42E2"/>
    <w:rsid w:val="00DF4B18"/>
    <w:rsid w:val="00DF5703"/>
    <w:rsid w:val="00DF64C7"/>
    <w:rsid w:val="00E011B1"/>
    <w:rsid w:val="00E11C1A"/>
    <w:rsid w:val="00E12603"/>
    <w:rsid w:val="00E15D13"/>
    <w:rsid w:val="00E16BCF"/>
    <w:rsid w:val="00E176A2"/>
    <w:rsid w:val="00E17781"/>
    <w:rsid w:val="00E20DA2"/>
    <w:rsid w:val="00E223AC"/>
    <w:rsid w:val="00E23C67"/>
    <w:rsid w:val="00E23D71"/>
    <w:rsid w:val="00E25487"/>
    <w:rsid w:val="00E30D84"/>
    <w:rsid w:val="00E321FE"/>
    <w:rsid w:val="00E322C1"/>
    <w:rsid w:val="00E34DAA"/>
    <w:rsid w:val="00E35E37"/>
    <w:rsid w:val="00E360A5"/>
    <w:rsid w:val="00E36BEC"/>
    <w:rsid w:val="00E377B7"/>
    <w:rsid w:val="00E37ECA"/>
    <w:rsid w:val="00E40448"/>
    <w:rsid w:val="00E426A5"/>
    <w:rsid w:val="00E42E39"/>
    <w:rsid w:val="00E43507"/>
    <w:rsid w:val="00E441C0"/>
    <w:rsid w:val="00E44545"/>
    <w:rsid w:val="00E45598"/>
    <w:rsid w:val="00E456B7"/>
    <w:rsid w:val="00E46FD9"/>
    <w:rsid w:val="00E470E9"/>
    <w:rsid w:val="00E502AC"/>
    <w:rsid w:val="00E526E3"/>
    <w:rsid w:val="00E533D9"/>
    <w:rsid w:val="00E5460A"/>
    <w:rsid w:val="00E56BD9"/>
    <w:rsid w:val="00E61A31"/>
    <w:rsid w:val="00E65AF5"/>
    <w:rsid w:val="00E6614F"/>
    <w:rsid w:val="00E67A97"/>
    <w:rsid w:val="00E70D3B"/>
    <w:rsid w:val="00E70F0B"/>
    <w:rsid w:val="00E74BAC"/>
    <w:rsid w:val="00E75078"/>
    <w:rsid w:val="00E75718"/>
    <w:rsid w:val="00E76889"/>
    <w:rsid w:val="00E76E95"/>
    <w:rsid w:val="00E84AE9"/>
    <w:rsid w:val="00E90698"/>
    <w:rsid w:val="00E91FC9"/>
    <w:rsid w:val="00E92B08"/>
    <w:rsid w:val="00E934A2"/>
    <w:rsid w:val="00E9436B"/>
    <w:rsid w:val="00E9584B"/>
    <w:rsid w:val="00EA0DD1"/>
    <w:rsid w:val="00EA58F3"/>
    <w:rsid w:val="00EA6FD8"/>
    <w:rsid w:val="00EB0019"/>
    <w:rsid w:val="00EB08C0"/>
    <w:rsid w:val="00EB1424"/>
    <w:rsid w:val="00EB1FB7"/>
    <w:rsid w:val="00EB37A1"/>
    <w:rsid w:val="00EB3DA0"/>
    <w:rsid w:val="00EB4C26"/>
    <w:rsid w:val="00EB63ED"/>
    <w:rsid w:val="00EB6E09"/>
    <w:rsid w:val="00EC15E5"/>
    <w:rsid w:val="00EC3A62"/>
    <w:rsid w:val="00EC3ECB"/>
    <w:rsid w:val="00EC4154"/>
    <w:rsid w:val="00EC48A8"/>
    <w:rsid w:val="00EC77CD"/>
    <w:rsid w:val="00ED05B8"/>
    <w:rsid w:val="00ED2CA9"/>
    <w:rsid w:val="00ED2CE1"/>
    <w:rsid w:val="00ED5109"/>
    <w:rsid w:val="00ED51C6"/>
    <w:rsid w:val="00ED53A8"/>
    <w:rsid w:val="00ED5513"/>
    <w:rsid w:val="00EE217C"/>
    <w:rsid w:val="00EE3F80"/>
    <w:rsid w:val="00EE49FF"/>
    <w:rsid w:val="00EE4FA1"/>
    <w:rsid w:val="00EE5AD7"/>
    <w:rsid w:val="00EE627A"/>
    <w:rsid w:val="00EF04D3"/>
    <w:rsid w:val="00EF17A6"/>
    <w:rsid w:val="00EF1A0B"/>
    <w:rsid w:val="00EF1A74"/>
    <w:rsid w:val="00EF2822"/>
    <w:rsid w:val="00EF3F31"/>
    <w:rsid w:val="00EF4A34"/>
    <w:rsid w:val="00EF4BED"/>
    <w:rsid w:val="00EF65DC"/>
    <w:rsid w:val="00EF7AE6"/>
    <w:rsid w:val="00F008E9"/>
    <w:rsid w:val="00F03413"/>
    <w:rsid w:val="00F0378A"/>
    <w:rsid w:val="00F03E1D"/>
    <w:rsid w:val="00F0429C"/>
    <w:rsid w:val="00F100FB"/>
    <w:rsid w:val="00F1520A"/>
    <w:rsid w:val="00F254E7"/>
    <w:rsid w:val="00F25522"/>
    <w:rsid w:val="00F27799"/>
    <w:rsid w:val="00F31D20"/>
    <w:rsid w:val="00F36897"/>
    <w:rsid w:val="00F37164"/>
    <w:rsid w:val="00F402F5"/>
    <w:rsid w:val="00F415E0"/>
    <w:rsid w:val="00F41D19"/>
    <w:rsid w:val="00F434FD"/>
    <w:rsid w:val="00F470AD"/>
    <w:rsid w:val="00F47C3A"/>
    <w:rsid w:val="00F52FC4"/>
    <w:rsid w:val="00F553CD"/>
    <w:rsid w:val="00F6289B"/>
    <w:rsid w:val="00F637B0"/>
    <w:rsid w:val="00F65AE2"/>
    <w:rsid w:val="00F66489"/>
    <w:rsid w:val="00F66B45"/>
    <w:rsid w:val="00F66EE1"/>
    <w:rsid w:val="00F671F3"/>
    <w:rsid w:val="00F7196D"/>
    <w:rsid w:val="00F7264B"/>
    <w:rsid w:val="00F728B0"/>
    <w:rsid w:val="00F74654"/>
    <w:rsid w:val="00F74FF8"/>
    <w:rsid w:val="00F80406"/>
    <w:rsid w:val="00F82393"/>
    <w:rsid w:val="00F856D8"/>
    <w:rsid w:val="00F85A04"/>
    <w:rsid w:val="00F85A39"/>
    <w:rsid w:val="00F85A90"/>
    <w:rsid w:val="00F866AB"/>
    <w:rsid w:val="00F876EA"/>
    <w:rsid w:val="00F877C5"/>
    <w:rsid w:val="00F93795"/>
    <w:rsid w:val="00F9533B"/>
    <w:rsid w:val="00F95400"/>
    <w:rsid w:val="00F95464"/>
    <w:rsid w:val="00F97B56"/>
    <w:rsid w:val="00FA554F"/>
    <w:rsid w:val="00FA5991"/>
    <w:rsid w:val="00FA6325"/>
    <w:rsid w:val="00FA6B94"/>
    <w:rsid w:val="00FA7F03"/>
    <w:rsid w:val="00FB156A"/>
    <w:rsid w:val="00FB22B2"/>
    <w:rsid w:val="00FB3BBC"/>
    <w:rsid w:val="00FB40AD"/>
    <w:rsid w:val="00FB46AA"/>
    <w:rsid w:val="00FB6C3F"/>
    <w:rsid w:val="00FB7C58"/>
    <w:rsid w:val="00FC27D8"/>
    <w:rsid w:val="00FC4635"/>
    <w:rsid w:val="00FC5B14"/>
    <w:rsid w:val="00FC7BB0"/>
    <w:rsid w:val="00FC7FA3"/>
    <w:rsid w:val="00FD235E"/>
    <w:rsid w:val="00FD6157"/>
    <w:rsid w:val="00FD7258"/>
    <w:rsid w:val="00FD77FE"/>
    <w:rsid w:val="00FE2185"/>
    <w:rsid w:val="00FE2EF4"/>
    <w:rsid w:val="00FE2FCC"/>
    <w:rsid w:val="00FE3AC9"/>
    <w:rsid w:val="00FE605D"/>
    <w:rsid w:val="00FF0F4A"/>
    <w:rsid w:val="00FF132A"/>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19CA2BA"/>
  <w14:defaultImageDpi w14:val="300"/>
  <w15:docId w15:val="{3981A06A-5B1C-4754-942D-5B6F74ED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link w:val="ESIntroParagraphChar"/>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D049D0"/>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link w:val="ESSubheading1Char"/>
    <w:qFormat/>
    <w:rsid w:val="00623DD3"/>
    <w:pPr>
      <w:spacing w:before="120" w:after="120"/>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587441"/>
    <w:pPr>
      <w:tabs>
        <w:tab w:val="right" w:leader="dot" w:pos="9346"/>
      </w:tabs>
      <w:spacing w:after="100"/>
    </w:pPr>
    <w:rPr>
      <w:b/>
    </w:rPr>
  </w:style>
  <w:style w:type="paragraph" w:styleId="TOC2">
    <w:name w:val="toc 2"/>
    <w:basedOn w:val="Normal"/>
    <w:next w:val="Normal"/>
    <w:autoRedefine/>
    <w:uiPriority w:val="39"/>
    <w:unhideWhenUsed/>
    <w:locked/>
    <w:rsid w:val="00DD416B"/>
    <w:pPr>
      <w:tabs>
        <w:tab w:val="right" w:pos="8931"/>
        <w:tab w:val="right" w:leader="dot" w:pos="9346"/>
      </w:tabs>
      <w:spacing w:after="10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Bullet point,L,Recommendation,DDM Gen Text,List Paragraph - bullets,NFP GP Bulleted List,bullet point list,Bullet points,Content descriptions,Bullet Point,Dot Points,List Bullet 1,List Paragraph Number"/>
    <w:basedOn w:val="Normal"/>
    <w:link w:val="ListParagraphChar"/>
    <w:uiPriority w:val="34"/>
    <w:qFormat/>
    <w:locked/>
    <w:rsid w:val="00F97B56"/>
    <w:pPr>
      <w:ind w:left="720"/>
      <w:contextualSpacing/>
    </w:pPr>
  </w:style>
  <w:style w:type="paragraph" w:customStyle="1" w:styleId="ESBulletsinTable">
    <w:name w:val="ES_Bullets in Table"/>
    <w:basedOn w:val="ListParagraph"/>
    <w:qFormat/>
    <w:rsid w:val="007B576C"/>
    <w:pPr>
      <w:numPr>
        <w:numId w:val="2"/>
      </w:numPr>
      <w:spacing w:before="120" w:line="240" w:lineRule="auto"/>
      <w:contextualSpacing w:val="0"/>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2"/>
      </w:numPr>
      <w:spacing w:after="80" w:line="240" w:lineRule="auto"/>
    </w:pPr>
    <w:rPr>
      <w:rFonts w:eastAsia="Arial" w:cs="Times New Roman"/>
      <w:szCs w:val="22"/>
      <w:lang w:val="en-AU"/>
    </w:rPr>
  </w:style>
  <w:style w:type="paragraph" w:customStyle="1" w:styleId="ESWhiteTableHeading">
    <w:name w:val="ES_White Table Heading"/>
    <w:basedOn w:val="Normal"/>
    <w:qFormat/>
    <w:rsid w:val="00F85A39"/>
    <w:rPr>
      <w:rFonts w:eastAsia="Arial"/>
      <w:b/>
      <w:color w:val="FFFFFF" w:themeColor="background1"/>
      <w:sz w:val="20"/>
      <w:szCs w:val="20"/>
      <w:lang w:val="en-AU"/>
    </w:rPr>
  </w:style>
  <w:style w:type="paragraph" w:styleId="BalloonText">
    <w:name w:val="Balloon Text"/>
    <w:basedOn w:val="Normal"/>
    <w:link w:val="BalloonTextChar"/>
    <w:uiPriority w:val="99"/>
    <w:semiHidden/>
    <w:unhideWhenUsed/>
    <w:locked/>
    <w:rsid w:val="00B52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722"/>
    <w:rPr>
      <w:rFonts w:ascii="Tahoma" w:hAnsi="Tahoma" w:cs="Tahoma"/>
      <w:sz w:val="16"/>
      <w:szCs w:val="16"/>
    </w:rPr>
  </w:style>
  <w:style w:type="character" w:styleId="Hyperlink">
    <w:name w:val="Hyperlink"/>
    <w:basedOn w:val="DefaultParagraphFont"/>
    <w:uiPriority w:val="99"/>
    <w:unhideWhenUsed/>
    <w:locked/>
    <w:rsid w:val="00F0378A"/>
    <w:rPr>
      <w:color w:val="0000FF" w:themeColor="hyperlink"/>
      <w:u w:val="single"/>
    </w:rPr>
  </w:style>
  <w:style w:type="paragraph" w:styleId="BodyText">
    <w:name w:val="Body Text"/>
    <w:basedOn w:val="Normal"/>
    <w:link w:val="BodyTextChar"/>
    <w:uiPriority w:val="1"/>
    <w:qFormat/>
    <w:locked/>
    <w:rsid w:val="009E49FB"/>
    <w:pPr>
      <w:spacing w:after="200" w:line="276" w:lineRule="auto"/>
    </w:pPr>
    <w:rPr>
      <w:rFonts w:eastAsiaTheme="minorHAnsi"/>
      <w:lang w:val="en-AU"/>
    </w:rPr>
  </w:style>
  <w:style w:type="character" w:customStyle="1" w:styleId="BodyTextChar">
    <w:name w:val="Body Text Char"/>
    <w:basedOn w:val="DefaultParagraphFont"/>
    <w:link w:val="BodyText"/>
    <w:uiPriority w:val="1"/>
    <w:rsid w:val="009E49FB"/>
    <w:rPr>
      <w:rFonts w:ascii="Arial" w:eastAsiaTheme="minorHAnsi" w:hAnsi="Arial" w:cs="Arial"/>
      <w:sz w:val="18"/>
      <w:szCs w:val="18"/>
      <w:lang w:val="en-AU"/>
    </w:rPr>
  </w:style>
  <w:style w:type="table" w:customStyle="1" w:styleId="TableGrid11">
    <w:name w:val="Table Grid11"/>
    <w:basedOn w:val="TableNormal"/>
    <w:next w:val="TableGrid"/>
    <w:uiPriority w:val="59"/>
    <w:rsid w:val="00810AF4"/>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
    <w:name w:val="Notes"/>
    <w:basedOn w:val="Normal"/>
    <w:link w:val="NotesChar"/>
    <w:uiPriority w:val="2"/>
    <w:qFormat/>
    <w:rsid w:val="00810AF4"/>
    <w:pPr>
      <w:tabs>
        <w:tab w:val="left" w:pos="454"/>
      </w:tabs>
      <w:spacing w:after="0" w:line="240" w:lineRule="auto"/>
      <w:ind w:left="461" w:hanging="461"/>
    </w:pPr>
    <w:rPr>
      <w:rFonts w:ascii="Calibri" w:eastAsia="Times New Roman" w:hAnsi="Calibri" w:cs="Times New Roman"/>
      <w:i/>
      <w:sz w:val="15"/>
      <w:szCs w:val="20"/>
      <w:lang w:val="en-AU"/>
    </w:rPr>
  </w:style>
  <w:style w:type="character" w:customStyle="1" w:styleId="NotesChar">
    <w:name w:val="Notes Char"/>
    <w:link w:val="Notes"/>
    <w:uiPriority w:val="2"/>
    <w:locked/>
    <w:rsid w:val="00810AF4"/>
    <w:rPr>
      <w:rFonts w:ascii="Calibri" w:eastAsia="Times New Roman" w:hAnsi="Calibri" w:cs="Times New Roman"/>
      <w:i/>
      <w:sz w:val="15"/>
      <w:szCs w:val="20"/>
      <w:lang w:val="en-AU"/>
    </w:rPr>
  </w:style>
  <w:style w:type="table" w:customStyle="1" w:styleId="TableGrid12">
    <w:name w:val="Table Grid12"/>
    <w:basedOn w:val="TableNormal"/>
    <w:next w:val="TableGrid"/>
    <w:uiPriority w:val="59"/>
    <w:rsid w:val="00810AF4"/>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qFormat/>
    <w:locked/>
    <w:rsid w:val="008F0F12"/>
    <w:pPr>
      <w:tabs>
        <w:tab w:val="num" w:pos="360"/>
      </w:tabs>
      <w:spacing w:line="240" w:lineRule="auto"/>
      <w:ind w:left="360" w:hanging="360"/>
    </w:pPr>
    <w:rPr>
      <w:rFonts w:asciiTheme="minorHAnsi" w:eastAsiaTheme="minorHAnsi" w:hAnsiTheme="minorHAnsi" w:cstheme="minorBidi"/>
      <w:szCs w:val="22"/>
      <w:lang w:val="en-AU"/>
    </w:rPr>
  </w:style>
  <w:style w:type="character" w:customStyle="1" w:styleId="BulletstyleforStrategicPlanChar">
    <w:name w:val="Bullet style for Strategic Plan Char"/>
    <w:basedOn w:val="DefaultParagraphFont"/>
    <w:link w:val="BulletstyleforStrategicPlan"/>
    <w:locked/>
    <w:rsid w:val="008F0F12"/>
    <w:rPr>
      <w:rFonts w:ascii="Arial" w:hAnsi="Arial" w:cs="Arial"/>
    </w:rPr>
  </w:style>
  <w:style w:type="paragraph" w:customStyle="1" w:styleId="BulletstyleforStrategicPlan">
    <w:name w:val="Bullet style for Strategic Plan"/>
    <w:basedOn w:val="Normal"/>
    <w:link w:val="BulletstyleforStrategicPlanChar"/>
    <w:qFormat/>
    <w:rsid w:val="008F0F12"/>
    <w:pPr>
      <w:spacing w:line="228" w:lineRule="atLeast"/>
      <w:ind w:left="170" w:hanging="170"/>
      <w:jc w:val="both"/>
    </w:pPr>
    <w:rPr>
      <w:sz w:val="24"/>
      <w:szCs w:val="24"/>
    </w:rPr>
  </w:style>
  <w:style w:type="paragraph" w:customStyle="1" w:styleId="LK-ESSubheading">
    <w:name w:val="LK-ES Subheading"/>
    <w:basedOn w:val="ESSubheading1"/>
    <w:link w:val="LK-ESSubheadingChar"/>
    <w:qFormat/>
    <w:rsid w:val="0034209E"/>
    <w:pPr>
      <w:spacing w:before="360" w:after="240"/>
      <w:ind w:left="0"/>
    </w:pPr>
    <w:rPr>
      <w:i/>
      <w:sz w:val="24"/>
      <w:szCs w:val="24"/>
      <w:lang w:val="en-AU"/>
    </w:rPr>
  </w:style>
  <w:style w:type="character" w:customStyle="1" w:styleId="ESIntroParagraphChar">
    <w:name w:val="ES_Intro Paragraph Char"/>
    <w:basedOn w:val="SubtitleChar"/>
    <w:link w:val="ESIntroParagraph"/>
    <w:rsid w:val="00623DD3"/>
    <w:rPr>
      <w:rFonts w:ascii="Arial" w:eastAsiaTheme="majorEastAsia" w:hAnsi="Arial" w:cstheme="majorBidi"/>
      <w:color w:val="5A5A59"/>
      <w:sz w:val="27"/>
      <w:szCs w:val="27"/>
    </w:rPr>
  </w:style>
  <w:style w:type="character" w:customStyle="1" w:styleId="ESSubheading1Char">
    <w:name w:val="ES_Subheading 1 Char"/>
    <w:basedOn w:val="ESIntroParagraphChar"/>
    <w:link w:val="ESSubheading1"/>
    <w:rsid w:val="00623DD3"/>
    <w:rPr>
      <w:rFonts w:ascii="Arial" w:eastAsiaTheme="majorEastAsia" w:hAnsi="Arial" w:cstheme="majorBidi"/>
      <w:color w:val="AF272F"/>
      <w:sz w:val="28"/>
      <w:szCs w:val="27"/>
    </w:rPr>
  </w:style>
  <w:style w:type="character" w:customStyle="1" w:styleId="LK-ESSubheadingChar">
    <w:name w:val="LK-ES Subheading Char"/>
    <w:basedOn w:val="ESSubheading1Char"/>
    <w:link w:val="LK-ESSubheading"/>
    <w:rsid w:val="00623DD3"/>
    <w:rPr>
      <w:rFonts w:ascii="Arial" w:eastAsiaTheme="majorEastAsia" w:hAnsi="Arial" w:cstheme="majorBidi"/>
      <w:i/>
      <w:color w:val="AF272F"/>
      <w:sz w:val="28"/>
      <w:szCs w:val="27"/>
      <w:lang w:val="en-AU"/>
    </w:rPr>
  </w:style>
  <w:style w:type="paragraph" w:customStyle="1" w:styleId="ESTitle">
    <w:name w:val="ES_Title"/>
    <w:basedOn w:val="ESHeading1"/>
    <w:next w:val="ESHeading1"/>
    <w:link w:val="ESTitleChar"/>
    <w:qFormat/>
    <w:rsid w:val="0034209E"/>
  </w:style>
  <w:style w:type="character" w:customStyle="1" w:styleId="ESTitleChar">
    <w:name w:val="ES_Title Char"/>
    <w:basedOn w:val="TitleChar"/>
    <w:link w:val="ESTitle"/>
    <w:rsid w:val="009C5C92"/>
    <w:rPr>
      <w:rFonts w:ascii="Arial" w:eastAsiaTheme="majorEastAsia" w:hAnsi="Arial" w:cstheme="majorBidi"/>
      <w:b/>
      <w:color w:val="AF272F"/>
      <w:spacing w:val="5"/>
      <w:kern w:val="28"/>
      <w:sz w:val="44"/>
      <w:szCs w:val="52"/>
    </w:rPr>
  </w:style>
  <w:style w:type="character" w:styleId="CommentReference">
    <w:name w:val="annotation reference"/>
    <w:basedOn w:val="DefaultParagraphFont"/>
    <w:uiPriority w:val="99"/>
    <w:semiHidden/>
    <w:unhideWhenUsed/>
    <w:locked/>
    <w:rsid w:val="00CA13FA"/>
    <w:rPr>
      <w:sz w:val="16"/>
      <w:szCs w:val="16"/>
    </w:rPr>
  </w:style>
  <w:style w:type="paragraph" w:styleId="CommentText">
    <w:name w:val="annotation text"/>
    <w:basedOn w:val="Normal"/>
    <w:link w:val="CommentTextChar"/>
    <w:uiPriority w:val="99"/>
    <w:semiHidden/>
    <w:unhideWhenUsed/>
    <w:locked/>
    <w:rsid w:val="00CA13FA"/>
    <w:pPr>
      <w:spacing w:line="240" w:lineRule="auto"/>
    </w:pPr>
    <w:rPr>
      <w:sz w:val="20"/>
      <w:szCs w:val="20"/>
    </w:rPr>
  </w:style>
  <w:style w:type="character" w:customStyle="1" w:styleId="CommentTextChar">
    <w:name w:val="Comment Text Char"/>
    <w:basedOn w:val="DefaultParagraphFont"/>
    <w:link w:val="CommentText"/>
    <w:uiPriority w:val="99"/>
    <w:semiHidden/>
    <w:rsid w:val="00CA13F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CA13FA"/>
    <w:rPr>
      <w:b/>
      <w:bCs/>
    </w:rPr>
  </w:style>
  <w:style w:type="character" w:customStyle="1" w:styleId="CommentSubjectChar">
    <w:name w:val="Comment Subject Char"/>
    <w:basedOn w:val="CommentTextChar"/>
    <w:link w:val="CommentSubject"/>
    <w:uiPriority w:val="99"/>
    <w:semiHidden/>
    <w:rsid w:val="00CA13FA"/>
    <w:rPr>
      <w:rFonts w:ascii="Arial" w:hAnsi="Arial" w:cs="Arial"/>
      <w:b/>
      <w:bCs/>
      <w:sz w:val="20"/>
      <w:szCs w:val="20"/>
    </w:rPr>
  </w:style>
  <w:style w:type="character" w:customStyle="1" w:styleId="TabletextChar">
    <w:name w:val="Table text Char"/>
    <w:link w:val="Tabletext"/>
    <w:locked/>
    <w:rsid w:val="005A1F58"/>
    <w:rPr>
      <w:rFonts w:ascii="Calibri" w:eastAsia="Times New Roman" w:hAnsi="Calibri" w:cs="Times New Roman"/>
      <w:sz w:val="20"/>
      <w:szCs w:val="18"/>
    </w:rPr>
  </w:style>
  <w:style w:type="paragraph" w:customStyle="1" w:styleId="Tabletext">
    <w:name w:val="Table text"/>
    <w:basedOn w:val="TableofFigures"/>
    <w:link w:val="TabletextChar"/>
    <w:qFormat/>
    <w:rsid w:val="005A1F58"/>
    <w:pPr>
      <w:spacing w:line="240" w:lineRule="auto"/>
      <w:ind w:left="180" w:hanging="180"/>
    </w:pPr>
    <w:rPr>
      <w:rFonts w:ascii="Calibri" w:eastAsia="Times New Roman" w:hAnsi="Calibri" w:cs="Times New Roman"/>
      <w:sz w:val="20"/>
    </w:rPr>
  </w:style>
  <w:style w:type="paragraph" w:customStyle="1" w:styleId="Tabletextheadingleft">
    <w:name w:val="Table text heading left"/>
    <w:basedOn w:val="Normal"/>
    <w:rsid w:val="005A1F58"/>
    <w:pPr>
      <w:spacing w:after="0" w:line="240" w:lineRule="auto"/>
    </w:pPr>
    <w:rPr>
      <w:rFonts w:ascii="Calibri" w:eastAsia="Times New Roman" w:hAnsi="Calibri" w:cs="Times New Roman"/>
      <w:i/>
      <w:sz w:val="20"/>
      <w:lang w:val="en-AU"/>
    </w:rPr>
  </w:style>
  <w:style w:type="paragraph" w:customStyle="1" w:styleId="Tabletextnoindent">
    <w:name w:val="Table text no indent"/>
    <w:basedOn w:val="Tabletext"/>
    <w:qFormat/>
    <w:rsid w:val="005A1F58"/>
    <w:pPr>
      <w:spacing w:after="80"/>
      <w:ind w:left="0" w:firstLine="0"/>
    </w:pPr>
  </w:style>
  <w:style w:type="paragraph" w:styleId="TableofFigures">
    <w:name w:val="table of figures"/>
    <w:basedOn w:val="Normal"/>
    <w:next w:val="Normal"/>
    <w:uiPriority w:val="99"/>
    <w:semiHidden/>
    <w:unhideWhenUsed/>
    <w:locked/>
    <w:rsid w:val="005A1F58"/>
    <w:pPr>
      <w:spacing w:after="0"/>
    </w:pPr>
  </w:style>
  <w:style w:type="paragraph" w:customStyle="1" w:styleId="ESbullet1">
    <w:name w:val="ES_bullet 1"/>
    <w:basedOn w:val="ESBodyText"/>
    <w:qFormat/>
    <w:rsid w:val="00E9584B"/>
    <w:pPr>
      <w:spacing w:after="180" w:line="240" w:lineRule="auto"/>
      <w:ind w:left="284" w:hanging="284"/>
    </w:pPr>
  </w:style>
  <w:style w:type="paragraph" w:customStyle="1" w:styleId="ESbullet2">
    <w:name w:val="ES_bullet 2"/>
    <w:basedOn w:val="ESbullet1"/>
    <w:qFormat/>
    <w:rsid w:val="00E9584B"/>
    <w:pPr>
      <w:numPr>
        <w:numId w:val="4"/>
      </w:numPr>
    </w:pPr>
  </w:style>
  <w:style w:type="paragraph" w:customStyle="1" w:styleId="ESTableheadingwhite">
    <w:name w:val="ES_Table heading white"/>
    <w:basedOn w:val="ESBodyText"/>
    <w:qFormat/>
    <w:rsid w:val="00E9584B"/>
    <w:pPr>
      <w:spacing w:before="80" w:after="80" w:line="240" w:lineRule="auto"/>
    </w:pPr>
    <w:rPr>
      <w:b/>
      <w:color w:val="FFFFFF" w:themeColor="background1"/>
    </w:rPr>
  </w:style>
  <w:style w:type="paragraph" w:customStyle="1" w:styleId="ESTableheading">
    <w:name w:val="ES_Table heading"/>
    <w:basedOn w:val="ESTableheadingwhite"/>
    <w:qFormat/>
    <w:rsid w:val="00E9584B"/>
    <w:rPr>
      <w:color w:val="4F81BD" w:themeColor="accent1"/>
    </w:rPr>
  </w:style>
  <w:style w:type="table" w:customStyle="1" w:styleId="TableGrid2">
    <w:name w:val="Table Grid2"/>
    <w:basedOn w:val="TableNormal"/>
    <w:next w:val="TableGrid"/>
    <w:uiPriority w:val="39"/>
    <w:rsid w:val="00A303F1"/>
    <w:rPr>
      <w:rFonts w:eastAsia="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locked/>
    <w:rsid w:val="0007204F"/>
    <w:pPr>
      <w:spacing w:after="150"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254E7"/>
    <w:rPr>
      <w:rFonts w:ascii="Arial" w:hAnsi="Arial" w:cs="Arial"/>
      <w:sz w:val="18"/>
      <w:szCs w:val="18"/>
    </w:rPr>
  </w:style>
  <w:style w:type="character" w:styleId="FollowedHyperlink">
    <w:name w:val="FollowedHyperlink"/>
    <w:basedOn w:val="DefaultParagraphFont"/>
    <w:uiPriority w:val="99"/>
    <w:semiHidden/>
    <w:unhideWhenUsed/>
    <w:locked/>
    <w:rsid w:val="00FC27D8"/>
    <w:rPr>
      <w:color w:val="800080" w:themeColor="followedHyperlink"/>
      <w:u w:val="single"/>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363ABD"/>
    <w:rPr>
      <w:rFonts w:ascii="Arial" w:hAnsi="Arial" w:cs="Arial"/>
      <w:sz w:val="18"/>
      <w:szCs w:val="18"/>
    </w:rPr>
  </w:style>
  <w:style w:type="paragraph" w:customStyle="1" w:styleId="Default">
    <w:name w:val="Default"/>
    <w:rsid w:val="00E426A5"/>
    <w:pPr>
      <w:autoSpaceDE w:val="0"/>
      <w:autoSpaceDN w:val="0"/>
      <w:adjustRightInd w:val="0"/>
    </w:pPr>
    <w:rPr>
      <w:rFonts w:ascii="Calibri" w:hAnsi="Calibri" w:cs="Calibri"/>
      <w:color w:val="000000"/>
      <w:lang w:val="en-AU"/>
    </w:rPr>
  </w:style>
  <w:style w:type="table" w:styleId="PlainTable1">
    <w:name w:val="Plain Table 1"/>
    <w:basedOn w:val="TableNormal"/>
    <w:uiPriority w:val="41"/>
    <w:rsid w:val="00797A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898">
      <w:bodyDiv w:val="1"/>
      <w:marLeft w:val="0"/>
      <w:marRight w:val="0"/>
      <w:marTop w:val="0"/>
      <w:marBottom w:val="0"/>
      <w:divBdr>
        <w:top w:val="none" w:sz="0" w:space="0" w:color="auto"/>
        <w:left w:val="none" w:sz="0" w:space="0" w:color="auto"/>
        <w:bottom w:val="none" w:sz="0" w:space="0" w:color="auto"/>
        <w:right w:val="none" w:sz="0" w:space="0" w:color="auto"/>
      </w:divBdr>
    </w:div>
    <w:div w:id="121583592">
      <w:bodyDiv w:val="1"/>
      <w:marLeft w:val="0"/>
      <w:marRight w:val="0"/>
      <w:marTop w:val="0"/>
      <w:marBottom w:val="0"/>
      <w:divBdr>
        <w:top w:val="none" w:sz="0" w:space="0" w:color="auto"/>
        <w:left w:val="none" w:sz="0" w:space="0" w:color="auto"/>
        <w:bottom w:val="none" w:sz="0" w:space="0" w:color="auto"/>
        <w:right w:val="none" w:sz="0" w:space="0" w:color="auto"/>
      </w:divBdr>
    </w:div>
    <w:div w:id="211769289">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14143413">
      <w:bodyDiv w:val="1"/>
      <w:marLeft w:val="0"/>
      <w:marRight w:val="0"/>
      <w:marTop w:val="0"/>
      <w:marBottom w:val="0"/>
      <w:divBdr>
        <w:top w:val="none" w:sz="0" w:space="0" w:color="auto"/>
        <w:left w:val="none" w:sz="0" w:space="0" w:color="auto"/>
        <w:bottom w:val="none" w:sz="0" w:space="0" w:color="auto"/>
        <w:right w:val="none" w:sz="0" w:space="0" w:color="auto"/>
      </w:divBdr>
    </w:div>
    <w:div w:id="314989554">
      <w:bodyDiv w:val="1"/>
      <w:marLeft w:val="0"/>
      <w:marRight w:val="0"/>
      <w:marTop w:val="0"/>
      <w:marBottom w:val="0"/>
      <w:divBdr>
        <w:top w:val="none" w:sz="0" w:space="0" w:color="auto"/>
        <w:left w:val="none" w:sz="0" w:space="0" w:color="auto"/>
        <w:bottom w:val="none" w:sz="0" w:space="0" w:color="auto"/>
        <w:right w:val="none" w:sz="0" w:space="0" w:color="auto"/>
      </w:divBdr>
    </w:div>
    <w:div w:id="340742854">
      <w:bodyDiv w:val="1"/>
      <w:marLeft w:val="0"/>
      <w:marRight w:val="0"/>
      <w:marTop w:val="0"/>
      <w:marBottom w:val="0"/>
      <w:divBdr>
        <w:top w:val="none" w:sz="0" w:space="0" w:color="auto"/>
        <w:left w:val="none" w:sz="0" w:space="0" w:color="auto"/>
        <w:bottom w:val="none" w:sz="0" w:space="0" w:color="auto"/>
        <w:right w:val="none" w:sz="0" w:space="0" w:color="auto"/>
      </w:divBdr>
    </w:div>
    <w:div w:id="367141384">
      <w:bodyDiv w:val="1"/>
      <w:marLeft w:val="0"/>
      <w:marRight w:val="0"/>
      <w:marTop w:val="0"/>
      <w:marBottom w:val="0"/>
      <w:divBdr>
        <w:top w:val="none" w:sz="0" w:space="0" w:color="auto"/>
        <w:left w:val="none" w:sz="0" w:space="0" w:color="auto"/>
        <w:bottom w:val="none" w:sz="0" w:space="0" w:color="auto"/>
        <w:right w:val="none" w:sz="0" w:space="0" w:color="auto"/>
      </w:divBdr>
    </w:div>
    <w:div w:id="387343550">
      <w:bodyDiv w:val="1"/>
      <w:marLeft w:val="0"/>
      <w:marRight w:val="0"/>
      <w:marTop w:val="0"/>
      <w:marBottom w:val="0"/>
      <w:divBdr>
        <w:top w:val="none" w:sz="0" w:space="0" w:color="auto"/>
        <w:left w:val="none" w:sz="0" w:space="0" w:color="auto"/>
        <w:bottom w:val="none" w:sz="0" w:space="0" w:color="auto"/>
        <w:right w:val="none" w:sz="0" w:space="0" w:color="auto"/>
      </w:divBdr>
      <w:divsChild>
        <w:div w:id="612247946">
          <w:marLeft w:val="0"/>
          <w:marRight w:val="0"/>
          <w:marTop w:val="0"/>
          <w:marBottom w:val="0"/>
          <w:divBdr>
            <w:top w:val="none" w:sz="0" w:space="0" w:color="auto"/>
            <w:left w:val="none" w:sz="0" w:space="0" w:color="auto"/>
            <w:bottom w:val="none" w:sz="0" w:space="0" w:color="auto"/>
            <w:right w:val="none" w:sz="0" w:space="0" w:color="auto"/>
          </w:divBdr>
          <w:divsChild>
            <w:div w:id="2013603383">
              <w:marLeft w:val="0"/>
              <w:marRight w:val="0"/>
              <w:marTop w:val="0"/>
              <w:marBottom w:val="0"/>
              <w:divBdr>
                <w:top w:val="none" w:sz="0" w:space="0" w:color="auto"/>
                <w:left w:val="none" w:sz="0" w:space="0" w:color="auto"/>
                <w:bottom w:val="none" w:sz="0" w:space="0" w:color="auto"/>
                <w:right w:val="none" w:sz="0" w:space="0" w:color="auto"/>
              </w:divBdr>
              <w:divsChild>
                <w:div w:id="1854538875">
                  <w:marLeft w:val="0"/>
                  <w:marRight w:val="0"/>
                  <w:marTop w:val="0"/>
                  <w:marBottom w:val="0"/>
                  <w:divBdr>
                    <w:top w:val="none" w:sz="0" w:space="0" w:color="auto"/>
                    <w:left w:val="none" w:sz="0" w:space="0" w:color="auto"/>
                    <w:bottom w:val="none" w:sz="0" w:space="0" w:color="auto"/>
                    <w:right w:val="none" w:sz="0" w:space="0" w:color="auto"/>
                  </w:divBdr>
                  <w:divsChild>
                    <w:div w:id="1286817319">
                      <w:marLeft w:val="0"/>
                      <w:marRight w:val="0"/>
                      <w:marTop w:val="0"/>
                      <w:marBottom w:val="0"/>
                      <w:divBdr>
                        <w:top w:val="none" w:sz="0" w:space="0" w:color="auto"/>
                        <w:left w:val="none" w:sz="0" w:space="0" w:color="auto"/>
                        <w:bottom w:val="none" w:sz="0" w:space="0" w:color="auto"/>
                        <w:right w:val="none" w:sz="0" w:space="0" w:color="auto"/>
                      </w:divBdr>
                      <w:divsChild>
                        <w:div w:id="1785541928">
                          <w:marLeft w:val="0"/>
                          <w:marRight w:val="0"/>
                          <w:marTop w:val="1050"/>
                          <w:marBottom w:val="0"/>
                          <w:divBdr>
                            <w:top w:val="none" w:sz="0" w:space="0" w:color="auto"/>
                            <w:left w:val="none" w:sz="0" w:space="0" w:color="auto"/>
                            <w:bottom w:val="none" w:sz="0" w:space="0" w:color="auto"/>
                            <w:right w:val="none" w:sz="0" w:space="0" w:color="auto"/>
                          </w:divBdr>
                          <w:divsChild>
                            <w:div w:id="2087341147">
                              <w:marLeft w:val="-225"/>
                              <w:marRight w:val="-225"/>
                              <w:marTop w:val="0"/>
                              <w:marBottom w:val="0"/>
                              <w:divBdr>
                                <w:top w:val="none" w:sz="0" w:space="0" w:color="auto"/>
                                <w:left w:val="none" w:sz="0" w:space="0" w:color="auto"/>
                                <w:bottom w:val="none" w:sz="0" w:space="0" w:color="auto"/>
                                <w:right w:val="none" w:sz="0" w:space="0" w:color="auto"/>
                              </w:divBdr>
                              <w:divsChild>
                                <w:div w:id="774180011">
                                  <w:marLeft w:val="0"/>
                                  <w:marRight w:val="0"/>
                                  <w:marTop w:val="0"/>
                                  <w:marBottom w:val="0"/>
                                  <w:divBdr>
                                    <w:top w:val="none" w:sz="0" w:space="0" w:color="auto"/>
                                    <w:left w:val="none" w:sz="0" w:space="0" w:color="auto"/>
                                    <w:bottom w:val="none" w:sz="0" w:space="0" w:color="auto"/>
                                    <w:right w:val="none" w:sz="0" w:space="0" w:color="auto"/>
                                  </w:divBdr>
                                  <w:divsChild>
                                    <w:div w:id="1561869918">
                                      <w:marLeft w:val="0"/>
                                      <w:marRight w:val="0"/>
                                      <w:marTop w:val="0"/>
                                      <w:marBottom w:val="3000"/>
                                      <w:divBdr>
                                        <w:top w:val="single" w:sz="24" w:space="0" w:color="FFFFFF"/>
                                        <w:left w:val="none" w:sz="0" w:space="0" w:color="auto"/>
                                        <w:bottom w:val="none" w:sz="0" w:space="0" w:color="auto"/>
                                        <w:right w:val="none" w:sz="0" w:space="0" w:color="auto"/>
                                      </w:divBdr>
                                      <w:divsChild>
                                        <w:div w:id="6324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638590">
      <w:bodyDiv w:val="1"/>
      <w:marLeft w:val="0"/>
      <w:marRight w:val="0"/>
      <w:marTop w:val="0"/>
      <w:marBottom w:val="0"/>
      <w:divBdr>
        <w:top w:val="none" w:sz="0" w:space="0" w:color="auto"/>
        <w:left w:val="none" w:sz="0" w:space="0" w:color="auto"/>
        <w:bottom w:val="none" w:sz="0" w:space="0" w:color="auto"/>
        <w:right w:val="none" w:sz="0" w:space="0" w:color="auto"/>
      </w:divBdr>
      <w:divsChild>
        <w:div w:id="35086565">
          <w:marLeft w:val="274"/>
          <w:marRight w:val="0"/>
          <w:marTop w:val="0"/>
          <w:marBottom w:val="0"/>
          <w:divBdr>
            <w:top w:val="none" w:sz="0" w:space="0" w:color="auto"/>
            <w:left w:val="none" w:sz="0" w:space="0" w:color="auto"/>
            <w:bottom w:val="none" w:sz="0" w:space="0" w:color="auto"/>
            <w:right w:val="none" w:sz="0" w:space="0" w:color="auto"/>
          </w:divBdr>
        </w:div>
        <w:div w:id="135225814">
          <w:marLeft w:val="274"/>
          <w:marRight w:val="0"/>
          <w:marTop w:val="0"/>
          <w:marBottom w:val="0"/>
          <w:divBdr>
            <w:top w:val="none" w:sz="0" w:space="0" w:color="auto"/>
            <w:left w:val="none" w:sz="0" w:space="0" w:color="auto"/>
            <w:bottom w:val="none" w:sz="0" w:space="0" w:color="auto"/>
            <w:right w:val="none" w:sz="0" w:space="0" w:color="auto"/>
          </w:divBdr>
        </w:div>
        <w:div w:id="1194272624">
          <w:marLeft w:val="274"/>
          <w:marRight w:val="0"/>
          <w:marTop w:val="0"/>
          <w:marBottom w:val="0"/>
          <w:divBdr>
            <w:top w:val="none" w:sz="0" w:space="0" w:color="auto"/>
            <w:left w:val="none" w:sz="0" w:space="0" w:color="auto"/>
            <w:bottom w:val="none" w:sz="0" w:space="0" w:color="auto"/>
            <w:right w:val="none" w:sz="0" w:space="0" w:color="auto"/>
          </w:divBdr>
        </w:div>
        <w:div w:id="1548369223">
          <w:marLeft w:val="274"/>
          <w:marRight w:val="0"/>
          <w:marTop w:val="0"/>
          <w:marBottom w:val="0"/>
          <w:divBdr>
            <w:top w:val="none" w:sz="0" w:space="0" w:color="auto"/>
            <w:left w:val="none" w:sz="0" w:space="0" w:color="auto"/>
            <w:bottom w:val="none" w:sz="0" w:space="0" w:color="auto"/>
            <w:right w:val="none" w:sz="0" w:space="0" w:color="auto"/>
          </w:divBdr>
        </w:div>
        <w:div w:id="99225277">
          <w:marLeft w:val="274"/>
          <w:marRight w:val="0"/>
          <w:marTop w:val="0"/>
          <w:marBottom w:val="0"/>
          <w:divBdr>
            <w:top w:val="none" w:sz="0" w:space="0" w:color="auto"/>
            <w:left w:val="none" w:sz="0" w:space="0" w:color="auto"/>
            <w:bottom w:val="none" w:sz="0" w:space="0" w:color="auto"/>
            <w:right w:val="none" w:sz="0" w:space="0" w:color="auto"/>
          </w:divBdr>
        </w:div>
        <w:div w:id="895429622">
          <w:marLeft w:val="274"/>
          <w:marRight w:val="0"/>
          <w:marTop w:val="0"/>
          <w:marBottom w:val="0"/>
          <w:divBdr>
            <w:top w:val="none" w:sz="0" w:space="0" w:color="auto"/>
            <w:left w:val="none" w:sz="0" w:space="0" w:color="auto"/>
            <w:bottom w:val="none" w:sz="0" w:space="0" w:color="auto"/>
            <w:right w:val="none" w:sz="0" w:space="0" w:color="auto"/>
          </w:divBdr>
        </w:div>
        <w:div w:id="1573158599">
          <w:marLeft w:val="274"/>
          <w:marRight w:val="0"/>
          <w:marTop w:val="0"/>
          <w:marBottom w:val="0"/>
          <w:divBdr>
            <w:top w:val="none" w:sz="0" w:space="0" w:color="auto"/>
            <w:left w:val="none" w:sz="0" w:space="0" w:color="auto"/>
            <w:bottom w:val="none" w:sz="0" w:space="0" w:color="auto"/>
            <w:right w:val="none" w:sz="0" w:space="0" w:color="auto"/>
          </w:divBdr>
        </w:div>
        <w:div w:id="1823621501">
          <w:marLeft w:val="274"/>
          <w:marRight w:val="0"/>
          <w:marTop w:val="0"/>
          <w:marBottom w:val="0"/>
          <w:divBdr>
            <w:top w:val="none" w:sz="0" w:space="0" w:color="auto"/>
            <w:left w:val="none" w:sz="0" w:space="0" w:color="auto"/>
            <w:bottom w:val="none" w:sz="0" w:space="0" w:color="auto"/>
            <w:right w:val="none" w:sz="0" w:space="0" w:color="auto"/>
          </w:divBdr>
        </w:div>
        <w:div w:id="1415855145">
          <w:marLeft w:val="274"/>
          <w:marRight w:val="0"/>
          <w:marTop w:val="0"/>
          <w:marBottom w:val="0"/>
          <w:divBdr>
            <w:top w:val="none" w:sz="0" w:space="0" w:color="auto"/>
            <w:left w:val="none" w:sz="0" w:space="0" w:color="auto"/>
            <w:bottom w:val="none" w:sz="0" w:space="0" w:color="auto"/>
            <w:right w:val="none" w:sz="0" w:space="0" w:color="auto"/>
          </w:divBdr>
        </w:div>
        <w:div w:id="50035201">
          <w:marLeft w:val="274"/>
          <w:marRight w:val="0"/>
          <w:marTop w:val="0"/>
          <w:marBottom w:val="0"/>
          <w:divBdr>
            <w:top w:val="none" w:sz="0" w:space="0" w:color="auto"/>
            <w:left w:val="none" w:sz="0" w:space="0" w:color="auto"/>
            <w:bottom w:val="none" w:sz="0" w:space="0" w:color="auto"/>
            <w:right w:val="none" w:sz="0" w:space="0" w:color="auto"/>
          </w:divBdr>
        </w:div>
        <w:div w:id="1033262050">
          <w:marLeft w:val="274"/>
          <w:marRight w:val="0"/>
          <w:marTop w:val="0"/>
          <w:marBottom w:val="0"/>
          <w:divBdr>
            <w:top w:val="none" w:sz="0" w:space="0" w:color="auto"/>
            <w:left w:val="none" w:sz="0" w:space="0" w:color="auto"/>
            <w:bottom w:val="none" w:sz="0" w:space="0" w:color="auto"/>
            <w:right w:val="none" w:sz="0" w:space="0" w:color="auto"/>
          </w:divBdr>
        </w:div>
        <w:div w:id="521406471">
          <w:marLeft w:val="274"/>
          <w:marRight w:val="0"/>
          <w:marTop w:val="0"/>
          <w:marBottom w:val="0"/>
          <w:divBdr>
            <w:top w:val="none" w:sz="0" w:space="0" w:color="auto"/>
            <w:left w:val="none" w:sz="0" w:space="0" w:color="auto"/>
            <w:bottom w:val="none" w:sz="0" w:space="0" w:color="auto"/>
            <w:right w:val="none" w:sz="0" w:space="0" w:color="auto"/>
          </w:divBdr>
        </w:div>
        <w:div w:id="651910795">
          <w:marLeft w:val="274"/>
          <w:marRight w:val="0"/>
          <w:marTop w:val="0"/>
          <w:marBottom w:val="0"/>
          <w:divBdr>
            <w:top w:val="none" w:sz="0" w:space="0" w:color="auto"/>
            <w:left w:val="none" w:sz="0" w:space="0" w:color="auto"/>
            <w:bottom w:val="none" w:sz="0" w:space="0" w:color="auto"/>
            <w:right w:val="none" w:sz="0" w:space="0" w:color="auto"/>
          </w:divBdr>
        </w:div>
        <w:div w:id="1654018933">
          <w:marLeft w:val="274"/>
          <w:marRight w:val="0"/>
          <w:marTop w:val="0"/>
          <w:marBottom w:val="0"/>
          <w:divBdr>
            <w:top w:val="none" w:sz="0" w:space="0" w:color="auto"/>
            <w:left w:val="none" w:sz="0" w:space="0" w:color="auto"/>
            <w:bottom w:val="none" w:sz="0" w:space="0" w:color="auto"/>
            <w:right w:val="none" w:sz="0" w:space="0" w:color="auto"/>
          </w:divBdr>
        </w:div>
        <w:div w:id="1766925169">
          <w:marLeft w:val="274"/>
          <w:marRight w:val="0"/>
          <w:marTop w:val="0"/>
          <w:marBottom w:val="0"/>
          <w:divBdr>
            <w:top w:val="none" w:sz="0" w:space="0" w:color="auto"/>
            <w:left w:val="none" w:sz="0" w:space="0" w:color="auto"/>
            <w:bottom w:val="none" w:sz="0" w:space="0" w:color="auto"/>
            <w:right w:val="none" w:sz="0" w:space="0" w:color="auto"/>
          </w:divBdr>
        </w:div>
        <w:div w:id="1683389750">
          <w:marLeft w:val="274"/>
          <w:marRight w:val="0"/>
          <w:marTop w:val="0"/>
          <w:marBottom w:val="0"/>
          <w:divBdr>
            <w:top w:val="none" w:sz="0" w:space="0" w:color="auto"/>
            <w:left w:val="none" w:sz="0" w:space="0" w:color="auto"/>
            <w:bottom w:val="none" w:sz="0" w:space="0" w:color="auto"/>
            <w:right w:val="none" w:sz="0" w:space="0" w:color="auto"/>
          </w:divBdr>
        </w:div>
        <w:div w:id="679742454">
          <w:marLeft w:val="274"/>
          <w:marRight w:val="0"/>
          <w:marTop w:val="0"/>
          <w:marBottom w:val="0"/>
          <w:divBdr>
            <w:top w:val="none" w:sz="0" w:space="0" w:color="auto"/>
            <w:left w:val="none" w:sz="0" w:space="0" w:color="auto"/>
            <w:bottom w:val="none" w:sz="0" w:space="0" w:color="auto"/>
            <w:right w:val="none" w:sz="0" w:space="0" w:color="auto"/>
          </w:divBdr>
        </w:div>
        <w:div w:id="1770154929">
          <w:marLeft w:val="274"/>
          <w:marRight w:val="0"/>
          <w:marTop w:val="0"/>
          <w:marBottom w:val="0"/>
          <w:divBdr>
            <w:top w:val="none" w:sz="0" w:space="0" w:color="auto"/>
            <w:left w:val="none" w:sz="0" w:space="0" w:color="auto"/>
            <w:bottom w:val="none" w:sz="0" w:space="0" w:color="auto"/>
            <w:right w:val="none" w:sz="0" w:space="0" w:color="auto"/>
          </w:divBdr>
        </w:div>
        <w:div w:id="1176848223">
          <w:marLeft w:val="274"/>
          <w:marRight w:val="0"/>
          <w:marTop w:val="0"/>
          <w:marBottom w:val="0"/>
          <w:divBdr>
            <w:top w:val="none" w:sz="0" w:space="0" w:color="auto"/>
            <w:left w:val="none" w:sz="0" w:space="0" w:color="auto"/>
            <w:bottom w:val="none" w:sz="0" w:space="0" w:color="auto"/>
            <w:right w:val="none" w:sz="0" w:space="0" w:color="auto"/>
          </w:divBdr>
        </w:div>
        <w:div w:id="608392074">
          <w:marLeft w:val="274"/>
          <w:marRight w:val="0"/>
          <w:marTop w:val="0"/>
          <w:marBottom w:val="0"/>
          <w:divBdr>
            <w:top w:val="none" w:sz="0" w:space="0" w:color="auto"/>
            <w:left w:val="none" w:sz="0" w:space="0" w:color="auto"/>
            <w:bottom w:val="none" w:sz="0" w:space="0" w:color="auto"/>
            <w:right w:val="none" w:sz="0" w:space="0" w:color="auto"/>
          </w:divBdr>
        </w:div>
        <w:div w:id="674504605">
          <w:marLeft w:val="274"/>
          <w:marRight w:val="0"/>
          <w:marTop w:val="0"/>
          <w:marBottom w:val="0"/>
          <w:divBdr>
            <w:top w:val="none" w:sz="0" w:space="0" w:color="auto"/>
            <w:left w:val="none" w:sz="0" w:space="0" w:color="auto"/>
            <w:bottom w:val="none" w:sz="0" w:space="0" w:color="auto"/>
            <w:right w:val="none" w:sz="0" w:space="0" w:color="auto"/>
          </w:divBdr>
        </w:div>
        <w:div w:id="1207109461">
          <w:marLeft w:val="274"/>
          <w:marRight w:val="0"/>
          <w:marTop w:val="0"/>
          <w:marBottom w:val="0"/>
          <w:divBdr>
            <w:top w:val="none" w:sz="0" w:space="0" w:color="auto"/>
            <w:left w:val="none" w:sz="0" w:space="0" w:color="auto"/>
            <w:bottom w:val="none" w:sz="0" w:space="0" w:color="auto"/>
            <w:right w:val="none" w:sz="0" w:space="0" w:color="auto"/>
          </w:divBdr>
        </w:div>
        <w:div w:id="2147314178">
          <w:marLeft w:val="274"/>
          <w:marRight w:val="0"/>
          <w:marTop w:val="0"/>
          <w:marBottom w:val="0"/>
          <w:divBdr>
            <w:top w:val="none" w:sz="0" w:space="0" w:color="auto"/>
            <w:left w:val="none" w:sz="0" w:space="0" w:color="auto"/>
            <w:bottom w:val="none" w:sz="0" w:space="0" w:color="auto"/>
            <w:right w:val="none" w:sz="0" w:space="0" w:color="auto"/>
          </w:divBdr>
        </w:div>
        <w:div w:id="1032879305">
          <w:marLeft w:val="274"/>
          <w:marRight w:val="0"/>
          <w:marTop w:val="0"/>
          <w:marBottom w:val="0"/>
          <w:divBdr>
            <w:top w:val="none" w:sz="0" w:space="0" w:color="auto"/>
            <w:left w:val="none" w:sz="0" w:space="0" w:color="auto"/>
            <w:bottom w:val="none" w:sz="0" w:space="0" w:color="auto"/>
            <w:right w:val="none" w:sz="0" w:space="0" w:color="auto"/>
          </w:divBdr>
        </w:div>
        <w:div w:id="2065249239">
          <w:marLeft w:val="274"/>
          <w:marRight w:val="0"/>
          <w:marTop w:val="0"/>
          <w:marBottom w:val="0"/>
          <w:divBdr>
            <w:top w:val="none" w:sz="0" w:space="0" w:color="auto"/>
            <w:left w:val="none" w:sz="0" w:space="0" w:color="auto"/>
            <w:bottom w:val="none" w:sz="0" w:space="0" w:color="auto"/>
            <w:right w:val="none" w:sz="0" w:space="0" w:color="auto"/>
          </w:divBdr>
        </w:div>
        <w:div w:id="1417628117">
          <w:marLeft w:val="274"/>
          <w:marRight w:val="0"/>
          <w:marTop w:val="0"/>
          <w:marBottom w:val="0"/>
          <w:divBdr>
            <w:top w:val="none" w:sz="0" w:space="0" w:color="auto"/>
            <w:left w:val="none" w:sz="0" w:space="0" w:color="auto"/>
            <w:bottom w:val="none" w:sz="0" w:space="0" w:color="auto"/>
            <w:right w:val="none" w:sz="0" w:space="0" w:color="auto"/>
          </w:divBdr>
        </w:div>
        <w:div w:id="2052656315">
          <w:marLeft w:val="274"/>
          <w:marRight w:val="0"/>
          <w:marTop w:val="0"/>
          <w:marBottom w:val="0"/>
          <w:divBdr>
            <w:top w:val="none" w:sz="0" w:space="0" w:color="auto"/>
            <w:left w:val="none" w:sz="0" w:space="0" w:color="auto"/>
            <w:bottom w:val="none" w:sz="0" w:space="0" w:color="auto"/>
            <w:right w:val="none" w:sz="0" w:space="0" w:color="auto"/>
          </w:divBdr>
        </w:div>
        <w:div w:id="180241873">
          <w:marLeft w:val="274"/>
          <w:marRight w:val="0"/>
          <w:marTop w:val="0"/>
          <w:marBottom w:val="0"/>
          <w:divBdr>
            <w:top w:val="none" w:sz="0" w:space="0" w:color="auto"/>
            <w:left w:val="none" w:sz="0" w:space="0" w:color="auto"/>
            <w:bottom w:val="none" w:sz="0" w:space="0" w:color="auto"/>
            <w:right w:val="none" w:sz="0" w:space="0" w:color="auto"/>
          </w:divBdr>
        </w:div>
        <w:div w:id="1220480221">
          <w:marLeft w:val="274"/>
          <w:marRight w:val="0"/>
          <w:marTop w:val="0"/>
          <w:marBottom w:val="0"/>
          <w:divBdr>
            <w:top w:val="none" w:sz="0" w:space="0" w:color="auto"/>
            <w:left w:val="none" w:sz="0" w:space="0" w:color="auto"/>
            <w:bottom w:val="none" w:sz="0" w:space="0" w:color="auto"/>
            <w:right w:val="none" w:sz="0" w:space="0" w:color="auto"/>
          </w:divBdr>
        </w:div>
        <w:div w:id="1755325140">
          <w:marLeft w:val="274"/>
          <w:marRight w:val="0"/>
          <w:marTop w:val="0"/>
          <w:marBottom w:val="0"/>
          <w:divBdr>
            <w:top w:val="none" w:sz="0" w:space="0" w:color="auto"/>
            <w:left w:val="none" w:sz="0" w:space="0" w:color="auto"/>
            <w:bottom w:val="none" w:sz="0" w:space="0" w:color="auto"/>
            <w:right w:val="none" w:sz="0" w:space="0" w:color="auto"/>
          </w:divBdr>
        </w:div>
        <w:div w:id="1257907288">
          <w:marLeft w:val="274"/>
          <w:marRight w:val="0"/>
          <w:marTop w:val="0"/>
          <w:marBottom w:val="0"/>
          <w:divBdr>
            <w:top w:val="none" w:sz="0" w:space="0" w:color="auto"/>
            <w:left w:val="none" w:sz="0" w:space="0" w:color="auto"/>
            <w:bottom w:val="none" w:sz="0" w:space="0" w:color="auto"/>
            <w:right w:val="none" w:sz="0" w:space="0" w:color="auto"/>
          </w:divBdr>
        </w:div>
      </w:divsChild>
    </w:div>
    <w:div w:id="415126749">
      <w:bodyDiv w:val="1"/>
      <w:marLeft w:val="0"/>
      <w:marRight w:val="0"/>
      <w:marTop w:val="0"/>
      <w:marBottom w:val="0"/>
      <w:divBdr>
        <w:top w:val="none" w:sz="0" w:space="0" w:color="auto"/>
        <w:left w:val="none" w:sz="0" w:space="0" w:color="auto"/>
        <w:bottom w:val="none" w:sz="0" w:space="0" w:color="auto"/>
        <w:right w:val="none" w:sz="0" w:space="0" w:color="auto"/>
      </w:divBdr>
    </w:div>
    <w:div w:id="504251114">
      <w:bodyDiv w:val="1"/>
      <w:marLeft w:val="0"/>
      <w:marRight w:val="0"/>
      <w:marTop w:val="0"/>
      <w:marBottom w:val="0"/>
      <w:divBdr>
        <w:top w:val="none" w:sz="0" w:space="0" w:color="auto"/>
        <w:left w:val="none" w:sz="0" w:space="0" w:color="auto"/>
        <w:bottom w:val="none" w:sz="0" w:space="0" w:color="auto"/>
        <w:right w:val="none" w:sz="0" w:space="0" w:color="auto"/>
      </w:divBdr>
    </w:div>
    <w:div w:id="616521998">
      <w:bodyDiv w:val="1"/>
      <w:marLeft w:val="0"/>
      <w:marRight w:val="0"/>
      <w:marTop w:val="0"/>
      <w:marBottom w:val="0"/>
      <w:divBdr>
        <w:top w:val="none" w:sz="0" w:space="0" w:color="auto"/>
        <w:left w:val="none" w:sz="0" w:space="0" w:color="auto"/>
        <w:bottom w:val="none" w:sz="0" w:space="0" w:color="auto"/>
        <w:right w:val="none" w:sz="0" w:space="0" w:color="auto"/>
      </w:divBdr>
      <w:divsChild>
        <w:div w:id="857622662">
          <w:marLeft w:val="274"/>
          <w:marRight w:val="0"/>
          <w:marTop w:val="0"/>
          <w:marBottom w:val="0"/>
          <w:divBdr>
            <w:top w:val="none" w:sz="0" w:space="0" w:color="auto"/>
            <w:left w:val="none" w:sz="0" w:space="0" w:color="auto"/>
            <w:bottom w:val="none" w:sz="0" w:space="0" w:color="auto"/>
            <w:right w:val="none" w:sz="0" w:space="0" w:color="auto"/>
          </w:divBdr>
        </w:div>
        <w:div w:id="230432325">
          <w:marLeft w:val="274"/>
          <w:marRight w:val="0"/>
          <w:marTop w:val="0"/>
          <w:marBottom w:val="0"/>
          <w:divBdr>
            <w:top w:val="none" w:sz="0" w:space="0" w:color="auto"/>
            <w:left w:val="none" w:sz="0" w:space="0" w:color="auto"/>
            <w:bottom w:val="none" w:sz="0" w:space="0" w:color="auto"/>
            <w:right w:val="none" w:sz="0" w:space="0" w:color="auto"/>
          </w:divBdr>
        </w:div>
        <w:div w:id="592862666">
          <w:marLeft w:val="274"/>
          <w:marRight w:val="0"/>
          <w:marTop w:val="0"/>
          <w:marBottom w:val="0"/>
          <w:divBdr>
            <w:top w:val="none" w:sz="0" w:space="0" w:color="auto"/>
            <w:left w:val="none" w:sz="0" w:space="0" w:color="auto"/>
            <w:bottom w:val="none" w:sz="0" w:space="0" w:color="auto"/>
            <w:right w:val="none" w:sz="0" w:space="0" w:color="auto"/>
          </w:divBdr>
        </w:div>
        <w:div w:id="2056420371">
          <w:marLeft w:val="274"/>
          <w:marRight w:val="0"/>
          <w:marTop w:val="0"/>
          <w:marBottom w:val="0"/>
          <w:divBdr>
            <w:top w:val="none" w:sz="0" w:space="0" w:color="auto"/>
            <w:left w:val="none" w:sz="0" w:space="0" w:color="auto"/>
            <w:bottom w:val="none" w:sz="0" w:space="0" w:color="auto"/>
            <w:right w:val="none" w:sz="0" w:space="0" w:color="auto"/>
          </w:divBdr>
        </w:div>
        <w:div w:id="149293641">
          <w:marLeft w:val="274"/>
          <w:marRight w:val="0"/>
          <w:marTop w:val="0"/>
          <w:marBottom w:val="0"/>
          <w:divBdr>
            <w:top w:val="none" w:sz="0" w:space="0" w:color="auto"/>
            <w:left w:val="none" w:sz="0" w:space="0" w:color="auto"/>
            <w:bottom w:val="none" w:sz="0" w:space="0" w:color="auto"/>
            <w:right w:val="none" w:sz="0" w:space="0" w:color="auto"/>
          </w:divBdr>
        </w:div>
        <w:div w:id="1469129962">
          <w:marLeft w:val="274"/>
          <w:marRight w:val="0"/>
          <w:marTop w:val="0"/>
          <w:marBottom w:val="0"/>
          <w:divBdr>
            <w:top w:val="none" w:sz="0" w:space="0" w:color="auto"/>
            <w:left w:val="none" w:sz="0" w:space="0" w:color="auto"/>
            <w:bottom w:val="none" w:sz="0" w:space="0" w:color="auto"/>
            <w:right w:val="none" w:sz="0" w:space="0" w:color="auto"/>
          </w:divBdr>
        </w:div>
        <w:div w:id="1174883513">
          <w:marLeft w:val="274"/>
          <w:marRight w:val="0"/>
          <w:marTop w:val="0"/>
          <w:marBottom w:val="0"/>
          <w:divBdr>
            <w:top w:val="none" w:sz="0" w:space="0" w:color="auto"/>
            <w:left w:val="none" w:sz="0" w:space="0" w:color="auto"/>
            <w:bottom w:val="none" w:sz="0" w:space="0" w:color="auto"/>
            <w:right w:val="none" w:sz="0" w:space="0" w:color="auto"/>
          </w:divBdr>
        </w:div>
        <w:div w:id="657618040">
          <w:marLeft w:val="274"/>
          <w:marRight w:val="0"/>
          <w:marTop w:val="0"/>
          <w:marBottom w:val="0"/>
          <w:divBdr>
            <w:top w:val="none" w:sz="0" w:space="0" w:color="auto"/>
            <w:left w:val="none" w:sz="0" w:space="0" w:color="auto"/>
            <w:bottom w:val="none" w:sz="0" w:space="0" w:color="auto"/>
            <w:right w:val="none" w:sz="0" w:space="0" w:color="auto"/>
          </w:divBdr>
        </w:div>
        <w:div w:id="168103933">
          <w:marLeft w:val="274"/>
          <w:marRight w:val="0"/>
          <w:marTop w:val="0"/>
          <w:marBottom w:val="0"/>
          <w:divBdr>
            <w:top w:val="none" w:sz="0" w:space="0" w:color="auto"/>
            <w:left w:val="none" w:sz="0" w:space="0" w:color="auto"/>
            <w:bottom w:val="none" w:sz="0" w:space="0" w:color="auto"/>
            <w:right w:val="none" w:sz="0" w:space="0" w:color="auto"/>
          </w:divBdr>
        </w:div>
        <w:div w:id="2081706435">
          <w:marLeft w:val="274"/>
          <w:marRight w:val="0"/>
          <w:marTop w:val="0"/>
          <w:marBottom w:val="0"/>
          <w:divBdr>
            <w:top w:val="none" w:sz="0" w:space="0" w:color="auto"/>
            <w:left w:val="none" w:sz="0" w:space="0" w:color="auto"/>
            <w:bottom w:val="none" w:sz="0" w:space="0" w:color="auto"/>
            <w:right w:val="none" w:sz="0" w:space="0" w:color="auto"/>
          </w:divBdr>
        </w:div>
        <w:div w:id="398408812">
          <w:marLeft w:val="274"/>
          <w:marRight w:val="0"/>
          <w:marTop w:val="0"/>
          <w:marBottom w:val="0"/>
          <w:divBdr>
            <w:top w:val="none" w:sz="0" w:space="0" w:color="auto"/>
            <w:left w:val="none" w:sz="0" w:space="0" w:color="auto"/>
            <w:bottom w:val="none" w:sz="0" w:space="0" w:color="auto"/>
            <w:right w:val="none" w:sz="0" w:space="0" w:color="auto"/>
          </w:divBdr>
        </w:div>
      </w:divsChild>
    </w:div>
    <w:div w:id="631405033">
      <w:bodyDiv w:val="1"/>
      <w:marLeft w:val="0"/>
      <w:marRight w:val="0"/>
      <w:marTop w:val="0"/>
      <w:marBottom w:val="0"/>
      <w:divBdr>
        <w:top w:val="none" w:sz="0" w:space="0" w:color="auto"/>
        <w:left w:val="none" w:sz="0" w:space="0" w:color="auto"/>
        <w:bottom w:val="none" w:sz="0" w:space="0" w:color="auto"/>
        <w:right w:val="none" w:sz="0" w:space="0" w:color="auto"/>
      </w:divBdr>
      <w:divsChild>
        <w:div w:id="2059670177">
          <w:marLeft w:val="0"/>
          <w:marRight w:val="0"/>
          <w:marTop w:val="0"/>
          <w:marBottom w:val="0"/>
          <w:divBdr>
            <w:top w:val="none" w:sz="0" w:space="0" w:color="auto"/>
            <w:left w:val="none" w:sz="0" w:space="0" w:color="auto"/>
            <w:bottom w:val="none" w:sz="0" w:space="0" w:color="auto"/>
            <w:right w:val="none" w:sz="0" w:space="0" w:color="auto"/>
          </w:divBdr>
          <w:divsChild>
            <w:div w:id="1227187107">
              <w:marLeft w:val="0"/>
              <w:marRight w:val="0"/>
              <w:marTop w:val="0"/>
              <w:marBottom w:val="0"/>
              <w:divBdr>
                <w:top w:val="none" w:sz="0" w:space="0" w:color="auto"/>
                <w:left w:val="none" w:sz="0" w:space="0" w:color="auto"/>
                <w:bottom w:val="none" w:sz="0" w:space="0" w:color="auto"/>
                <w:right w:val="none" w:sz="0" w:space="0" w:color="auto"/>
              </w:divBdr>
              <w:divsChild>
                <w:div w:id="1628049975">
                  <w:marLeft w:val="0"/>
                  <w:marRight w:val="0"/>
                  <w:marTop w:val="0"/>
                  <w:marBottom w:val="0"/>
                  <w:divBdr>
                    <w:top w:val="none" w:sz="0" w:space="0" w:color="auto"/>
                    <w:left w:val="none" w:sz="0" w:space="0" w:color="auto"/>
                    <w:bottom w:val="none" w:sz="0" w:space="0" w:color="auto"/>
                    <w:right w:val="none" w:sz="0" w:space="0" w:color="auto"/>
                  </w:divBdr>
                  <w:divsChild>
                    <w:div w:id="1783917708">
                      <w:marLeft w:val="0"/>
                      <w:marRight w:val="0"/>
                      <w:marTop w:val="0"/>
                      <w:marBottom w:val="0"/>
                      <w:divBdr>
                        <w:top w:val="none" w:sz="0" w:space="0" w:color="auto"/>
                        <w:left w:val="none" w:sz="0" w:space="0" w:color="auto"/>
                        <w:bottom w:val="none" w:sz="0" w:space="0" w:color="auto"/>
                        <w:right w:val="none" w:sz="0" w:space="0" w:color="auto"/>
                      </w:divBdr>
                      <w:divsChild>
                        <w:div w:id="15472651">
                          <w:marLeft w:val="0"/>
                          <w:marRight w:val="0"/>
                          <w:marTop w:val="0"/>
                          <w:marBottom w:val="0"/>
                          <w:divBdr>
                            <w:top w:val="none" w:sz="0" w:space="0" w:color="auto"/>
                            <w:left w:val="none" w:sz="0" w:space="0" w:color="auto"/>
                            <w:bottom w:val="none" w:sz="0" w:space="0" w:color="auto"/>
                            <w:right w:val="none" w:sz="0" w:space="0" w:color="auto"/>
                          </w:divBdr>
                          <w:divsChild>
                            <w:div w:id="901208554">
                              <w:marLeft w:val="-225"/>
                              <w:marRight w:val="-225"/>
                              <w:marTop w:val="0"/>
                              <w:marBottom w:val="0"/>
                              <w:divBdr>
                                <w:top w:val="none" w:sz="0" w:space="0" w:color="auto"/>
                                <w:left w:val="none" w:sz="0" w:space="0" w:color="auto"/>
                                <w:bottom w:val="none" w:sz="0" w:space="0" w:color="auto"/>
                                <w:right w:val="none" w:sz="0" w:space="0" w:color="auto"/>
                              </w:divBdr>
                              <w:divsChild>
                                <w:div w:id="997417992">
                                  <w:marLeft w:val="0"/>
                                  <w:marRight w:val="0"/>
                                  <w:marTop w:val="0"/>
                                  <w:marBottom w:val="0"/>
                                  <w:divBdr>
                                    <w:top w:val="none" w:sz="0" w:space="0" w:color="auto"/>
                                    <w:left w:val="none" w:sz="0" w:space="0" w:color="auto"/>
                                    <w:bottom w:val="none" w:sz="0" w:space="0" w:color="auto"/>
                                    <w:right w:val="none" w:sz="0" w:space="0" w:color="auto"/>
                                  </w:divBdr>
                                  <w:divsChild>
                                    <w:div w:id="1360275060">
                                      <w:marLeft w:val="0"/>
                                      <w:marRight w:val="0"/>
                                      <w:marTop w:val="0"/>
                                      <w:marBottom w:val="3000"/>
                                      <w:divBdr>
                                        <w:top w:val="single" w:sz="24" w:space="0" w:color="FFFFFF"/>
                                        <w:left w:val="none" w:sz="0" w:space="0" w:color="auto"/>
                                        <w:bottom w:val="none" w:sz="0" w:space="0" w:color="auto"/>
                                        <w:right w:val="none" w:sz="0" w:space="0" w:color="auto"/>
                                      </w:divBdr>
                                      <w:divsChild>
                                        <w:div w:id="16323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953472">
      <w:bodyDiv w:val="1"/>
      <w:marLeft w:val="0"/>
      <w:marRight w:val="0"/>
      <w:marTop w:val="0"/>
      <w:marBottom w:val="0"/>
      <w:divBdr>
        <w:top w:val="none" w:sz="0" w:space="0" w:color="auto"/>
        <w:left w:val="none" w:sz="0" w:space="0" w:color="auto"/>
        <w:bottom w:val="none" w:sz="0" w:space="0" w:color="auto"/>
        <w:right w:val="none" w:sz="0" w:space="0" w:color="auto"/>
      </w:divBdr>
    </w:div>
    <w:div w:id="665860141">
      <w:bodyDiv w:val="1"/>
      <w:marLeft w:val="0"/>
      <w:marRight w:val="0"/>
      <w:marTop w:val="0"/>
      <w:marBottom w:val="0"/>
      <w:divBdr>
        <w:top w:val="none" w:sz="0" w:space="0" w:color="auto"/>
        <w:left w:val="none" w:sz="0" w:space="0" w:color="auto"/>
        <w:bottom w:val="none" w:sz="0" w:space="0" w:color="auto"/>
        <w:right w:val="none" w:sz="0" w:space="0" w:color="auto"/>
      </w:divBdr>
    </w:div>
    <w:div w:id="796333755">
      <w:bodyDiv w:val="1"/>
      <w:marLeft w:val="0"/>
      <w:marRight w:val="0"/>
      <w:marTop w:val="0"/>
      <w:marBottom w:val="0"/>
      <w:divBdr>
        <w:top w:val="none" w:sz="0" w:space="0" w:color="auto"/>
        <w:left w:val="none" w:sz="0" w:space="0" w:color="auto"/>
        <w:bottom w:val="none" w:sz="0" w:space="0" w:color="auto"/>
        <w:right w:val="none" w:sz="0" w:space="0" w:color="auto"/>
      </w:divBdr>
    </w:div>
    <w:div w:id="798109307">
      <w:bodyDiv w:val="1"/>
      <w:marLeft w:val="0"/>
      <w:marRight w:val="0"/>
      <w:marTop w:val="0"/>
      <w:marBottom w:val="0"/>
      <w:divBdr>
        <w:top w:val="none" w:sz="0" w:space="0" w:color="auto"/>
        <w:left w:val="none" w:sz="0" w:space="0" w:color="auto"/>
        <w:bottom w:val="none" w:sz="0" w:space="0" w:color="auto"/>
        <w:right w:val="none" w:sz="0" w:space="0" w:color="auto"/>
      </w:divBdr>
    </w:div>
    <w:div w:id="909778237">
      <w:bodyDiv w:val="1"/>
      <w:marLeft w:val="0"/>
      <w:marRight w:val="0"/>
      <w:marTop w:val="0"/>
      <w:marBottom w:val="0"/>
      <w:divBdr>
        <w:top w:val="none" w:sz="0" w:space="0" w:color="auto"/>
        <w:left w:val="none" w:sz="0" w:space="0" w:color="auto"/>
        <w:bottom w:val="none" w:sz="0" w:space="0" w:color="auto"/>
        <w:right w:val="none" w:sz="0" w:space="0" w:color="auto"/>
      </w:divBdr>
    </w:div>
    <w:div w:id="1025250550">
      <w:bodyDiv w:val="1"/>
      <w:marLeft w:val="0"/>
      <w:marRight w:val="0"/>
      <w:marTop w:val="0"/>
      <w:marBottom w:val="0"/>
      <w:divBdr>
        <w:top w:val="none" w:sz="0" w:space="0" w:color="auto"/>
        <w:left w:val="none" w:sz="0" w:space="0" w:color="auto"/>
        <w:bottom w:val="none" w:sz="0" w:space="0" w:color="auto"/>
        <w:right w:val="none" w:sz="0" w:space="0" w:color="auto"/>
      </w:divBdr>
    </w:div>
    <w:div w:id="1134637435">
      <w:bodyDiv w:val="1"/>
      <w:marLeft w:val="0"/>
      <w:marRight w:val="0"/>
      <w:marTop w:val="0"/>
      <w:marBottom w:val="0"/>
      <w:divBdr>
        <w:top w:val="none" w:sz="0" w:space="0" w:color="auto"/>
        <w:left w:val="none" w:sz="0" w:space="0" w:color="auto"/>
        <w:bottom w:val="none" w:sz="0" w:space="0" w:color="auto"/>
        <w:right w:val="none" w:sz="0" w:space="0" w:color="auto"/>
      </w:divBdr>
    </w:div>
    <w:div w:id="1142769883">
      <w:bodyDiv w:val="1"/>
      <w:marLeft w:val="0"/>
      <w:marRight w:val="0"/>
      <w:marTop w:val="0"/>
      <w:marBottom w:val="0"/>
      <w:divBdr>
        <w:top w:val="none" w:sz="0" w:space="0" w:color="auto"/>
        <w:left w:val="none" w:sz="0" w:space="0" w:color="auto"/>
        <w:bottom w:val="none" w:sz="0" w:space="0" w:color="auto"/>
        <w:right w:val="none" w:sz="0" w:space="0" w:color="auto"/>
      </w:divBdr>
    </w:div>
    <w:div w:id="1245259252">
      <w:bodyDiv w:val="1"/>
      <w:marLeft w:val="0"/>
      <w:marRight w:val="0"/>
      <w:marTop w:val="0"/>
      <w:marBottom w:val="0"/>
      <w:divBdr>
        <w:top w:val="none" w:sz="0" w:space="0" w:color="auto"/>
        <w:left w:val="none" w:sz="0" w:space="0" w:color="auto"/>
        <w:bottom w:val="none" w:sz="0" w:space="0" w:color="auto"/>
        <w:right w:val="none" w:sz="0" w:space="0" w:color="auto"/>
      </w:divBdr>
    </w:div>
    <w:div w:id="1278021657">
      <w:bodyDiv w:val="1"/>
      <w:marLeft w:val="0"/>
      <w:marRight w:val="0"/>
      <w:marTop w:val="0"/>
      <w:marBottom w:val="0"/>
      <w:divBdr>
        <w:top w:val="none" w:sz="0" w:space="0" w:color="auto"/>
        <w:left w:val="none" w:sz="0" w:space="0" w:color="auto"/>
        <w:bottom w:val="none" w:sz="0" w:space="0" w:color="auto"/>
        <w:right w:val="none" w:sz="0" w:space="0" w:color="auto"/>
      </w:divBdr>
    </w:div>
    <w:div w:id="1293362383">
      <w:bodyDiv w:val="1"/>
      <w:marLeft w:val="0"/>
      <w:marRight w:val="0"/>
      <w:marTop w:val="0"/>
      <w:marBottom w:val="0"/>
      <w:divBdr>
        <w:top w:val="none" w:sz="0" w:space="0" w:color="auto"/>
        <w:left w:val="none" w:sz="0" w:space="0" w:color="auto"/>
        <w:bottom w:val="none" w:sz="0" w:space="0" w:color="auto"/>
        <w:right w:val="none" w:sz="0" w:space="0" w:color="auto"/>
      </w:divBdr>
      <w:divsChild>
        <w:div w:id="1767967189">
          <w:marLeft w:val="0"/>
          <w:marRight w:val="0"/>
          <w:marTop w:val="0"/>
          <w:marBottom w:val="0"/>
          <w:divBdr>
            <w:top w:val="none" w:sz="0" w:space="0" w:color="auto"/>
            <w:left w:val="none" w:sz="0" w:space="0" w:color="auto"/>
            <w:bottom w:val="none" w:sz="0" w:space="0" w:color="auto"/>
            <w:right w:val="none" w:sz="0" w:space="0" w:color="auto"/>
          </w:divBdr>
          <w:divsChild>
            <w:div w:id="652490265">
              <w:marLeft w:val="0"/>
              <w:marRight w:val="0"/>
              <w:marTop w:val="0"/>
              <w:marBottom w:val="0"/>
              <w:divBdr>
                <w:top w:val="none" w:sz="0" w:space="0" w:color="auto"/>
                <w:left w:val="none" w:sz="0" w:space="0" w:color="auto"/>
                <w:bottom w:val="none" w:sz="0" w:space="0" w:color="auto"/>
                <w:right w:val="none" w:sz="0" w:space="0" w:color="auto"/>
              </w:divBdr>
              <w:divsChild>
                <w:div w:id="713893545">
                  <w:marLeft w:val="0"/>
                  <w:marRight w:val="0"/>
                  <w:marTop w:val="0"/>
                  <w:marBottom w:val="0"/>
                  <w:divBdr>
                    <w:top w:val="none" w:sz="0" w:space="0" w:color="auto"/>
                    <w:left w:val="none" w:sz="0" w:space="0" w:color="auto"/>
                    <w:bottom w:val="none" w:sz="0" w:space="0" w:color="auto"/>
                    <w:right w:val="none" w:sz="0" w:space="0" w:color="auto"/>
                  </w:divBdr>
                  <w:divsChild>
                    <w:div w:id="1920289078">
                      <w:marLeft w:val="0"/>
                      <w:marRight w:val="0"/>
                      <w:marTop w:val="0"/>
                      <w:marBottom w:val="0"/>
                      <w:divBdr>
                        <w:top w:val="none" w:sz="0" w:space="0" w:color="auto"/>
                        <w:left w:val="none" w:sz="0" w:space="0" w:color="auto"/>
                        <w:bottom w:val="none" w:sz="0" w:space="0" w:color="auto"/>
                        <w:right w:val="none" w:sz="0" w:space="0" w:color="auto"/>
                      </w:divBdr>
                      <w:divsChild>
                        <w:div w:id="723405242">
                          <w:marLeft w:val="0"/>
                          <w:marRight w:val="0"/>
                          <w:marTop w:val="1050"/>
                          <w:marBottom w:val="0"/>
                          <w:divBdr>
                            <w:top w:val="none" w:sz="0" w:space="0" w:color="auto"/>
                            <w:left w:val="none" w:sz="0" w:space="0" w:color="auto"/>
                            <w:bottom w:val="none" w:sz="0" w:space="0" w:color="auto"/>
                            <w:right w:val="none" w:sz="0" w:space="0" w:color="auto"/>
                          </w:divBdr>
                          <w:divsChild>
                            <w:div w:id="1059019837">
                              <w:marLeft w:val="-225"/>
                              <w:marRight w:val="-225"/>
                              <w:marTop w:val="0"/>
                              <w:marBottom w:val="0"/>
                              <w:divBdr>
                                <w:top w:val="none" w:sz="0" w:space="0" w:color="auto"/>
                                <w:left w:val="none" w:sz="0" w:space="0" w:color="auto"/>
                                <w:bottom w:val="none" w:sz="0" w:space="0" w:color="auto"/>
                                <w:right w:val="none" w:sz="0" w:space="0" w:color="auto"/>
                              </w:divBdr>
                              <w:divsChild>
                                <w:div w:id="877009610">
                                  <w:marLeft w:val="0"/>
                                  <w:marRight w:val="0"/>
                                  <w:marTop w:val="0"/>
                                  <w:marBottom w:val="0"/>
                                  <w:divBdr>
                                    <w:top w:val="none" w:sz="0" w:space="0" w:color="auto"/>
                                    <w:left w:val="none" w:sz="0" w:space="0" w:color="auto"/>
                                    <w:bottom w:val="none" w:sz="0" w:space="0" w:color="auto"/>
                                    <w:right w:val="none" w:sz="0" w:space="0" w:color="auto"/>
                                  </w:divBdr>
                                  <w:divsChild>
                                    <w:div w:id="1628316068">
                                      <w:marLeft w:val="0"/>
                                      <w:marRight w:val="0"/>
                                      <w:marTop w:val="0"/>
                                      <w:marBottom w:val="3000"/>
                                      <w:divBdr>
                                        <w:top w:val="single" w:sz="24" w:space="0" w:color="FFFFFF"/>
                                        <w:left w:val="none" w:sz="0" w:space="0" w:color="auto"/>
                                        <w:bottom w:val="none" w:sz="0" w:space="0" w:color="auto"/>
                                        <w:right w:val="none" w:sz="0" w:space="0" w:color="auto"/>
                                      </w:divBdr>
                                      <w:divsChild>
                                        <w:div w:id="10872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978241">
      <w:bodyDiv w:val="1"/>
      <w:marLeft w:val="0"/>
      <w:marRight w:val="0"/>
      <w:marTop w:val="0"/>
      <w:marBottom w:val="0"/>
      <w:divBdr>
        <w:top w:val="none" w:sz="0" w:space="0" w:color="auto"/>
        <w:left w:val="none" w:sz="0" w:space="0" w:color="auto"/>
        <w:bottom w:val="none" w:sz="0" w:space="0" w:color="auto"/>
        <w:right w:val="none" w:sz="0" w:space="0" w:color="auto"/>
      </w:divBdr>
    </w:div>
    <w:div w:id="1433893865">
      <w:bodyDiv w:val="1"/>
      <w:marLeft w:val="0"/>
      <w:marRight w:val="0"/>
      <w:marTop w:val="0"/>
      <w:marBottom w:val="0"/>
      <w:divBdr>
        <w:top w:val="none" w:sz="0" w:space="0" w:color="auto"/>
        <w:left w:val="none" w:sz="0" w:space="0" w:color="auto"/>
        <w:bottom w:val="none" w:sz="0" w:space="0" w:color="auto"/>
        <w:right w:val="none" w:sz="0" w:space="0" w:color="auto"/>
      </w:divBdr>
    </w:div>
    <w:div w:id="1441030831">
      <w:bodyDiv w:val="1"/>
      <w:marLeft w:val="0"/>
      <w:marRight w:val="0"/>
      <w:marTop w:val="0"/>
      <w:marBottom w:val="0"/>
      <w:divBdr>
        <w:top w:val="none" w:sz="0" w:space="0" w:color="auto"/>
        <w:left w:val="none" w:sz="0" w:space="0" w:color="auto"/>
        <w:bottom w:val="none" w:sz="0" w:space="0" w:color="auto"/>
        <w:right w:val="none" w:sz="0" w:space="0" w:color="auto"/>
      </w:divBdr>
    </w:div>
    <w:div w:id="1504128363">
      <w:bodyDiv w:val="1"/>
      <w:marLeft w:val="0"/>
      <w:marRight w:val="0"/>
      <w:marTop w:val="0"/>
      <w:marBottom w:val="0"/>
      <w:divBdr>
        <w:top w:val="none" w:sz="0" w:space="0" w:color="auto"/>
        <w:left w:val="none" w:sz="0" w:space="0" w:color="auto"/>
        <w:bottom w:val="none" w:sz="0" w:space="0" w:color="auto"/>
        <w:right w:val="none" w:sz="0" w:space="0" w:color="auto"/>
      </w:divBdr>
    </w:div>
    <w:div w:id="1504932517">
      <w:bodyDiv w:val="1"/>
      <w:marLeft w:val="0"/>
      <w:marRight w:val="0"/>
      <w:marTop w:val="0"/>
      <w:marBottom w:val="0"/>
      <w:divBdr>
        <w:top w:val="none" w:sz="0" w:space="0" w:color="auto"/>
        <w:left w:val="none" w:sz="0" w:space="0" w:color="auto"/>
        <w:bottom w:val="none" w:sz="0" w:space="0" w:color="auto"/>
        <w:right w:val="none" w:sz="0" w:space="0" w:color="auto"/>
      </w:divBdr>
    </w:div>
    <w:div w:id="1603805160">
      <w:bodyDiv w:val="1"/>
      <w:marLeft w:val="0"/>
      <w:marRight w:val="0"/>
      <w:marTop w:val="0"/>
      <w:marBottom w:val="0"/>
      <w:divBdr>
        <w:top w:val="none" w:sz="0" w:space="0" w:color="auto"/>
        <w:left w:val="none" w:sz="0" w:space="0" w:color="auto"/>
        <w:bottom w:val="none" w:sz="0" w:space="0" w:color="auto"/>
        <w:right w:val="none" w:sz="0" w:space="0" w:color="auto"/>
      </w:divBdr>
    </w:div>
    <w:div w:id="1633247530">
      <w:bodyDiv w:val="1"/>
      <w:marLeft w:val="0"/>
      <w:marRight w:val="0"/>
      <w:marTop w:val="0"/>
      <w:marBottom w:val="0"/>
      <w:divBdr>
        <w:top w:val="none" w:sz="0" w:space="0" w:color="auto"/>
        <w:left w:val="none" w:sz="0" w:space="0" w:color="auto"/>
        <w:bottom w:val="none" w:sz="0" w:space="0" w:color="auto"/>
        <w:right w:val="none" w:sz="0" w:space="0" w:color="auto"/>
      </w:divBdr>
    </w:div>
    <w:div w:id="1686399566">
      <w:bodyDiv w:val="1"/>
      <w:marLeft w:val="0"/>
      <w:marRight w:val="0"/>
      <w:marTop w:val="0"/>
      <w:marBottom w:val="0"/>
      <w:divBdr>
        <w:top w:val="none" w:sz="0" w:space="0" w:color="auto"/>
        <w:left w:val="none" w:sz="0" w:space="0" w:color="auto"/>
        <w:bottom w:val="none" w:sz="0" w:space="0" w:color="auto"/>
        <w:right w:val="none" w:sz="0" w:space="0" w:color="auto"/>
      </w:divBdr>
    </w:div>
    <w:div w:id="1696882144">
      <w:bodyDiv w:val="1"/>
      <w:marLeft w:val="0"/>
      <w:marRight w:val="0"/>
      <w:marTop w:val="0"/>
      <w:marBottom w:val="0"/>
      <w:divBdr>
        <w:top w:val="none" w:sz="0" w:space="0" w:color="auto"/>
        <w:left w:val="none" w:sz="0" w:space="0" w:color="auto"/>
        <w:bottom w:val="none" w:sz="0" w:space="0" w:color="auto"/>
        <w:right w:val="none" w:sz="0" w:space="0" w:color="auto"/>
      </w:divBdr>
    </w:div>
    <w:div w:id="1737387743">
      <w:bodyDiv w:val="1"/>
      <w:marLeft w:val="0"/>
      <w:marRight w:val="0"/>
      <w:marTop w:val="0"/>
      <w:marBottom w:val="0"/>
      <w:divBdr>
        <w:top w:val="none" w:sz="0" w:space="0" w:color="auto"/>
        <w:left w:val="none" w:sz="0" w:space="0" w:color="auto"/>
        <w:bottom w:val="none" w:sz="0" w:space="0" w:color="auto"/>
        <w:right w:val="none" w:sz="0" w:space="0" w:color="auto"/>
      </w:divBdr>
    </w:div>
    <w:div w:id="1740009370">
      <w:bodyDiv w:val="1"/>
      <w:marLeft w:val="0"/>
      <w:marRight w:val="0"/>
      <w:marTop w:val="0"/>
      <w:marBottom w:val="0"/>
      <w:divBdr>
        <w:top w:val="none" w:sz="0" w:space="0" w:color="auto"/>
        <w:left w:val="none" w:sz="0" w:space="0" w:color="auto"/>
        <w:bottom w:val="none" w:sz="0" w:space="0" w:color="auto"/>
        <w:right w:val="none" w:sz="0" w:space="0" w:color="auto"/>
      </w:divBdr>
    </w:div>
    <w:div w:id="1748645452">
      <w:bodyDiv w:val="1"/>
      <w:marLeft w:val="0"/>
      <w:marRight w:val="0"/>
      <w:marTop w:val="0"/>
      <w:marBottom w:val="0"/>
      <w:divBdr>
        <w:top w:val="none" w:sz="0" w:space="0" w:color="auto"/>
        <w:left w:val="none" w:sz="0" w:space="0" w:color="auto"/>
        <w:bottom w:val="none" w:sz="0" w:space="0" w:color="auto"/>
        <w:right w:val="none" w:sz="0" w:space="0" w:color="auto"/>
      </w:divBdr>
    </w:div>
    <w:div w:id="1768844777">
      <w:bodyDiv w:val="1"/>
      <w:marLeft w:val="0"/>
      <w:marRight w:val="0"/>
      <w:marTop w:val="0"/>
      <w:marBottom w:val="0"/>
      <w:divBdr>
        <w:top w:val="none" w:sz="0" w:space="0" w:color="auto"/>
        <w:left w:val="none" w:sz="0" w:space="0" w:color="auto"/>
        <w:bottom w:val="none" w:sz="0" w:space="0" w:color="auto"/>
        <w:right w:val="none" w:sz="0" w:space="0" w:color="auto"/>
      </w:divBdr>
    </w:div>
    <w:div w:id="1781222534">
      <w:bodyDiv w:val="1"/>
      <w:marLeft w:val="0"/>
      <w:marRight w:val="0"/>
      <w:marTop w:val="0"/>
      <w:marBottom w:val="0"/>
      <w:divBdr>
        <w:top w:val="none" w:sz="0" w:space="0" w:color="auto"/>
        <w:left w:val="none" w:sz="0" w:space="0" w:color="auto"/>
        <w:bottom w:val="none" w:sz="0" w:space="0" w:color="auto"/>
        <w:right w:val="none" w:sz="0" w:space="0" w:color="auto"/>
      </w:divBdr>
    </w:div>
    <w:div w:id="1823885319">
      <w:bodyDiv w:val="1"/>
      <w:marLeft w:val="0"/>
      <w:marRight w:val="0"/>
      <w:marTop w:val="0"/>
      <w:marBottom w:val="0"/>
      <w:divBdr>
        <w:top w:val="none" w:sz="0" w:space="0" w:color="auto"/>
        <w:left w:val="none" w:sz="0" w:space="0" w:color="auto"/>
        <w:bottom w:val="none" w:sz="0" w:space="0" w:color="auto"/>
        <w:right w:val="none" w:sz="0" w:space="0" w:color="auto"/>
      </w:divBdr>
    </w:div>
    <w:div w:id="1852835691">
      <w:bodyDiv w:val="1"/>
      <w:marLeft w:val="0"/>
      <w:marRight w:val="0"/>
      <w:marTop w:val="0"/>
      <w:marBottom w:val="0"/>
      <w:divBdr>
        <w:top w:val="none" w:sz="0" w:space="0" w:color="auto"/>
        <w:left w:val="none" w:sz="0" w:space="0" w:color="auto"/>
        <w:bottom w:val="none" w:sz="0" w:space="0" w:color="auto"/>
        <w:right w:val="none" w:sz="0" w:space="0" w:color="auto"/>
      </w:divBdr>
    </w:div>
    <w:div w:id="1895241440">
      <w:bodyDiv w:val="1"/>
      <w:marLeft w:val="0"/>
      <w:marRight w:val="0"/>
      <w:marTop w:val="0"/>
      <w:marBottom w:val="0"/>
      <w:divBdr>
        <w:top w:val="none" w:sz="0" w:space="0" w:color="auto"/>
        <w:left w:val="none" w:sz="0" w:space="0" w:color="auto"/>
        <w:bottom w:val="none" w:sz="0" w:space="0" w:color="auto"/>
        <w:right w:val="none" w:sz="0" w:space="0" w:color="auto"/>
      </w:divBdr>
    </w:div>
    <w:div w:id="1965232021">
      <w:bodyDiv w:val="1"/>
      <w:marLeft w:val="0"/>
      <w:marRight w:val="0"/>
      <w:marTop w:val="0"/>
      <w:marBottom w:val="0"/>
      <w:divBdr>
        <w:top w:val="none" w:sz="0" w:space="0" w:color="auto"/>
        <w:left w:val="none" w:sz="0" w:space="0" w:color="auto"/>
        <w:bottom w:val="none" w:sz="0" w:space="0" w:color="auto"/>
        <w:right w:val="none" w:sz="0" w:space="0" w:color="auto"/>
      </w:divBdr>
    </w:div>
    <w:div w:id="2047025908">
      <w:bodyDiv w:val="1"/>
      <w:marLeft w:val="0"/>
      <w:marRight w:val="0"/>
      <w:marTop w:val="0"/>
      <w:marBottom w:val="0"/>
      <w:divBdr>
        <w:top w:val="none" w:sz="0" w:space="0" w:color="auto"/>
        <w:left w:val="none" w:sz="0" w:space="0" w:color="auto"/>
        <w:bottom w:val="none" w:sz="0" w:space="0" w:color="auto"/>
        <w:right w:val="none" w:sz="0" w:space="0" w:color="auto"/>
      </w:divBdr>
    </w:div>
    <w:div w:id="2138252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2.xml"/><Relationship Id="rId9"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28</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This document sets out the Department’s vision for Victorians, its objectives and what it will do to achieve them.</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6994F-C1F2-4D2D-AC6D-E4FACFAAA1FF}"/>
</file>

<file path=customXml/itemProps2.xml><?xml version="1.0" encoding="utf-8"?>
<ds:datastoreItem xmlns:ds="http://schemas.openxmlformats.org/officeDocument/2006/customXml" ds:itemID="{42BA66E8-BEDF-4CC9-A9D0-A0D341F95659}">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966e606-8b69-4075-9ef8-a409e80aaa70"/>
    <ds:schemaRef ds:uri="http://schemas.microsoft.com/sharepoint/v3"/>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96BB1889-7BDA-4DEB-B6E4-B5B9384361C5}">
  <ds:schemaRefs>
    <ds:schemaRef ds:uri="http://schemas.microsoft.com/sharepoint/events"/>
  </ds:schemaRefs>
</ds:datastoreItem>
</file>

<file path=customXml/itemProps5.xml><?xml version="1.0" encoding="utf-8"?>
<ds:datastoreItem xmlns:ds="http://schemas.openxmlformats.org/officeDocument/2006/customXml" ds:itemID="{0AB2AA9F-2083-4FBE-97BF-BB86E201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5113</Words>
  <Characters>29150</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2019-23 Strategic Plan (accessible)</vt:lpstr>
    </vt:vector>
  </TitlesOfParts>
  <Company>DEECD</Company>
  <LinksUpToDate>false</LinksUpToDate>
  <CharactersWithSpaces>34195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2019-23 Strategic Plan (accessible)</dc:title>
  <dc:subject/>
  <dc:creator>Dori Maniatakis</dc:creator>
  <cp:keywords/>
  <dc:description/>
  <cp:lastModifiedBy>Beck, Luke L</cp:lastModifiedBy>
  <cp:revision>2</cp:revision>
  <cp:lastPrinted>2018-06-13T00:50:00Z</cp:lastPrinted>
  <dcterms:created xsi:type="dcterms:W3CDTF">2019-10-17T03:56:00Z</dcterms:created>
  <dcterms:modified xsi:type="dcterms:W3CDTF">2019-10-17T03:56:00Z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RecordPoint_WorkflowType">
    <vt:lpwstr>ActiveSubmitStub</vt:lpwstr>
  </property>
  <property fmtid="{D5CDD505-2E9C-101B-9397-08002B2CF9AE}" pid="5" name="RecordPoint_ActiveItemSiteId">
    <vt:lpwstr>{03dc8113-b288-4f44-a289-6e7ea0196235}</vt:lpwstr>
  </property>
  <property fmtid="{D5CDD505-2E9C-101B-9397-08002B2CF9AE}" pid="6" name="RecordPoint_ActiveItemListId">
    <vt:lpwstr>{bb23e7ba-6358-416b-8bee-ff08567b7a94}</vt:lpwstr>
  </property>
  <property fmtid="{D5CDD505-2E9C-101B-9397-08002B2CF9AE}" pid="7" name="RecordPoint_ActiveItemWebId">
    <vt:lpwstr>{59626f06-da55-48e8-8999-b67e6abf948b}</vt:lpwstr>
  </property>
  <property fmtid="{D5CDD505-2E9C-101B-9397-08002B2CF9AE}" pid="8" name="RecordPoint_SubmissionDate">
    <vt:lpwstr/>
  </property>
  <property fmtid="{D5CDD505-2E9C-101B-9397-08002B2CF9AE}" pid="9" name="RecordPoint_RecordFormat">
    <vt:lpwstr/>
  </property>
  <property fmtid="{D5CDD505-2E9C-101B-9397-08002B2CF9AE}" pid="10" name="RecordPoint_ActiveItemMoved">
    <vt:lpwstr/>
  </property>
  <property fmtid="{D5CDD505-2E9C-101B-9397-08002B2CF9AE}" pid="11" name="_docset_NoMedatataSyncRequired">
    <vt:lpwstr>False</vt:lpwstr>
  </property>
  <property fmtid="{D5CDD505-2E9C-101B-9397-08002B2CF9AE}" pid="12" name="DET_EDRMS_SecClassTaxHTField0">
    <vt:lpwstr/>
  </property>
  <property fmtid="{D5CDD505-2E9C-101B-9397-08002B2CF9AE}" pid="13" name="DET_EDRMS_BusUnit">
    <vt:lpwstr/>
  </property>
  <property fmtid="{D5CDD505-2E9C-101B-9397-08002B2CF9AE}" pid="14" name="DET_EDRMS_SecClass">
    <vt:lpwstr/>
  </property>
  <property fmtid="{D5CDD505-2E9C-101B-9397-08002B2CF9AE}" pid="15" name="DET_EDRMS_BusUnitTaxHTField0">
    <vt:lpwstr/>
  </property>
  <property fmtid="{D5CDD505-2E9C-101B-9397-08002B2CF9AE}" pid="16" name="RecordPoint_ActiveItemUniqueId">
    <vt:lpwstr>{6609f6a7-d87c-4ac6-8890-5f42d47f5d9e}</vt:lpwstr>
  </property>
  <property fmtid="{D5CDD505-2E9C-101B-9397-08002B2CF9AE}" pid="17" name="RecordPoint_RecordNumberSubmitted">
    <vt:lpwstr>R20190586566</vt:lpwstr>
  </property>
  <property fmtid="{D5CDD505-2E9C-101B-9397-08002B2CF9AE}" pid="18" name="RecordPoint_SubmissionCompleted">
    <vt:lpwstr>2019-10-11T14:12:37.8907450+11:00</vt:lpwstr>
  </property>
  <property fmtid="{D5CDD505-2E9C-101B-9397-08002B2CF9AE}" pid="19" name="DEECD_Author">
    <vt:lpwstr>94;#Education|5232e41c-5101-41fe-b638-7d41d1371531</vt:lpwstr>
  </property>
  <property fmtid="{D5CDD505-2E9C-101B-9397-08002B2CF9AE}" pid="20" name="DEECD_SubjectCategory">
    <vt:lpwstr/>
  </property>
  <property fmtid="{D5CDD505-2E9C-101B-9397-08002B2CF9AE}" pid="21" name="DEECD_ItemType">
    <vt:lpwstr>101;#Page|eb523acf-a821-456c-a76b-7607578309d7</vt:lpwstr>
  </property>
  <property fmtid="{D5CDD505-2E9C-101B-9397-08002B2CF9AE}" pid="22" name="DEECD_Audience">
    <vt:lpwstr/>
  </property>
</Properties>
</file>