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C50E" w14:textId="52B5E27A" w:rsidR="00494A64" w:rsidRDefault="00FD3CA7" w:rsidP="00494A64">
      <w:pPr>
        <w:pStyle w:val="Title"/>
      </w:pPr>
      <w:bookmarkStart w:id="0" w:name="_GoBack"/>
      <w:bookmarkEnd w:id="0"/>
      <w:r w:rsidRPr="00494A64">
        <w:rPr>
          <w:lang w:val="en-AU"/>
        </w:rPr>
        <w:t xml:space="preserve">Education </w:t>
      </w:r>
      <w:r w:rsidR="00494A64">
        <w:t>and Training Reform Regulations</w:t>
      </w:r>
      <w:r w:rsidR="00FF27B0">
        <w:t xml:space="preserve"> 2017</w:t>
      </w:r>
    </w:p>
    <w:p w14:paraId="13A98C3A" w14:textId="3E427598" w:rsidR="00494A64" w:rsidRPr="00494A64" w:rsidRDefault="00A31F00" w:rsidP="00494A64">
      <w:pPr>
        <w:pStyle w:val="Subtitle"/>
        <w:rPr>
          <w:b/>
          <w:bCs/>
          <w:iCs/>
          <w:color w:val="AF272F"/>
          <w:spacing w:val="5"/>
          <w:kern w:val="28"/>
          <w:sz w:val="44"/>
          <w:szCs w:val="52"/>
        </w:rPr>
      </w:pPr>
      <w:r>
        <w:t>Non-g</w:t>
      </w:r>
      <w:r w:rsidR="00494A64">
        <w:t>overnment schools fact sheet</w:t>
      </w:r>
    </w:p>
    <w:p w14:paraId="46BE879A" w14:textId="13666E6A" w:rsidR="00E35057" w:rsidRPr="007C2749" w:rsidRDefault="00494A64" w:rsidP="007316DF">
      <w:r>
        <w:br/>
      </w:r>
      <w:r w:rsidR="00FD0B55">
        <w:t>T</w:t>
      </w:r>
      <w:r w:rsidR="00E35057" w:rsidRPr="007C2749">
        <w:t xml:space="preserve">he </w:t>
      </w:r>
      <w:r w:rsidR="00E35057" w:rsidRPr="00494A64">
        <w:rPr>
          <w:i/>
        </w:rPr>
        <w:t>Education and Training Reform Regulations 2017</w:t>
      </w:r>
      <w:r w:rsidR="00E35057" w:rsidRPr="007C2749">
        <w:t xml:space="preserve"> </w:t>
      </w:r>
      <w:r w:rsidR="00BB6E8F">
        <w:t xml:space="preserve">have now </w:t>
      </w:r>
      <w:r w:rsidR="00E35057" w:rsidRPr="007C2749">
        <w:t>replace</w:t>
      </w:r>
      <w:r w:rsidR="00BB6E8F">
        <w:t>d</w:t>
      </w:r>
      <w:r w:rsidR="00E35057" w:rsidRPr="007C2749">
        <w:t xml:space="preserve"> the </w:t>
      </w:r>
      <w:r w:rsidR="00E35057" w:rsidRPr="00494A64">
        <w:rPr>
          <w:i/>
        </w:rPr>
        <w:t>Education and Training Reform Regulations 2007</w:t>
      </w:r>
      <w:r w:rsidR="00E35057" w:rsidRPr="007C2749">
        <w:t>.</w:t>
      </w:r>
      <w:r w:rsidR="009F45DA" w:rsidRPr="007C2749">
        <w:t xml:space="preserve"> </w:t>
      </w:r>
      <w:r w:rsidR="007316DF">
        <w:t xml:space="preserve">The new regulations came into effect on </w:t>
      </w:r>
      <w:r w:rsidR="007316DF" w:rsidRPr="00971857">
        <w:rPr>
          <w:b/>
        </w:rPr>
        <w:t>25 June 2017</w:t>
      </w:r>
      <w:r w:rsidR="007316DF">
        <w:t>.</w:t>
      </w:r>
    </w:p>
    <w:p w14:paraId="1664F950" w14:textId="6647E1C2" w:rsidR="00E35057" w:rsidRPr="00494A64" w:rsidRDefault="00E35057" w:rsidP="00494A64">
      <w:r w:rsidRPr="00494A64">
        <w:t xml:space="preserve">This fact sheet provides an overview of the changes that affect </w:t>
      </w:r>
      <w:r w:rsidR="00A31F00">
        <w:t>non-g</w:t>
      </w:r>
      <w:r w:rsidRPr="00494A64">
        <w:t xml:space="preserve">overnment schools.  </w:t>
      </w:r>
      <w:r w:rsidR="00494A64">
        <w:br/>
      </w:r>
    </w:p>
    <w:p w14:paraId="3ABD27C9" w14:textId="77777777" w:rsidR="00E35057" w:rsidRPr="007C2749" w:rsidRDefault="00E35057" w:rsidP="00E35057">
      <w:pPr>
        <w:pStyle w:val="Heading1"/>
        <w:spacing w:after="120" w:line="240" w:lineRule="auto"/>
        <w:rPr>
          <w:sz w:val="23"/>
          <w:szCs w:val="23"/>
        </w:rPr>
      </w:pPr>
      <w:r w:rsidRPr="007C2749">
        <w:rPr>
          <w:sz w:val="23"/>
          <w:szCs w:val="23"/>
        </w:rPr>
        <w:t>Changes to the Regulations</w:t>
      </w:r>
    </w:p>
    <w:p w14:paraId="2A569BDE" w14:textId="081F250C" w:rsidR="009F45DA" w:rsidRDefault="009F45DA" w:rsidP="00494A64">
      <w:r w:rsidRPr="007C2749">
        <w:t xml:space="preserve">All changes </w:t>
      </w:r>
      <w:r w:rsidR="00FD0B55">
        <w:t>outlined in this fact sheet</w:t>
      </w:r>
      <w:r w:rsidR="007316DF">
        <w:t xml:space="preserve"> </w:t>
      </w:r>
      <w:r w:rsidR="00A379C3">
        <w:t>apply</w:t>
      </w:r>
      <w:r w:rsidRPr="007C2749">
        <w:t xml:space="preserve"> from 25 June 2017 unless otherwise stated.</w:t>
      </w:r>
    </w:p>
    <w:p w14:paraId="2FDB5302" w14:textId="77777777" w:rsidR="00E46F01" w:rsidRPr="007C2749" w:rsidRDefault="00E46F01" w:rsidP="00494A64">
      <w:pPr>
        <w:rPr>
          <w:b/>
          <w:bCs/>
          <w:caps/>
        </w:rPr>
      </w:pPr>
    </w:p>
    <w:p w14:paraId="530286E7" w14:textId="6785994A" w:rsidR="005C481B" w:rsidRPr="007C2749" w:rsidRDefault="008804F1" w:rsidP="005C481B">
      <w:pPr>
        <w:pStyle w:val="Heading2"/>
        <w:spacing w:before="0"/>
      </w:pPr>
      <w:r>
        <w:t>definition of a</w:t>
      </w:r>
      <w:r w:rsidR="00970305">
        <w:t xml:space="preserve"> ‘not-for-profit school’</w:t>
      </w:r>
    </w:p>
    <w:p w14:paraId="6A58D12A" w14:textId="73C36192" w:rsidR="008B3A9C" w:rsidRDefault="00970305" w:rsidP="00970305">
      <w:r w:rsidRPr="00970305">
        <w:t xml:space="preserve">The </w:t>
      </w:r>
      <w:r w:rsidR="00953C7F">
        <w:t>new r</w:t>
      </w:r>
      <w:r w:rsidRPr="00970305">
        <w:t xml:space="preserve">egulations strengthen the definition of a ‘not-for-profit school’ to ensure that money raised by a school is directed solely towards its educational purpose. This is important to safeguard and maximise the benefit of public and parental investment (for example, through fees) in the education of Victorian children. </w:t>
      </w:r>
    </w:p>
    <w:p w14:paraId="361B18D3" w14:textId="13482818" w:rsidR="00DF5527" w:rsidRPr="00DF5527" w:rsidRDefault="00970305" w:rsidP="00970305">
      <w:pPr>
        <w:rPr>
          <w:i/>
        </w:rPr>
      </w:pPr>
      <w:r w:rsidRPr="00970305">
        <w:t>The cha</w:t>
      </w:r>
      <w:r w:rsidR="00DF5527">
        <w:t>nges broaden the definition of</w:t>
      </w:r>
      <w:r w:rsidRPr="00970305">
        <w:t xml:space="preserve"> </w:t>
      </w:r>
      <w:r w:rsidR="00DF5527">
        <w:t xml:space="preserve">a </w:t>
      </w:r>
      <w:r w:rsidR="003201C7">
        <w:t>‘</w:t>
      </w:r>
      <w:r w:rsidR="001C4E9F">
        <w:t>not-for-</w:t>
      </w:r>
      <w:r w:rsidR="00DF5527">
        <w:t>profit school’ to require the school</w:t>
      </w:r>
      <w:r w:rsidR="00953C7F">
        <w:t>,</w:t>
      </w:r>
      <w:r w:rsidR="00DF5527">
        <w:t xml:space="preserve"> as well as the proprietor</w:t>
      </w:r>
      <w:r w:rsidR="00953C7F">
        <w:t>,</w:t>
      </w:r>
      <w:r w:rsidR="00DF5527">
        <w:t xml:space="preserve"> not to engage in a prohib</w:t>
      </w:r>
      <w:r w:rsidR="00A82E09">
        <w:t xml:space="preserve">ited agreement or arrangement. </w:t>
      </w:r>
      <w:r w:rsidR="00A82E09">
        <w:rPr>
          <w:i/>
        </w:rPr>
        <w:t>Regulation 7</w:t>
      </w:r>
    </w:p>
    <w:p w14:paraId="2E396C6E" w14:textId="544853E8" w:rsidR="008B3A9C" w:rsidRPr="00DF5527" w:rsidRDefault="00DF5527" w:rsidP="00970305">
      <w:r>
        <w:t xml:space="preserve">The definition of a </w:t>
      </w:r>
      <w:r w:rsidR="00970305" w:rsidRPr="00970305">
        <w:t xml:space="preserve">‘prohibited agreement and arrangement’ </w:t>
      </w:r>
      <w:r w:rsidR="00321D6F">
        <w:t>has been broadened to</w:t>
      </w:r>
      <w:r w:rsidR="00970305" w:rsidRPr="00970305">
        <w:t xml:space="preserve"> prohibit the transfer of school funds</w:t>
      </w:r>
      <w:r w:rsidR="001C4E9F">
        <w:t xml:space="preserve"> (‘profit or gain’)</w:t>
      </w:r>
      <w:r w:rsidR="00970305" w:rsidRPr="00970305">
        <w:t xml:space="preserve"> to organisations or individuals </w:t>
      </w:r>
      <w:r w:rsidR="00321D6F">
        <w:t>(including between the school and the proprietor)</w:t>
      </w:r>
      <w:r w:rsidR="00321D6F" w:rsidRPr="00970305">
        <w:t xml:space="preserve"> </w:t>
      </w:r>
      <w:r w:rsidR="00970305" w:rsidRPr="00970305">
        <w:t>that operate on a not-for-profit basis as well</w:t>
      </w:r>
      <w:r>
        <w:t xml:space="preserve"> as those operating for profit</w:t>
      </w:r>
      <w:r w:rsidRPr="00DF5527">
        <w:t xml:space="preserve"> </w:t>
      </w:r>
      <w:r>
        <w:t xml:space="preserve">(see </w:t>
      </w:r>
      <w:r>
        <w:rPr>
          <w:i/>
        </w:rPr>
        <w:t>Definitions</w:t>
      </w:r>
      <w:r>
        <w:t xml:space="preserve"> section of the Regulations)</w:t>
      </w:r>
      <w:r w:rsidR="00321D6F">
        <w:t>.</w:t>
      </w:r>
    </w:p>
    <w:p w14:paraId="680F3DF8" w14:textId="5F788480" w:rsidR="00970305" w:rsidRDefault="00970305" w:rsidP="00970305">
      <w:r w:rsidRPr="00970305">
        <w:t xml:space="preserve">This intent will be supported by the change to </w:t>
      </w:r>
      <w:r w:rsidR="00DF5527">
        <w:t>minimum standard 17</w:t>
      </w:r>
      <w:r w:rsidRPr="00970305">
        <w:t xml:space="preserve"> requiring schools to have ‘sufficient controls’ in place to ensure that such</w:t>
      </w:r>
      <w:r w:rsidR="00DF5527">
        <w:t xml:space="preserve"> a transfer does not take place.</w:t>
      </w:r>
    </w:p>
    <w:p w14:paraId="18034D23" w14:textId="2F006085" w:rsidR="00321D6F" w:rsidRDefault="00A82E09" w:rsidP="00321D6F">
      <w:pPr>
        <w:pStyle w:val="Heading2"/>
        <w:spacing w:before="0"/>
      </w:pPr>
      <w:r>
        <w:br w:type="column"/>
      </w:r>
      <w:r w:rsidR="00FA15D6">
        <w:t>definition</w:t>
      </w:r>
      <w:r w:rsidR="008804F1">
        <w:t>s</w:t>
      </w:r>
      <w:r w:rsidR="00FA15D6">
        <w:t xml:space="preserve"> of </w:t>
      </w:r>
      <w:r w:rsidR="008804F1">
        <w:t>‘</w:t>
      </w:r>
      <w:r w:rsidR="00FA15D6">
        <w:t>proprietor</w:t>
      </w:r>
      <w:r w:rsidR="008804F1">
        <w:t>’ and ‘responsible person’</w:t>
      </w:r>
    </w:p>
    <w:p w14:paraId="7F05FB6C" w14:textId="6F91AA42" w:rsidR="008804F1" w:rsidRDefault="004023D3" w:rsidP="0049394D">
      <w:r>
        <w:t>The</w:t>
      </w:r>
      <w:r w:rsidR="00953C7F">
        <w:t xml:space="preserve"> new</w:t>
      </w:r>
      <w:r>
        <w:t xml:space="preserve"> </w:t>
      </w:r>
      <w:r w:rsidR="00953C7F">
        <w:t>r</w:t>
      </w:r>
      <w:r>
        <w:t xml:space="preserve">egulations </w:t>
      </w:r>
      <w:r w:rsidR="0049394D">
        <w:t xml:space="preserve">introduce a broader definition of ‘proprietor’ which is intended to capture all relevant individuals and bodies </w:t>
      </w:r>
      <w:r w:rsidR="008650DC">
        <w:t>who own or control a school</w:t>
      </w:r>
      <w:r w:rsidR="008804F1">
        <w:t>.</w:t>
      </w:r>
      <w:r w:rsidR="008650DC">
        <w:t xml:space="preserve"> This may extend to a person who is not</w:t>
      </w:r>
      <w:r w:rsidR="008804F1">
        <w:t xml:space="preserve"> listed on the registration as the proprietor</w:t>
      </w:r>
      <w:r w:rsidR="008650DC">
        <w:t>. T</w:t>
      </w:r>
      <w:r w:rsidR="008804F1">
        <w:t>he definition includes a person, body or institution who owns or controls one or more registered schools</w:t>
      </w:r>
      <w:r w:rsidR="00953C7F">
        <w:t xml:space="preserve"> (see </w:t>
      </w:r>
      <w:r w:rsidR="00953C7F">
        <w:rPr>
          <w:i/>
        </w:rPr>
        <w:t>Definitions</w:t>
      </w:r>
      <w:r w:rsidR="00953C7F">
        <w:t xml:space="preserve"> section of the Regulations).</w:t>
      </w:r>
    </w:p>
    <w:p w14:paraId="3A9224BE" w14:textId="423DA73A" w:rsidR="00EA0BB3" w:rsidRDefault="008804F1" w:rsidP="0049394D">
      <w:r>
        <w:t xml:space="preserve">The </w:t>
      </w:r>
      <w:r w:rsidR="00953C7F">
        <w:t>new r</w:t>
      </w:r>
      <w:r>
        <w:t xml:space="preserve">egulations also introduce the concept of </w:t>
      </w:r>
      <w:r w:rsidR="0049394D">
        <w:t>a ‘responsible person’</w:t>
      </w:r>
      <w:r w:rsidR="003201C7">
        <w:t xml:space="preserve"> for school governance</w:t>
      </w:r>
      <w:r w:rsidR="0049394D">
        <w:t xml:space="preserve">, which is intended to assist the </w:t>
      </w:r>
      <w:r w:rsidR="001C4E9F">
        <w:t>Victorian Registration and Qualifications Authority (VRQA)</w:t>
      </w:r>
      <w:r w:rsidR="0049394D">
        <w:t xml:space="preserve"> to identify the people who (collectively or individually) significant</w:t>
      </w:r>
      <w:r w:rsidR="003201C7">
        <w:t>ly</w:t>
      </w:r>
      <w:r w:rsidR="0049394D">
        <w:t xml:space="preserve"> influence the school’s operations, even where those persons do not have an official office or title</w:t>
      </w:r>
      <w:r w:rsidR="00953C7F">
        <w:t xml:space="preserve"> (see </w:t>
      </w:r>
      <w:r w:rsidR="00953C7F">
        <w:rPr>
          <w:i/>
        </w:rPr>
        <w:t>Definitions</w:t>
      </w:r>
      <w:r w:rsidR="00953C7F">
        <w:t xml:space="preserve"> section of the Regulations).</w:t>
      </w:r>
    </w:p>
    <w:p w14:paraId="59E4B138" w14:textId="77777777" w:rsidR="00A82E09" w:rsidRDefault="00A82E09" w:rsidP="0049394D"/>
    <w:p w14:paraId="06641471" w14:textId="5469B5F9" w:rsidR="00970305" w:rsidRPr="007C2749" w:rsidRDefault="00970305" w:rsidP="00970305">
      <w:pPr>
        <w:pStyle w:val="Heading2"/>
        <w:spacing w:before="0"/>
      </w:pPr>
      <w:r w:rsidRPr="007C2749">
        <w:t>Registration of schools</w:t>
      </w:r>
      <w:r w:rsidR="007316DF">
        <w:t xml:space="preserve"> </w:t>
      </w:r>
    </w:p>
    <w:p w14:paraId="60888FDA" w14:textId="142779C8" w:rsidR="008804F1" w:rsidRDefault="007316DF" w:rsidP="008804F1">
      <w:pPr>
        <w:rPr>
          <w:rFonts w:eastAsiaTheme="majorEastAsia" w:cstheme="majorBidi"/>
        </w:rPr>
      </w:pPr>
      <w:r>
        <w:rPr>
          <w:rFonts w:eastAsiaTheme="majorEastAsia" w:cstheme="majorBidi"/>
        </w:rPr>
        <w:t>Previously, the date for amending a school</w:t>
      </w:r>
      <w:r w:rsidR="00FA0FF3">
        <w:rPr>
          <w:rFonts w:eastAsiaTheme="majorEastAsia" w:cstheme="majorBidi"/>
        </w:rPr>
        <w:t>’</w:t>
      </w:r>
      <w:r>
        <w:rPr>
          <w:rFonts w:eastAsiaTheme="majorEastAsia" w:cstheme="majorBidi"/>
        </w:rPr>
        <w:t>s registration was either 31 March or any other date gazetted by the VRQA. Under the new regulations, a</w:t>
      </w:r>
      <w:r w:rsidR="008804F1">
        <w:rPr>
          <w:rFonts w:eastAsiaTheme="majorEastAsia" w:cstheme="majorBidi"/>
        </w:rPr>
        <w:t xml:space="preserve">pplications to register a school or to amend a school’s registration are required by the VRQA by </w:t>
      </w:r>
      <w:r w:rsidR="008804F1" w:rsidRPr="00FA0FF3">
        <w:rPr>
          <w:rFonts w:eastAsiaTheme="majorEastAsia" w:cstheme="majorBidi"/>
          <w:b/>
        </w:rPr>
        <w:t>30 June</w:t>
      </w:r>
      <w:r w:rsidR="008804F1">
        <w:rPr>
          <w:rFonts w:eastAsiaTheme="majorEastAsia" w:cstheme="majorBidi"/>
        </w:rPr>
        <w:t xml:space="preserve"> in the year before the registration or amendment is intended to take effect in the school. </w:t>
      </w:r>
      <w:r w:rsidR="008804F1" w:rsidRPr="008804F1">
        <w:rPr>
          <w:rFonts w:eastAsiaTheme="majorEastAsia" w:cstheme="majorBidi"/>
          <w:i/>
        </w:rPr>
        <w:t>Regulations 64(1)</w:t>
      </w:r>
      <w:r w:rsidR="008804F1">
        <w:rPr>
          <w:rFonts w:eastAsiaTheme="majorEastAsia" w:cstheme="majorBidi"/>
        </w:rPr>
        <w:t xml:space="preserve"> and </w:t>
      </w:r>
      <w:r w:rsidR="008804F1" w:rsidRPr="008804F1">
        <w:rPr>
          <w:rFonts w:eastAsiaTheme="majorEastAsia" w:cstheme="majorBidi"/>
          <w:i/>
        </w:rPr>
        <w:t>68(1)</w:t>
      </w:r>
    </w:p>
    <w:p w14:paraId="29B338FB" w14:textId="68AA2315" w:rsidR="008804F1" w:rsidRDefault="008804F1" w:rsidP="00970305">
      <w:pPr>
        <w:rPr>
          <w:rFonts w:eastAsiaTheme="majorEastAsia" w:cstheme="majorBidi"/>
        </w:rPr>
      </w:pPr>
      <w:r>
        <w:rPr>
          <w:rFonts w:eastAsiaTheme="majorEastAsia" w:cstheme="majorBidi"/>
        </w:rPr>
        <w:t>Applicants are required to notify the VRQA of an</w:t>
      </w:r>
      <w:r w:rsidR="00B77D1A">
        <w:rPr>
          <w:rFonts w:eastAsiaTheme="majorEastAsia" w:cstheme="majorBidi"/>
        </w:rPr>
        <w:t xml:space="preserve">y changes to any particulars provided in relation to the application for registration. </w:t>
      </w:r>
      <w:r w:rsidR="00EF0944">
        <w:rPr>
          <w:rFonts w:eastAsiaTheme="majorEastAsia" w:cstheme="majorBidi"/>
          <w:i/>
        </w:rPr>
        <w:t>Regulation 66 (</w:t>
      </w:r>
      <w:r w:rsidR="00EA0841">
        <w:rPr>
          <w:rFonts w:eastAsiaTheme="majorEastAsia" w:cstheme="majorBidi"/>
          <w:i/>
        </w:rPr>
        <w:t>NB: for schools</w:t>
      </w:r>
      <w:r w:rsidR="001060F0">
        <w:rPr>
          <w:rFonts w:eastAsiaTheme="majorEastAsia" w:cstheme="majorBidi"/>
          <w:i/>
        </w:rPr>
        <w:t xml:space="preserve"> registered on or before 25 June 2017</w:t>
      </w:r>
      <w:r w:rsidR="00EA0841">
        <w:rPr>
          <w:rFonts w:eastAsiaTheme="majorEastAsia" w:cstheme="majorBidi"/>
          <w:i/>
        </w:rPr>
        <w:t xml:space="preserve"> this regulation </w:t>
      </w:r>
      <w:r w:rsidR="001060F0">
        <w:rPr>
          <w:rFonts w:eastAsiaTheme="majorEastAsia" w:cstheme="majorBidi"/>
          <w:i/>
        </w:rPr>
        <w:t>applies from</w:t>
      </w:r>
      <w:r w:rsidR="00EA0841">
        <w:rPr>
          <w:rFonts w:eastAsiaTheme="majorEastAsia" w:cstheme="majorBidi"/>
          <w:i/>
        </w:rPr>
        <w:t xml:space="preserve"> 1 July 2018)</w:t>
      </w:r>
      <w:r w:rsidR="00EA0841">
        <w:rPr>
          <w:rFonts w:eastAsiaTheme="majorEastAsia" w:cstheme="majorBidi"/>
        </w:rPr>
        <w:t>.</w:t>
      </w:r>
    </w:p>
    <w:p w14:paraId="711B536A" w14:textId="77777777" w:rsidR="00A82E09" w:rsidRPr="00EA0841" w:rsidRDefault="00A82E09" w:rsidP="00970305">
      <w:pPr>
        <w:rPr>
          <w:rFonts w:eastAsiaTheme="majorEastAsia" w:cstheme="majorBidi"/>
        </w:rPr>
      </w:pPr>
    </w:p>
    <w:p w14:paraId="16931026" w14:textId="069543AA" w:rsidR="003A445B" w:rsidRDefault="00F5557C" w:rsidP="003A445B">
      <w:pPr>
        <w:pStyle w:val="Heading2"/>
        <w:spacing w:before="0"/>
      </w:pPr>
      <w:r>
        <w:t xml:space="preserve">OPERATION OF NEW OR AMENDED </w:t>
      </w:r>
      <w:r w:rsidR="003A445B">
        <w:t xml:space="preserve">prescribed Minimum Standards </w:t>
      </w:r>
    </w:p>
    <w:p w14:paraId="39EEF48B" w14:textId="6210C11B" w:rsidR="003A445B" w:rsidRDefault="003A445B" w:rsidP="003A445B">
      <w:r>
        <w:t>The prescribed minimum standards (Schedule 4) will apply:</w:t>
      </w:r>
    </w:p>
    <w:p w14:paraId="1F283B09" w14:textId="77777777" w:rsidR="003A445B" w:rsidRDefault="003A445B" w:rsidP="003A445B">
      <w:pPr>
        <w:pStyle w:val="ListParagraph"/>
        <w:numPr>
          <w:ilvl w:val="0"/>
          <w:numId w:val="21"/>
        </w:numPr>
      </w:pPr>
      <w:r>
        <w:t>for existing schools, from 1 July 2018</w:t>
      </w:r>
    </w:p>
    <w:p w14:paraId="656D8722" w14:textId="30C34134" w:rsidR="003A445B" w:rsidRDefault="003A445B" w:rsidP="003A445B">
      <w:pPr>
        <w:pStyle w:val="ListParagraph"/>
        <w:numPr>
          <w:ilvl w:val="0"/>
          <w:numId w:val="21"/>
        </w:numPr>
      </w:pPr>
      <w:r>
        <w:t>for new schools, the new regulations apply from the time of registration</w:t>
      </w:r>
      <w:r w:rsidR="006E6638">
        <w:t>.</w:t>
      </w:r>
    </w:p>
    <w:p w14:paraId="2489CBA1" w14:textId="2A4654BA" w:rsidR="003A445B" w:rsidRDefault="00A82E09" w:rsidP="003A445B">
      <w:pPr>
        <w:pStyle w:val="Heading2"/>
        <w:spacing w:before="0"/>
      </w:pPr>
      <w:r>
        <w:br w:type="column"/>
      </w:r>
      <w:r w:rsidR="003A445B">
        <w:lastRenderedPageBreak/>
        <w:t>governance for non-government schools</w:t>
      </w:r>
      <w:r w:rsidR="0021704E">
        <w:t xml:space="preserve"> – minimum standard 15</w:t>
      </w:r>
    </w:p>
    <w:p w14:paraId="035A9776" w14:textId="461AA755" w:rsidR="00EA0841" w:rsidRDefault="003A445B" w:rsidP="00EA0841">
      <w:pPr>
        <w:spacing w:after="160" w:line="259" w:lineRule="auto"/>
      </w:pPr>
      <w:r>
        <w:t xml:space="preserve">The </w:t>
      </w:r>
      <w:r w:rsidR="00953C7F">
        <w:t>new r</w:t>
      </w:r>
      <w:r>
        <w:t xml:space="preserve">egulations </w:t>
      </w:r>
      <w:r w:rsidRPr="00A6229E">
        <w:t xml:space="preserve">replace the ‘good character’ test with a ‘fit and proper person’ test to strengthen the requirements for </w:t>
      </w:r>
      <w:r w:rsidR="001060F0">
        <w:t xml:space="preserve">every </w:t>
      </w:r>
      <w:r w:rsidR="00971857">
        <w:t>‘</w:t>
      </w:r>
      <w:r w:rsidR="001060F0">
        <w:t>responsible person</w:t>
      </w:r>
      <w:r w:rsidR="00971857">
        <w:t>’</w:t>
      </w:r>
      <w:r w:rsidR="001060F0">
        <w:t xml:space="preserve"> involved in</w:t>
      </w:r>
      <w:r w:rsidR="00F14D6F">
        <w:t xml:space="preserve"> </w:t>
      </w:r>
      <w:r w:rsidRPr="00A6229E">
        <w:t>governing and managing a non</w:t>
      </w:r>
      <w:r w:rsidRPr="00A6229E">
        <w:noBreakHyphen/>
      </w:r>
      <w:r w:rsidR="00953C7F">
        <w:t>g</w:t>
      </w:r>
      <w:r w:rsidRPr="00A6229E">
        <w:t>overnment school</w:t>
      </w:r>
      <w:r>
        <w:t xml:space="preserve">. </w:t>
      </w:r>
      <w:r w:rsidR="00EA0841">
        <w:t>I</w:t>
      </w:r>
      <w:r w:rsidR="0021704E">
        <w:t xml:space="preserve">ndividuals or bodies meeting the definition of </w:t>
      </w:r>
      <w:r w:rsidR="00953C7F">
        <w:t>‘</w:t>
      </w:r>
      <w:r w:rsidR="0021704E">
        <w:t>responsible person</w:t>
      </w:r>
      <w:r w:rsidR="00953C7F">
        <w:t>’</w:t>
      </w:r>
      <w:r w:rsidR="00EA0841">
        <w:t xml:space="preserve"> (including proprietors) must be a </w:t>
      </w:r>
      <w:r w:rsidR="00953C7F">
        <w:t>‘</w:t>
      </w:r>
      <w:r w:rsidR="00EA0841">
        <w:t>fit and proper person</w:t>
      </w:r>
      <w:r w:rsidR="00953C7F">
        <w:t>’</w:t>
      </w:r>
      <w:r w:rsidR="0021704E">
        <w:t xml:space="preserve">. </w:t>
      </w:r>
    </w:p>
    <w:p w14:paraId="21C187DF" w14:textId="0792373B" w:rsidR="00EA0841" w:rsidRDefault="003A445B" w:rsidP="00EA0841">
      <w:pPr>
        <w:spacing w:after="160" w:line="259" w:lineRule="auto"/>
      </w:pPr>
      <w:r>
        <w:t>These changes are proportionate to the relatively broad scope for decision-making and the correspondin</w:t>
      </w:r>
      <w:r w:rsidR="00EA0841">
        <w:t>g higher governance and financial risk</w:t>
      </w:r>
      <w:r>
        <w:t>s in non-</w:t>
      </w:r>
      <w:r w:rsidR="00953C7F">
        <w:t>g</w:t>
      </w:r>
      <w:r>
        <w:t xml:space="preserve">overnment schools. </w:t>
      </w:r>
    </w:p>
    <w:p w14:paraId="74D04ADB" w14:textId="1E0689F1" w:rsidR="00EA0841" w:rsidRDefault="00D0376E" w:rsidP="00EA0841">
      <w:pPr>
        <w:spacing w:after="160" w:line="259" w:lineRule="auto"/>
      </w:pPr>
      <w:r>
        <w:t>The</w:t>
      </w:r>
      <w:r w:rsidR="003A445B">
        <w:t xml:space="preserve"> ‘fit a</w:t>
      </w:r>
      <w:r>
        <w:t xml:space="preserve">nd proper person’ requirements for non-government </w:t>
      </w:r>
      <w:r w:rsidR="003201C7">
        <w:t>schools has been expanded to include</w:t>
      </w:r>
      <w:r>
        <w:t xml:space="preserve"> </w:t>
      </w:r>
      <w:r w:rsidR="003A445B">
        <w:t>a requir</w:t>
      </w:r>
      <w:r w:rsidR="003201C7">
        <w:t>ement</w:t>
      </w:r>
      <w:r w:rsidR="003A445B">
        <w:t xml:space="preserve"> </w:t>
      </w:r>
      <w:r w:rsidR="00EA0841">
        <w:t xml:space="preserve">that a responsible person </w:t>
      </w:r>
      <w:r w:rsidR="003201C7">
        <w:t xml:space="preserve">is </w:t>
      </w:r>
      <w:r w:rsidR="00EA0841">
        <w:t>not the subject of</w:t>
      </w:r>
      <w:r w:rsidR="003201C7">
        <w:t>,</w:t>
      </w:r>
      <w:r w:rsidR="00EA0841">
        <w:t xml:space="preserve"> or associated with</w:t>
      </w:r>
      <w:r w:rsidR="003201C7">
        <w:t>,</w:t>
      </w:r>
      <w:r w:rsidR="00EA0841">
        <w:t xml:space="preserve"> </w:t>
      </w:r>
      <w:r w:rsidR="003201C7">
        <w:t>specific kinds of</w:t>
      </w:r>
      <w:r w:rsidR="00EA0841">
        <w:t xml:space="preserve"> adverse finding</w:t>
      </w:r>
      <w:r w:rsidR="003201C7">
        <w:t>s</w:t>
      </w:r>
      <w:r w:rsidR="00EA0841">
        <w:t xml:space="preserve"> or </w:t>
      </w:r>
      <w:r w:rsidR="003201C7">
        <w:t xml:space="preserve"> other </w:t>
      </w:r>
      <w:r w:rsidR="00EA0841">
        <w:t>action</w:t>
      </w:r>
      <w:r w:rsidR="003201C7">
        <w:t>s</w:t>
      </w:r>
      <w:r w:rsidR="00EA0841">
        <w:t xml:space="preserve"> taken by a court, tribunal, commission of inquiry, professional discipline body or regulatory authority (in Victoria or elsewhere)</w:t>
      </w:r>
      <w:r w:rsidR="00F14D6F">
        <w:t>. The</w:t>
      </w:r>
      <w:r w:rsidR="00EA0841">
        <w:t xml:space="preserve"> adverse finding</w:t>
      </w:r>
      <w:r w:rsidR="003201C7">
        <w:t>s</w:t>
      </w:r>
      <w:r w:rsidR="00EA0841">
        <w:t xml:space="preserve"> or action</w:t>
      </w:r>
      <w:r w:rsidR="003201C7">
        <w:t>s</w:t>
      </w:r>
      <w:r w:rsidR="00EA0841">
        <w:t xml:space="preserve"> relate to: </w:t>
      </w:r>
    </w:p>
    <w:p w14:paraId="55CCB96B" w14:textId="77777777" w:rsidR="00EA0841" w:rsidRDefault="00EA0841" w:rsidP="00EA0841">
      <w:pPr>
        <w:pStyle w:val="ListParagraph"/>
        <w:numPr>
          <w:ilvl w:val="0"/>
          <w:numId w:val="21"/>
        </w:numPr>
      </w:pPr>
      <w:r>
        <w:t xml:space="preserve">dishonest, misleading or deceptive conduct; </w:t>
      </w:r>
      <w:r w:rsidR="003A445B">
        <w:t>or</w:t>
      </w:r>
    </w:p>
    <w:p w14:paraId="6F79607E" w14:textId="6293851A" w:rsidR="00EA0841" w:rsidRDefault="003A445B" w:rsidP="00EA0841">
      <w:pPr>
        <w:pStyle w:val="ListParagraph"/>
        <w:numPr>
          <w:ilvl w:val="0"/>
          <w:numId w:val="21"/>
        </w:numPr>
      </w:pPr>
      <w:r>
        <w:t>non-compliance with an obligation relating</w:t>
      </w:r>
      <w:r w:rsidR="00EA0841">
        <w:t xml:space="preserve"> to the provision of education</w:t>
      </w:r>
      <w:r w:rsidR="00953C7F">
        <w:t>;</w:t>
      </w:r>
      <w:r w:rsidR="00EA0841">
        <w:t xml:space="preserve"> or</w:t>
      </w:r>
    </w:p>
    <w:p w14:paraId="231EB299" w14:textId="4DAC1620" w:rsidR="00EA0841" w:rsidRDefault="00EA0841" w:rsidP="00EA0841">
      <w:pPr>
        <w:pStyle w:val="ListParagraph"/>
        <w:numPr>
          <w:ilvl w:val="0"/>
          <w:numId w:val="21"/>
        </w:numPr>
      </w:pPr>
      <w:r>
        <w:t>a breach of duty (including a duty of disclosure).</w:t>
      </w:r>
    </w:p>
    <w:p w14:paraId="110BE71A" w14:textId="77777777" w:rsidR="00D0376E" w:rsidRDefault="00EA0841" w:rsidP="00D0376E">
      <w:pPr>
        <w:spacing w:after="160" w:line="259" w:lineRule="auto"/>
        <w:ind w:left="1440" w:firstLine="720"/>
        <w:rPr>
          <w:i/>
        </w:rPr>
      </w:pPr>
      <w:r>
        <w:rPr>
          <w:i/>
        </w:rPr>
        <w:t>Minimum standard 15(5)(f)</w:t>
      </w:r>
    </w:p>
    <w:p w14:paraId="2E802AFA" w14:textId="7BAC9319" w:rsidR="00EA0841" w:rsidRPr="00D0376E" w:rsidRDefault="00D0376E" w:rsidP="00EA0841">
      <w:pPr>
        <w:spacing w:after="160" w:line="259" w:lineRule="auto"/>
      </w:pPr>
      <w:r>
        <w:t xml:space="preserve">The VRQA may exempt a </w:t>
      </w:r>
      <w:r w:rsidR="003201C7">
        <w:t xml:space="preserve">responsible </w:t>
      </w:r>
      <w:r>
        <w:t xml:space="preserve">person from this requirement under </w:t>
      </w:r>
      <w:r>
        <w:rPr>
          <w:i/>
        </w:rPr>
        <w:t>R</w:t>
      </w:r>
      <w:r w:rsidRPr="00D0376E">
        <w:rPr>
          <w:i/>
        </w:rPr>
        <w:t>egulation</w:t>
      </w:r>
      <w:r w:rsidR="00B5210C">
        <w:rPr>
          <w:i/>
        </w:rPr>
        <w:t xml:space="preserve"> </w:t>
      </w:r>
      <w:r w:rsidRPr="00D0376E">
        <w:rPr>
          <w:i/>
        </w:rPr>
        <w:t>63</w:t>
      </w:r>
      <w:r>
        <w:t>.</w:t>
      </w:r>
    </w:p>
    <w:p w14:paraId="1140999D" w14:textId="5BE442AA" w:rsidR="00A82E09" w:rsidRDefault="003A445B" w:rsidP="00EA0841">
      <w:pPr>
        <w:spacing w:after="160" w:line="259" w:lineRule="auto"/>
        <w:rPr>
          <w:i/>
        </w:rPr>
      </w:pPr>
      <w:r>
        <w:t xml:space="preserve">The requirement to satisfy the ‘fit and proper person’ test is ongoing and </w:t>
      </w:r>
      <w:r w:rsidR="00D0376E">
        <w:t xml:space="preserve">requires the proprietor to notify the VRQA should a </w:t>
      </w:r>
      <w:r w:rsidR="004734E0">
        <w:t>‘</w:t>
      </w:r>
      <w:r w:rsidR="00D0376E">
        <w:t>notifiable disclosure event</w:t>
      </w:r>
      <w:r w:rsidR="004734E0">
        <w:t>’</w:t>
      </w:r>
      <w:r w:rsidR="00D0376E">
        <w:t xml:space="preserve"> occur</w:t>
      </w:r>
      <w:r w:rsidR="003201C7">
        <w:t xml:space="preserve"> </w:t>
      </w:r>
      <w:r w:rsidR="001060F0">
        <w:t>that affects</w:t>
      </w:r>
      <w:r w:rsidR="003201C7">
        <w:t xml:space="preserve"> a responsible person at the school</w:t>
      </w:r>
      <w:r w:rsidR="00D0376E">
        <w:t xml:space="preserve">. </w:t>
      </w:r>
      <w:r w:rsidR="004734E0" w:rsidRPr="00D0376E">
        <w:rPr>
          <w:i/>
        </w:rPr>
        <w:t>Minimum standard 15(4)</w:t>
      </w:r>
      <w:r w:rsidR="004734E0">
        <w:rPr>
          <w:i/>
        </w:rPr>
        <w:t xml:space="preserve"> </w:t>
      </w:r>
    </w:p>
    <w:p w14:paraId="47D33DD6" w14:textId="68F04EAE" w:rsidR="003A445B" w:rsidRDefault="004734E0" w:rsidP="00EA0841">
      <w:pPr>
        <w:spacing w:after="160" w:line="259" w:lineRule="auto"/>
      </w:pPr>
      <w:r>
        <w:t xml:space="preserve">A </w:t>
      </w:r>
      <w:r w:rsidR="00953C7F">
        <w:t>‘</w:t>
      </w:r>
      <w:r>
        <w:t>notifiable disclosure event</w:t>
      </w:r>
      <w:r w:rsidR="00953C7F">
        <w:t>’</w:t>
      </w:r>
      <w:r>
        <w:t xml:space="preserve"> is triggered by adverse findings or proceedings for conduct </w:t>
      </w:r>
      <w:r w:rsidR="003A445B">
        <w:t xml:space="preserve">that </w:t>
      </w:r>
      <w:r>
        <w:t xml:space="preserve">would mean the </w:t>
      </w:r>
      <w:r w:rsidR="00953C7F">
        <w:t>‘</w:t>
      </w:r>
      <w:r>
        <w:t>responsible person</w:t>
      </w:r>
      <w:r w:rsidR="00953C7F">
        <w:t>’</w:t>
      </w:r>
      <w:r>
        <w:t xml:space="preserve"> is not a </w:t>
      </w:r>
      <w:r w:rsidR="00953C7F">
        <w:t>‘</w:t>
      </w:r>
      <w:r>
        <w:t>fit and proper person</w:t>
      </w:r>
      <w:r w:rsidR="00953C7F">
        <w:t>’</w:t>
      </w:r>
      <w:r>
        <w:t>.</w:t>
      </w:r>
      <w:r w:rsidR="00EA0841">
        <w:t xml:space="preserve"> </w:t>
      </w:r>
      <w:r w:rsidR="00D0376E">
        <w:rPr>
          <w:i/>
        </w:rPr>
        <w:t>See also the definition of ‘notifiable disclosure event’ in Regulation 5.</w:t>
      </w:r>
    </w:p>
    <w:p w14:paraId="11A2B32D" w14:textId="681E02A4" w:rsidR="00E35057" w:rsidRPr="007C2749" w:rsidRDefault="003A445B" w:rsidP="00494A64">
      <w:pPr>
        <w:pStyle w:val="Heading2"/>
      </w:pPr>
      <w:r>
        <w:t>other changes to minimum standards</w:t>
      </w:r>
    </w:p>
    <w:p w14:paraId="67010292" w14:textId="0525E4F6" w:rsidR="00970305" w:rsidRPr="007C2749" w:rsidRDefault="00970305" w:rsidP="00970305">
      <w:r w:rsidRPr="007C2749">
        <w:t xml:space="preserve">The </w:t>
      </w:r>
      <w:r w:rsidR="00AA0E94">
        <w:t xml:space="preserve">other </w:t>
      </w:r>
      <w:r w:rsidRPr="007C2749">
        <w:t xml:space="preserve">changes to the minimum standards for registration include: </w:t>
      </w:r>
    </w:p>
    <w:p w14:paraId="2CCC763A" w14:textId="0F5D93A0" w:rsidR="00970305" w:rsidRPr="007C2749" w:rsidRDefault="00970305" w:rsidP="00970305">
      <w:pPr>
        <w:pStyle w:val="ListParagraph"/>
        <w:numPr>
          <w:ilvl w:val="0"/>
          <w:numId w:val="20"/>
        </w:numPr>
      </w:pPr>
      <w:r w:rsidRPr="007C2749">
        <w:t xml:space="preserve">Minimum Standard 12 </w:t>
      </w:r>
      <w:r w:rsidR="00953C7F" w:rsidRPr="007C2749">
        <w:t xml:space="preserve"> – </w:t>
      </w:r>
      <w:r w:rsidR="00F5557C">
        <w:t>insertion</w:t>
      </w:r>
      <w:r w:rsidR="00F5557C" w:rsidRPr="007C2749">
        <w:t xml:space="preserve"> </w:t>
      </w:r>
      <w:r w:rsidRPr="007C2749">
        <w:t xml:space="preserve">of </w:t>
      </w:r>
      <w:r w:rsidR="00F5557C">
        <w:t>a</w:t>
      </w:r>
      <w:r w:rsidR="00F5557C" w:rsidRPr="007C2749">
        <w:t xml:space="preserve"> </w:t>
      </w:r>
      <w:r w:rsidRPr="007C2749">
        <w:t xml:space="preserve">definition for ‘attending the school’ </w:t>
      </w:r>
      <w:r w:rsidR="005C0C33">
        <w:t xml:space="preserve">which provides that the standard for student care, safety and welfare is not limited to school premises </w:t>
      </w:r>
      <w:r w:rsidRPr="007C2749">
        <w:t xml:space="preserve">(see </w:t>
      </w:r>
      <w:r w:rsidRPr="00494A64">
        <w:rPr>
          <w:i/>
        </w:rPr>
        <w:t>Definitions</w:t>
      </w:r>
      <w:r w:rsidRPr="007C2749">
        <w:t xml:space="preserve"> section of the Regulations)</w:t>
      </w:r>
      <w:r w:rsidR="00BB6E8F">
        <w:t>.</w:t>
      </w:r>
    </w:p>
    <w:p w14:paraId="3D20A7A9" w14:textId="77777777" w:rsidR="00056A04" w:rsidRPr="007C2749" w:rsidRDefault="00056A04" w:rsidP="00056A04">
      <w:pPr>
        <w:pStyle w:val="Heading2"/>
      </w:pPr>
      <w:r>
        <w:t>other changes to minimum standards (CONT.)</w:t>
      </w:r>
    </w:p>
    <w:p w14:paraId="3AE06B15" w14:textId="489B7665" w:rsidR="00970305" w:rsidRPr="007C2749" w:rsidRDefault="00970305" w:rsidP="00970305">
      <w:pPr>
        <w:pStyle w:val="ListParagraph"/>
        <w:numPr>
          <w:ilvl w:val="0"/>
          <w:numId w:val="20"/>
        </w:numPr>
      </w:pPr>
      <w:r w:rsidRPr="007C2749">
        <w:t>Minimum Standard 16 –</w:t>
      </w:r>
      <w:r w:rsidR="008B3A9C">
        <w:t xml:space="preserve"> </w:t>
      </w:r>
      <w:r w:rsidRPr="007C2749">
        <w:t>addition of the words ‘and be able to demonstrate how the school’s philosophy is enacted’</w:t>
      </w:r>
      <w:r w:rsidR="00BB6E8F">
        <w:t>.</w:t>
      </w:r>
      <w:r w:rsidRPr="007C2749">
        <w:t xml:space="preserve"> </w:t>
      </w:r>
    </w:p>
    <w:p w14:paraId="4E78E091" w14:textId="13F515A7" w:rsidR="00970305" w:rsidRPr="007C2749" w:rsidRDefault="00970305" w:rsidP="00970305">
      <w:pPr>
        <w:pStyle w:val="ListParagraph"/>
        <w:numPr>
          <w:ilvl w:val="0"/>
          <w:numId w:val="20"/>
        </w:numPr>
      </w:pPr>
      <w:r w:rsidRPr="007C2749">
        <w:t>Minimum Standard 17–</w:t>
      </w:r>
      <w:r w:rsidR="00953C7F">
        <w:t xml:space="preserve"> </w:t>
      </w:r>
      <w:r w:rsidR="008B3A9C">
        <w:t>a</w:t>
      </w:r>
      <w:r w:rsidR="001060F0">
        <w:t>dditional</w:t>
      </w:r>
      <w:r w:rsidR="008B3A9C">
        <w:t xml:space="preserve"> requirement for schools to have ‘sufficient controls’ in place to ensure that school property and assets are not distributed or used for the profit or gain of another person or entity </w:t>
      </w:r>
      <w:r w:rsidRPr="007C2749">
        <w:t xml:space="preserve">(see </w:t>
      </w:r>
      <w:r w:rsidRPr="00494A64">
        <w:rPr>
          <w:i/>
        </w:rPr>
        <w:t>Definitions</w:t>
      </w:r>
      <w:r w:rsidRPr="007C2749">
        <w:t xml:space="preserve"> section of the Regulations).</w:t>
      </w:r>
      <w:r w:rsidR="001060F0">
        <w:t xml:space="preserve"> The existence of sufficient controls </w:t>
      </w:r>
      <w:r w:rsidR="00CC4F49">
        <w:t>will help the school maintain it</w:t>
      </w:r>
      <w:r w:rsidR="001060F0">
        <w:t>s not</w:t>
      </w:r>
      <w:r w:rsidR="00953C7F">
        <w:t>-</w:t>
      </w:r>
      <w:r w:rsidR="001060F0">
        <w:t>for</w:t>
      </w:r>
      <w:r w:rsidR="00953C7F">
        <w:t>-</w:t>
      </w:r>
      <w:r w:rsidR="001060F0">
        <w:t>profit status.</w:t>
      </w:r>
    </w:p>
    <w:p w14:paraId="12356609" w14:textId="516D7A4B" w:rsidR="00970305" w:rsidRDefault="00970305" w:rsidP="00970305">
      <w:pPr>
        <w:pStyle w:val="ListParagraph"/>
        <w:numPr>
          <w:ilvl w:val="0"/>
          <w:numId w:val="20"/>
        </w:numPr>
      </w:pPr>
      <w:r w:rsidRPr="007C2749">
        <w:t xml:space="preserve">Minimum Standard 21 – additional requirement for schools to have suitable arrangements in place to comply with guidelines issued by the VRQA. </w:t>
      </w:r>
    </w:p>
    <w:p w14:paraId="259819A0" w14:textId="42FF024E" w:rsidR="00970305" w:rsidRPr="00891EE0" w:rsidRDefault="008B3A9C" w:rsidP="008B3A9C">
      <w:pPr>
        <w:pStyle w:val="ListParagraph"/>
        <w:numPr>
          <w:ilvl w:val="0"/>
          <w:numId w:val="20"/>
        </w:numPr>
      </w:pPr>
      <w:r>
        <w:t>Minimum Standard 22 – requires a school to be conducted within the scope of its registration.</w:t>
      </w:r>
      <w:r w:rsidR="001060F0">
        <w:t xml:space="preserve"> (</w:t>
      </w:r>
      <w:r w:rsidR="001060F0">
        <w:rPr>
          <w:rFonts w:eastAsiaTheme="majorEastAsia" w:cstheme="majorBidi"/>
          <w:i/>
        </w:rPr>
        <w:t xml:space="preserve">NB: this </w:t>
      </w:r>
      <w:r w:rsidR="00F5557C">
        <w:rPr>
          <w:rFonts w:eastAsiaTheme="majorEastAsia" w:cstheme="majorBidi"/>
          <w:i/>
        </w:rPr>
        <w:t xml:space="preserve">standard </w:t>
      </w:r>
      <w:r w:rsidR="001060F0">
        <w:rPr>
          <w:rFonts w:eastAsiaTheme="majorEastAsia" w:cstheme="majorBidi"/>
          <w:i/>
        </w:rPr>
        <w:t xml:space="preserve">is a restatement of regulation 62 in the </w:t>
      </w:r>
      <w:r w:rsidR="001060F0" w:rsidRPr="00494A64">
        <w:rPr>
          <w:i/>
        </w:rPr>
        <w:t>Education and Training Reform Regulations 2007</w:t>
      </w:r>
      <w:r w:rsidR="001060F0">
        <w:t>)</w:t>
      </w:r>
      <w:r w:rsidR="00BB6E8F">
        <w:t>.</w:t>
      </w:r>
    </w:p>
    <w:p w14:paraId="29C072AE" w14:textId="381504B8" w:rsidR="00E35057" w:rsidRPr="007C2749" w:rsidRDefault="0049394D" w:rsidP="00494A64">
      <w:r>
        <w:t xml:space="preserve">See Schedule 4 </w:t>
      </w:r>
      <w:r w:rsidR="00F5557C">
        <w:t xml:space="preserve">to the </w:t>
      </w:r>
      <w:r w:rsidR="00F5557C" w:rsidRPr="00494A64">
        <w:rPr>
          <w:i/>
        </w:rPr>
        <w:t>Education and</w:t>
      </w:r>
      <w:r w:rsidR="00F5557C">
        <w:rPr>
          <w:i/>
        </w:rPr>
        <w:t xml:space="preserve"> Training Reform Regulations 201</w:t>
      </w:r>
      <w:r w:rsidR="00F5557C" w:rsidRPr="00494A64">
        <w:rPr>
          <w:i/>
        </w:rPr>
        <w:t>7</w:t>
      </w:r>
      <w:r w:rsidR="00F5557C">
        <w:rPr>
          <w:i/>
        </w:rPr>
        <w:t xml:space="preserve"> </w:t>
      </w:r>
      <w:r>
        <w:t>for the full list of minimum standards</w:t>
      </w:r>
      <w:r w:rsidR="00F5557C">
        <w:t xml:space="preserve"> for registered schools</w:t>
      </w:r>
      <w:r>
        <w:t>.</w:t>
      </w:r>
    </w:p>
    <w:p w14:paraId="56FC52EE" w14:textId="77777777" w:rsidR="00E35057" w:rsidRPr="00494A64" w:rsidRDefault="00E35057" w:rsidP="00494A64">
      <w:pPr>
        <w:pStyle w:val="Heading2"/>
      </w:pPr>
      <w:r w:rsidRPr="00494A64">
        <w:t xml:space="preserve">further information </w:t>
      </w:r>
    </w:p>
    <w:p w14:paraId="532CE555" w14:textId="34C2D997" w:rsidR="00F70042" w:rsidRPr="00494A64" w:rsidRDefault="00494A64" w:rsidP="00FD3CA7">
      <w:r>
        <w:t>For f</w:t>
      </w:r>
      <w:r w:rsidR="00E35057" w:rsidRPr="007C2749">
        <w:t xml:space="preserve">urther information about the </w:t>
      </w:r>
      <w:r w:rsidR="00E35057" w:rsidRPr="007C2749">
        <w:rPr>
          <w:i/>
        </w:rPr>
        <w:t xml:space="preserve">Education and </w:t>
      </w:r>
      <w:r>
        <w:rPr>
          <w:i/>
        </w:rPr>
        <w:t>Training Reform Regulations 2017,</w:t>
      </w:r>
      <w:r w:rsidRPr="00494A64">
        <w:t xml:space="preserve"> see</w:t>
      </w:r>
      <w:r w:rsidR="00E35057" w:rsidRPr="00494A64">
        <w:t>:</w:t>
      </w:r>
      <w:r w:rsidR="00E35057" w:rsidRPr="007C2749">
        <w:t xml:space="preserve"> </w:t>
      </w:r>
      <w:hyperlink r:id="rId13" w:history="1">
        <w:r w:rsidRPr="00494A64">
          <w:rPr>
            <w:rStyle w:val="Hyperlink"/>
          </w:rPr>
          <w:t>Education and Training Reform Regulations</w:t>
        </w:r>
      </w:hyperlink>
    </w:p>
    <w:sectPr w:rsidR="00F70042" w:rsidRPr="00494A64"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A0D7E" w14:textId="77777777" w:rsidR="00C315B8" w:rsidRDefault="00C315B8" w:rsidP="008766A4">
      <w:r>
        <w:separator/>
      </w:r>
    </w:p>
  </w:endnote>
  <w:endnote w:type="continuationSeparator" w:id="0">
    <w:p w14:paraId="46793408" w14:textId="77777777" w:rsidR="00C315B8" w:rsidRDefault="00C315B8" w:rsidP="008766A4">
      <w:r>
        <w:continuationSeparator/>
      </w:r>
    </w:p>
  </w:endnote>
  <w:endnote w:type="continuationNotice" w:id="1">
    <w:p w14:paraId="200FD2C7" w14:textId="77777777" w:rsidR="00C315B8" w:rsidRDefault="00C31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D0376E" w:rsidRPr="003E29B5" w:rsidRDefault="00D0376E" w:rsidP="008766A4">
    <w:r w:rsidRPr="003E29B5">
      <w:rPr>
        <w:noProof/>
        <w:lang w:eastAsia="en-AU"/>
      </w:rPr>
      <w:drawing>
        <wp:anchor distT="0" distB="0" distL="114300" distR="114300" simplePos="0" relativeHeight="251657728"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C988" w14:textId="77777777" w:rsidR="00C315B8" w:rsidRDefault="00C315B8" w:rsidP="008766A4">
      <w:r>
        <w:separator/>
      </w:r>
    </w:p>
  </w:footnote>
  <w:footnote w:type="continuationSeparator" w:id="0">
    <w:p w14:paraId="1E416166" w14:textId="77777777" w:rsidR="00C315B8" w:rsidRDefault="00C315B8" w:rsidP="008766A4">
      <w:r>
        <w:continuationSeparator/>
      </w:r>
    </w:p>
  </w:footnote>
  <w:footnote w:type="continuationNotice" w:id="1">
    <w:p w14:paraId="00C586A9" w14:textId="77777777" w:rsidR="00C315B8" w:rsidRDefault="00C31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3E634D94" w:rsidR="00D0376E" w:rsidRPr="003E29B5" w:rsidRDefault="00D0376E" w:rsidP="008766A4">
    <w:r w:rsidRPr="003E29B5">
      <w:rPr>
        <w:noProof/>
        <w:lang w:eastAsia="en-AU"/>
      </w:rPr>
      <w:drawing>
        <wp:anchor distT="0" distB="0" distL="114300" distR="114300" simplePos="0" relativeHeight="251656704"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512C2"/>
    <w:multiLevelType w:val="hybridMultilevel"/>
    <w:tmpl w:val="8ADED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4006D"/>
    <w:multiLevelType w:val="hybridMultilevel"/>
    <w:tmpl w:val="F54E5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3" w15:restartNumberingAfterBreak="0">
    <w:nsid w:val="48924D32"/>
    <w:multiLevelType w:val="hybridMultilevel"/>
    <w:tmpl w:val="55D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C056E"/>
    <w:multiLevelType w:val="hybridMultilevel"/>
    <w:tmpl w:val="EBFA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800CFA"/>
    <w:multiLevelType w:val="hybridMultilevel"/>
    <w:tmpl w:val="5E60FC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9E521F"/>
    <w:multiLevelType w:val="hybridMultilevel"/>
    <w:tmpl w:val="790A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16302"/>
    <w:multiLevelType w:val="hybridMultilevel"/>
    <w:tmpl w:val="11381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BC2EBD"/>
    <w:multiLevelType w:val="hybridMultilevel"/>
    <w:tmpl w:val="219A577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C14124"/>
    <w:multiLevelType w:val="hybridMultilevel"/>
    <w:tmpl w:val="69D4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8"/>
  </w:num>
  <w:num w:numId="14">
    <w:abstractNumId w:val="12"/>
  </w:num>
  <w:num w:numId="15">
    <w:abstractNumId w:val="15"/>
  </w:num>
  <w:num w:numId="16">
    <w:abstractNumId w:val="18"/>
  </w:num>
  <w:num w:numId="17">
    <w:abstractNumId w:val="15"/>
  </w:num>
  <w:num w:numId="18">
    <w:abstractNumId w:val="11"/>
  </w:num>
  <w:num w:numId="19">
    <w:abstractNumId w:val="16"/>
  </w:num>
  <w:num w:numId="20">
    <w:abstractNumId w:val="14"/>
  </w:num>
  <w:num w:numId="21">
    <w:abstractNumId w:val="13"/>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6B3C"/>
    <w:rsid w:val="00052454"/>
    <w:rsid w:val="00056A04"/>
    <w:rsid w:val="00070A38"/>
    <w:rsid w:val="000B00EA"/>
    <w:rsid w:val="000C2E82"/>
    <w:rsid w:val="000C499D"/>
    <w:rsid w:val="000E4951"/>
    <w:rsid w:val="001060F0"/>
    <w:rsid w:val="0014310A"/>
    <w:rsid w:val="001479CB"/>
    <w:rsid w:val="00152F30"/>
    <w:rsid w:val="00191725"/>
    <w:rsid w:val="0019217E"/>
    <w:rsid w:val="001951EB"/>
    <w:rsid w:val="001C2A5F"/>
    <w:rsid w:val="001C4E9F"/>
    <w:rsid w:val="001C7AB4"/>
    <w:rsid w:val="001D5E77"/>
    <w:rsid w:val="00214AC2"/>
    <w:rsid w:val="0021704E"/>
    <w:rsid w:val="0022212D"/>
    <w:rsid w:val="00257BAB"/>
    <w:rsid w:val="00266FDA"/>
    <w:rsid w:val="002E1864"/>
    <w:rsid w:val="00306436"/>
    <w:rsid w:val="003139E4"/>
    <w:rsid w:val="003201C7"/>
    <w:rsid w:val="00321D6F"/>
    <w:rsid w:val="00324927"/>
    <w:rsid w:val="00326F48"/>
    <w:rsid w:val="0035116C"/>
    <w:rsid w:val="0038303F"/>
    <w:rsid w:val="003A445B"/>
    <w:rsid w:val="003A7E84"/>
    <w:rsid w:val="003B01B0"/>
    <w:rsid w:val="003B4596"/>
    <w:rsid w:val="003C7C3D"/>
    <w:rsid w:val="003E29B5"/>
    <w:rsid w:val="003E31EC"/>
    <w:rsid w:val="004023D3"/>
    <w:rsid w:val="00412F14"/>
    <w:rsid w:val="0041405C"/>
    <w:rsid w:val="00414B57"/>
    <w:rsid w:val="00416ECF"/>
    <w:rsid w:val="00422A94"/>
    <w:rsid w:val="00461530"/>
    <w:rsid w:val="00461C1D"/>
    <w:rsid w:val="00472725"/>
    <w:rsid w:val="004734E0"/>
    <w:rsid w:val="0049394D"/>
    <w:rsid w:val="00494A64"/>
    <w:rsid w:val="004A7E56"/>
    <w:rsid w:val="004B637B"/>
    <w:rsid w:val="004E6709"/>
    <w:rsid w:val="00525349"/>
    <w:rsid w:val="00532CE2"/>
    <w:rsid w:val="00553C6D"/>
    <w:rsid w:val="00554229"/>
    <w:rsid w:val="00575C1A"/>
    <w:rsid w:val="0057771A"/>
    <w:rsid w:val="005817D1"/>
    <w:rsid w:val="00582BF5"/>
    <w:rsid w:val="005867D8"/>
    <w:rsid w:val="00596923"/>
    <w:rsid w:val="005B1ECC"/>
    <w:rsid w:val="005C0C33"/>
    <w:rsid w:val="005C481B"/>
    <w:rsid w:val="005C7057"/>
    <w:rsid w:val="005F5D48"/>
    <w:rsid w:val="00600EB1"/>
    <w:rsid w:val="00603CEB"/>
    <w:rsid w:val="006052EA"/>
    <w:rsid w:val="0062687E"/>
    <w:rsid w:val="0063463C"/>
    <w:rsid w:val="00636850"/>
    <w:rsid w:val="00654D4F"/>
    <w:rsid w:val="00676465"/>
    <w:rsid w:val="00684FCC"/>
    <w:rsid w:val="00685F23"/>
    <w:rsid w:val="006901F8"/>
    <w:rsid w:val="006D4E97"/>
    <w:rsid w:val="006E6638"/>
    <w:rsid w:val="0070446F"/>
    <w:rsid w:val="007050D0"/>
    <w:rsid w:val="00717EFF"/>
    <w:rsid w:val="0072077D"/>
    <w:rsid w:val="007316DF"/>
    <w:rsid w:val="00744C1D"/>
    <w:rsid w:val="007453A9"/>
    <w:rsid w:val="00751081"/>
    <w:rsid w:val="00784798"/>
    <w:rsid w:val="007948B4"/>
    <w:rsid w:val="007C0CE0"/>
    <w:rsid w:val="007C25BC"/>
    <w:rsid w:val="007C2749"/>
    <w:rsid w:val="007E0C59"/>
    <w:rsid w:val="007F6510"/>
    <w:rsid w:val="00816ED5"/>
    <w:rsid w:val="008212F7"/>
    <w:rsid w:val="00821C44"/>
    <w:rsid w:val="00837BC9"/>
    <w:rsid w:val="0084303B"/>
    <w:rsid w:val="008471E7"/>
    <w:rsid w:val="00850775"/>
    <w:rsid w:val="008647EA"/>
    <w:rsid w:val="008650DC"/>
    <w:rsid w:val="00870087"/>
    <w:rsid w:val="008766A4"/>
    <w:rsid w:val="008804F1"/>
    <w:rsid w:val="00891EE0"/>
    <w:rsid w:val="008A7933"/>
    <w:rsid w:val="008B0D9E"/>
    <w:rsid w:val="008B3A9C"/>
    <w:rsid w:val="008C5381"/>
    <w:rsid w:val="0094417E"/>
    <w:rsid w:val="00953C7F"/>
    <w:rsid w:val="00955670"/>
    <w:rsid w:val="00970305"/>
    <w:rsid w:val="00971857"/>
    <w:rsid w:val="00980015"/>
    <w:rsid w:val="009B39EA"/>
    <w:rsid w:val="009D5403"/>
    <w:rsid w:val="009F2302"/>
    <w:rsid w:val="009F45DA"/>
    <w:rsid w:val="00A024AE"/>
    <w:rsid w:val="00A148D8"/>
    <w:rsid w:val="00A26774"/>
    <w:rsid w:val="00A31F00"/>
    <w:rsid w:val="00A379C3"/>
    <w:rsid w:val="00A45173"/>
    <w:rsid w:val="00A51C1F"/>
    <w:rsid w:val="00A77B77"/>
    <w:rsid w:val="00A82E09"/>
    <w:rsid w:val="00AA0E94"/>
    <w:rsid w:val="00AA10FA"/>
    <w:rsid w:val="00AD2912"/>
    <w:rsid w:val="00AD3F0B"/>
    <w:rsid w:val="00AE0110"/>
    <w:rsid w:val="00AE52D1"/>
    <w:rsid w:val="00AF1441"/>
    <w:rsid w:val="00AF1E1F"/>
    <w:rsid w:val="00B0141D"/>
    <w:rsid w:val="00B20CF5"/>
    <w:rsid w:val="00B44906"/>
    <w:rsid w:val="00B45451"/>
    <w:rsid w:val="00B458FC"/>
    <w:rsid w:val="00B510A9"/>
    <w:rsid w:val="00B5210C"/>
    <w:rsid w:val="00B676B4"/>
    <w:rsid w:val="00B77D1A"/>
    <w:rsid w:val="00B94DA4"/>
    <w:rsid w:val="00BA65FB"/>
    <w:rsid w:val="00BB27D0"/>
    <w:rsid w:val="00BB6E8F"/>
    <w:rsid w:val="00BC6492"/>
    <w:rsid w:val="00BE77F7"/>
    <w:rsid w:val="00BE7F11"/>
    <w:rsid w:val="00BF2714"/>
    <w:rsid w:val="00BF2C5D"/>
    <w:rsid w:val="00BF5EAF"/>
    <w:rsid w:val="00C052CB"/>
    <w:rsid w:val="00C252B8"/>
    <w:rsid w:val="00C315B8"/>
    <w:rsid w:val="00C3403A"/>
    <w:rsid w:val="00C405CA"/>
    <w:rsid w:val="00C51984"/>
    <w:rsid w:val="00C66E9F"/>
    <w:rsid w:val="00C92A2F"/>
    <w:rsid w:val="00C96015"/>
    <w:rsid w:val="00CC4F49"/>
    <w:rsid w:val="00CE5C87"/>
    <w:rsid w:val="00D0376E"/>
    <w:rsid w:val="00D1719C"/>
    <w:rsid w:val="00D22D65"/>
    <w:rsid w:val="00D27B41"/>
    <w:rsid w:val="00D31299"/>
    <w:rsid w:val="00D33C10"/>
    <w:rsid w:val="00D33E49"/>
    <w:rsid w:val="00D345E1"/>
    <w:rsid w:val="00D378BF"/>
    <w:rsid w:val="00D45AEE"/>
    <w:rsid w:val="00D60B04"/>
    <w:rsid w:val="00D65273"/>
    <w:rsid w:val="00D83265"/>
    <w:rsid w:val="00DB277A"/>
    <w:rsid w:val="00DD6965"/>
    <w:rsid w:val="00DF01ED"/>
    <w:rsid w:val="00DF17B2"/>
    <w:rsid w:val="00DF24C7"/>
    <w:rsid w:val="00DF2EA1"/>
    <w:rsid w:val="00DF5527"/>
    <w:rsid w:val="00E331F7"/>
    <w:rsid w:val="00E35057"/>
    <w:rsid w:val="00E46F01"/>
    <w:rsid w:val="00E54B41"/>
    <w:rsid w:val="00E74593"/>
    <w:rsid w:val="00E97A39"/>
    <w:rsid w:val="00EA0841"/>
    <w:rsid w:val="00EA0BB3"/>
    <w:rsid w:val="00EA3E58"/>
    <w:rsid w:val="00EB1300"/>
    <w:rsid w:val="00EF0944"/>
    <w:rsid w:val="00F0071D"/>
    <w:rsid w:val="00F14D6F"/>
    <w:rsid w:val="00F5557C"/>
    <w:rsid w:val="00F70042"/>
    <w:rsid w:val="00F802D1"/>
    <w:rsid w:val="00FA0FF3"/>
    <w:rsid w:val="00FA15D6"/>
    <w:rsid w:val="00FD0B55"/>
    <w:rsid w:val="00FD29FB"/>
    <w:rsid w:val="00FD3CA7"/>
    <w:rsid w:val="00FF27B0"/>
    <w:rsid w:val="00FF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9FCCD2"/>
  <w14:defaultImageDpi w14:val="300"/>
  <w15:docId w15:val="{6271FF3A-1254-4586-802A-1F486CA9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qFormat/>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AD2912"/>
    <w:rPr>
      <w:color w:val="0000FF" w:themeColor="hyperlink"/>
      <w:u w:val="single"/>
    </w:rPr>
  </w:style>
  <w:style w:type="paragraph" w:styleId="ListParagraph">
    <w:name w:val="List Paragraph"/>
    <w:aliases w:val="Bullet point,List Paragraph1,List Paragraph11,Recommendation"/>
    <w:basedOn w:val="Normal"/>
    <w:link w:val="ListParagraphChar"/>
    <w:uiPriority w:val="99"/>
    <w:qFormat/>
    <w:rsid w:val="00AD2912"/>
    <w:pPr>
      <w:ind w:left="720"/>
      <w:contextualSpacing/>
    </w:pPr>
  </w:style>
  <w:style w:type="character" w:styleId="CommentReference">
    <w:name w:val="annotation reference"/>
    <w:basedOn w:val="DefaultParagraphFont"/>
    <w:uiPriority w:val="99"/>
    <w:semiHidden/>
    <w:unhideWhenUsed/>
    <w:rsid w:val="00FD3CA7"/>
    <w:rPr>
      <w:sz w:val="16"/>
      <w:szCs w:val="16"/>
    </w:rPr>
  </w:style>
  <w:style w:type="paragraph" w:styleId="CommentText">
    <w:name w:val="annotation text"/>
    <w:basedOn w:val="Normal"/>
    <w:link w:val="CommentTextChar"/>
    <w:uiPriority w:val="99"/>
    <w:semiHidden/>
    <w:unhideWhenUsed/>
    <w:rsid w:val="00FD3CA7"/>
    <w:pPr>
      <w:spacing w:line="240" w:lineRule="auto"/>
    </w:pPr>
    <w:rPr>
      <w:sz w:val="20"/>
      <w:szCs w:val="20"/>
    </w:rPr>
  </w:style>
  <w:style w:type="character" w:customStyle="1" w:styleId="CommentTextChar">
    <w:name w:val="Comment Text Char"/>
    <w:basedOn w:val="DefaultParagraphFont"/>
    <w:link w:val="CommentText"/>
    <w:uiPriority w:val="99"/>
    <w:semiHidden/>
    <w:rsid w:val="00FD3CA7"/>
    <w:rPr>
      <w:rFonts w:ascii="Arial" w:hAnsi="Arial" w:cs="Arial"/>
      <w:sz w:val="20"/>
      <w:szCs w:val="20"/>
      <w:lang w:val="en-AU"/>
    </w:rPr>
  </w:style>
  <w:style w:type="character" w:customStyle="1" w:styleId="ListParagraphChar">
    <w:name w:val="List Paragraph Char"/>
    <w:aliases w:val="Bullet point Char,List Paragraph1 Char,List Paragraph11 Char,Recommendation Char"/>
    <w:link w:val="ListParagraph"/>
    <w:uiPriority w:val="99"/>
    <w:locked/>
    <w:rsid w:val="0049394D"/>
    <w:rPr>
      <w:rFonts w:ascii="Arial" w:hAnsi="Arial" w:cs="Arial"/>
      <w:sz w:val="18"/>
      <w:szCs w:val="18"/>
      <w:lang w:val="en-AU"/>
    </w:rPr>
  </w:style>
  <w:style w:type="paragraph" w:styleId="CommentSubject">
    <w:name w:val="annotation subject"/>
    <w:basedOn w:val="CommentText"/>
    <w:next w:val="CommentText"/>
    <w:link w:val="CommentSubjectChar"/>
    <w:uiPriority w:val="99"/>
    <w:semiHidden/>
    <w:unhideWhenUsed/>
    <w:rsid w:val="003201C7"/>
    <w:rPr>
      <w:b/>
      <w:bCs/>
    </w:rPr>
  </w:style>
  <w:style w:type="character" w:customStyle="1" w:styleId="CommentSubjectChar">
    <w:name w:val="Comment Subject Char"/>
    <w:basedOn w:val="CommentTextChar"/>
    <w:link w:val="CommentSubject"/>
    <w:uiPriority w:val="99"/>
    <w:semiHidden/>
    <w:rsid w:val="003201C7"/>
    <w:rPr>
      <w:rFonts w:ascii="Arial" w:hAnsi="Arial" w:cs="Arial"/>
      <w:b/>
      <w:bCs/>
      <w:sz w:val="20"/>
      <w:szCs w:val="20"/>
      <w:lang w:val="en-AU"/>
    </w:rPr>
  </w:style>
  <w:style w:type="character" w:styleId="FollowedHyperlink">
    <w:name w:val="FollowedHyperlink"/>
    <w:basedOn w:val="DefaultParagraphFont"/>
    <w:uiPriority w:val="99"/>
    <w:semiHidden/>
    <w:unhideWhenUsed/>
    <w:rsid w:val="00953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8245">
      <w:bodyDiv w:val="1"/>
      <w:marLeft w:val="0"/>
      <w:marRight w:val="0"/>
      <w:marTop w:val="0"/>
      <w:marBottom w:val="0"/>
      <w:divBdr>
        <w:top w:val="none" w:sz="0" w:space="0" w:color="auto"/>
        <w:left w:val="none" w:sz="0" w:space="0" w:color="auto"/>
        <w:bottom w:val="none" w:sz="0" w:space="0" w:color="auto"/>
        <w:right w:val="none" w:sz="0" w:space="0" w:color="auto"/>
      </w:divBdr>
    </w:div>
    <w:div w:id="1434783658">
      <w:bodyDiv w:val="1"/>
      <w:marLeft w:val="0"/>
      <w:marRight w:val="0"/>
      <w:marTop w:val="0"/>
      <w:marBottom w:val="0"/>
      <w:divBdr>
        <w:top w:val="none" w:sz="0" w:space="0" w:color="auto"/>
        <w:left w:val="none" w:sz="0" w:space="0" w:color="auto"/>
        <w:bottom w:val="none" w:sz="0" w:space="0" w:color="auto"/>
        <w:right w:val="none" w:sz="0" w:space="0" w:color="auto"/>
      </w:divBdr>
    </w:div>
    <w:div w:id="2107646977">
      <w:bodyDiv w:val="1"/>
      <w:marLeft w:val="0"/>
      <w:marRight w:val="0"/>
      <w:marTop w:val="0"/>
      <w:marBottom w:val="0"/>
      <w:divBdr>
        <w:top w:val="none" w:sz="0" w:space="0" w:color="auto"/>
        <w:left w:val="none" w:sz="0" w:space="0" w:color="auto"/>
        <w:bottom w:val="none" w:sz="0" w:space="0" w:color="auto"/>
        <w:right w:val="none" w:sz="0" w:space="0" w:color="auto"/>
      </w:divBdr>
      <w:divsChild>
        <w:div w:id="1428113356">
          <w:marLeft w:val="0"/>
          <w:marRight w:val="0"/>
          <w:marTop w:val="0"/>
          <w:marBottom w:val="0"/>
          <w:divBdr>
            <w:top w:val="none" w:sz="0" w:space="0" w:color="auto"/>
            <w:left w:val="none" w:sz="0" w:space="0" w:color="auto"/>
            <w:bottom w:val="none" w:sz="0" w:space="0" w:color="auto"/>
            <w:right w:val="none" w:sz="0" w:space="0" w:color="auto"/>
          </w:divBdr>
          <w:divsChild>
            <w:div w:id="1569919660">
              <w:marLeft w:val="0"/>
              <w:marRight w:val="0"/>
              <w:marTop w:val="0"/>
              <w:marBottom w:val="0"/>
              <w:divBdr>
                <w:top w:val="none" w:sz="0" w:space="0" w:color="auto"/>
                <w:left w:val="none" w:sz="0" w:space="0" w:color="auto"/>
                <w:bottom w:val="none" w:sz="0" w:space="0" w:color="auto"/>
                <w:right w:val="none" w:sz="0" w:space="0" w:color="auto"/>
              </w:divBdr>
              <w:divsChild>
                <w:div w:id="1806967299">
                  <w:marLeft w:val="0"/>
                  <w:marRight w:val="0"/>
                  <w:marTop w:val="0"/>
                  <w:marBottom w:val="0"/>
                  <w:divBdr>
                    <w:top w:val="none" w:sz="0" w:space="0" w:color="auto"/>
                    <w:left w:val="none" w:sz="0" w:space="0" w:color="auto"/>
                    <w:bottom w:val="none" w:sz="0" w:space="0" w:color="auto"/>
                    <w:right w:val="none" w:sz="0" w:space="0" w:color="auto"/>
                  </w:divBdr>
                  <w:divsChild>
                    <w:div w:id="738551541">
                      <w:marLeft w:val="0"/>
                      <w:marRight w:val="0"/>
                      <w:marTop w:val="0"/>
                      <w:marBottom w:val="0"/>
                      <w:divBdr>
                        <w:top w:val="none" w:sz="0" w:space="0" w:color="auto"/>
                        <w:left w:val="none" w:sz="0" w:space="0" w:color="auto"/>
                        <w:bottom w:val="none" w:sz="0" w:space="0" w:color="auto"/>
                        <w:right w:val="none" w:sz="0" w:space="0" w:color="auto"/>
                      </w:divBdr>
                      <w:divsChild>
                        <w:div w:id="1262641724">
                          <w:marLeft w:val="0"/>
                          <w:marRight w:val="0"/>
                          <w:marTop w:val="0"/>
                          <w:marBottom w:val="0"/>
                          <w:divBdr>
                            <w:top w:val="none" w:sz="0" w:space="0" w:color="auto"/>
                            <w:left w:val="none" w:sz="0" w:space="0" w:color="auto"/>
                            <w:bottom w:val="none" w:sz="0" w:space="0" w:color="auto"/>
                            <w:right w:val="none" w:sz="0" w:space="0" w:color="auto"/>
                          </w:divBdr>
                          <w:divsChild>
                            <w:div w:id="1378820150">
                              <w:marLeft w:val="0"/>
                              <w:marRight w:val="0"/>
                              <w:marTop w:val="0"/>
                              <w:marBottom w:val="0"/>
                              <w:divBdr>
                                <w:top w:val="none" w:sz="0" w:space="0" w:color="auto"/>
                                <w:left w:val="none" w:sz="0" w:space="0" w:color="auto"/>
                                <w:bottom w:val="none" w:sz="0" w:space="0" w:color="auto"/>
                                <w:right w:val="none" w:sz="0" w:space="0" w:color="auto"/>
                              </w:divBdr>
                              <w:divsChild>
                                <w:div w:id="1986230723">
                                  <w:marLeft w:val="0"/>
                                  <w:marRight w:val="0"/>
                                  <w:marTop w:val="0"/>
                                  <w:marBottom w:val="0"/>
                                  <w:divBdr>
                                    <w:top w:val="none" w:sz="0" w:space="0" w:color="auto"/>
                                    <w:left w:val="none" w:sz="0" w:space="0" w:color="auto"/>
                                    <w:bottom w:val="none" w:sz="0" w:space="0" w:color="auto"/>
                                    <w:right w:val="none" w:sz="0" w:space="0" w:color="auto"/>
                                  </w:divBdr>
                                  <w:divsChild>
                                    <w:div w:id="867178611">
                                      <w:marLeft w:val="0"/>
                                      <w:marRight w:val="0"/>
                                      <w:marTop w:val="0"/>
                                      <w:marBottom w:val="0"/>
                                      <w:divBdr>
                                        <w:top w:val="none" w:sz="0" w:space="0" w:color="auto"/>
                                        <w:left w:val="none" w:sz="0" w:space="0" w:color="auto"/>
                                        <w:bottom w:val="none" w:sz="0" w:space="0" w:color="auto"/>
                                        <w:right w:val="none" w:sz="0" w:space="0" w:color="auto"/>
                                      </w:divBdr>
                                      <w:divsChild>
                                        <w:div w:id="1177577834">
                                          <w:marLeft w:val="0"/>
                                          <w:marRight w:val="0"/>
                                          <w:marTop w:val="0"/>
                                          <w:marBottom w:val="0"/>
                                          <w:divBdr>
                                            <w:top w:val="none" w:sz="0" w:space="0" w:color="auto"/>
                                            <w:left w:val="none" w:sz="0" w:space="0" w:color="auto"/>
                                            <w:bottom w:val="none" w:sz="0" w:space="0" w:color="auto"/>
                                            <w:right w:val="none" w:sz="0" w:space="0" w:color="auto"/>
                                          </w:divBdr>
                                          <w:divsChild>
                                            <w:div w:id="1641225216">
                                              <w:marLeft w:val="0"/>
                                              <w:marRight w:val="0"/>
                                              <w:marTop w:val="0"/>
                                              <w:marBottom w:val="0"/>
                                              <w:divBdr>
                                                <w:top w:val="none" w:sz="0" w:space="0" w:color="auto"/>
                                                <w:left w:val="none" w:sz="0" w:space="0" w:color="auto"/>
                                                <w:bottom w:val="none" w:sz="0" w:space="0" w:color="auto"/>
                                                <w:right w:val="none" w:sz="0" w:space="0" w:color="auto"/>
                                              </w:divBdr>
                                              <w:divsChild>
                                                <w:div w:id="35349800">
                                                  <w:marLeft w:val="0"/>
                                                  <w:marRight w:val="0"/>
                                                  <w:marTop w:val="0"/>
                                                  <w:marBottom w:val="0"/>
                                                  <w:divBdr>
                                                    <w:top w:val="none" w:sz="0" w:space="0" w:color="auto"/>
                                                    <w:left w:val="none" w:sz="0" w:space="0" w:color="auto"/>
                                                    <w:bottom w:val="none" w:sz="0" w:space="0" w:color="auto"/>
                                                    <w:right w:val="none" w:sz="0" w:space="0" w:color="auto"/>
                                                  </w:divBdr>
                                                  <w:divsChild>
                                                    <w:div w:id="1580552598">
                                                      <w:marLeft w:val="0"/>
                                                      <w:marRight w:val="0"/>
                                                      <w:marTop w:val="300"/>
                                                      <w:marBottom w:val="0"/>
                                                      <w:divBdr>
                                                        <w:top w:val="none" w:sz="0" w:space="0" w:color="auto"/>
                                                        <w:left w:val="none" w:sz="0" w:space="0" w:color="auto"/>
                                                        <w:bottom w:val="none" w:sz="0" w:space="0" w:color="auto"/>
                                                        <w:right w:val="none" w:sz="0" w:space="0" w:color="auto"/>
                                                      </w:divBdr>
                                                      <w:divsChild>
                                                        <w:div w:id="863442324">
                                                          <w:marLeft w:val="0"/>
                                                          <w:marRight w:val="0"/>
                                                          <w:marTop w:val="0"/>
                                                          <w:marBottom w:val="0"/>
                                                          <w:divBdr>
                                                            <w:top w:val="none" w:sz="0" w:space="0" w:color="auto"/>
                                                            <w:left w:val="none" w:sz="0" w:space="0" w:color="auto"/>
                                                            <w:bottom w:val="none" w:sz="0" w:space="0" w:color="auto"/>
                                                            <w:right w:val="none" w:sz="0" w:space="0" w:color="auto"/>
                                                          </w:divBdr>
                                                          <w:divsChild>
                                                            <w:div w:id="155387598">
                                                              <w:marLeft w:val="0"/>
                                                              <w:marRight w:val="0"/>
                                                              <w:marTop w:val="0"/>
                                                              <w:marBottom w:val="0"/>
                                                              <w:divBdr>
                                                                <w:top w:val="none" w:sz="0" w:space="0" w:color="auto"/>
                                                                <w:left w:val="none" w:sz="0" w:space="0" w:color="auto"/>
                                                                <w:bottom w:val="none" w:sz="0" w:space="0" w:color="auto"/>
                                                                <w:right w:val="none" w:sz="0" w:space="0" w:color="auto"/>
                                                              </w:divBdr>
                                                            </w:div>
                                                            <w:div w:id="670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547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about/department/legislation/Pages/act2006regs.asp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9F3D5-739D-420D-9AA2-A41A9A3DC54E}"/>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D2BE12CF-BEC8-44D0-AAB8-B459131F2CCA}">
  <ds:schemaRefs>
    <ds:schemaRef ds:uri="http://schemas.microsoft.com/sharepoint/events"/>
  </ds:schemaRefs>
</ds:datastoreItem>
</file>

<file path=customXml/itemProps5.xml><?xml version="1.0" encoding="utf-8"?>
<ds:datastoreItem xmlns:ds="http://schemas.openxmlformats.org/officeDocument/2006/customXml" ds:itemID="{26176453-4522-49C5-87B3-4D21D5A7FE10}">
  <ds:schemaRefs>
    <ds:schemaRef ds:uri="http://schemas.microsoft.com/office/2006/metadata/customXsn"/>
  </ds:schemaRefs>
</ds:datastoreItem>
</file>

<file path=customXml/itemProps6.xml><?xml version="1.0" encoding="utf-8"?>
<ds:datastoreItem xmlns:ds="http://schemas.openxmlformats.org/officeDocument/2006/customXml" ds:itemID="{6F3A4013-4E56-44D4-AB55-E02E8D00443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McNicol, Sarah B</cp:lastModifiedBy>
  <cp:revision>2</cp:revision>
  <cp:lastPrinted>2017-06-28T01:20:00Z</cp:lastPrinted>
  <dcterms:created xsi:type="dcterms:W3CDTF">2017-08-01T06:14:00Z</dcterms:created>
  <dcterms:modified xsi:type="dcterms:W3CDTF">2017-08-01T06:14:00Z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{fa5f1c67-54c3-494a-90f0-44b31348d00b}</vt:lpwstr>
  </property>
  <property fmtid="{D5CDD505-2E9C-101B-9397-08002B2CF9AE}" pid="8" name="RecordPoint_ActiveItemWebId">
    <vt:lpwstr>{d8562a3d-26b1-45f8-b7ad-9d70d2757376}</vt:lpwstr>
  </property>
  <property fmtid="{D5CDD505-2E9C-101B-9397-08002B2CF9AE}" pid="9" name="_docset_NoMedatataSyncRequired">
    <vt:lpwstr>False</vt:lpwstr>
  </property>
  <property fmtid="{D5CDD505-2E9C-101B-9397-08002B2CF9AE}" pid="10" name="DET_EDRMS_SecClassTaxHTField0">
    <vt:lpwstr/>
  </property>
  <property fmtid="{D5CDD505-2E9C-101B-9397-08002B2CF9AE}" pid="11" name="DET_EDRMS_SecClass">
    <vt:lpwstr/>
  </property>
  <property fmtid="{D5CDD505-2E9C-101B-9397-08002B2CF9AE}" pid="12" name="RecordPoint_ActiveItemUniqueId">
    <vt:lpwstr>{272d3af3-3600-4ae1-ba7a-bd2831a7450c}</vt:lpwstr>
  </property>
  <property fmtid="{D5CDD505-2E9C-101B-9397-08002B2CF9AE}" pid="13" name="RecordPoint_RecordNumberSubmitted">
    <vt:lpwstr>R0000867821</vt:lpwstr>
  </property>
  <property fmtid="{D5CDD505-2E9C-101B-9397-08002B2CF9AE}" pid="14" name="RecordPoint_SubmissionCompleted">
    <vt:lpwstr>2017-08-01T13:57:43.2753617+10:00</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