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98" w:rsidRDefault="004164C9">
      <w:pPr>
        <w:jc w:val="center"/>
        <w:rPr>
          <w:rFonts w:ascii="Arial" w:hAnsi="Arial" w:cs="Arial"/>
          <w:b/>
        </w:rPr>
      </w:pPr>
      <w:r>
        <w:rPr>
          <w:rFonts w:ascii="Arial" w:hAnsi="Arial" w:cs="Arial"/>
          <w:b/>
        </w:rPr>
        <w:t>EDUCATION AND TRAINING REFORM ACT 2006</w:t>
      </w:r>
    </w:p>
    <w:p w:rsidR="001D0498" w:rsidRDefault="004164C9">
      <w:pPr>
        <w:jc w:val="center"/>
        <w:rPr>
          <w:rFonts w:ascii="Arial" w:hAnsi="Arial" w:cs="Arial"/>
          <w:b/>
        </w:rPr>
      </w:pPr>
      <w:r>
        <w:rPr>
          <w:rFonts w:ascii="Arial" w:hAnsi="Arial" w:cs="Arial"/>
          <w:b/>
        </w:rPr>
        <w:t>DIRECTION TO GOVERNING BOARDS OF ADULT EDUCATION INSTITUTIONS ON EXECUTIVE REMUNERATION AND CLASSIFICATION</w:t>
      </w:r>
    </w:p>
    <w:p w:rsidR="001D0498" w:rsidRDefault="001D0498">
      <w:pPr>
        <w:rPr>
          <w:rFonts w:ascii="Times New Roman" w:hAnsi="Times New Roman" w:cs="Times New Roman"/>
          <w:b/>
          <w:sz w:val="24"/>
          <w:szCs w:val="24"/>
        </w:rPr>
      </w:pPr>
    </w:p>
    <w:p w:rsidR="001D0498" w:rsidRDefault="004164C9">
      <w:pPr>
        <w:rPr>
          <w:rFonts w:ascii="Arial" w:hAnsi="Arial" w:cs="Arial"/>
        </w:rPr>
      </w:pPr>
      <w:r>
        <w:rPr>
          <w:rFonts w:ascii="Arial" w:hAnsi="Arial" w:cs="Arial"/>
          <w:b/>
        </w:rPr>
        <w:t>PURPOSE</w:t>
      </w:r>
    </w:p>
    <w:p w:rsidR="001D0498" w:rsidRDefault="004164C9">
      <w:pPr>
        <w:spacing w:before="120" w:after="120"/>
        <w:ind w:left="567" w:hanging="567"/>
        <w:rPr>
          <w:rFonts w:ascii="Arial" w:hAnsi="Arial" w:cs="Arial"/>
        </w:rPr>
      </w:pPr>
      <w:r>
        <w:rPr>
          <w:rFonts w:ascii="Arial" w:hAnsi="Arial" w:cs="Arial"/>
        </w:rPr>
        <w:t>1.</w:t>
      </w:r>
      <w:r>
        <w:rPr>
          <w:rFonts w:ascii="Arial" w:hAnsi="Arial" w:cs="Arial"/>
        </w:rPr>
        <w:tab/>
        <w:t xml:space="preserve">The purpose of this Direction is to require boards of adult education institutions to adjust the remuneration range payable to the Chief Executive Officer of the institution and executive officers in accordance with: </w:t>
      </w:r>
    </w:p>
    <w:p w:rsidR="001D0498" w:rsidRDefault="004164C9">
      <w:pPr>
        <w:pStyle w:val="ListParagraph"/>
        <w:numPr>
          <w:ilvl w:val="0"/>
          <w:numId w:val="4"/>
        </w:numPr>
        <w:spacing w:before="120" w:after="360"/>
        <w:ind w:left="1134" w:hanging="567"/>
        <w:rPr>
          <w:rFonts w:ascii="Arial" w:hAnsi="Arial" w:cs="Arial"/>
        </w:rPr>
      </w:pPr>
      <w:r>
        <w:rPr>
          <w:rFonts w:ascii="Arial" w:hAnsi="Arial" w:cs="Arial"/>
        </w:rPr>
        <w:t xml:space="preserve">the institution Annual Income (Less Capital) Ranges; and </w:t>
      </w:r>
    </w:p>
    <w:p w:rsidR="001D0498" w:rsidRDefault="001D0498">
      <w:pPr>
        <w:pStyle w:val="ListParagraph"/>
        <w:spacing w:before="120" w:after="360"/>
        <w:ind w:left="1134"/>
        <w:rPr>
          <w:rFonts w:ascii="Arial" w:hAnsi="Arial" w:cs="Arial"/>
          <w:sz w:val="12"/>
          <w:szCs w:val="12"/>
        </w:rPr>
      </w:pPr>
    </w:p>
    <w:p w:rsidR="001D0498" w:rsidRDefault="004164C9">
      <w:pPr>
        <w:pStyle w:val="ListParagraph"/>
        <w:numPr>
          <w:ilvl w:val="0"/>
          <w:numId w:val="4"/>
        </w:numPr>
        <w:spacing w:before="120" w:after="240"/>
        <w:ind w:left="1134" w:hanging="567"/>
        <w:rPr>
          <w:rFonts w:ascii="Arial" w:hAnsi="Arial" w:cs="Arial"/>
        </w:rPr>
      </w:pPr>
      <w:r>
        <w:rPr>
          <w:rFonts w:ascii="Arial" w:hAnsi="Arial" w:cs="Arial"/>
        </w:rPr>
        <w:t>Remuneration Ranges in line with the 2012 executive remuneration review adjustment approved by the Premier of Victoria, as advised by the Government Sector Executive Remuneration Panel and effective from 1 July 2012.</w:t>
      </w:r>
    </w:p>
    <w:p w:rsidR="001D0498" w:rsidRDefault="004164C9">
      <w:pPr>
        <w:spacing w:before="360"/>
        <w:rPr>
          <w:rFonts w:ascii="Arial" w:hAnsi="Arial" w:cs="Arial"/>
          <w:b/>
        </w:rPr>
      </w:pPr>
      <w:r>
        <w:rPr>
          <w:rFonts w:ascii="Arial" w:hAnsi="Arial" w:cs="Arial"/>
          <w:b/>
        </w:rPr>
        <w:t>INTERPRETATION</w:t>
      </w:r>
    </w:p>
    <w:p w:rsidR="001D0498" w:rsidRDefault="004164C9">
      <w:pPr>
        <w:spacing w:before="240"/>
        <w:ind w:left="567" w:hanging="567"/>
        <w:rPr>
          <w:rFonts w:ascii="Arial" w:hAnsi="Arial" w:cs="Arial"/>
          <w:b/>
        </w:rPr>
      </w:pPr>
      <w:r>
        <w:rPr>
          <w:rFonts w:ascii="Arial" w:hAnsi="Arial" w:cs="Arial"/>
        </w:rPr>
        <w:t>2.</w:t>
      </w:r>
      <w:r>
        <w:rPr>
          <w:rFonts w:ascii="Arial" w:hAnsi="Arial" w:cs="Arial"/>
          <w:b/>
        </w:rPr>
        <w:tab/>
      </w:r>
      <w:r>
        <w:rPr>
          <w:rFonts w:ascii="Arial" w:hAnsi="Arial" w:cs="Arial"/>
        </w:rPr>
        <w:t>In this Direction, unless stated otherwise:</w:t>
      </w:r>
    </w:p>
    <w:p w:rsidR="001D0498" w:rsidRDefault="004164C9">
      <w:pPr>
        <w:spacing w:before="120" w:after="0" w:line="240" w:lineRule="auto"/>
        <w:ind w:left="709"/>
        <w:rPr>
          <w:rFonts w:ascii="Arial" w:hAnsi="Arial" w:cs="Arial"/>
        </w:rPr>
      </w:pPr>
      <w:r>
        <w:rPr>
          <w:rFonts w:ascii="Arial" w:hAnsi="Arial" w:cs="Arial"/>
          <w:i/>
        </w:rPr>
        <w:t>Act</w:t>
      </w:r>
      <w:r>
        <w:rPr>
          <w:rFonts w:ascii="Arial" w:hAnsi="Arial" w:cs="Arial"/>
        </w:rPr>
        <w:t xml:space="preserve"> means the </w:t>
      </w:r>
      <w:r>
        <w:rPr>
          <w:rFonts w:ascii="Arial" w:hAnsi="Arial" w:cs="Arial"/>
          <w:i/>
        </w:rPr>
        <w:t>Education and Training Reform Act</w:t>
      </w:r>
      <w:r>
        <w:rPr>
          <w:rFonts w:ascii="Arial" w:hAnsi="Arial" w:cs="Arial"/>
        </w:rPr>
        <w:t xml:space="preserve"> 2006;</w:t>
      </w:r>
    </w:p>
    <w:p w:rsidR="001D0498" w:rsidRDefault="004164C9">
      <w:pPr>
        <w:spacing w:before="120" w:line="240" w:lineRule="auto"/>
        <w:ind w:left="720"/>
        <w:rPr>
          <w:rFonts w:ascii="Arial" w:hAnsi="Arial" w:cs="Arial"/>
          <w:i/>
        </w:rPr>
      </w:pPr>
      <w:r>
        <w:rPr>
          <w:rFonts w:ascii="Arial" w:hAnsi="Arial" w:cs="Arial"/>
          <w:i/>
        </w:rPr>
        <w:t>Institution</w:t>
      </w:r>
      <w:r>
        <w:rPr>
          <w:rFonts w:ascii="Arial" w:hAnsi="Arial" w:cs="Arial"/>
        </w:rPr>
        <w:t xml:space="preserve"> means an adult education institution established under the Act;</w:t>
      </w:r>
    </w:p>
    <w:p w:rsidR="001D0498" w:rsidRDefault="004164C9">
      <w:pPr>
        <w:spacing w:before="120" w:line="240" w:lineRule="auto"/>
        <w:ind w:left="720"/>
        <w:rPr>
          <w:rFonts w:ascii="Arial" w:hAnsi="Arial" w:cs="Arial"/>
        </w:rPr>
      </w:pPr>
      <w:proofErr w:type="gramStart"/>
      <w:r>
        <w:rPr>
          <w:rFonts w:ascii="Arial" w:hAnsi="Arial" w:cs="Arial"/>
        </w:rPr>
        <w:t>words</w:t>
      </w:r>
      <w:proofErr w:type="gramEnd"/>
      <w:r>
        <w:rPr>
          <w:rFonts w:ascii="Arial" w:hAnsi="Arial" w:cs="Arial"/>
        </w:rPr>
        <w:t xml:space="preserve"> used have the same meaning as in the Act.</w:t>
      </w:r>
    </w:p>
    <w:p w:rsidR="001D0498" w:rsidRDefault="004164C9">
      <w:pPr>
        <w:spacing w:before="360"/>
        <w:rPr>
          <w:rFonts w:ascii="Arial" w:hAnsi="Arial" w:cs="Arial"/>
          <w:b/>
        </w:rPr>
      </w:pPr>
      <w:r>
        <w:rPr>
          <w:rFonts w:ascii="Arial" w:hAnsi="Arial" w:cs="Arial"/>
          <w:b/>
        </w:rPr>
        <w:t>APPLICATION AND REVOCATION OF PREVIOUS DIRECTIONS</w:t>
      </w:r>
    </w:p>
    <w:p w:rsidR="001D0498" w:rsidRDefault="004164C9">
      <w:pPr>
        <w:ind w:left="567" w:hanging="567"/>
        <w:rPr>
          <w:rFonts w:ascii="Arial" w:hAnsi="Arial" w:cs="Arial"/>
        </w:rPr>
      </w:pPr>
      <w:r>
        <w:rPr>
          <w:rFonts w:ascii="Arial" w:hAnsi="Arial" w:cs="Arial"/>
        </w:rPr>
        <w:t>3.</w:t>
      </w:r>
      <w:r>
        <w:rPr>
          <w:rFonts w:ascii="Arial" w:hAnsi="Arial" w:cs="Arial"/>
        </w:rPr>
        <w:tab/>
        <w:t>This Direction is issued to the board of each institution, and replaces those parts of previous Directions dealing with the subject matter in paragraph 6, which parts are hereby revoked.</w:t>
      </w:r>
    </w:p>
    <w:p w:rsidR="001D0498" w:rsidRDefault="004164C9">
      <w:pPr>
        <w:spacing w:before="360"/>
        <w:ind w:left="720" w:hanging="720"/>
        <w:rPr>
          <w:rFonts w:ascii="Arial" w:hAnsi="Arial" w:cs="Arial"/>
          <w:b/>
        </w:rPr>
      </w:pPr>
      <w:r>
        <w:rPr>
          <w:rFonts w:ascii="Arial" w:hAnsi="Arial" w:cs="Arial"/>
          <w:b/>
        </w:rPr>
        <w:t>FROM 1 JANUARY 2013</w:t>
      </w:r>
    </w:p>
    <w:p w:rsidR="001D0498" w:rsidRDefault="004164C9">
      <w:pPr>
        <w:ind w:left="567" w:hanging="567"/>
        <w:rPr>
          <w:rFonts w:ascii="Arial" w:hAnsi="Arial" w:cs="Arial"/>
        </w:rPr>
      </w:pPr>
      <w:r>
        <w:rPr>
          <w:rFonts w:ascii="Arial" w:hAnsi="Arial" w:cs="Arial"/>
        </w:rPr>
        <w:t>4.</w:t>
      </w:r>
      <w:r>
        <w:rPr>
          <w:rFonts w:ascii="Arial" w:hAnsi="Arial" w:cs="Arial"/>
        </w:rPr>
        <w:tab/>
        <w:t>From 1 January 2013, a reference to a board of an institution in this Direction shall be read as meaning the adult education institution.</w:t>
      </w:r>
    </w:p>
    <w:p w:rsidR="001D0498" w:rsidRDefault="004164C9">
      <w:pPr>
        <w:ind w:left="1134"/>
        <w:rPr>
          <w:rFonts w:ascii="Arial" w:hAnsi="Arial" w:cs="Arial"/>
          <w:i/>
          <w:sz w:val="20"/>
          <w:szCs w:val="20"/>
        </w:rPr>
      </w:pPr>
      <w:r>
        <w:rPr>
          <w:rFonts w:ascii="Arial" w:hAnsi="Arial" w:cs="Arial"/>
          <w:sz w:val="20"/>
          <w:szCs w:val="20"/>
        </w:rPr>
        <w:t>(</w:t>
      </w:r>
      <w:r>
        <w:rPr>
          <w:rFonts w:ascii="Arial" w:hAnsi="Arial" w:cs="Arial"/>
          <w:i/>
          <w:sz w:val="20"/>
          <w:szCs w:val="20"/>
        </w:rPr>
        <w:t>Note</w:t>
      </w:r>
      <w:r>
        <w:rPr>
          <w:rFonts w:ascii="Arial" w:hAnsi="Arial" w:cs="Arial"/>
          <w:sz w:val="20"/>
          <w:szCs w:val="20"/>
        </w:rPr>
        <w:t xml:space="preserve">: </w:t>
      </w:r>
      <w:r>
        <w:rPr>
          <w:rFonts w:ascii="Arial" w:hAnsi="Arial" w:cs="Arial"/>
          <w:i/>
          <w:sz w:val="20"/>
          <w:szCs w:val="20"/>
        </w:rPr>
        <w:t>on 1 January 2013,</w:t>
      </w:r>
      <w:r>
        <w:rPr>
          <w:rFonts w:ascii="Arial" w:hAnsi="Arial" w:cs="Arial"/>
          <w:sz w:val="20"/>
          <w:szCs w:val="20"/>
        </w:rPr>
        <w:t xml:space="preserve"> </w:t>
      </w:r>
      <w:r>
        <w:rPr>
          <w:rFonts w:ascii="Arial" w:hAnsi="Arial" w:cs="Arial"/>
          <w:i/>
          <w:sz w:val="20"/>
          <w:szCs w:val="20"/>
        </w:rPr>
        <w:t>Parts 4 and 5 of the</w:t>
      </w:r>
      <w:r>
        <w:rPr>
          <w:rFonts w:ascii="Arial" w:hAnsi="Arial" w:cs="Arial"/>
          <w:sz w:val="20"/>
          <w:szCs w:val="20"/>
        </w:rPr>
        <w:t xml:space="preserve"> </w:t>
      </w:r>
      <w:r>
        <w:rPr>
          <w:rFonts w:ascii="Arial" w:hAnsi="Arial" w:cs="Arial"/>
          <w:i/>
          <w:sz w:val="20"/>
          <w:szCs w:val="20"/>
        </w:rPr>
        <w:t xml:space="preserve">Education Legislation Amendment (Governance) Act 2012 will commence operation.  That Act changes the legal structure of boards and adult education institutions, so that from that date, the institution, instead of the </w:t>
      </w:r>
      <w:proofErr w:type="gramStart"/>
      <w:r>
        <w:rPr>
          <w:rFonts w:ascii="Arial" w:hAnsi="Arial" w:cs="Arial"/>
          <w:i/>
          <w:sz w:val="20"/>
          <w:szCs w:val="20"/>
        </w:rPr>
        <w:t>board</w:t>
      </w:r>
      <w:proofErr w:type="gramEnd"/>
      <w:r>
        <w:rPr>
          <w:rFonts w:ascii="Arial" w:hAnsi="Arial" w:cs="Arial"/>
          <w:i/>
          <w:sz w:val="20"/>
          <w:szCs w:val="20"/>
        </w:rPr>
        <w:t xml:space="preserve">, will be a legal entity vested with various functions and powers. </w:t>
      </w:r>
    </w:p>
    <w:p w:rsidR="001D0498" w:rsidRDefault="004164C9">
      <w:pPr>
        <w:ind w:left="1134"/>
        <w:rPr>
          <w:rFonts w:ascii="Arial" w:hAnsi="Arial" w:cs="Arial"/>
          <w:i/>
          <w:sz w:val="20"/>
          <w:szCs w:val="20"/>
        </w:rPr>
      </w:pPr>
      <w:r>
        <w:rPr>
          <w:rFonts w:ascii="Arial" w:hAnsi="Arial" w:cs="Arial"/>
          <w:i/>
          <w:sz w:val="20"/>
          <w:szCs w:val="20"/>
        </w:rPr>
        <w:t>This clause mirrors the effect of</w:t>
      </w:r>
      <w:r>
        <w:rPr>
          <w:rFonts w:ascii="Arial" w:hAnsi="Arial" w:cs="Arial"/>
          <w:sz w:val="20"/>
          <w:szCs w:val="20"/>
        </w:rPr>
        <w:t xml:space="preserve"> </w:t>
      </w:r>
      <w:r>
        <w:rPr>
          <w:rFonts w:ascii="Arial" w:hAnsi="Arial" w:cs="Arial"/>
          <w:i/>
          <w:sz w:val="20"/>
          <w:szCs w:val="20"/>
        </w:rPr>
        <w:t>transitional</w:t>
      </w:r>
      <w:r>
        <w:rPr>
          <w:rFonts w:ascii="Arial" w:hAnsi="Arial" w:cs="Arial"/>
          <w:sz w:val="20"/>
          <w:szCs w:val="20"/>
        </w:rPr>
        <w:t xml:space="preserve"> </w:t>
      </w:r>
      <w:r>
        <w:rPr>
          <w:rFonts w:ascii="Arial" w:hAnsi="Arial" w:cs="Arial"/>
          <w:i/>
          <w:sz w:val="20"/>
          <w:szCs w:val="20"/>
        </w:rPr>
        <w:t>section 33 of the above Act, which in summary, vests the institution with the relevant functions and powers from 1 January 2013</w:t>
      </w:r>
      <w:r w:rsidR="001667A6">
        <w:rPr>
          <w:rFonts w:ascii="Arial" w:hAnsi="Arial" w:cs="Arial"/>
          <w:i/>
          <w:sz w:val="20"/>
          <w:szCs w:val="20"/>
        </w:rPr>
        <w:t>)</w:t>
      </w:r>
      <w:r>
        <w:rPr>
          <w:rFonts w:ascii="Arial" w:hAnsi="Arial" w:cs="Arial"/>
          <w:i/>
          <w:sz w:val="20"/>
          <w:szCs w:val="20"/>
        </w:rPr>
        <w:t>.</w:t>
      </w:r>
    </w:p>
    <w:p w:rsidR="001D0498" w:rsidRDefault="001D0498">
      <w:pPr>
        <w:pStyle w:val="ListParagraph"/>
        <w:spacing w:before="360"/>
        <w:ind w:left="0"/>
        <w:rPr>
          <w:rFonts w:ascii="Arial" w:hAnsi="Arial" w:cs="Arial"/>
          <w:b/>
        </w:rPr>
      </w:pPr>
    </w:p>
    <w:p w:rsidR="001D0498" w:rsidRDefault="004164C9">
      <w:pPr>
        <w:pStyle w:val="ListParagraph"/>
        <w:spacing w:before="360"/>
        <w:ind w:left="0"/>
        <w:rPr>
          <w:rFonts w:ascii="Arial" w:hAnsi="Arial" w:cs="Arial"/>
          <w:b/>
        </w:rPr>
      </w:pPr>
      <w:r>
        <w:rPr>
          <w:rFonts w:ascii="Arial" w:hAnsi="Arial" w:cs="Arial"/>
          <w:b/>
        </w:rPr>
        <w:lastRenderedPageBreak/>
        <w:t>AUTHORITY FOR DIRECTION AND COMMENCEMENT</w:t>
      </w:r>
    </w:p>
    <w:p w:rsidR="001D0498" w:rsidRDefault="004164C9">
      <w:pPr>
        <w:ind w:left="567" w:hanging="567"/>
        <w:rPr>
          <w:rFonts w:ascii="Arial" w:hAnsi="Arial" w:cs="Arial"/>
        </w:rPr>
      </w:pPr>
      <w:r>
        <w:rPr>
          <w:rFonts w:ascii="Arial" w:hAnsi="Arial" w:cs="Arial"/>
        </w:rPr>
        <w:t>5.</w:t>
      </w:r>
      <w:r>
        <w:rPr>
          <w:rFonts w:ascii="Arial" w:hAnsi="Arial" w:cs="Arial"/>
        </w:rPr>
        <w:tab/>
        <w:t>This Direction is issued pursuant to section 5.2.1(2</w:t>
      </w:r>
      <w:proofErr w:type="gramStart"/>
      <w:r>
        <w:rPr>
          <w:rFonts w:ascii="Arial" w:hAnsi="Arial" w:cs="Arial"/>
        </w:rPr>
        <w:t>)(</w:t>
      </w:r>
      <w:proofErr w:type="gramEnd"/>
      <w:r>
        <w:rPr>
          <w:rFonts w:ascii="Arial" w:hAnsi="Arial" w:cs="Arial"/>
        </w:rPr>
        <w:t>b) of the Act, and commences on the date it is signed.</w:t>
      </w:r>
    </w:p>
    <w:p w:rsidR="001D0498" w:rsidRDefault="004164C9">
      <w:pPr>
        <w:spacing w:before="360"/>
        <w:rPr>
          <w:rFonts w:ascii="Arial" w:hAnsi="Arial" w:cs="Arial"/>
          <w:b/>
        </w:rPr>
      </w:pPr>
      <w:r>
        <w:rPr>
          <w:rFonts w:ascii="Arial" w:hAnsi="Arial" w:cs="Arial"/>
          <w:b/>
        </w:rPr>
        <w:t>CHIEF EXECUTIVE OFFICERS OR EXECUTIVE OFFICERS</w:t>
      </w:r>
    </w:p>
    <w:p w:rsidR="001D0498" w:rsidRDefault="004164C9">
      <w:pPr>
        <w:pStyle w:val="ListParagraph"/>
        <w:spacing w:after="120"/>
        <w:ind w:left="567" w:hanging="567"/>
        <w:rPr>
          <w:rFonts w:ascii="Arial" w:hAnsi="Arial" w:cs="Arial"/>
        </w:rPr>
      </w:pPr>
      <w:r>
        <w:rPr>
          <w:rFonts w:ascii="Arial" w:hAnsi="Arial" w:cs="Arial"/>
        </w:rPr>
        <w:t xml:space="preserve">6. </w:t>
      </w:r>
      <w:r>
        <w:rPr>
          <w:rFonts w:ascii="Arial" w:hAnsi="Arial" w:cs="Arial"/>
        </w:rPr>
        <w:tab/>
        <w:t>The board of an institution must assign one of the following classifications to each executive officer of the institution in accordance with the following:</w:t>
      </w:r>
    </w:p>
    <w:p w:rsidR="001D0498" w:rsidRDefault="004164C9">
      <w:pPr>
        <w:spacing w:line="240" w:lineRule="auto"/>
        <w:ind w:left="567"/>
        <w:rPr>
          <w:rFonts w:ascii="Arial" w:hAnsi="Arial" w:cs="Arial"/>
        </w:rPr>
      </w:pPr>
      <w:r>
        <w:rPr>
          <w:rFonts w:ascii="Arial" w:hAnsi="Arial" w:cs="Arial"/>
        </w:rPr>
        <w:t>Chief Executive Officer Level 1 (CEO 1)</w:t>
      </w:r>
    </w:p>
    <w:p w:rsidR="001D0498" w:rsidRDefault="004164C9">
      <w:pPr>
        <w:spacing w:line="240" w:lineRule="auto"/>
        <w:ind w:left="567"/>
        <w:rPr>
          <w:rFonts w:ascii="Arial" w:hAnsi="Arial" w:cs="Arial"/>
        </w:rPr>
      </w:pPr>
      <w:r>
        <w:rPr>
          <w:rFonts w:ascii="Arial" w:hAnsi="Arial" w:cs="Arial"/>
        </w:rPr>
        <w:t>Chief Executive Officer Level 2 (CEO 2)</w:t>
      </w:r>
    </w:p>
    <w:p w:rsidR="001D0498" w:rsidRDefault="004164C9">
      <w:pPr>
        <w:spacing w:line="240" w:lineRule="auto"/>
        <w:ind w:left="567"/>
        <w:rPr>
          <w:rFonts w:ascii="Arial" w:hAnsi="Arial" w:cs="Arial"/>
        </w:rPr>
      </w:pPr>
      <w:r>
        <w:rPr>
          <w:rFonts w:ascii="Arial" w:hAnsi="Arial" w:cs="Arial"/>
        </w:rPr>
        <w:t>Executive Officer (EO)</w:t>
      </w:r>
    </w:p>
    <w:p w:rsidR="001D0498" w:rsidRDefault="004164C9">
      <w:pPr>
        <w:ind w:left="360"/>
        <w:rPr>
          <w:rFonts w:ascii="Arial" w:hAnsi="Arial" w:cs="Arial"/>
        </w:rPr>
      </w:pPr>
      <w:r>
        <w:rPr>
          <w:rFonts w:ascii="Arial" w:hAnsi="Arial" w:cs="Arial"/>
        </w:rPr>
        <w:t>The board of an institution must determine the classification level of a Chief Executive Officer in accordance with the following table:</w:t>
      </w:r>
    </w:p>
    <w:tbl>
      <w:tblPr>
        <w:tblStyle w:val="TableGrid"/>
        <w:tblW w:w="0" w:type="auto"/>
        <w:tblInd w:w="534" w:type="dxa"/>
        <w:tblLayout w:type="fixed"/>
        <w:tblLook w:val="04A0" w:firstRow="1" w:lastRow="0" w:firstColumn="1" w:lastColumn="0" w:noHBand="0" w:noVBand="1"/>
      </w:tblPr>
      <w:tblGrid>
        <w:gridCol w:w="1984"/>
        <w:gridCol w:w="1701"/>
        <w:gridCol w:w="1686"/>
        <w:gridCol w:w="1835"/>
        <w:gridCol w:w="1836"/>
      </w:tblGrid>
      <w:tr w:rsidR="001D0498">
        <w:tc>
          <w:tcPr>
            <w:tcW w:w="1984" w:type="dxa"/>
            <w:vAlign w:val="center"/>
          </w:tcPr>
          <w:p w:rsidR="001D0498" w:rsidRDefault="004164C9">
            <w:pPr>
              <w:jc w:val="center"/>
              <w:rPr>
                <w:rFonts w:ascii="Arial" w:hAnsi="Arial" w:cs="Arial"/>
                <w:b/>
              </w:rPr>
            </w:pPr>
            <w:r>
              <w:rPr>
                <w:rFonts w:ascii="Arial" w:hAnsi="Arial" w:cs="Arial"/>
                <w:b/>
              </w:rPr>
              <w:t>Institution Annual Income (Less Capital) Ranges</w:t>
            </w:r>
          </w:p>
        </w:tc>
        <w:tc>
          <w:tcPr>
            <w:tcW w:w="1701" w:type="dxa"/>
            <w:vAlign w:val="center"/>
          </w:tcPr>
          <w:p w:rsidR="001D0498" w:rsidRDefault="004164C9">
            <w:pPr>
              <w:jc w:val="center"/>
              <w:rPr>
                <w:rFonts w:ascii="Arial" w:hAnsi="Arial" w:cs="Arial"/>
                <w:b/>
              </w:rPr>
            </w:pPr>
            <w:r>
              <w:rPr>
                <w:rFonts w:ascii="Arial" w:hAnsi="Arial" w:cs="Arial"/>
                <w:b/>
              </w:rPr>
              <w:t>Classification Level</w:t>
            </w:r>
          </w:p>
        </w:tc>
        <w:tc>
          <w:tcPr>
            <w:tcW w:w="5357" w:type="dxa"/>
            <w:gridSpan w:val="3"/>
            <w:vAlign w:val="center"/>
          </w:tcPr>
          <w:p w:rsidR="001D0498" w:rsidRDefault="004164C9">
            <w:pPr>
              <w:jc w:val="center"/>
              <w:rPr>
                <w:rFonts w:ascii="Arial" w:hAnsi="Arial" w:cs="Arial"/>
                <w:b/>
              </w:rPr>
            </w:pPr>
            <w:r>
              <w:rPr>
                <w:rFonts w:ascii="Arial" w:hAnsi="Arial" w:cs="Arial"/>
                <w:b/>
              </w:rPr>
              <w:t xml:space="preserve">Remuneration Ranges </w:t>
            </w:r>
          </w:p>
        </w:tc>
      </w:tr>
      <w:tr w:rsidR="001D0498">
        <w:tc>
          <w:tcPr>
            <w:tcW w:w="3685" w:type="dxa"/>
            <w:gridSpan w:val="2"/>
            <w:shd w:val="clear" w:color="auto" w:fill="808080" w:themeFill="background1" w:themeFillShade="80"/>
          </w:tcPr>
          <w:p w:rsidR="001D0498" w:rsidRDefault="001D0498">
            <w:pPr>
              <w:rPr>
                <w:rFonts w:ascii="Arial" w:hAnsi="Arial" w:cs="Arial"/>
                <w:color w:val="808080" w:themeColor="background1" w:themeShade="80"/>
              </w:rPr>
            </w:pPr>
          </w:p>
        </w:tc>
        <w:tc>
          <w:tcPr>
            <w:tcW w:w="1686" w:type="dxa"/>
            <w:vAlign w:val="center"/>
          </w:tcPr>
          <w:p w:rsidR="001D0498" w:rsidRDefault="004164C9">
            <w:pPr>
              <w:jc w:val="center"/>
              <w:rPr>
                <w:rFonts w:ascii="Arial" w:hAnsi="Arial" w:cs="Arial"/>
              </w:rPr>
            </w:pPr>
            <w:r>
              <w:rPr>
                <w:rFonts w:ascii="Arial" w:hAnsi="Arial" w:cs="Arial"/>
              </w:rPr>
              <w:t>Minimum</w:t>
            </w:r>
          </w:p>
        </w:tc>
        <w:tc>
          <w:tcPr>
            <w:tcW w:w="1835" w:type="dxa"/>
            <w:vAlign w:val="center"/>
          </w:tcPr>
          <w:p w:rsidR="001D0498" w:rsidRDefault="004164C9">
            <w:pPr>
              <w:jc w:val="center"/>
              <w:rPr>
                <w:rFonts w:ascii="Arial" w:hAnsi="Arial" w:cs="Arial"/>
              </w:rPr>
            </w:pPr>
            <w:r>
              <w:rPr>
                <w:rFonts w:ascii="Arial" w:hAnsi="Arial" w:cs="Arial"/>
              </w:rPr>
              <w:t>Mid-Point</w:t>
            </w:r>
          </w:p>
        </w:tc>
        <w:tc>
          <w:tcPr>
            <w:tcW w:w="1836" w:type="dxa"/>
            <w:vAlign w:val="center"/>
          </w:tcPr>
          <w:p w:rsidR="001D0498" w:rsidRDefault="004164C9">
            <w:pPr>
              <w:jc w:val="center"/>
              <w:rPr>
                <w:rFonts w:ascii="Arial" w:hAnsi="Arial" w:cs="Arial"/>
              </w:rPr>
            </w:pPr>
            <w:r>
              <w:rPr>
                <w:rFonts w:ascii="Arial" w:hAnsi="Arial" w:cs="Arial"/>
              </w:rPr>
              <w:t>Maximum</w:t>
            </w:r>
          </w:p>
        </w:tc>
      </w:tr>
      <w:tr w:rsidR="001D0498">
        <w:tc>
          <w:tcPr>
            <w:tcW w:w="1984" w:type="dxa"/>
            <w:tcBorders>
              <w:bottom w:val="single" w:sz="4" w:space="0" w:color="000000" w:themeColor="text1"/>
            </w:tcBorders>
            <w:vAlign w:val="center"/>
          </w:tcPr>
          <w:p w:rsidR="001D0498" w:rsidRDefault="004164C9">
            <w:pPr>
              <w:jc w:val="center"/>
              <w:rPr>
                <w:rFonts w:ascii="Arial" w:hAnsi="Arial" w:cs="Arial"/>
              </w:rPr>
            </w:pPr>
            <w:r>
              <w:rPr>
                <w:rFonts w:ascii="Arial" w:hAnsi="Arial" w:cs="Arial"/>
              </w:rPr>
              <w:t>Greater than $107.7 Million</w:t>
            </w:r>
          </w:p>
        </w:tc>
        <w:tc>
          <w:tcPr>
            <w:tcW w:w="1701" w:type="dxa"/>
            <w:vAlign w:val="center"/>
          </w:tcPr>
          <w:p w:rsidR="001D0498" w:rsidRDefault="004164C9">
            <w:pPr>
              <w:jc w:val="center"/>
              <w:rPr>
                <w:rFonts w:ascii="Arial" w:hAnsi="Arial" w:cs="Arial"/>
              </w:rPr>
            </w:pPr>
            <w:r>
              <w:rPr>
                <w:rFonts w:ascii="Arial" w:hAnsi="Arial" w:cs="Arial"/>
              </w:rPr>
              <w:t>CEO 1</w:t>
            </w:r>
          </w:p>
        </w:tc>
        <w:tc>
          <w:tcPr>
            <w:tcW w:w="1686" w:type="dxa"/>
            <w:vAlign w:val="center"/>
          </w:tcPr>
          <w:p w:rsidR="001D0498" w:rsidRDefault="00C15A3D">
            <w:pPr>
              <w:jc w:val="center"/>
              <w:rPr>
                <w:rFonts w:ascii="Arial" w:hAnsi="Arial" w:cs="Arial"/>
              </w:rPr>
            </w:pPr>
            <w:r>
              <w:rPr>
                <w:rFonts w:ascii="Arial" w:hAnsi="Arial" w:cs="Arial"/>
              </w:rPr>
              <w:t>$238,478</w:t>
            </w:r>
          </w:p>
        </w:tc>
        <w:tc>
          <w:tcPr>
            <w:tcW w:w="1835" w:type="dxa"/>
            <w:tcBorders>
              <w:bottom w:val="single" w:sz="4" w:space="0" w:color="000000" w:themeColor="text1"/>
            </w:tcBorders>
            <w:vAlign w:val="center"/>
          </w:tcPr>
          <w:p w:rsidR="001D0498" w:rsidRDefault="004164C9">
            <w:pPr>
              <w:jc w:val="center"/>
              <w:rPr>
                <w:rFonts w:ascii="Arial" w:hAnsi="Arial" w:cs="Arial"/>
              </w:rPr>
            </w:pPr>
            <w:r>
              <w:rPr>
                <w:rFonts w:ascii="Arial" w:hAnsi="Arial" w:cs="Arial"/>
              </w:rPr>
              <w:t>$267,317</w:t>
            </w:r>
          </w:p>
        </w:tc>
        <w:tc>
          <w:tcPr>
            <w:tcW w:w="1836" w:type="dxa"/>
            <w:tcBorders>
              <w:bottom w:val="single" w:sz="4" w:space="0" w:color="000000" w:themeColor="text1"/>
            </w:tcBorders>
            <w:vAlign w:val="center"/>
          </w:tcPr>
          <w:p w:rsidR="001D0498" w:rsidRDefault="004164C9">
            <w:pPr>
              <w:jc w:val="center"/>
              <w:rPr>
                <w:rFonts w:ascii="Arial" w:hAnsi="Arial" w:cs="Arial"/>
              </w:rPr>
            </w:pPr>
            <w:r>
              <w:rPr>
                <w:rFonts w:ascii="Arial" w:hAnsi="Arial" w:cs="Arial"/>
              </w:rPr>
              <w:t>$296,155</w:t>
            </w:r>
          </w:p>
        </w:tc>
      </w:tr>
      <w:tr w:rsidR="001D0498">
        <w:tc>
          <w:tcPr>
            <w:tcW w:w="1984" w:type="dxa"/>
            <w:tcBorders>
              <w:bottom w:val="single" w:sz="4" w:space="0" w:color="000000" w:themeColor="text1"/>
            </w:tcBorders>
            <w:vAlign w:val="center"/>
          </w:tcPr>
          <w:p w:rsidR="001D0498" w:rsidRDefault="004164C9">
            <w:pPr>
              <w:jc w:val="center"/>
              <w:rPr>
                <w:rFonts w:ascii="Arial" w:hAnsi="Arial" w:cs="Arial"/>
              </w:rPr>
            </w:pPr>
            <w:r>
              <w:rPr>
                <w:rFonts w:ascii="Arial" w:hAnsi="Arial" w:cs="Arial"/>
              </w:rPr>
              <w:t>Up to $107.7 Million</w:t>
            </w:r>
          </w:p>
        </w:tc>
        <w:tc>
          <w:tcPr>
            <w:tcW w:w="1701" w:type="dxa"/>
            <w:tcBorders>
              <w:bottom w:val="single" w:sz="4" w:space="0" w:color="000000" w:themeColor="text1"/>
            </w:tcBorders>
            <w:vAlign w:val="center"/>
          </w:tcPr>
          <w:p w:rsidR="001D0498" w:rsidRDefault="004164C9">
            <w:pPr>
              <w:jc w:val="center"/>
              <w:rPr>
                <w:rFonts w:ascii="Arial" w:hAnsi="Arial" w:cs="Arial"/>
              </w:rPr>
            </w:pPr>
            <w:r>
              <w:rPr>
                <w:rFonts w:ascii="Arial" w:hAnsi="Arial" w:cs="Arial"/>
              </w:rPr>
              <w:t>CEO 2</w:t>
            </w:r>
          </w:p>
        </w:tc>
        <w:tc>
          <w:tcPr>
            <w:tcW w:w="1686" w:type="dxa"/>
            <w:tcBorders>
              <w:bottom w:val="single" w:sz="4" w:space="0" w:color="000000" w:themeColor="text1"/>
            </w:tcBorders>
            <w:vAlign w:val="center"/>
          </w:tcPr>
          <w:p w:rsidR="001D0498" w:rsidRDefault="004164C9">
            <w:pPr>
              <w:jc w:val="center"/>
              <w:rPr>
                <w:rFonts w:ascii="Arial" w:hAnsi="Arial" w:cs="Arial"/>
              </w:rPr>
            </w:pPr>
            <w:r>
              <w:rPr>
                <w:rFonts w:ascii="Arial" w:hAnsi="Arial" w:cs="Arial"/>
              </w:rPr>
              <w:t>$196,754</w:t>
            </w:r>
          </w:p>
        </w:tc>
        <w:tc>
          <w:tcPr>
            <w:tcW w:w="1835" w:type="dxa"/>
            <w:tcBorders>
              <w:bottom w:val="single" w:sz="4" w:space="0" w:color="000000" w:themeColor="text1"/>
            </w:tcBorders>
            <w:vAlign w:val="center"/>
          </w:tcPr>
          <w:p w:rsidR="001D0498" w:rsidRDefault="004164C9">
            <w:pPr>
              <w:jc w:val="center"/>
              <w:rPr>
                <w:rFonts w:ascii="Arial" w:hAnsi="Arial" w:cs="Arial"/>
              </w:rPr>
            </w:pPr>
            <w:r>
              <w:rPr>
                <w:rFonts w:ascii="Arial" w:hAnsi="Arial" w:cs="Arial"/>
              </w:rPr>
              <w:t>$217,615</w:t>
            </w:r>
          </w:p>
        </w:tc>
        <w:tc>
          <w:tcPr>
            <w:tcW w:w="1836" w:type="dxa"/>
            <w:tcBorders>
              <w:bottom w:val="single" w:sz="4" w:space="0" w:color="000000" w:themeColor="text1"/>
            </w:tcBorders>
            <w:vAlign w:val="center"/>
          </w:tcPr>
          <w:p w:rsidR="001D0498" w:rsidRDefault="00C15A3D">
            <w:pPr>
              <w:jc w:val="center"/>
              <w:rPr>
                <w:rFonts w:ascii="Arial" w:hAnsi="Arial" w:cs="Arial"/>
              </w:rPr>
            </w:pPr>
            <w:r>
              <w:rPr>
                <w:rFonts w:ascii="Arial" w:hAnsi="Arial" w:cs="Arial"/>
              </w:rPr>
              <w:t>$238,477</w:t>
            </w:r>
          </w:p>
        </w:tc>
      </w:tr>
      <w:tr w:rsidR="001D0498">
        <w:trPr>
          <w:trHeight w:val="586"/>
        </w:trPr>
        <w:tc>
          <w:tcPr>
            <w:tcW w:w="1984" w:type="dxa"/>
            <w:tcBorders>
              <w:top w:val="single" w:sz="4" w:space="0" w:color="000000" w:themeColor="text1"/>
              <w:left w:val="nil"/>
              <w:bottom w:val="nil"/>
              <w:right w:val="single" w:sz="4" w:space="0" w:color="000000" w:themeColor="text1"/>
            </w:tcBorders>
          </w:tcPr>
          <w:p w:rsidR="001D0498" w:rsidRDefault="001D0498">
            <w:pPr>
              <w:rPr>
                <w:rFonts w:ascii="Arial" w:hAnsi="Arial" w:cs="Arial"/>
              </w:rPr>
            </w:pPr>
          </w:p>
        </w:tc>
        <w:tc>
          <w:tcPr>
            <w:tcW w:w="1701" w:type="dxa"/>
            <w:tcBorders>
              <w:left w:val="single" w:sz="4" w:space="0" w:color="000000" w:themeColor="text1"/>
            </w:tcBorders>
            <w:vAlign w:val="center"/>
          </w:tcPr>
          <w:p w:rsidR="001D0498" w:rsidRDefault="004164C9">
            <w:pPr>
              <w:jc w:val="center"/>
              <w:rPr>
                <w:rFonts w:ascii="Arial" w:hAnsi="Arial" w:cs="Arial"/>
              </w:rPr>
            </w:pPr>
            <w:r>
              <w:rPr>
                <w:rFonts w:ascii="Arial" w:hAnsi="Arial" w:cs="Arial"/>
              </w:rPr>
              <w:t>EO</w:t>
            </w:r>
          </w:p>
        </w:tc>
        <w:tc>
          <w:tcPr>
            <w:tcW w:w="1686" w:type="dxa"/>
            <w:tcBorders>
              <w:right w:val="single" w:sz="4" w:space="0" w:color="000000" w:themeColor="text1"/>
            </w:tcBorders>
            <w:vAlign w:val="center"/>
          </w:tcPr>
          <w:p w:rsidR="001D0498" w:rsidRDefault="004164C9">
            <w:pPr>
              <w:jc w:val="center"/>
              <w:rPr>
                <w:rFonts w:ascii="Arial" w:hAnsi="Arial" w:cs="Arial"/>
              </w:rPr>
            </w:pPr>
            <w:r>
              <w:rPr>
                <w:rFonts w:ascii="Arial" w:hAnsi="Arial" w:cs="Arial"/>
              </w:rPr>
              <w:t>$141,667</w:t>
            </w:r>
          </w:p>
        </w:tc>
        <w:tc>
          <w:tcPr>
            <w:tcW w:w="1835" w:type="dxa"/>
            <w:tcBorders>
              <w:top w:val="single" w:sz="4" w:space="0" w:color="000000" w:themeColor="text1"/>
              <w:left w:val="single" w:sz="4" w:space="0" w:color="000000" w:themeColor="text1"/>
              <w:bottom w:val="nil"/>
              <w:right w:val="nil"/>
            </w:tcBorders>
          </w:tcPr>
          <w:p w:rsidR="001D0498" w:rsidRDefault="001D0498">
            <w:pPr>
              <w:rPr>
                <w:rFonts w:ascii="Arial" w:hAnsi="Arial" w:cs="Arial"/>
              </w:rPr>
            </w:pPr>
          </w:p>
        </w:tc>
        <w:tc>
          <w:tcPr>
            <w:tcW w:w="1836" w:type="dxa"/>
            <w:tcBorders>
              <w:top w:val="single" w:sz="4" w:space="0" w:color="000000" w:themeColor="text1"/>
              <w:left w:val="nil"/>
              <w:bottom w:val="nil"/>
              <w:right w:val="nil"/>
            </w:tcBorders>
          </w:tcPr>
          <w:p w:rsidR="001D0498" w:rsidRDefault="001D0498">
            <w:pPr>
              <w:rPr>
                <w:rFonts w:ascii="Arial" w:hAnsi="Arial" w:cs="Arial"/>
              </w:rPr>
            </w:pPr>
          </w:p>
        </w:tc>
      </w:tr>
    </w:tbl>
    <w:p w:rsidR="001D0498" w:rsidRDefault="001D0498">
      <w:pPr>
        <w:ind w:left="360"/>
        <w:rPr>
          <w:rFonts w:ascii="Arial" w:hAnsi="Arial" w:cs="Arial"/>
          <w:sz w:val="20"/>
          <w:szCs w:val="20"/>
        </w:rPr>
      </w:pPr>
    </w:p>
    <w:p w:rsidR="00C91102" w:rsidRDefault="00C91102" w:rsidP="00C91102">
      <w:pPr>
        <w:ind w:left="360"/>
        <w:rPr>
          <w:rFonts w:ascii="Arial" w:hAnsi="Arial" w:cs="Arial"/>
        </w:rPr>
      </w:pPr>
      <w:r>
        <w:rPr>
          <w:rFonts w:ascii="Arial" w:hAnsi="Arial" w:cs="Arial"/>
        </w:rPr>
        <w:t>AS SIGNED BY THE MINISTER</w:t>
      </w:r>
    </w:p>
    <w:p w:rsidR="004164C9" w:rsidRPr="00024A02" w:rsidRDefault="004164C9" w:rsidP="004164C9">
      <w:pPr>
        <w:spacing w:after="0"/>
        <w:ind w:left="357"/>
        <w:rPr>
          <w:rFonts w:ascii="Arial" w:hAnsi="Arial" w:cs="Arial"/>
          <w:b/>
        </w:rPr>
      </w:pPr>
      <w:bookmarkStart w:id="0" w:name="_GoBack"/>
      <w:bookmarkEnd w:id="0"/>
      <w:r w:rsidRPr="00024A02">
        <w:rPr>
          <w:rFonts w:ascii="Arial" w:hAnsi="Arial" w:cs="Arial"/>
          <w:b/>
        </w:rPr>
        <w:t>The Hon. Peter Hall, MLC</w:t>
      </w:r>
    </w:p>
    <w:p w:rsidR="004164C9" w:rsidRDefault="004164C9" w:rsidP="00684A75">
      <w:pPr>
        <w:spacing w:after="0"/>
        <w:ind w:left="360"/>
        <w:rPr>
          <w:rFonts w:ascii="Arial" w:hAnsi="Arial" w:cs="Arial"/>
          <w:b/>
        </w:rPr>
      </w:pPr>
      <w:r w:rsidRPr="00024A02">
        <w:rPr>
          <w:rFonts w:ascii="Arial" w:hAnsi="Arial" w:cs="Arial"/>
          <w:b/>
        </w:rPr>
        <w:t>Minister for Higher Education and Skills</w:t>
      </w:r>
    </w:p>
    <w:p w:rsidR="00684A75" w:rsidRPr="00024A02" w:rsidRDefault="00684A75" w:rsidP="004164C9">
      <w:pPr>
        <w:ind w:left="360"/>
        <w:rPr>
          <w:rFonts w:ascii="Arial" w:hAnsi="Arial" w:cs="Arial"/>
          <w:b/>
        </w:rPr>
      </w:pPr>
    </w:p>
    <w:p w:rsidR="004164C9" w:rsidRPr="00262C03" w:rsidRDefault="004164C9" w:rsidP="004164C9">
      <w:pPr>
        <w:ind w:left="360"/>
        <w:rPr>
          <w:rFonts w:ascii="Times New Roman" w:hAnsi="Times New Roman" w:cs="Times New Roman"/>
          <w:color w:val="FF0000"/>
          <w:sz w:val="24"/>
          <w:szCs w:val="24"/>
        </w:rPr>
      </w:pPr>
      <w:r>
        <w:rPr>
          <w:rFonts w:ascii="Arial" w:hAnsi="Arial" w:cs="Arial"/>
        </w:rPr>
        <w:t>Dated</w:t>
      </w:r>
      <w:r w:rsidR="00395372">
        <w:rPr>
          <w:rFonts w:ascii="Arial" w:hAnsi="Arial" w:cs="Arial"/>
        </w:rPr>
        <w:t xml:space="preserve">: </w:t>
      </w:r>
      <w:r w:rsidR="004635DA">
        <w:rPr>
          <w:rFonts w:ascii="Arial" w:hAnsi="Arial" w:cs="Arial"/>
        </w:rPr>
        <w:t xml:space="preserve"> </w:t>
      </w:r>
      <w:r w:rsidR="00E66109">
        <w:rPr>
          <w:rFonts w:ascii="Arial" w:hAnsi="Arial" w:cs="Arial"/>
        </w:rPr>
        <w:t>21 DECEMBER 2012</w:t>
      </w:r>
    </w:p>
    <w:p w:rsidR="001D0498" w:rsidRDefault="001D0498">
      <w:pPr>
        <w:ind w:left="360"/>
        <w:rPr>
          <w:rFonts w:ascii="Times New Roman" w:hAnsi="Times New Roman" w:cs="Times New Roman"/>
          <w:sz w:val="24"/>
          <w:szCs w:val="24"/>
        </w:rPr>
      </w:pPr>
    </w:p>
    <w:sectPr w:rsidR="001D04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307A0"/>
    <w:multiLevelType w:val="hybridMultilevel"/>
    <w:tmpl w:val="184463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364A04"/>
    <w:multiLevelType w:val="hybridMultilevel"/>
    <w:tmpl w:val="184463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B3763"/>
    <w:multiLevelType w:val="hybridMultilevel"/>
    <w:tmpl w:val="745A0C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565A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98"/>
    <w:rsid w:val="001667A6"/>
    <w:rsid w:val="001D0498"/>
    <w:rsid w:val="00262C03"/>
    <w:rsid w:val="00395372"/>
    <w:rsid w:val="004164C9"/>
    <w:rsid w:val="004635DA"/>
    <w:rsid w:val="00594264"/>
    <w:rsid w:val="00684A75"/>
    <w:rsid w:val="007812CB"/>
    <w:rsid w:val="00867FF3"/>
    <w:rsid w:val="00BD0B3C"/>
    <w:rsid w:val="00C15A3D"/>
    <w:rsid w:val="00C91102"/>
    <w:rsid w:val="00E66109"/>
    <w:rsid w:val="00EF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74535">
      <w:bodyDiv w:val="1"/>
      <w:marLeft w:val="0"/>
      <w:marRight w:val="0"/>
      <w:marTop w:val="0"/>
      <w:marBottom w:val="0"/>
      <w:divBdr>
        <w:top w:val="none" w:sz="0" w:space="0" w:color="auto"/>
        <w:left w:val="none" w:sz="0" w:space="0" w:color="auto"/>
        <w:bottom w:val="none" w:sz="0" w:space="0" w:color="auto"/>
        <w:right w:val="none" w:sz="0" w:space="0" w:color="auto"/>
      </w:divBdr>
    </w:div>
    <w:div w:id="21217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96</Value>
      <Value>101</Value>
      <Value>129</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D843991-1C3B-401B-8096-158DBE5DAA56}"/>
</file>

<file path=customXml/itemProps2.xml><?xml version="1.0" encoding="utf-8"?>
<ds:datastoreItem xmlns:ds="http://schemas.openxmlformats.org/officeDocument/2006/customXml" ds:itemID="{056F60EA-F9AB-4D12-8591-4F79F190103A}"/>
</file>

<file path=customXml/itemProps3.xml><?xml version="1.0" encoding="utf-8"?>
<ds:datastoreItem xmlns:ds="http://schemas.openxmlformats.org/officeDocument/2006/customXml" ds:itemID="{FAFF8B48-5EB4-4FF4-85C0-9B8892DE92DA}"/>
</file>

<file path=customXml/itemProps4.xml><?xml version="1.0" encoding="utf-8"?>
<ds:datastoreItem xmlns:ds="http://schemas.openxmlformats.org/officeDocument/2006/customXml" ds:itemID="{DFD80B16-B938-4C69-839F-2D45C5B0DF36}"/>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BOX HILL INSTITUTE OF TAFE</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TO GOVERNING BOARDS OF ADULT EDUCATION INSTITUTIONS ON EXECUTIVE REMUNERATION AND CLASSIFICATION</dc:title>
  <dc:creator>paulw</dc:creator>
  <cp:lastModifiedBy>Kinnear, Caroline C</cp:lastModifiedBy>
  <cp:revision>3</cp:revision>
  <cp:lastPrinted>2011-09-06T22:11:00Z</cp:lastPrinted>
  <dcterms:created xsi:type="dcterms:W3CDTF">2013-02-20T00:54:00Z</dcterms:created>
  <dcterms:modified xsi:type="dcterms:W3CDTF">2013-02-20T00:54:00Z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101;#Page|eb523acf-a821-456c-a76b-7607578309d7</vt:lpwstr>
  </property>
  <property fmtid="{D5CDD505-2E9C-101B-9397-08002B2CF9AE}" pid="7" name="DEECD_Audience">
    <vt:lpwstr>129;#Students|a9021d24-53aa-4cc0-8f90-0782c94ea88b</vt:lpwstr>
  </property>
</Properties>
</file>