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551BE" w14:textId="77777777" w:rsidR="00B82559" w:rsidRDefault="00B82559" w:rsidP="00B82559">
      <w:pPr>
        <w:pStyle w:val="Covertitle"/>
      </w:pPr>
      <w:bookmarkStart w:id="0" w:name="_Hlk38454812"/>
      <w:bookmarkStart w:id="1" w:name="_GoBack"/>
      <w:bookmarkEnd w:id="1"/>
      <w:r>
        <w:t xml:space="preserve">STATEMENT OF EXPECTATIONS </w:t>
      </w:r>
    </w:p>
    <w:p w14:paraId="45FB28BF" w14:textId="77777777" w:rsidR="00B82559" w:rsidRDefault="00B82559" w:rsidP="00B82559">
      <w:pPr>
        <w:pStyle w:val="Covertitle"/>
      </w:pPr>
      <w:r>
        <w:t xml:space="preserve">EVALUATION REPORT: </w:t>
      </w:r>
    </w:p>
    <w:p w14:paraId="708C386A" w14:textId="77777777" w:rsidR="00735CCA" w:rsidRDefault="00735CCA" w:rsidP="00B82559">
      <w:pPr>
        <w:pStyle w:val="Covertitle"/>
      </w:pPr>
      <w:r>
        <w:t>VICTORIAN INSTITUTE OF TEACHING</w:t>
      </w:r>
    </w:p>
    <w:p w14:paraId="5F38E49B" w14:textId="759F843B" w:rsidR="00B82559" w:rsidRPr="00A63D55" w:rsidRDefault="00B82559" w:rsidP="00B82559">
      <w:pPr>
        <w:pStyle w:val="Covertitle"/>
      </w:pPr>
      <w:r>
        <w:t xml:space="preserve">2018-20 </w:t>
      </w:r>
      <w:r>
        <w:br/>
      </w:r>
    </w:p>
    <w:p w14:paraId="35ED7FE5" w14:textId="77777777" w:rsidR="00B82559" w:rsidRDefault="00B82559" w:rsidP="00B82559">
      <w:pPr>
        <w:pStyle w:val="Heading1"/>
        <w:sectPr w:rsidR="00B82559" w:rsidSect="006206A3">
          <w:headerReference w:type="default" r:id="rId13"/>
          <w:footerReference w:type="even" r:id="rId14"/>
          <w:footerReference w:type="default" r:id="rId15"/>
          <w:pgSz w:w="11900" w:h="16840"/>
          <w:pgMar w:top="992" w:right="1134" w:bottom="1701" w:left="1134" w:header="709" w:footer="709" w:gutter="0"/>
          <w:cols w:space="708"/>
          <w:docGrid w:linePitch="360"/>
        </w:sectPr>
      </w:pPr>
    </w:p>
    <w:p w14:paraId="735045DC" w14:textId="77777777" w:rsidR="00B82559" w:rsidRPr="00895870" w:rsidRDefault="00B82559" w:rsidP="00B82559">
      <w:pPr>
        <w:spacing w:after="40"/>
        <w:rPr>
          <w:rFonts w:cstheme="minorHAnsi"/>
          <w:b/>
          <w:color w:val="AF272F"/>
          <w:sz w:val="44"/>
          <w:szCs w:val="44"/>
        </w:rPr>
      </w:pPr>
      <w:r w:rsidRPr="00895870">
        <w:rPr>
          <w:rFonts w:cstheme="minorHAnsi"/>
          <w:b/>
          <w:color w:val="AF272F"/>
          <w:sz w:val="44"/>
          <w:szCs w:val="44"/>
        </w:rPr>
        <w:lastRenderedPageBreak/>
        <w:t>CONTENTS</w:t>
      </w:r>
    </w:p>
    <w:p w14:paraId="2301A386" w14:textId="742BEA88" w:rsidR="0026142C" w:rsidRDefault="00946C92">
      <w:pPr>
        <w:pStyle w:val="TOC1"/>
        <w:rPr>
          <w:rFonts w:asciiTheme="minorHAnsi" w:eastAsiaTheme="minorEastAsia" w:hAnsiTheme="minorHAnsi"/>
          <w:noProof/>
          <w:lang w:eastAsia="en-AU"/>
        </w:rPr>
      </w:pPr>
      <w:r>
        <w:fldChar w:fldCharType="begin"/>
      </w:r>
      <w:r>
        <w:instrText xml:space="preserve"> TOC \o "1-2" \h \z \u </w:instrText>
      </w:r>
      <w:r>
        <w:fldChar w:fldCharType="separate"/>
      </w:r>
      <w:hyperlink w:anchor="_Toc48559330" w:history="1">
        <w:r w:rsidR="0026142C" w:rsidRPr="00B86085">
          <w:rPr>
            <w:rStyle w:val="Hyperlink"/>
            <w:noProof/>
            <w14:scene3d>
              <w14:camera w14:prst="orthographicFront"/>
              <w14:lightRig w14:rig="threePt" w14:dir="t">
                <w14:rot w14:lat="0" w14:lon="0" w14:rev="0"/>
              </w14:lightRig>
            </w14:scene3d>
          </w:rPr>
          <w:t>1.</w:t>
        </w:r>
        <w:r w:rsidR="0026142C">
          <w:rPr>
            <w:rFonts w:asciiTheme="minorHAnsi" w:eastAsiaTheme="minorEastAsia" w:hAnsiTheme="minorHAnsi"/>
            <w:noProof/>
            <w:lang w:eastAsia="en-AU"/>
          </w:rPr>
          <w:tab/>
        </w:r>
        <w:r w:rsidR="0026142C" w:rsidRPr="00B86085">
          <w:rPr>
            <w:rStyle w:val="Hyperlink"/>
            <w:noProof/>
          </w:rPr>
          <w:t>GLOSSARY</w:t>
        </w:r>
        <w:r w:rsidR="0026142C">
          <w:rPr>
            <w:noProof/>
            <w:webHidden/>
          </w:rPr>
          <w:tab/>
        </w:r>
        <w:r w:rsidR="0026142C">
          <w:rPr>
            <w:noProof/>
            <w:webHidden/>
          </w:rPr>
          <w:fldChar w:fldCharType="begin"/>
        </w:r>
        <w:r w:rsidR="0026142C">
          <w:rPr>
            <w:noProof/>
            <w:webHidden/>
          </w:rPr>
          <w:instrText xml:space="preserve"> PAGEREF _Toc48559330 \h </w:instrText>
        </w:r>
        <w:r w:rsidR="0026142C">
          <w:rPr>
            <w:noProof/>
            <w:webHidden/>
          </w:rPr>
        </w:r>
        <w:r w:rsidR="0026142C">
          <w:rPr>
            <w:noProof/>
            <w:webHidden/>
          </w:rPr>
          <w:fldChar w:fldCharType="separate"/>
        </w:r>
        <w:r w:rsidR="0026142C">
          <w:rPr>
            <w:noProof/>
            <w:webHidden/>
          </w:rPr>
          <w:t>3</w:t>
        </w:r>
        <w:r w:rsidR="0026142C">
          <w:rPr>
            <w:noProof/>
            <w:webHidden/>
          </w:rPr>
          <w:fldChar w:fldCharType="end"/>
        </w:r>
      </w:hyperlink>
    </w:p>
    <w:p w14:paraId="10EB024E" w14:textId="29050E80" w:rsidR="0026142C" w:rsidRDefault="00CA12C7">
      <w:pPr>
        <w:pStyle w:val="TOC1"/>
        <w:rPr>
          <w:rFonts w:asciiTheme="minorHAnsi" w:eastAsiaTheme="minorEastAsia" w:hAnsiTheme="minorHAnsi"/>
          <w:noProof/>
          <w:lang w:eastAsia="en-AU"/>
        </w:rPr>
      </w:pPr>
      <w:hyperlink w:anchor="_Toc48559331" w:history="1">
        <w:r w:rsidR="0026142C" w:rsidRPr="00B86085">
          <w:rPr>
            <w:rStyle w:val="Hyperlink"/>
            <w:noProof/>
            <w14:scene3d>
              <w14:camera w14:prst="orthographicFront"/>
              <w14:lightRig w14:rig="threePt" w14:dir="t">
                <w14:rot w14:lat="0" w14:lon="0" w14:rev="0"/>
              </w14:lightRig>
            </w14:scene3d>
          </w:rPr>
          <w:t>2.</w:t>
        </w:r>
        <w:r w:rsidR="0026142C">
          <w:rPr>
            <w:rFonts w:asciiTheme="minorHAnsi" w:eastAsiaTheme="minorEastAsia" w:hAnsiTheme="minorHAnsi"/>
            <w:noProof/>
            <w:lang w:eastAsia="en-AU"/>
          </w:rPr>
          <w:tab/>
        </w:r>
        <w:r w:rsidR="0026142C" w:rsidRPr="00B86085">
          <w:rPr>
            <w:rStyle w:val="Hyperlink"/>
            <w:noProof/>
          </w:rPr>
          <w:t>EXECUTIVE SUMMARY</w:t>
        </w:r>
        <w:r w:rsidR="0026142C">
          <w:rPr>
            <w:noProof/>
            <w:webHidden/>
          </w:rPr>
          <w:tab/>
        </w:r>
        <w:r w:rsidR="0026142C">
          <w:rPr>
            <w:noProof/>
            <w:webHidden/>
          </w:rPr>
          <w:fldChar w:fldCharType="begin"/>
        </w:r>
        <w:r w:rsidR="0026142C">
          <w:rPr>
            <w:noProof/>
            <w:webHidden/>
          </w:rPr>
          <w:instrText xml:space="preserve"> PAGEREF _Toc48559331 \h </w:instrText>
        </w:r>
        <w:r w:rsidR="0026142C">
          <w:rPr>
            <w:noProof/>
            <w:webHidden/>
          </w:rPr>
        </w:r>
        <w:r w:rsidR="0026142C">
          <w:rPr>
            <w:noProof/>
            <w:webHidden/>
          </w:rPr>
          <w:fldChar w:fldCharType="separate"/>
        </w:r>
        <w:r w:rsidR="0026142C">
          <w:rPr>
            <w:noProof/>
            <w:webHidden/>
          </w:rPr>
          <w:t>4</w:t>
        </w:r>
        <w:r w:rsidR="0026142C">
          <w:rPr>
            <w:noProof/>
            <w:webHidden/>
          </w:rPr>
          <w:fldChar w:fldCharType="end"/>
        </w:r>
      </w:hyperlink>
    </w:p>
    <w:p w14:paraId="22C42DC6" w14:textId="25398AA2" w:rsidR="0026142C" w:rsidRDefault="00CA12C7">
      <w:pPr>
        <w:pStyle w:val="TOC1"/>
        <w:rPr>
          <w:rFonts w:asciiTheme="minorHAnsi" w:eastAsiaTheme="minorEastAsia" w:hAnsiTheme="minorHAnsi"/>
          <w:noProof/>
          <w:lang w:eastAsia="en-AU"/>
        </w:rPr>
      </w:pPr>
      <w:hyperlink w:anchor="_Toc48559332" w:history="1">
        <w:r w:rsidR="0026142C" w:rsidRPr="00B86085">
          <w:rPr>
            <w:rStyle w:val="Hyperlink"/>
            <w:noProof/>
            <w14:scene3d>
              <w14:camera w14:prst="orthographicFront"/>
              <w14:lightRig w14:rig="threePt" w14:dir="t">
                <w14:rot w14:lat="0" w14:lon="0" w14:rev="0"/>
              </w14:lightRig>
            </w14:scene3d>
          </w:rPr>
          <w:t>3.</w:t>
        </w:r>
        <w:r w:rsidR="0026142C">
          <w:rPr>
            <w:rFonts w:asciiTheme="minorHAnsi" w:eastAsiaTheme="minorEastAsia" w:hAnsiTheme="minorHAnsi"/>
            <w:noProof/>
            <w:lang w:eastAsia="en-AU"/>
          </w:rPr>
          <w:tab/>
        </w:r>
        <w:r w:rsidR="0026142C" w:rsidRPr="00B86085">
          <w:rPr>
            <w:rStyle w:val="Hyperlink"/>
            <w:noProof/>
          </w:rPr>
          <w:t>EVALUATION CONTEXT</w:t>
        </w:r>
        <w:r w:rsidR="0026142C">
          <w:rPr>
            <w:noProof/>
            <w:webHidden/>
          </w:rPr>
          <w:tab/>
        </w:r>
        <w:r w:rsidR="0026142C">
          <w:rPr>
            <w:noProof/>
            <w:webHidden/>
          </w:rPr>
          <w:fldChar w:fldCharType="begin"/>
        </w:r>
        <w:r w:rsidR="0026142C">
          <w:rPr>
            <w:noProof/>
            <w:webHidden/>
          </w:rPr>
          <w:instrText xml:space="preserve"> PAGEREF _Toc48559332 \h </w:instrText>
        </w:r>
        <w:r w:rsidR="0026142C">
          <w:rPr>
            <w:noProof/>
            <w:webHidden/>
          </w:rPr>
        </w:r>
        <w:r w:rsidR="0026142C">
          <w:rPr>
            <w:noProof/>
            <w:webHidden/>
          </w:rPr>
          <w:fldChar w:fldCharType="separate"/>
        </w:r>
        <w:r w:rsidR="0026142C">
          <w:rPr>
            <w:noProof/>
            <w:webHidden/>
          </w:rPr>
          <w:t>6</w:t>
        </w:r>
        <w:r w:rsidR="0026142C">
          <w:rPr>
            <w:noProof/>
            <w:webHidden/>
          </w:rPr>
          <w:fldChar w:fldCharType="end"/>
        </w:r>
      </w:hyperlink>
    </w:p>
    <w:p w14:paraId="5B1CCAB0" w14:textId="1ACC94C4" w:rsidR="0026142C" w:rsidRDefault="00CA12C7">
      <w:pPr>
        <w:pStyle w:val="TOC2"/>
        <w:rPr>
          <w:rFonts w:asciiTheme="minorHAnsi" w:eastAsiaTheme="minorEastAsia" w:hAnsiTheme="minorHAnsi"/>
          <w:noProof/>
          <w:lang w:eastAsia="en-AU"/>
        </w:rPr>
      </w:pPr>
      <w:hyperlink w:anchor="_Toc48559333" w:history="1">
        <w:r w:rsidR="0026142C" w:rsidRPr="00B86085">
          <w:rPr>
            <w:rStyle w:val="Hyperlink"/>
            <w:noProof/>
          </w:rPr>
          <w:t>STATEMENT OF EXPECTATIONS FRAMEWORK</w:t>
        </w:r>
        <w:r w:rsidR="0026142C">
          <w:rPr>
            <w:noProof/>
            <w:webHidden/>
          </w:rPr>
          <w:tab/>
        </w:r>
        <w:r w:rsidR="0026142C">
          <w:rPr>
            <w:noProof/>
            <w:webHidden/>
          </w:rPr>
          <w:fldChar w:fldCharType="begin"/>
        </w:r>
        <w:r w:rsidR="0026142C">
          <w:rPr>
            <w:noProof/>
            <w:webHidden/>
          </w:rPr>
          <w:instrText xml:space="preserve"> PAGEREF _Toc48559333 \h </w:instrText>
        </w:r>
        <w:r w:rsidR="0026142C">
          <w:rPr>
            <w:noProof/>
            <w:webHidden/>
          </w:rPr>
        </w:r>
        <w:r w:rsidR="0026142C">
          <w:rPr>
            <w:noProof/>
            <w:webHidden/>
          </w:rPr>
          <w:fldChar w:fldCharType="separate"/>
        </w:r>
        <w:r w:rsidR="0026142C">
          <w:rPr>
            <w:noProof/>
            <w:webHidden/>
          </w:rPr>
          <w:t>6</w:t>
        </w:r>
        <w:r w:rsidR="0026142C">
          <w:rPr>
            <w:noProof/>
            <w:webHidden/>
          </w:rPr>
          <w:fldChar w:fldCharType="end"/>
        </w:r>
      </w:hyperlink>
    </w:p>
    <w:p w14:paraId="7A989FE5" w14:textId="23C168A1" w:rsidR="0026142C" w:rsidRDefault="00CA12C7">
      <w:pPr>
        <w:pStyle w:val="TOC2"/>
        <w:rPr>
          <w:rFonts w:asciiTheme="minorHAnsi" w:eastAsiaTheme="minorEastAsia" w:hAnsiTheme="minorHAnsi"/>
          <w:noProof/>
          <w:lang w:eastAsia="en-AU"/>
        </w:rPr>
      </w:pPr>
      <w:hyperlink w:anchor="_Toc48559334" w:history="1">
        <w:r w:rsidR="0026142C" w:rsidRPr="00B86085">
          <w:rPr>
            <w:rStyle w:val="Hyperlink"/>
            <w:caps/>
            <w:noProof/>
          </w:rPr>
          <w:t>OVERVIEW OF THE VICTORIAN INSTITUTE OF TEACHING</w:t>
        </w:r>
        <w:r w:rsidR="0026142C">
          <w:rPr>
            <w:noProof/>
            <w:webHidden/>
          </w:rPr>
          <w:tab/>
        </w:r>
        <w:r w:rsidR="0026142C">
          <w:rPr>
            <w:noProof/>
            <w:webHidden/>
          </w:rPr>
          <w:fldChar w:fldCharType="begin"/>
        </w:r>
        <w:r w:rsidR="0026142C">
          <w:rPr>
            <w:noProof/>
            <w:webHidden/>
          </w:rPr>
          <w:instrText xml:space="preserve"> PAGEREF _Toc48559334 \h </w:instrText>
        </w:r>
        <w:r w:rsidR="0026142C">
          <w:rPr>
            <w:noProof/>
            <w:webHidden/>
          </w:rPr>
        </w:r>
        <w:r w:rsidR="0026142C">
          <w:rPr>
            <w:noProof/>
            <w:webHidden/>
          </w:rPr>
          <w:fldChar w:fldCharType="separate"/>
        </w:r>
        <w:r w:rsidR="0026142C">
          <w:rPr>
            <w:noProof/>
            <w:webHidden/>
          </w:rPr>
          <w:t>6</w:t>
        </w:r>
        <w:r w:rsidR="0026142C">
          <w:rPr>
            <w:noProof/>
            <w:webHidden/>
          </w:rPr>
          <w:fldChar w:fldCharType="end"/>
        </w:r>
      </w:hyperlink>
    </w:p>
    <w:p w14:paraId="4C3B0BDA" w14:textId="7C7A151E" w:rsidR="0026142C" w:rsidRDefault="00CA12C7">
      <w:pPr>
        <w:pStyle w:val="TOC2"/>
        <w:rPr>
          <w:rFonts w:asciiTheme="minorHAnsi" w:eastAsiaTheme="minorEastAsia" w:hAnsiTheme="minorHAnsi"/>
          <w:noProof/>
          <w:lang w:eastAsia="en-AU"/>
        </w:rPr>
      </w:pPr>
      <w:hyperlink w:anchor="_Toc48559335" w:history="1">
        <w:r w:rsidR="0026142C" w:rsidRPr="00B86085">
          <w:rPr>
            <w:rStyle w:val="Hyperlink"/>
            <w:caps/>
            <w:noProof/>
          </w:rPr>
          <w:t>PURPOSE OF THE EVALUATION</w:t>
        </w:r>
        <w:r w:rsidR="0026142C">
          <w:rPr>
            <w:noProof/>
            <w:webHidden/>
          </w:rPr>
          <w:tab/>
        </w:r>
        <w:r w:rsidR="0026142C">
          <w:rPr>
            <w:noProof/>
            <w:webHidden/>
          </w:rPr>
          <w:fldChar w:fldCharType="begin"/>
        </w:r>
        <w:r w:rsidR="0026142C">
          <w:rPr>
            <w:noProof/>
            <w:webHidden/>
          </w:rPr>
          <w:instrText xml:space="preserve"> PAGEREF _Toc48559335 \h </w:instrText>
        </w:r>
        <w:r w:rsidR="0026142C">
          <w:rPr>
            <w:noProof/>
            <w:webHidden/>
          </w:rPr>
        </w:r>
        <w:r w:rsidR="0026142C">
          <w:rPr>
            <w:noProof/>
            <w:webHidden/>
          </w:rPr>
          <w:fldChar w:fldCharType="separate"/>
        </w:r>
        <w:r w:rsidR="0026142C">
          <w:rPr>
            <w:noProof/>
            <w:webHidden/>
          </w:rPr>
          <w:t>6</w:t>
        </w:r>
        <w:r w:rsidR="0026142C">
          <w:rPr>
            <w:noProof/>
            <w:webHidden/>
          </w:rPr>
          <w:fldChar w:fldCharType="end"/>
        </w:r>
      </w:hyperlink>
    </w:p>
    <w:p w14:paraId="1042872F" w14:textId="6B8F12F3" w:rsidR="0026142C" w:rsidRDefault="00CA12C7">
      <w:pPr>
        <w:pStyle w:val="TOC2"/>
        <w:rPr>
          <w:rFonts w:asciiTheme="minorHAnsi" w:eastAsiaTheme="minorEastAsia" w:hAnsiTheme="minorHAnsi"/>
          <w:noProof/>
          <w:lang w:eastAsia="en-AU"/>
        </w:rPr>
      </w:pPr>
      <w:hyperlink w:anchor="_Toc48559336" w:history="1">
        <w:r w:rsidR="0026142C" w:rsidRPr="00B86085">
          <w:rPr>
            <w:rStyle w:val="Hyperlink"/>
            <w:noProof/>
          </w:rPr>
          <w:t>APPROACH TO THE OUTCOME EVALUATION</w:t>
        </w:r>
        <w:r w:rsidR="0026142C">
          <w:rPr>
            <w:noProof/>
            <w:webHidden/>
          </w:rPr>
          <w:tab/>
        </w:r>
        <w:r w:rsidR="0026142C">
          <w:rPr>
            <w:noProof/>
            <w:webHidden/>
          </w:rPr>
          <w:fldChar w:fldCharType="begin"/>
        </w:r>
        <w:r w:rsidR="0026142C">
          <w:rPr>
            <w:noProof/>
            <w:webHidden/>
          </w:rPr>
          <w:instrText xml:space="preserve"> PAGEREF _Toc48559336 \h </w:instrText>
        </w:r>
        <w:r w:rsidR="0026142C">
          <w:rPr>
            <w:noProof/>
            <w:webHidden/>
          </w:rPr>
        </w:r>
        <w:r w:rsidR="0026142C">
          <w:rPr>
            <w:noProof/>
            <w:webHidden/>
          </w:rPr>
          <w:fldChar w:fldCharType="separate"/>
        </w:r>
        <w:r w:rsidR="0026142C">
          <w:rPr>
            <w:noProof/>
            <w:webHidden/>
          </w:rPr>
          <w:t>7</w:t>
        </w:r>
        <w:r w:rsidR="0026142C">
          <w:rPr>
            <w:noProof/>
            <w:webHidden/>
          </w:rPr>
          <w:fldChar w:fldCharType="end"/>
        </w:r>
      </w:hyperlink>
    </w:p>
    <w:p w14:paraId="6348D982" w14:textId="304A994E" w:rsidR="0026142C" w:rsidRDefault="00CA12C7">
      <w:pPr>
        <w:pStyle w:val="TOC2"/>
        <w:rPr>
          <w:rFonts w:asciiTheme="minorHAnsi" w:eastAsiaTheme="minorEastAsia" w:hAnsiTheme="minorHAnsi"/>
          <w:noProof/>
          <w:lang w:eastAsia="en-AU"/>
        </w:rPr>
      </w:pPr>
      <w:hyperlink w:anchor="_Toc48559337" w:history="1">
        <w:r w:rsidR="0026142C" w:rsidRPr="00B86085">
          <w:rPr>
            <w:rStyle w:val="Hyperlink"/>
            <w:caps/>
            <w:noProof/>
          </w:rPr>
          <w:t>APPROACH TO PROCESS EVALUATION</w:t>
        </w:r>
        <w:r w:rsidR="0026142C">
          <w:rPr>
            <w:noProof/>
            <w:webHidden/>
          </w:rPr>
          <w:tab/>
        </w:r>
        <w:r w:rsidR="0026142C">
          <w:rPr>
            <w:noProof/>
            <w:webHidden/>
          </w:rPr>
          <w:fldChar w:fldCharType="begin"/>
        </w:r>
        <w:r w:rsidR="0026142C">
          <w:rPr>
            <w:noProof/>
            <w:webHidden/>
          </w:rPr>
          <w:instrText xml:space="preserve"> PAGEREF _Toc48559337 \h </w:instrText>
        </w:r>
        <w:r w:rsidR="0026142C">
          <w:rPr>
            <w:noProof/>
            <w:webHidden/>
          </w:rPr>
        </w:r>
        <w:r w:rsidR="0026142C">
          <w:rPr>
            <w:noProof/>
            <w:webHidden/>
          </w:rPr>
          <w:fldChar w:fldCharType="separate"/>
        </w:r>
        <w:r w:rsidR="0026142C">
          <w:rPr>
            <w:noProof/>
            <w:webHidden/>
          </w:rPr>
          <w:t>7</w:t>
        </w:r>
        <w:r w:rsidR="0026142C">
          <w:rPr>
            <w:noProof/>
            <w:webHidden/>
          </w:rPr>
          <w:fldChar w:fldCharType="end"/>
        </w:r>
      </w:hyperlink>
    </w:p>
    <w:p w14:paraId="7CCD3C58" w14:textId="23BFFE2A" w:rsidR="0026142C" w:rsidRDefault="00CA12C7">
      <w:pPr>
        <w:pStyle w:val="TOC1"/>
        <w:rPr>
          <w:rFonts w:asciiTheme="minorHAnsi" w:eastAsiaTheme="minorEastAsia" w:hAnsiTheme="minorHAnsi"/>
          <w:noProof/>
          <w:lang w:eastAsia="en-AU"/>
        </w:rPr>
      </w:pPr>
      <w:hyperlink w:anchor="_Toc48559338" w:history="1">
        <w:r w:rsidR="0026142C" w:rsidRPr="00B86085">
          <w:rPr>
            <w:rStyle w:val="Hyperlink"/>
            <w:noProof/>
            <w14:scene3d>
              <w14:camera w14:prst="orthographicFront"/>
              <w14:lightRig w14:rig="threePt" w14:dir="t">
                <w14:rot w14:lat="0" w14:lon="0" w14:rev="0"/>
              </w14:lightRig>
            </w14:scene3d>
          </w:rPr>
          <w:t>4.</w:t>
        </w:r>
        <w:r w:rsidR="0026142C">
          <w:rPr>
            <w:rFonts w:asciiTheme="minorHAnsi" w:eastAsiaTheme="minorEastAsia" w:hAnsiTheme="minorHAnsi"/>
            <w:noProof/>
            <w:lang w:eastAsia="en-AU"/>
          </w:rPr>
          <w:tab/>
        </w:r>
        <w:r w:rsidR="0026142C" w:rsidRPr="00B86085">
          <w:rPr>
            <w:rStyle w:val="Hyperlink"/>
            <w:noProof/>
          </w:rPr>
          <w:t>OUTCOME EVALUATION</w:t>
        </w:r>
        <w:r w:rsidR="0026142C">
          <w:rPr>
            <w:noProof/>
            <w:webHidden/>
          </w:rPr>
          <w:tab/>
        </w:r>
        <w:r w:rsidR="0026142C">
          <w:rPr>
            <w:noProof/>
            <w:webHidden/>
          </w:rPr>
          <w:fldChar w:fldCharType="begin"/>
        </w:r>
        <w:r w:rsidR="0026142C">
          <w:rPr>
            <w:noProof/>
            <w:webHidden/>
          </w:rPr>
          <w:instrText xml:space="preserve"> PAGEREF _Toc48559338 \h </w:instrText>
        </w:r>
        <w:r w:rsidR="0026142C">
          <w:rPr>
            <w:noProof/>
            <w:webHidden/>
          </w:rPr>
        </w:r>
        <w:r w:rsidR="0026142C">
          <w:rPr>
            <w:noProof/>
            <w:webHidden/>
          </w:rPr>
          <w:fldChar w:fldCharType="separate"/>
        </w:r>
        <w:r w:rsidR="0026142C">
          <w:rPr>
            <w:noProof/>
            <w:webHidden/>
          </w:rPr>
          <w:t>9</w:t>
        </w:r>
        <w:r w:rsidR="0026142C">
          <w:rPr>
            <w:noProof/>
            <w:webHidden/>
          </w:rPr>
          <w:fldChar w:fldCharType="end"/>
        </w:r>
      </w:hyperlink>
    </w:p>
    <w:p w14:paraId="6891004A" w14:textId="7ED21624" w:rsidR="0026142C" w:rsidRDefault="00CA12C7">
      <w:pPr>
        <w:pStyle w:val="TOC2"/>
        <w:rPr>
          <w:rFonts w:asciiTheme="minorHAnsi" w:eastAsiaTheme="minorEastAsia" w:hAnsiTheme="minorHAnsi"/>
          <w:noProof/>
          <w:lang w:eastAsia="en-AU"/>
        </w:rPr>
      </w:pPr>
      <w:hyperlink w:anchor="_Toc48559339" w:history="1">
        <w:r w:rsidR="0026142C" w:rsidRPr="00B86085">
          <w:rPr>
            <w:rStyle w:val="Hyperlink"/>
            <w:noProof/>
          </w:rPr>
          <w:t>EFFECTIVE REGULATION – TIMELINESS DATA</w:t>
        </w:r>
        <w:r w:rsidR="0026142C">
          <w:rPr>
            <w:noProof/>
            <w:webHidden/>
          </w:rPr>
          <w:tab/>
        </w:r>
        <w:r w:rsidR="0026142C">
          <w:rPr>
            <w:noProof/>
            <w:webHidden/>
          </w:rPr>
          <w:fldChar w:fldCharType="begin"/>
        </w:r>
        <w:r w:rsidR="0026142C">
          <w:rPr>
            <w:noProof/>
            <w:webHidden/>
          </w:rPr>
          <w:instrText xml:space="preserve"> PAGEREF _Toc48559339 \h </w:instrText>
        </w:r>
        <w:r w:rsidR="0026142C">
          <w:rPr>
            <w:noProof/>
            <w:webHidden/>
          </w:rPr>
        </w:r>
        <w:r w:rsidR="0026142C">
          <w:rPr>
            <w:noProof/>
            <w:webHidden/>
          </w:rPr>
          <w:fldChar w:fldCharType="separate"/>
        </w:r>
        <w:r w:rsidR="0026142C">
          <w:rPr>
            <w:noProof/>
            <w:webHidden/>
          </w:rPr>
          <w:t>9</w:t>
        </w:r>
        <w:r w:rsidR="0026142C">
          <w:rPr>
            <w:noProof/>
            <w:webHidden/>
          </w:rPr>
          <w:fldChar w:fldCharType="end"/>
        </w:r>
      </w:hyperlink>
    </w:p>
    <w:p w14:paraId="1DC50EB2" w14:textId="33483740" w:rsidR="0026142C" w:rsidRDefault="00CA12C7">
      <w:pPr>
        <w:pStyle w:val="TOC2"/>
        <w:rPr>
          <w:rFonts w:asciiTheme="minorHAnsi" w:eastAsiaTheme="minorEastAsia" w:hAnsiTheme="minorHAnsi"/>
          <w:noProof/>
          <w:lang w:eastAsia="en-AU"/>
        </w:rPr>
      </w:pPr>
      <w:hyperlink w:anchor="_Toc48559340" w:history="1">
        <w:r w:rsidR="0026142C" w:rsidRPr="00B86085">
          <w:rPr>
            <w:rStyle w:val="Hyperlink"/>
            <w:caps/>
            <w:noProof/>
          </w:rPr>
          <w:t>TEACHER QUALITY AND EDUCATION</w:t>
        </w:r>
        <w:r w:rsidR="0026142C" w:rsidRPr="00B86085">
          <w:rPr>
            <w:rStyle w:val="Hyperlink"/>
            <w:noProof/>
          </w:rPr>
          <w:t xml:space="preserve"> – RISK-BASED STRATEGIES DATA</w:t>
        </w:r>
        <w:r w:rsidR="0026142C">
          <w:rPr>
            <w:noProof/>
            <w:webHidden/>
          </w:rPr>
          <w:tab/>
        </w:r>
        <w:r w:rsidR="0026142C">
          <w:rPr>
            <w:noProof/>
            <w:webHidden/>
          </w:rPr>
          <w:fldChar w:fldCharType="begin"/>
        </w:r>
        <w:r w:rsidR="0026142C">
          <w:rPr>
            <w:noProof/>
            <w:webHidden/>
          </w:rPr>
          <w:instrText xml:space="preserve"> PAGEREF _Toc48559340 \h </w:instrText>
        </w:r>
        <w:r w:rsidR="0026142C">
          <w:rPr>
            <w:noProof/>
            <w:webHidden/>
          </w:rPr>
        </w:r>
        <w:r w:rsidR="0026142C">
          <w:rPr>
            <w:noProof/>
            <w:webHidden/>
          </w:rPr>
          <w:fldChar w:fldCharType="separate"/>
        </w:r>
        <w:r w:rsidR="0026142C">
          <w:rPr>
            <w:noProof/>
            <w:webHidden/>
          </w:rPr>
          <w:t>11</w:t>
        </w:r>
        <w:r w:rsidR="0026142C">
          <w:rPr>
            <w:noProof/>
            <w:webHidden/>
          </w:rPr>
          <w:fldChar w:fldCharType="end"/>
        </w:r>
      </w:hyperlink>
    </w:p>
    <w:p w14:paraId="2BD18726" w14:textId="341CCAA4" w:rsidR="0026142C" w:rsidRDefault="00CA12C7">
      <w:pPr>
        <w:pStyle w:val="TOC2"/>
        <w:rPr>
          <w:rFonts w:asciiTheme="minorHAnsi" w:eastAsiaTheme="minorEastAsia" w:hAnsiTheme="minorHAnsi"/>
          <w:noProof/>
          <w:lang w:eastAsia="en-AU"/>
        </w:rPr>
      </w:pPr>
      <w:hyperlink w:anchor="_Toc48559341" w:history="1">
        <w:r w:rsidR="0026142C" w:rsidRPr="00B86085">
          <w:rPr>
            <w:rStyle w:val="Hyperlink"/>
            <w:caps/>
            <w:noProof/>
          </w:rPr>
          <w:t xml:space="preserve">TEACHER QUALITY AND EDUCATION </w:t>
        </w:r>
        <w:r w:rsidR="0026142C" w:rsidRPr="00B86085">
          <w:rPr>
            <w:rStyle w:val="Hyperlink"/>
            <w:noProof/>
          </w:rPr>
          <w:t>–</w:t>
        </w:r>
        <w:r w:rsidR="0026142C" w:rsidRPr="00B86085">
          <w:rPr>
            <w:rStyle w:val="Hyperlink"/>
            <w:caps/>
            <w:noProof/>
          </w:rPr>
          <w:t xml:space="preserve"> COMPLIANCE-RELATED ASSISTANCE AND ADVICE DATA</w:t>
        </w:r>
        <w:r w:rsidR="0026142C">
          <w:rPr>
            <w:noProof/>
            <w:webHidden/>
          </w:rPr>
          <w:tab/>
        </w:r>
        <w:r w:rsidR="0026142C">
          <w:rPr>
            <w:noProof/>
            <w:webHidden/>
          </w:rPr>
          <w:fldChar w:fldCharType="begin"/>
        </w:r>
        <w:r w:rsidR="0026142C">
          <w:rPr>
            <w:noProof/>
            <w:webHidden/>
          </w:rPr>
          <w:instrText xml:space="preserve"> PAGEREF _Toc48559341 \h </w:instrText>
        </w:r>
        <w:r w:rsidR="0026142C">
          <w:rPr>
            <w:noProof/>
            <w:webHidden/>
          </w:rPr>
        </w:r>
        <w:r w:rsidR="0026142C">
          <w:rPr>
            <w:noProof/>
            <w:webHidden/>
          </w:rPr>
          <w:fldChar w:fldCharType="separate"/>
        </w:r>
        <w:r w:rsidR="0026142C">
          <w:rPr>
            <w:noProof/>
            <w:webHidden/>
          </w:rPr>
          <w:t>14</w:t>
        </w:r>
        <w:r w:rsidR="0026142C">
          <w:rPr>
            <w:noProof/>
            <w:webHidden/>
          </w:rPr>
          <w:fldChar w:fldCharType="end"/>
        </w:r>
      </w:hyperlink>
    </w:p>
    <w:p w14:paraId="203A9765" w14:textId="6375FF53" w:rsidR="0026142C" w:rsidRDefault="00CA12C7">
      <w:pPr>
        <w:pStyle w:val="TOC2"/>
        <w:rPr>
          <w:rFonts w:asciiTheme="minorHAnsi" w:eastAsiaTheme="minorEastAsia" w:hAnsiTheme="minorHAnsi"/>
          <w:noProof/>
          <w:lang w:eastAsia="en-AU"/>
        </w:rPr>
      </w:pPr>
      <w:hyperlink w:anchor="_Toc48559342" w:history="1">
        <w:r w:rsidR="0026142C" w:rsidRPr="00B86085">
          <w:rPr>
            <w:rStyle w:val="Hyperlink"/>
            <w:noProof/>
          </w:rPr>
          <w:t>SECTOR COMMUNICATION – STAKEHOLDER CONSULTATION AND ENGAGEMENT DATA</w:t>
        </w:r>
        <w:r w:rsidR="0026142C">
          <w:rPr>
            <w:noProof/>
            <w:webHidden/>
          </w:rPr>
          <w:tab/>
        </w:r>
        <w:r w:rsidR="0026142C">
          <w:rPr>
            <w:noProof/>
            <w:webHidden/>
          </w:rPr>
          <w:fldChar w:fldCharType="begin"/>
        </w:r>
        <w:r w:rsidR="0026142C">
          <w:rPr>
            <w:noProof/>
            <w:webHidden/>
          </w:rPr>
          <w:instrText xml:space="preserve"> PAGEREF _Toc48559342 \h </w:instrText>
        </w:r>
        <w:r w:rsidR="0026142C">
          <w:rPr>
            <w:noProof/>
            <w:webHidden/>
          </w:rPr>
        </w:r>
        <w:r w:rsidR="0026142C">
          <w:rPr>
            <w:noProof/>
            <w:webHidden/>
          </w:rPr>
          <w:fldChar w:fldCharType="separate"/>
        </w:r>
        <w:r w:rsidR="0026142C">
          <w:rPr>
            <w:noProof/>
            <w:webHidden/>
          </w:rPr>
          <w:t>17</w:t>
        </w:r>
        <w:r w:rsidR="0026142C">
          <w:rPr>
            <w:noProof/>
            <w:webHidden/>
          </w:rPr>
          <w:fldChar w:fldCharType="end"/>
        </w:r>
      </w:hyperlink>
    </w:p>
    <w:p w14:paraId="02CEC853" w14:textId="445AB801" w:rsidR="0026142C" w:rsidRDefault="00CA12C7">
      <w:pPr>
        <w:pStyle w:val="TOC2"/>
        <w:rPr>
          <w:rFonts w:asciiTheme="minorHAnsi" w:eastAsiaTheme="minorEastAsia" w:hAnsiTheme="minorHAnsi"/>
          <w:noProof/>
          <w:lang w:eastAsia="en-AU"/>
        </w:rPr>
      </w:pPr>
      <w:hyperlink w:anchor="_Toc48559343" w:history="1">
        <w:r w:rsidR="0026142C" w:rsidRPr="00B86085">
          <w:rPr>
            <w:rStyle w:val="Hyperlink"/>
            <w:noProof/>
          </w:rPr>
          <w:t>CHILD SAFETY – ROLE CLARITY DATA</w:t>
        </w:r>
        <w:r w:rsidR="0026142C">
          <w:rPr>
            <w:noProof/>
            <w:webHidden/>
          </w:rPr>
          <w:tab/>
        </w:r>
        <w:r w:rsidR="0026142C">
          <w:rPr>
            <w:noProof/>
            <w:webHidden/>
          </w:rPr>
          <w:fldChar w:fldCharType="begin"/>
        </w:r>
        <w:r w:rsidR="0026142C">
          <w:rPr>
            <w:noProof/>
            <w:webHidden/>
          </w:rPr>
          <w:instrText xml:space="preserve"> PAGEREF _Toc48559343 \h </w:instrText>
        </w:r>
        <w:r w:rsidR="0026142C">
          <w:rPr>
            <w:noProof/>
            <w:webHidden/>
          </w:rPr>
        </w:r>
        <w:r w:rsidR="0026142C">
          <w:rPr>
            <w:noProof/>
            <w:webHidden/>
          </w:rPr>
          <w:fldChar w:fldCharType="separate"/>
        </w:r>
        <w:r w:rsidR="0026142C">
          <w:rPr>
            <w:noProof/>
            <w:webHidden/>
          </w:rPr>
          <w:t>20</w:t>
        </w:r>
        <w:r w:rsidR="0026142C">
          <w:rPr>
            <w:noProof/>
            <w:webHidden/>
          </w:rPr>
          <w:fldChar w:fldCharType="end"/>
        </w:r>
      </w:hyperlink>
    </w:p>
    <w:p w14:paraId="51E7C855" w14:textId="477E884E" w:rsidR="0026142C" w:rsidRDefault="00CA12C7">
      <w:pPr>
        <w:pStyle w:val="TOC2"/>
        <w:rPr>
          <w:rFonts w:asciiTheme="minorHAnsi" w:eastAsiaTheme="minorEastAsia" w:hAnsiTheme="minorHAnsi"/>
          <w:noProof/>
          <w:lang w:eastAsia="en-AU"/>
        </w:rPr>
      </w:pPr>
      <w:hyperlink w:anchor="_Toc48559344" w:history="1">
        <w:r w:rsidR="0026142C" w:rsidRPr="00B86085">
          <w:rPr>
            <w:rStyle w:val="Hyperlink"/>
            <w:noProof/>
          </w:rPr>
          <w:t>CHILD SAFETY – COOPERATION AMONGST REGULATORS DATA</w:t>
        </w:r>
        <w:r w:rsidR="0026142C">
          <w:rPr>
            <w:noProof/>
            <w:webHidden/>
          </w:rPr>
          <w:tab/>
        </w:r>
        <w:r w:rsidR="0026142C">
          <w:rPr>
            <w:noProof/>
            <w:webHidden/>
          </w:rPr>
          <w:fldChar w:fldCharType="begin"/>
        </w:r>
        <w:r w:rsidR="0026142C">
          <w:rPr>
            <w:noProof/>
            <w:webHidden/>
          </w:rPr>
          <w:instrText xml:space="preserve"> PAGEREF _Toc48559344 \h </w:instrText>
        </w:r>
        <w:r w:rsidR="0026142C">
          <w:rPr>
            <w:noProof/>
            <w:webHidden/>
          </w:rPr>
        </w:r>
        <w:r w:rsidR="0026142C">
          <w:rPr>
            <w:noProof/>
            <w:webHidden/>
          </w:rPr>
          <w:fldChar w:fldCharType="separate"/>
        </w:r>
        <w:r w:rsidR="0026142C">
          <w:rPr>
            <w:noProof/>
            <w:webHidden/>
          </w:rPr>
          <w:t>23</w:t>
        </w:r>
        <w:r w:rsidR="0026142C">
          <w:rPr>
            <w:noProof/>
            <w:webHidden/>
          </w:rPr>
          <w:fldChar w:fldCharType="end"/>
        </w:r>
      </w:hyperlink>
    </w:p>
    <w:p w14:paraId="43FD36DA" w14:textId="0B64C7B1" w:rsidR="0026142C" w:rsidRDefault="00CA12C7">
      <w:pPr>
        <w:pStyle w:val="TOC1"/>
        <w:rPr>
          <w:rFonts w:asciiTheme="minorHAnsi" w:eastAsiaTheme="minorEastAsia" w:hAnsiTheme="minorHAnsi"/>
          <w:noProof/>
          <w:lang w:eastAsia="en-AU"/>
        </w:rPr>
      </w:pPr>
      <w:hyperlink w:anchor="_Toc48559345" w:history="1">
        <w:r w:rsidR="0026142C" w:rsidRPr="00B86085">
          <w:rPr>
            <w:rStyle w:val="Hyperlink"/>
            <w:noProof/>
            <w14:scene3d>
              <w14:camera w14:prst="orthographicFront"/>
              <w14:lightRig w14:rig="threePt" w14:dir="t">
                <w14:rot w14:lat="0" w14:lon="0" w14:rev="0"/>
              </w14:lightRig>
            </w14:scene3d>
          </w:rPr>
          <w:t>5.</w:t>
        </w:r>
        <w:r w:rsidR="0026142C">
          <w:rPr>
            <w:rFonts w:asciiTheme="minorHAnsi" w:eastAsiaTheme="minorEastAsia" w:hAnsiTheme="minorHAnsi"/>
            <w:noProof/>
            <w:lang w:eastAsia="en-AU"/>
          </w:rPr>
          <w:tab/>
        </w:r>
        <w:r w:rsidR="0026142C" w:rsidRPr="00B86085">
          <w:rPr>
            <w:rStyle w:val="Hyperlink"/>
            <w:noProof/>
          </w:rPr>
          <w:t>PROCESS EVALUATION</w:t>
        </w:r>
        <w:r w:rsidR="0026142C">
          <w:rPr>
            <w:noProof/>
            <w:webHidden/>
          </w:rPr>
          <w:tab/>
        </w:r>
        <w:r w:rsidR="0026142C">
          <w:rPr>
            <w:noProof/>
            <w:webHidden/>
          </w:rPr>
          <w:fldChar w:fldCharType="begin"/>
        </w:r>
        <w:r w:rsidR="0026142C">
          <w:rPr>
            <w:noProof/>
            <w:webHidden/>
          </w:rPr>
          <w:instrText xml:space="preserve"> PAGEREF _Toc48559345 \h </w:instrText>
        </w:r>
        <w:r w:rsidR="0026142C">
          <w:rPr>
            <w:noProof/>
            <w:webHidden/>
          </w:rPr>
        </w:r>
        <w:r w:rsidR="0026142C">
          <w:rPr>
            <w:noProof/>
            <w:webHidden/>
          </w:rPr>
          <w:fldChar w:fldCharType="separate"/>
        </w:r>
        <w:r w:rsidR="0026142C">
          <w:rPr>
            <w:noProof/>
            <w:webHidden/>
          </w:rPr>
          <w:t>26</w:t>
        </w:r>
        <w:r w:rsidR="0026142C">
          <w:rPr>
            <w:noProof/>
            <w:webHidden/>
          </w:rPr>
          <w:fldChar w:fldCharType="end"/>
        </w:r>
      </w:hyperlink>
    </w:p>
    <w:p w14:paraId="642E2F19" w14:textId="06F8BAF0" w:rsidR="0026142C" w:rsidRDefault="00CA12C7">
      <w:pPr>
        <w:pStyle w:val="TOC2"/>
        <w:rPr>
          <w:rFonts w:asciiTheme="minorHAnsi" w:eastAsiaTheme="minorEastAsia" w:hAnsiTheme="minorHAnsi"/>
          <w:noProof/>
          <w:lang w:eastAsia="en-AU"/>
        </w:rPr>
      </w:pPr>
      <w:hyperlink w:anchor="_Toc48559346" w:history="1">
        <w:r w:rsidR="0026142C" w:rsidRPr="00B86085">
          <w:rPr>
            <w:rStyle w:val="Hyperlink"/>
            <w:noProof/>
          </w:rPr>
          <w:t>SOE DEVELOPMENT – SUMMARY OF FINDINGS</w:t>
        </w:r>
        <w:r w:rsidR="0026142C">
          <w:rPr>
            <w:noProof/>
            <w:webHidden/>
          </w:rPr>
          <w:tab/>
        </w:r>
        <w:r w:rsidR="0026142C">
          <w:rPr>
            <w:noProof/>
            <w:webHidden/>
          </w:rPr>
          <w:fldChar w:fldCharType="begin"/>
        </w:r>
        <w:r w:rsidR="0026142C">
          <w:rPr>
            <w:noProof/>
            <w:webHidden/>
          </w:rPr>
          <w:instrText xml:space="preserve"> PAGEREF _Toc48559346 \h </w:instrText>
        </w:r>
        <w:r w:rsidR="0026142C">
          <w:rPr>
            <w:noProof/>
            <w:webHidden/>
          </w:rPr>
        </w:r>
        <w:r w:rsidR="0026142C">
          <w:rPr>
            <w:noProof/>
            <w:webHidden/>
          </w:rPr>
          <w:fldChar w:fldCharType="separate"/>
        </w:r>
        <w:r w:rsidR="0026142C">
          <w:rPr>
            <w:noProof/>
            <w:webHidden/>
          </w:rPr>
          <w:t>26</w:t>
        </w:r>
        <w:r w:rsidR="0026142C">
          <w:rPr>
            <w:noProof/>
            <w:webHidden/>
          </w:rPr>
          <w:fldChar w:fldCharType="end"/>
        </w:r>
      </w:hyperlink>
    </w:p>
    <w:p w14:paraId="5AD1AD1E" w14:textId="4CD1CEDF" w:rsidR="0026142C" w:rsidRDefault="00CA12C7">
      <w:pPr>
        <w:pStyle w:val="TOC2"/>
        <w:rPr>
          <w:rFonts w:asciiTheme="minorHAnsi" w:eastAsiaTheme="minorEastAsia" w:hAnsiTheme="minorHAnsi"/>
          <w:noProof/>
          <w:lang w:eastAsia="en-AU"/>
        </w:rPr>
      </w:pPr>
      <w:hyperlink w:anchor="_Toc48559347" w:history="1">
        <w:r w:rsidR="0026142C" w:rsidRPr="00B86085">
          <w:rPr>
            <w:rStyle w:val="Hyperlink"/>
            <w:noProof/>
          </w:rPr>
          <w:t>SOE IMPLEMENTATION – SUMMARY OF FINDINGS</w:t>
        </w:r>
        <w:r w:rsidR="0026142C">
          <w:rPr>
            <w:noProof/>
            <w:webHidden/>
          </w:rPr>
          <w:tab/>
        </w:r>
        <w:r w:rsidR="0026142C">
          <w:rPr>
            <w:noProof/>
            <w:webHidden/>
          </w:rPr>
          <w:fldChar w:fldCharType="begin"/>
        </w:r>
        <w:r w:rsidR="0026142C">
          <w:rPr>
            <w:noProof/>
            <w:webHidden/>
          </w:rPr>
          <w:instrText xml:space="preserve"> PAGEREF _Toc48559347 \h </w:instrText>
        </w:r>
        <w:r w:rsidR="0026142C">
          <w:rPr>
            <w:noProof/>
            <w:webHidden/>
          </w:rPr>
        </w:r>
        <w:r w:rsidR="0026142C">
          <w:rPr>
            <w:noProof/>
            <w:webHidden/>
          </w:rPr>
          <w:fldChar w:fldCharType="separate"/>
        </w:r>
        <w:r w:rsidR="0026142C">
          <w:rPr>
            <w:noProof/>
            <w:webHidden/>
          </w:rPr>
          <w:t>27</w:t>
        </w:r>
        <w:r w:rsidR="0026142C">
          <w:rPr>
            <w:noProof/>
            <w:webHidden/>
          </w:rPr>
          <w:fldChar w:fldCharType="end"/>
        </w:r>
      </w:hyperlink>
    </w:p>
    <w:p w14:paraId="38EB4C56" w14:textId="45149EAC" w:rsidR="0026142C" w:rsidRDefault="00CA12C7">
      <w:pPr>
        <w:pStyle w:val="TOC1"/>
        <w:rPr>
          <w:rFonts w:asciiTheme="minorHAnsi" w:eastAsiaTheme="minorEastAsia" w:hAnsiTheme="minorHAnsi"/>
          <w:noProof/>
          <w:lang w:eastAsia="en-AU"/>
        </w:rPr>
      </w:pPr>
      <w:hyperlink w:anchor="_Toc48559348" w:history="1">
        <w:r w:rsidR="0026142C" w:rsidRPr="00B86085">
          <w:rPr>
            <w:rStyle w:val="Hyperlink"/>
            <w:noProof/>
            <w14:scene3d>
              <w14:camera w14:prst="orthographicFront"/>
              <w14:lightRig w14:rig="threePt" w14:dir="t">
                <w14:rot w14:lat="0" w14:lon="0" w14:rev="0"/>
              </w14:lightRig>
            </w14:scene3d>
          </w:rPr>
          <w:t>6.</w:t>
        </w:r>
        <w:r w:rsidR="0026142C">
          <w:rPr>
            <w:rFonts w:asciiTheme="minorHAnsi" w:eastAsiaTheme="minorEastAsia" w:hAnsiTheme="minorHAnsi"/>
            <w:noProof/>
            <w:lang w:eastAsia="en-AU"/>
          </w:rPr>
          <w:tab/>
        </w:r>
        <w:r w:rsidR="0026142C" w:rsidRPr="00B86085">
          <w:rPr>
            <w:rStyle w:val="Hyperlink"/>
            <w:noProof/>
          </w:rPr>
          <w:t>REFERENCES</w:t>
        </w:r>
        <w:r w:rsidR="0026142C">
          <w:rPr>
            <w:noProof/>
            <w:webHidden/>
          </w:rPr>
          <w:tab/>
        </w:r>
        <w:r w:rsidR="0026142C">
          <w:rPr>
            <w:noProof/>
            <w:webHidden/>
          </w:rPr>
          <w:fldChar w:fldCharType="begin"/>
        </w:r>
        <w:r w:rsidR="0026142C">
          <w:rPr>
            <w:noProof/>
            <w:webHidden/>
          </w:rPr>
          <w:instrText xml:space="preserve"> PAGEREF _Toc48559348 \h </w:instrText>
        </w:r>
        <w:r w:rsidR="0026142C">
          <w:rPr>
            <w:noProof/>
            <w:webHidden/>
          </w:rPr>
        </w:r>
        <w:r w:rsidR="0026142C">
          <w:rPr>
            <w:noProof/>
            <w:webHidden/>
          </w:rPr>
          <w:fldChar w:fldCharType="separate"/>
        </w:r>
        <w:r w:rsidR="0026142C">
          <w:rPr>
            <w:noProof/>
            <w:webHidden/>
          </w:rPr>
          <w:t>28</w:t>
        </w:r>
        <w:r w:rsidR="0026142C">
          <w:rPr>
            <w:noProof/>
            <w:webHidden/>
          </w:rPr>
          <w:fldChar w:fldCharType="end"/>
        </w:r>
      </w:hyperlink>
    </w:p>
    <w:p w14:paraId="26151F67" w14:textId="35DC636C" w:rsidR="00B82559" w:rsidRPr="007F2207" w:rsidRDefault="00946C92" w:rsidP="00B82559">
      <w:pPr>
        <w:sectPr w:rsidR="00B82559" w:rsidRPr="007F2207" w:rsidSect="006206A3">
          <w:headerReference w:type="default" r:id="rId16"/>
          <w:footerReference w:type="default" r:id="rId17"/>
          <w:pgSz w:w="11900" w:h="16840"/>
          <w:pgMar w:top="1985" w:right="1134" w:bottom="1701" w:left="1134" w:header="709" w:footer="709" w:gutter="0"/>
          <w:cols w:space="708"/>
          <w:docGrid w:linePitch="360"/>
        </w:sectPr>
      </w:pPr>
      <w:r>
        <w:fldChar w:fldCharType="end"/>
      </w:r>
    </w:p>
    <w:p w14:paraId="03A69CC8" w14:textId="72C5B5B9" w:rsidR="00424761" w:rsidRDefault="00424761" w:rsidP="00424761">
      <w:pPr>
        <w:pStyle w:val="Heading1"/>
        <w:rPr>
          <w:caps w:val="0"/>
        </w:rPr>
      </w:pPr>
      <w:bookmarkStart w:id="2" w:name="_Toc48559330"/>
      <w:bookmarkStart w:id="3" w:name="_Toc25757111"/>
      <w:bookmarkStart w:id="4" w:name="_Toc25757251"/>
      <w:bookmarkStart w:id="5" w:name="_Toc25757392"/>
      <w:bookmarkStart w:id="6" w:name="_Toc25827710"/>
      <w:bookmarkStart w:id="7" w:name="_Toc38349007"/>
      <w:bookmarkStart w:id="8" w:name="_Toc38349273"/>
      <w:r>
        <w:rPr>
          <w:caps w:val="0"/>
        </w:rPr>
        <w:lastRenderedPageBreak/>
        <w:t>GLOSSARY</w:t>
      </w:r>
      <w:bookmarkEnd w:id="2"/>
    </w:p>
    <w:p w14:paraId="25D98188" w14:textId="2132F91A" w:rsidR="00006AAB" w:rsidRDefault="00006AAB" w:rsidP="00006AAB">
      <w:pPr>
        <w:pStyle w:val="Heading3"/>
      </w:pPr>
      <w:r>
        <w:t>Acronym/Abbreviation</w:t>
      </w:r>
    </w:p>
    <w:p w14:paraId="3B8B1EB5" w14:textId="4FB11306" w:rsidR="00006AAB" w:rsidRDefault="00006AAB" w:rsidP="00006AAB">
      <w:r w:rsidRPr="002F43B7">
        <w:t>AITSL</w:t>
      </w:r>
    </w:p>
    <w:p w14:paraId="5733B388" w14:textId="0BF0E62A" w:rsidR="00006AAB" w:rsidRDefault="00006AAB" w:rsidP="00006AAB">
      <w:pPr>
        <w:pStyle w:val="Heading3"/>
      </w:pPr>
      <w:r>
        <w:t>Full Name</w:t>
      </w:r>
    </w:p>
    <w:p w14:paraId="33BA8145" w14:textId="71628F36" w:rsidR="00006AAB" w:rsidRDefault="00006AAB" w:rsidP="00006AAB">
      <w:r w:rsidRPr="002F43B7">
        <w:t>Australian Institute for Teaching and School Leadership</w:t>
      </w:r>
    </w:p>
    <w:p w14:paraId="16819963" w14:textId="77777777" w:rsidR="00006AAB" w:rsidRDefault="00006AAB" w:rsidP="00006AAB">
      <w:pPr>
        <w:pStyle w:val="Heading3"/>
      </w:pPr>
      <w:r>
        <w:t>Acronym/Abbreviation</w:t>
      </w:r>
    </w:p>
    <w:p w14:paraId="6D1CEC3F" w14:textId="3187F20F" w:rsidR="00006AAB" w:rsidRDefault="00006AAB" w:rsidP="00006AAB">
      <w:r w:rsidRPr="002F43B7">
        <w:t>APST</w:t>
      </w:r>
    </w:p>
    <w:p w14:paraId="0D5E0D61" w14:textId="77777777" w:rsidR="00006AAB" w:rsidRDefault="00006AAB" w:rsidP="00006AAB">
      <w:pPr>
        <w:pStyle w:val="Heading3"/>
      </w:pPr>
      <w:r>
        <w:t>Full Name</w:t>
      </w:r>
    </w:p>
    <w:p w14:paraId="475DFE0B" w14:textId="226B771B" w:rsidR="00006AAB" w:rsidRDefault="00006AAB" w:rsidP="00006AAB">
      <w:r w:rsidRPr="002F43B7">
        <w:t>Australian Professional Standards for Teachers</w:t>
      </w:r>
    </w:p>
    <w:p w14:paraId="2004838D" w14:textId="77777777" w:rsidR="00006AAB" w:rsidRDefault="00006AAB" w:rsidP="00006AAB">
      <w:pPr>
        <w:pStyle w:val="Heading3"/>
      </w:pPr>
      <w:r>
        <w:t>Acronym/Abbreviation</w:t>
      </w:r>
    </w:p>
    <w:p w14:paraId="0FC4FF9C" w14:textId="597FD4F1" w:rsidR="00006AAB" w:rsidRDefault="00006AAB" w:rsidP="00006AAB">
      <w:r w:rsidRPr="002F43B7">
        <w:t>ATAR</w:t>
      </w:r>
    </w:p>
    <w:p w14:paraId="6D043EF1" w14:textId="77777777" w:rsidR="00006AAB" w:rsidRDefault="00006AAB" w:rsidP="00006AAB">
      <w:pPr>
        <w:pStyle w:val="Heading3"/>
      </w:pPr>
      <w:r>
        <w:t>Full Name</w:t>
      </w:r>
    </w:p>
    <w:p w14:paraId="18191458" w14:textId="7417286D" w:rsidR="00006AAB" w:rsidRDefault="00006AAB" w:rsidP="00006AAB">
      <w:r w:rsidRPr="002F43B7">
        <w:t>Australian Tertiary Admission Rank</w:t>
      </w:r>
    </w:p>
    <w:p w14:paraId="68378446" w14:textId="77777777" w:rsidR="00006AAB" w:rsidRDefault="00006AAB" w:rsidP="00006AAB">
      <w:pPr>
        <w:pStyle w:val="Heading3"/>
      </w:pPr>
      <w:r>
        <w:t>Acronym/Abbreviation</w:t>
      </w:r>
    </w:p>
    <w:p w14:paraId="542399BF" w14:textId="77777777" w:rsidR="00006AAB" w:rsidRDefault="00006AAB" w:rsidP="00006AAB">
      <w:r w:rsidRPr="002F43B7">
        <w:t>CCYP</w:t>
      </w:r>
      <w:r>
        <w:t xml:space="preserve"> </w:t>
      </w:r>
    </w:p>
    <w:p w14:paraId="56EFA148" w14:textId="77777777" w:rsidR="00006AAB" w:rsidRDefault="00006AAB" w:rsidP="00006AAB">
      <w:pPr>
        <w:pStyle w:val="Heading3"/>
      </w:pPr>
      <w:r>
        <w:t>Full Name</w:t>
      </w:r>
    </w:p>
    <w:p w14:paraId="3776D40F" w14:textId="0361A5D5" w:rsidR="00006AAB" w:rsidRDefault="00006AAB" w:rsidP="00006AAB">
      <w:r w:rsidRPr="002F43B7">
        <w:t>Commission for Children and Young People</w:t>
      </w:r>
    </w:p>
    <w:p w14:paraId="34DA5948" w14:textId="77777777" w:rsidR="00006AAB" w:rsidRDefault="00006AAB" w:rsidP="00006AAB">
      <w:pPr>
        <w:pStyle w:val="Heading3"/>
      </w:pPr>
      <w:r>
        <w:t>Acronym/Abbreviation</w:t>
      </w:r>
    </w:p>
    <w:p w14:paraId="1EA8C865" w14:textId="77777777" w:rsidR="00006AAB" w:rsidRDefault="00006AAB" w:rsidP="00006AAB">
      <w:r w:rsidRPr="002F43B7">
        <w:t>Department</w:t>
      </w:r>
      <w:r>
        <w:t xml:space="preserve"> </w:t>
      </w:r>
    </w:p>
    <w:p w14:paraId="420B1934" w14:textId="77777777" w:rsidR="00006AAB" w:rsidRDefault="00006AAB" w:rsidP="00006AAB">
      <w:pPr>
        <w:pStyle w:val="Heading3"/>
      </w:pPr>
      <w:r>
        <w:t>Full Name</w:t>
      </w:r>
    </w:p>
    <w:p w14:paraId="7CB1D5F5" w14:textId="74CE0528" w:rsidR="00006AAB" w:rsidRDefault="00006AAB" w:rsidP="00006AAB">
      <w:r w:rsidRPr="002F43B7">
        <w:t>Department of Education and Training</w:t>
      </w:r>
    </w:p>
    <w:p w14:paraId="379FEF8E" w14:textId="77777777" w:rsidR="00006AAB" w:rsidRDefault="00006AAB" w:rsidP="00006AAB">
      <w:pPr>
        <w:pStyle w:val="Heading3"/>
      </w:pPr>
      <w:r>
        <w:t>Acronym/Abbreviation</w:t>
      </w:r>
    </w:p>
    <w:p w14:paraId="271552E2" w14:textId="02F4694D" w:rsidR="00006AAB" w:rsidRDefault="00006AAB" w:rsidP="00006AAB">
      <w:r w:rsidRPr="002F43B7">
        <w:t>DJCS</w:t>
      </w:r>
    </w:p>
    <w:p w14:paraId="3ED2B5C2" w14:textId="77777777" w:rsidR="00006AAB" w:rsidRDefault="00006AAB" w:rsidP="00006AAB">
      <w:pPr>
        <w:pStyle w:val="Heading3"/>
      </w:pPr>
      <w:r>
        <w:t>Full Name</w:t>
      </w:r>
    </w:p>
    <w:p w14:paraId="75787075" w14:textId="324530BA" w:rsidR="00006AAB" w:rsidRDefault="00006AAB" w:rsidP="00006AAB">
      <w:r w:rsidRPr="002F43B7">
        <w:t>Department of Justice and Community Safety</w:t>
      </w:r>
    </w:p>
    <w:p w14:paraId="0DB5F09B" w14:textId="77777777" w:rsidR="00006AAB" w:rsidRDefault="00006AAB" w:rsidP="00006AAB">
      <w:pPr>
        <w:pStyle w:val="Heading3"/>
      </w:pPr>
      <w:r>
        <w:t>Acronym/Abbreviation</w:t>
      </w:r>
    </w:p>
    <w:p w14:paraId="236B0E10" w14:textId="629E4E45" w:rsidR="00006AAB" w:rsidRDefault="00006AAB" w:rsidP="00006AAB">
      <w:r w:rsidRPr="002F43B7">
        <w:t>Evaluation Plan</w:t>
      </w:r>
    </w:p>
    <w:p w14:paraId="3493B376" w14:textId="77777777" w:rsidR="00006AAB" w:rsidRDefault="00006AAB" w:rsidP="00006AAB">
      <w:pPr>
        <w:pStyle w:val="Heading3"/>
      </w:pPr>
      <w:r>
        <w:t>Full Name</w:t>
      </w:r>
    </w:p>
    <w:p w14:paraId="6E2DA89F" w14:textId="2A0B9581" w:rsidR="00006AAB" w:rsidRDefault="00006AAB" w:rsidP="00006AAB">
      <w:r w:rsidRPr="002F43B7">
        <w:t>Statement of Expectations Evaluation Plan</w:t>
      </w:r>
    </w:p>
    <w:p w14:paraId="17DC31DE" w14:textId="77777777" w:rsidR="00006AAB" w:rsidRDefault="00006AAB" w:rsidP="00006AAB">
      <w:pPr>
        <w:pStyle w:val="Heading3"/>
      </w:pPr>
      <w:r>
        <w:t>Acronym/Abbreviation</w:t>
      </w:r>
    </w:p>
    <w:p w14:paraId="19732E10" w14:textId="00A195A8" w:rsidR="00006AAB" w:rsidRDefault="00006AAB" w:rsidP="00006AAB">
      <w:r w:rsidRPr="002F43B7">
        <w:t>Evaluation Report</w:t>
      </w:r>
    </w:p>
    <w:p w14:paraId="2158837F" w14:textId="77777777" w:rsidR="00006AAB" w:rsidRDefault="00006AAB" w:rsidP="00006AAB">
      <w:pPr>
        <w:pStyle w:val="Heading3"/>
      </w:pPr>
      <w:r>
        <w:t>Full Name</w:t>
      </w:r>
    </w:p>
    <w:p w14:paraId="51F70B79" w14:textId="0174C4DF" w:rsidR="00006AAB" w:rsidRDefault="00006AAB" w:rsidP="00006AAB">
      <w:r w:rsidRPr="002F43B7">
        <w:t>Statement of Expectations Evaluation Report</w:t>
      </w:r>
    </w:p>
    <w:p w14:paraId="7571D707" w14:textId="77777777" w:rsidR="00006AAB" w:rsidRDefault="00006AAB" w:rsidP="00006AAB">
      <w:pPr>
        <w:pStyle w:val="Heading3"/>
      </w:pPr>
      <w:r>
        <w:t>Acronym/Abbreviation</w:t>
      </w:r>
    </w:p>
    <w:p w14:paraId="77B14A51" w14:textId="48A09D04" w:rsidR="00006AAB" w:rsidRDefault="00006AAB" w:rsidP="00006AAB">
      <w:r w:rsidRPr="002F43B7">
        <w:t>GRPP</w:t>
      </w:r>
    </w:p>
    <w:p w14:paraId="5BB95981" w14:textId="77777777" w:rsidR="00006AAB" w:rsidRDefault="00006AAB" w:rsidP="00006AAB">
      <w:pPr>
        <w:pStyle w:val="Heading3"/>
      </w:pPr>
      <w:r>
        <w:lastRenderedPageBreak/>
        <w:t>Full Name</w:t>
      </w:r>
    </w:p>
    <w:p w14:paraId="54B48279" w14:textId="2B583E89" w:rsidR="00006AAB" w:rsidRDefault="00006AAB" w:rsidP="00006AAB">
      <w:r w:rsidRPr="002F43B7">
        <w:t>Good Regulatory Practice Plan</w:t>
      </w:r>
    </w:p>
    <w:p w14:paraId="2B532F64" w14:textId="77777777" w:rsidR="00006AAB" w:rsidRDefault="00006AAB" w:rsidP="00006AAB">
      <w:pPr>
        <w:pStyle w:val="Heading3"/>
      </w:pPr>
      <w:r>
        <w:t>Acronym/Abbreviation</w:t>
      </w:r>
    </w:p>
    <w:p w14:paraId="7363E702" w14:textId="49B9C948" w:rsidR="00006AAB" w:rsidRDefault="00006AAB" w:rsidP="00006AAB">
      <w:r w:rsidRPr="002F43B7">
        <w:t>KPI</w:t>
      </w:r>
    </w:p>
    <w:p w14:paraId="70AB96CE" w14:textId="77777777" w:rsidR="00006AAB" w:rsidRDefault="00006AAB" w:rsidP="00006AAB">
      <w:pPr>
        <w:pStyle w:val="Heading3"/>
      </w:pPr>
      <w:r>
        <w:t>Full Name</w:t>
      </w:r>
    </w:p>
    <w:p w14:paraId="776BA279" w14:textId="6F46AA4F" w:rsidR="00006AAB" w:rsidRDefault="00006AAB" w:rsidP="00006AAB">
      <w:r w:rsidRPr="002F43B7">
        <w:t>Key Performance Indicator</w:t>
      </w:r>
    </w:p>
    <w:p w14:paraId="314DCEF2" w14:textId="77777777" w:rsidR="00006AAB" w:rsidRDefault="00006AAB" w:rsidP="00006AAB">
      <w:pPr>
        <w:pStyle w:val="Heading3"/>
      </w:pPr>
      <w:r>
        <w:t>Acronym/Abbreviation</w:t>
      </w:r>
    </w:p>
    <w:p w14:paraId="05009349" w14:textId="50B2052C" w:rsidR="00006AAB" w:rsidRDefault="00006AAB" w:rsidP="00006AAB">
      <w:r w:rsidRPr="002F43B7">
        <w:t>ITE</w:t>
      </w:r>
    </w:p>
    <w:p w14:paraId="01C56117" w14:textId="77777777" w:rsidR="00006AAB" w:rsidRDefault="00006AAB" w:rsidP="00006AAB">
      <w:pPr>
        <w:pStyle w:val="Heading3"/>
      </w:pPr>
      <w:r>
        <w:t>Full Name</w:t>
      </w:r>
    </w:p>
    <w:p w14:paraId="587D57A7" w14:textId="63DC6E68" w:rsidR="00006AAB" w:rsidRDefault="00006AAB" w:rsidP="00006AAB">
      <w:r w:rsidRPr="002F43B7">
        <w:t>Initial Teacher Education</w:t>
      </w:r>
    </w:p>
    <w:p w14:paraId="1108D58F" w14:textId="77777777" w:rsidR="00006AAB" w:rsidRDefault="00006AAB" w:rsidP="00006AAB">
      <w:pPr>
        <w:pStyle w:val="Heading3"/>
      </w:pPr>
      <w:r>
        <w:t>Acronym/Abbreviation</w:t>
      </w:r>
    </w:p>
    <w:p w14:paraId="1A8489AA" w14:textId="10A6C990" w:rsidR="00006AAB" w:rsidRDefault="00006AAB" w:rsidP="00006AAB">
      <w:r w:rsidRPr="002F43B7">
        <w:t>MoU</w:t>
      </w:r>
    </w:p>
    <w:p w14:paraId="0C2A5366" w14:textId="77777777" w:rsidR="00006AAB" w:rsidRDefault="00006AAB" w:rsidP="00006AAB">
      <w:pPr>
        <w:pStyle w:val="Heading3"/>
      </w:pPr>
      <w:r>
        <w:t>Full Name</w:t>
      </w:r>
    </w:p>
    <w:p w14:paraId="698F4B36" w14:textId="33F849C6" w:rsidR="00006AAB" w:rsidRDefault="00006AAB" w:rsidP="00006AAB">
      <w:r w:rsidRPr="002F43B7">
        <w:t>Memorandum of Understanding</w:t>
      </w:r>
    </w:p>
    <w:p w14:paraId="1AF598E8" w14:textId="77777777" w:rsidR="00006AAB" w:rsidRDefault="00006AAB" w:rsidP="00006AAB">
      <w:pPr>
        <w:pStyle w:val="Heading3"/>
      </w:pPr>
      <w:r>
        <w:t>Acronym/Abbreviation</w:t>
      </w:r>
    </w:p>
    <w:p w14:paraId="5732F749" w14:textId="628FA5B5" w:rsidR="00006AAB" w:rsidRDefault="00006AAB" w:rsidP="00006AAB">
      <w:r w:rsidRPr="002F43B7">
        <w:t>NCCHC</w:t>
      </w:r>
    </w:p>
    <w:p w14:paraId="4ECE31B2" w14:textId="77777777" w:rsidR="00006AAB" w:rsidRDefault="00006AAB" w:rsidP="00006AAB">
      <w:pPr>
        <w:pStyle w:val="Heading3"/>
      </w:pPr>
      <w:r>
        <w:t>Full Name</w:t>
      </w:r>
    </w:p>
    <w:p w14:paraId="3BD4FD53" w14:textId="2D1FA446" w:rsidR="00006AAB" w:rsidRDefault="00006AAB" w:rsidP="00006AAB">
      <w:r w:rsidRPr="002F43B7">
        <w:t>Nationally Coordinated Criminal History Check</w:t>
      </w:r>
    </w:p>
    <w:p w14:paraId="5AF7BA78" w14:textId="77777777" w:rsidR="00006AAB" w:rsidRDefault="00006AAB" w:rsidP="00006AAB">
      <w:pPr>
        <w:pStyle w:val="Heading3"/>
      </w:pPr>
      <w:r>
        <w:t>Acronym/Abbreviation</w:t>
      </w:r>
    </w:p>
    <w:p w14:paraId="31EDE02E" w14:textId="622CC1CE" w:rsidR="00006AAB" w:rsidRDefault="00006AAB" w:rsidP="00006AAB">
      <w:r>
        <w:t>PRT</w:t>
      </w:r>
    </w:p>
    <w:p w14:paraId="575548A1" w14:textId="77777777" w:rsidR="00006AAB" w:rsidRDefault="00006AAB" w:rsidP="00006AAB">
      <w:pPr>
        <w:pStyle w:val="Heading3"/>
      </w:pPr>
      <w:r>
        <w:t>Full Name</w:t>
      </w:r>
    </w:p>
    <w:p w14:paraId="6A13DAFE" w14:textId="095A0D24" w:rsidR="00006AAB" w:rsidRDefault="00006AAB" w:rsidP="00006AAB">
      <w:r>
        <w:t>Provisionally registered teachers</w:t>
      </w:r>
    </w:p>
    <w:p w14:paraId="6CB984A7" w14:textId="77777777" w:rsidR="00006AAB" w:rsidRDefault="00006AAB" w:rsidP="00006AAB">
      <w:pPr>
        <w:pStyle w:val="Heading3"/>
      </w:pPr>
      <w:r>
        <w:t>Acronym/Abbreviation</w:t>
      </w:r>
    </w:p>
    <w:p w14:paraId="5EB6D9DF" w14:textId="2F5B4015" w:rsidR="00006AAB" w:rsidRDefault="00006AAB" w:rsidP="00006AAB">
      <w:r w:rsidRPr="002F43B7">
        <w:t>RCS</w:t>
      </w:r>
    </w:p>
    <w:p w14:paraId="7DD02446" w14:textId="77777777" w:rsidR="00006AAB" w:rsidRDefault="00006AAB" w:rsidP="00006AAB">
      <w:pPr>
        <w:pStyle w:val="Heading3"/>
      </w:pPr>
      <w:r>
        <w:t>Full Name</w:t>
      </w:r>
    </w:p>
    <w:p w14:paraId="5AB63042" w14:textId="1A662A85" w:rsidR="00006AAB" w:rsidRDefault="00006AAB" w:rsidP="00006AAB">
      <w:r w:rsidRPr="002F43B7">
        <w:t>Reportable Conduct Scheme</w:t>
      </w:r>
    </w:p>
    <w:p w14:paraId="2422EC90" w14:textId="77777777" w:rsidR="00006AAB" w:rsidRDefault="00006AAB" w:rsidP="00006AAB">
      <w:pPr>
        <w:pStyle w:val="Heading3"/>
      </w:pPr>
      <w:r>
        <w:t>Acronym/Abbreviation</w:t>
      </w:r>
    </w:p>
    <w:p w14:paraId="0B40CE61" w14:textId="4BA76DC3" w:rsidR="00006AAB" w:rsidRDefault="00006AAB" w:rsidP="00006AAB">
      <w:r>
        <w:t>Royal Commission</w:t>
      </w:r>
    </w:p>
    <w:p w14:paraId="350C7ED3" w14:textId="77777777" w:rsidR="00006AAB" w:rsidRDefault="00006AAB" w:rsidP="00006AAB">
      <w:pPr>
        <w:pStyle w:val="Heading3"/>
      </w:pPr>
      <w:r>
        <w:t>Full Name</w:t>
      </w:r>
    </w:p>
    <w:p w14:paraId="712AA6CE" w14:textId="778A005F" w:rsidR="00006AAB" w:rsidRDefault="00006AAB" w:rsidP="00006AAB">
      <w:r>
        <w:t>Royal Commission into Institutional Responses to Child Sexual Abuse</w:t>
      </w:r>
    </w:p>
    <w:p w14:paraId="6ADA0762" w14:textId="77777777" w:rsidR="00006AAB" w:rsidRDefault="00006AAB" w:rsidP="00006AAB">
      <w:pPr>
        <w:pStyle w:val="Heading3"/>
      </w:pPr>
      <w:r>
        <w:t>Acronym/Abbreviation</w:t>
      </w:r>
    </w:p>
    <w:p w14:paraId="043D3992" w14:textId="23DF6BB9" w:rsidR="00006AAB" w:rsidRDefault="00006AAB" w:rsidP="00006AAB">
      <w:r w:rsidRPr="002F43B7">
        <w:t>SOE</w:t>
      </w:r>
    </w:p>
    <w:p w14:paraId="3B6A45FC" w14:textId="77777777" w:rsidR="00006AAB" w:rsidRDefault="00006AAB" w:rsidP="00006AAB">
      <w:pPr>
        <w:pStyle w:val="Heading3"/>
      </w:pPr>
      <w:r>
        <w:t>Full Name</w:t>
      </w:r>
    </w:p>
    <w:p w14:paraId="4D346289" w14:textId="3CAF1443" w:rsidR="00006AAB" w:rsidRDefault="00006AAB" w:rsidP="00006AAB">
      <w:r w:rsidRPr="002F43B7">
        <w:t>Statement of Expectations</w:t>
      </w:r>
    </w:p>
    <w:p w14:paraId="495A27D9" w14:textId="77777777" w:rsidR="00006AAB" w:rsidRDefault="00006AAB" w:rsidP="00006AAB">
      <w:pPr>
        <w:pStyle w:val="Heading3"/>
      </w:pPr>
      <w:r>
        <w:t>Acronym/Abbreviation</w:t>
      </w:r>
    </w:p>
    <w:p w14:paraId="23A92BDA" w14:textId="734EBE01" w:rsidR="00006AAB" w:rsidRDefault="00006AAB" w:rsidP="00006AAB">
      <w:r w:rsidRPr="002F43B7">
        <w:t>SOE Framework</w:t>
      </w:r>
    </w:p>
    <w:p w14:paraId="770BAC82" w14:textId="77777777" w:rsidR="00006AAB" w:rsidRDefault="00006AAB" w:rsidP="00006AAB">
      <w:pPr>
        <w:pStyle w:val="Heading3"/>
      </w:pPr>
      <w:r>
        <w:lastRenderedPageBreak/>
        <w:t>Full Name</w:t>
      </w:r>
    </w:p>
    <w:p w14:paraId="2EDC1C62" w14:textId="7BD216D1" w:rsidR="00006AAB" w:rsidRDefault="00006AAB" w:rsidP="00006AAB">
      <w:r w:rsidRPr="002F43B7">
        <w:t>Statement of Expectations Framework for Regulators</w:t>
      </w:r>
    </w:p>
    <w:p w14:paraId="22B78361" w14:textId="77777777" w:rsidR="00006AAB" w:rsidRDefault="00006AAB" w:rsidP="00006AAB">
      <w:pPr>
        <w:pStyle w:val="Heading3"/>
      </w:pPr>
      <w:r>
        <w:t>Acronym/Abbreviation</w:t>
      </w:r>
    </w:p>
    <w:p w14:paraId="45C253F3" w14:textId="762A4264" w:rsidR="00006AAB" w:rsidRDefault="00006AAB" w:rsidP="00006AAB">
      <w:r w:rsidRPr="002F43B7">
        <w:t>SOE Letter</w:t>
      </w:r>
    </w:p>
    <w:p w14:paraId="15E600DF" w14:textId="77777777" w:rsidR="00006AAB" w:rsidRDefault="00006AAB" w:rsidP="00006AAB">
      <w:pPr>
        <w:pStyle w:val="Heading3"/>
      </w:pPr>
      <w:r>
        <w:t>Full Name</w:t>
      </w:r>
    </w:p>
    <w:p w14:paraId="4E41E30C" w14:textId="58ADF49B" w:rsidR="00006AAB" w:rsidRDefault="00006AAB" w:rsidP="00006AAB">
      <w:r w:rsidRPr="002F43B7">
        <w:t>Ministerial Statement of Expectations Letter</w:t>
      </w:r>
    </w:p>
    <w:p w14:paraId="7537E804" w14:textId="77777777" w:rsidR="00006AAB" w:rsidRDefault="00006AAB" w:rsidP="00006AAB">
      <w:pPr>
        <w:pStyle w:val="Heading3"/>
      </w:pPr>
      <w:r>
        <w:t>Acronym/Abbreviation</w:t>
      </w:r>
    </w:p>
    <w:p w14:paraId="248DB647" w14:textId="05A2CF88" w:rsidR="00006AAB" w:rsidRDefault="00006AAB" w:rsidP="00006AAB">
      <w:r w:rsidRPr="002F43B7">
        <w:t>SOE Response</w:t>
      </w:r>
    </w:p>
    <w:p w14:paraId="33BC386A" w14:textId="77777777" w:rsidR="00006AAB" w:rsidRDefault="00006AAB" w:rsidP="00006AAB">
      <w:pPr>
        <w:pStyle w:val="Heading3"/>
      </w:pPr>
      <w:r>
        <w:t>Full Name</w:t>
      </w:r>
    </w:p>
    <w:p w14:paraId="52003719" w14:textId="4ED337F3" w:rsidR="00006AAB" w:rsidRDefault="00006AAB" w:rsidP="00006AAB">
      <w:r w:rsidRPr="002F43B7">
        <w:t>Regulator Response to the Ministerial Statement of Expectations Letter</w:t>
      </w:r>
    </w:p>
    <w:p w14:paraId="7CCCE21A" w14:textId="77777777" w:rsidR="00006AAB" w:rsidRDefault="00006AAB" w:rsidP="00006AAB">
      <w:pPr>
        <w:pStyle w:val="Heading3"/>
      </w:pPr>
      <w:r>
        <w:t>Acronym/Abbreviation</w:t>
      </w:r>
    </w:p>
    <w:p w14:paraId="181644D1" w14:textId="4D49EBEE" w:rsidR="00006AAB" w:rsidRDefault="00006AAB" w:rsidP="00006AAB">
      <w:r w:rsidRPr="002F43B7">
        <w:t>QARD</w:t>
      </w:r>
    </w:p>
    <w:p w14:paraId="56CD0656" w14:textId="77777777" w:rsidR="00006AAB" w:rsidRDefault="00006AAB" w:rsidP="00006AAB">
      <w:pPr>
        <w:pStyle w:val="Heading3"/>
      </w:pPr>
      <w:r>
        <w:t>Full Name</w:t>
      </w:r>
    </w:p>
    <w:p w14:paraId="27ECF79B" w14:textId="669FF5B3" w:rsidR="00006AAB" w:rsidRDefault="00006AAB" w:rsidP="00006AAB">
      <w:r w:rsidRPr="002F43B7">
        <w:t>Quality Assessment and Regulation Division of the Department of Education and Training</w:t>
      </w:r>
    </w:p>
    <w:p w14:paraId="5B0AFB00" w14:textId="77777777" w:rsidR="00006AAB" w:rsidRDefault="00006AAB" w:rsidP="00006AAB">
      <w:pPr>
        <w:pStyle w:val="Heading3"/>
      </w:pPr>
      <w:r>
        <w:t>Acronym/Abbreviation</w:t>
      </w:r>
    </w:p>
    <w:p w14:paraId="21A1BB0E" w14:textId="0CEAF311" w:rsidR="00006AAB" w:rsidRDefault="00006AAB" w:rsidP="00006AAB">
      <w:r w:rsidRPr="002F43B7">
        <w:t>VRQA</w:t>
      </w:r>
    </w:p>
    <w:p w14:paraId="1278E431" w14:textId="77777777" w:rsidR="00006AAB" w:rsidRDefault="00006AAB" w:rsidP="00006AAB">
      <w:pPr>
        <w:pStyle w:val="Heading3"/>
      </w:pPr>
      <w:r>
        <w:t>Full Name</w:t>
      </w:r>
    </w:p>
    <w:p w14:paraId="2C7B7E1C" w14:textId="71927646" w:rsidR="00006AAB" w:rsidRDefault="00006AAB" w:rsidP="00006AAB">
      <w:r w:rsidRPr="002F43B7">
        <w:t>Victorian Registration and Qualifications Authority</w:t>
      </w:r>
    </w:p>
    <w:p w14:paraId="4F4C1D12" w14:textId="77777777" w:rsidR="00006AAB" w:rsidRDefault="00006AAB" w:rsidP="00006AAB">
      <w:pPr>
        <w:pStyle w:val="Heading3"/>
      </w:pPr>
      <w:r>
        <w:t>Acronym/Abbreviation</w:t>
      </w:r>
    </w:p>
    <w:p w14:paraId="1AD04CF3" w14:textId="452A2149" w:rsidR="00006AAB" w:rsidRDefault="00006AAB" w:rsidP="00006AAB">
      <w:r w:rsidRPr="002F43B7">
        <w:t>VIT</w:t>
      </w:r>
    </w:p>
    <w:p w14:paraId="42D6E233" w14:textId="77777777" w:rsidR="00006AAB" w:rsidRDefault="00006AAB" w:rsidP="00006AAB">
      <w:pPr>
        <w:pStyle w:val="Heading3"/>
      </w:pPr>
      <w:r>
        <w:t>Full Name</w:t>
      </w:r>
    </w:p>
    <w:p w14:paraId="7C4BC748" w14:textId="30CE7AA4" w:rsidR="00006AAB" w:rsidRDefault="00006AAB" w:rsidP="00006AAB">
      <w:r w:rsidRPr="002F43B7">
        <w:t>Victorian Institute of Teaching</w:t>
      </w:r>
    </w:p>
    <w:p w14:paraId="36040EDC" w14:textId="77777777" w:rsidR="00006AAB" w:rsidRDefault="00006AAB" w:rsidP="00006AAB">
      <w:pPr>
        <w:pStyle w:val="Heading3"/>
      </w:pPr>
      <w:r>
        <w:t>Acronym/Abbreviation</w:t>
      </w:r>
    </w:p>
    <w:p w14:paraId="7C43BDC4" w14:textId="3596FF1F" w:rsidR="00006AAB" w:rsidRDefault="00006AAB" w:rsidP="00006AAB">
      <w:r w:rsidRPr="002F43B7">
        <w:t>Victorian Selection Framework</w:t>
      </w:r>
    </w:p>
    <w:p w14:paraId="48B0936C" w14:textId="77777777" w:rsidR="00006AAB" w:rsidRDefault="00006AAB" w:rsidP="00006AAB">
      <w:pPr>
        <w:pStyle w:val="Heading3"/>
      </w:pPr>
      <w:r>
        <w:t>Full Name</w:t>
      </w:r>
    </w:p>
    <w:p w14:paraId="7CC6264B" w14:textId="0677E23F" w:rsidR="00006AAB" w:rsidRDefault="00006AAB" w:rsidP="00006AAB">
      <w:r w:rsidRPr="002F43B7">
        <w:t>Victorian Framework for Selection into Initial Teacher Education</w:t>
      </w:r>
    </w:p>
    <w:p w14:paraId="54BAE729" w14:textId="77777777" w:rsidR="00006AAB" w:rsidRDefault="00006AAB" w:rsidP="00006AAB">
      <w:pPr>
        <w:pStyle w:val="Heading3"/>
      </w:pPr>
      <w:r>
        <w:t>Acronym/Abbreviation</w:t>
      </w:r>
    </w:p>
    <w:p w14:paraId="402F342C" w14:textId="730DDBB7" w:rsidR="00006AAB" w:rsidRDefault="00006AAB" w:rsidP="00006AAB">
      <w:r w:rsidRPr="002F43B7">
        <w:t>VIT Review</w:t>
      </w:r>
    </w:p>
    <w:p w14:paraId="3914685B" w14:textId="77777777" w:rsidR="00006AAB" w:rsidRDefault="00006AAB" w:rsidP="00006AAB">
      <w:pPr>
        <w:pStyle w:val="Heading3"/>
      </w:pPr>
      <w:r>
        <w:t>Full Name</w:t>
      </w:r>
    </w:p>
    <w:p w14:paraId="75B30186" w14:textId="4C316E2E" w:rsidR="00006AAB" w:rsidRDefault="00006AAB" w:rsidP="00006AAB">
      <w:r w:rsidRPr="002F43B7">
        <w:t>Review of the Victorian Institute of Teaching: Final Report (2017)</w:t>
      </w:r>
    </w:p>
    <w:p w14:paraId="2142F68C" w14:textId="77777777" w:rsidR="00006AAB" w:rsidRDefault="00006AAB" w:rsidP="00006AAB">
      <w:pPr>
        <w:pStyle w:val="Heading3"/>
      </w:pPr>
      <w:r>
        <w:t>Acronym/Abbreviation</w:t>
      </w:r>
    </w:p>
    <w:p w14:paraId="1F5CC2DD" w14:textId="03E892AD" w:rsidR="00006AAB" w:rsidRDefault="00006AAB" w:rsidP="00006AAB">
      <w:r w:rsidRPr="002F43B7">
        <w:t>WWC Check</w:t>
      </w:r>
    </w:p>
    <w:p w14:paraId="5EF447E5" w14:textId="77777777" w:rsidR="00006AAB" w:rsidRDefault="00006AAB" w:rsidP="00006AAB">
      <w:pPr>
        <w:pStyle w:val="Heading3"/>
      </w:pPr>
      <w:r>
        <w:t>Full Name</w:t>
      </w:r>
    </w:p>
    <w:p w14:paraId="0C4F9785" w14:textId="1F57FE55" w:rsidR="00006AAB" w:rsidRDefault="00006AAB" w:rsidP="00006AAB">
      <w:r w:rsidRPr="002F43B7">
        <w:t>Working with Children Check</w:t>
      </w:r>
    </w:p>
    <w:p w14:paraId="20F92CDB" w14:textId="77777777" w:rsidR="00006AAB" w:rsidRDefault="00006AAB" w:rsidP="00006AAB">
      <w:pPr>
        <w:pStyle w:val="Heading3"/>
      </w:pPr>
      <w:r>
        <w:t>Acronym/Abbreviation</w:t>
      </w:r>
    </w:p>
    <w:p w14:paraId="0DC4B3A9" w14:textId="70DC329E" w:rsidR="00006AAB" w:rsidRDefault="00006AAB" w:rsidP="00006AAB">
      <w:r>
        <w:t>WWC Check Victoria</w:t>
      </w:r>
    </w:p>
    <w:p w14:paraId="5C76F80D" w14:textId="77777777" w:rsidR="00006AAB" w:rsidRDefault="00006AAB" w:rsidP="00006AAB">
      <w:pPr>
        <w:pStyle w:val="Heading3"/>
      </w:pPr>
      <w:r>
        <w:lastRenderedPageBreak/>
        <w:t>Full Name</w:t>
      </w:r>
    </w:p>
    <w:p w14:paraId="4A8EC192" w14:textId="61A4E6B6" w:rsidR="00006AAB" w:rsidRPr="00006AAB" w:rsidRDefault="00006AAB" w:rsidP="00006AAB">
      <w:r>
        <w:t>Working with Children Check Victoria</w:t>
      </w:r>
    </w:p>
    <w:p w14:paraId="7ED606B5" w14:textId="77777777" w:rsidR="00424761" w:rsidRDefault="00424761" w:rsidP="002F43B7">
      <w:pPr>
        <w:pStyle w:val="Heading1"/>
        <w:rPr>
          <w:caps w:val="0"/>
        </w:rPr>
        <w:sectPr w:rsidR="00424761">
          <w:footerReference w:type="default" r:id="rId18"/>
          <w:pgSz w:w="11906" w:h="16838"/>
          <w:pgMar w:top="1440" w:right="1440" w:bottom="1440" w:left="1440" w:header="708" w:footer="708" w:gutter="0"/>
          <w:cols w:space="708"/>
          <w:docGrid w:linePitch="360"/>
        </w:sectPr>
      </w:pPr>
    </w:p>
    <w:p w14:paraId="497E02A8" w14:textId="66B9BEB5" w:rsidR="00857ED7" w:rsidRPr="00DE323E" w:rsidRDefault="00857ED7" w:rsidP="002F43B7">
      <w:pPr>
        <w:pStyle w:val="Heading1"/>
      </w:pPr>
      <w:bookmarkStart w:id="9" w:name="_Toc48559331"/>
      <w:r>
        <w:rPr>
          <w:caps w:val="0"/>
        </w:rPr>
        <w:lastRenderedPageBreak/>
        <w:t>EXECUTIVE SUMMARY</w:t>
      </w:r>
      <w:bookmarkEnd w:id="9"/>
    </w:p>
    <w:p w14:paraId="7CB6F017" w14:textId="571F0829" w:rsidR="00905F13" w:rsidRDefault="006F5C72" w:rsidP="002F43B7">
      <w:pPr>
        <w:pBdr>
          <w:top w:val="single" w:sz="4" w:space="1" w:color="auto"/>
        </w:pBdr>
      </w:pPr>
      <w:r>
        <w:t xml:space="preserve">The Victorian Institute of Teaching (VIT) regulates the teaching profession in Victoria. </w:t>
      </w:r>
      <w:r w:rsidR="00857ED7">
        <w:t xml:space="preserve">The </w:t>
      </w:r>
      <w:r w:rsidR="00C570C3">
        <w:t xml:space="preserve">Department of Education and Training (the Department) has </w:t>
      </w:r>
      <w:r w:rsidR="00905F13">
        <w:t>evaluated</w:t>
      </w:r>
      <w:r w:rsidR="00C570C3">
        <w:t xml:space="preserve"> the performance of the </w:t>
      </w:r>
      <w:r w:rsidR="0022688E">
        <w:t xml:space="preserve">VIT </w:t>
      </w:r>
      <w:r w:rsidR="00C570C3">
        <w:t>in implementing its</w:t>
      </w:r>
      <w:r w:rsidR="00857ED7">
        <w:t xml:space="preserve"> </w:t>
      </w:r>
      <w:r w:rsidR="0022688E">
        <w:t>Statement of Expectations (</w:t>
      </w:r>
      <w:r w:rsidR="00857ED7">
        <w:t>SOE</w:t>
      </w:r>
      <w:r w:rsidR="0022688E">
        <w:t>)</w:t>
      </w:r>
      <w:r w:rsidR="00857ED7">
        <w:t xml:space="preserve"> 2018-20</w:t>
      </w:r>
      <w:r w:rsidR="00447CD6">
        <w:t>.</w:t>
      </w:r>
      <w:r w:rsidR="00CA3C02">
        <w:t xml:space="preserve"> A summary of the outcome evaluation is provided below.</w:t>
      </w:r>
    </w:p>
    <w:p w14:paraId="5601400C" w14:textId="056CE3ED" w:rsidR="00857ED7" w:rsidRDefault="0021619C" w:rsidP="006F2E93">
      <w:pPr>
        <w:pBdr>
          <w:top w:val="single" w:sz="4" w:space="1" w:color="auto"/>
        </w:pBdr>
      </w:pPr>
      <w:r>
        <w:t>The VIT performed strongly in</w:t>
      </w:r>
      <w:r w:rsidR="00D95AA8">
        <w:t xml:space="preserve"> the following expectations</w:t>
      </w:r>
      <w:r>
        <w:t xml:space="preserve">: </w:t>
      </w:r>
    </w:p>
    <w:p w14:paraId="0902DDD0" w14:textId="53B16C8D" w:rsidR="00857ED7" w:rsidRDefault="00D06F9A" w:rsidP="00857ED7">
      <w:pPr>
        <w:pStyle w:val="Bullet1"/>
      </w:pPr>
      <w:r>
        <w:rPr>
          <w:b/>
          <w:bCs/>
        </w:rPr>
        <w:t>Timeliness of decisions</w:t>
      </w:r>
      <w:r w:rsidR="00E139B4">
        <w:rPr>
          <w:b/>
          <w:bCs/>
        </w:rPr>
        <w:t>–</w:t>
      </w:r>
      <w:r w:rsidR="00D95AA8">
        <w:t xml:space="preserve"> </w:t>
      </w:r>
      <w:r w:rsidR="00A7653C">
        <w:t xml:space="preserve">a </w:t>
      </w:r>
      <w:r w:rsidR="00213CBE">
        <w:t>t</w:t>
      </w:r>
      <w:r w:rsidR="00857ED7">
        <w:t xml:space="preserve">imely response to </w:t>
      </w:r>
      <w:r w:rsidR="00EC4332">
        <w:t xml:space="preserve">decisions </w:t>
      </w:r>
      <w:r w:rsidR="00CA3C02">
        <w:t xml:space="preserve">on </w:t>
      </w:r>
      <w:r w:rsidR="00EC4332">
        <w:t>teacher registration and disciplinary action</w:t>
      </w:r>
      <w:r w:rsidR="00C61B6C">
        <w:t>, including</w:t>
      </w:r>
      <w:r w:rsidR="00C651CD">
        <w:t xml:space="preserve"> assessing new graduate applications and provisional to full registration applications faster, (5 days and 8 days respectively) and </w:t>
      </w:r>
      <w:r w:rsidR="00C61B6C">
        <w:t xml:space="preserve">reviewing 100% of suspensions within 30 days, </w:t>
      </w:r>
      <w:r w:rsidR="006321F6">
        <w:t xml:space="preserve">and </w:t>
      </w:r>
      <w:r w:rsidR="006707FB">
        <w:t xml:space="preserve">100% of </w:t>
      </w:r>
      <w:r w:rsidR="00C651CD">
        <w:t xml:space="preserve">new graduate applications prior to Term 1 of the school year. </w:t>
      </w:r>
    </w:p>
    <w:p w14:paraId="7B7B5DB2" w14:textId="484E9703" w:rsidR="005A79B5" w:rsidRDefault="005A79B5" w:rsidP="00857ED7">
      <w:pPr>
        <w:pStyle w:val="Bullet1"/>
      </w:pPr>
      <w:r w:rsidRPr="005A79B5">
        <w:rPr>
          <w:b/>
          <w:bCs/>
        </w:rPr>
        <w:t>Improving teacher quality and education</w:t>
      </w:r>
      <w:r w:rsidR="0078306B">
        <w:rPr>
          <w:b/>
          <w:bCs/>
        </w:rPr>
        <w:t xml:space="preserve"> </w:t>
      </w:r>
      <w:r w:rsidR="00E139B4">
        <w:rPr>
          <w:b/>
          <w:bCs/>
        </w:rPr>
        <w:t>–</w:t>
      </w:r>
      <w:r>
        <w:t xml:space="preserve"> </w:t>
      </w:r>
      <w:r w:rsidR="00213CBE">
        <w:t>s</w:t>
      </w:r>
      <w:r w:rsidR="00857ED7">
        <w:t xml:space="preserve">etting </w:t>
      </w:r>
      <w:r w:rsidR="00711933">
        <w:t xml:space="preserve">consistent and transparent standards for initial teacher education </w:t>
      </w:r>
      <w:r w:rsidR="00B93720">
        <w:t>(ITE)</w:t>
      </w:r>
      <w:r w:rsidR="00711933">
        <w:t xml:space="preserve">, </w:t>
      </w:r>
      <w:r>
        <w:t xml:space="preserve">with the sector 100% compliant in requiring a 70 Australian Tertiary Admissions Rank (ATAR) for entry into ITE </w:t>
      </w:r>
      <w:r w:rsidR="00C070B6">
        <w:t>courses and</w:t>
      </w:r>
      <w:r>
        <w:t xml:space="preserve"> supporting special needs. </w:t>
      </w:r>
    </w:p>
    <w:p w14:paraId="5C56B841" w14:textId="67DD7A90" w:rsidR="00857ED7" w:rsidRDefault="002061AE" w:rsidP="00437371">
      <w:pPr>
        <w:pStyle w:val="Bullet1"/>
      </w:pPr>
      <w:r>
        <w:rPr>
          <w:b/>
          <w:bCs/>
        </w:rPr>
        <w:t>Providing effective</w:t>
      </w:r>
      <w:r w:rsidRPr="005C3DF4">
        <w:rPr>
          <w:b/>
          <w:bCs/>
        </w:rPr>
        <w:t xml:space="preserve"> </w:t>
      </w:r>
      <w:r w:rsidR="005C3DF4" w:rsidRPr="005C3DF4">
        <w:rPr>
          <w:b/>
          <w:bCs/>
        </w:rPr>
        <w:t>compliance</w:t>
      </w:r>
      <w:r w:rsidR="005C3DF4">
        <w:t xml:space="preserve"> </w:t>
      </w:r>
      <w:r w:rsidRPr="006B27A5">
        <w:rPr>
          <w:b/>
          <w:bCs/>
        </w:rPr>
        <w:t xml:space="preserve">advice </w:t>
      </w:r>
      <w:r w:rsidR="00E139B4">
        <w:rPr>
          <w:b/>
          <w:bCs/>
        </w:rPr>
        <w:t>–</w:t>
      </w:r>
      <w:r w:rsidR="00857ED7">
        <w:t>achieving a high compliance rate with registration requirements</w:t>
      </w:r>
      <w:r w:rsidR="00661F63">
        <w:t xml:space="preserve">, </w:t>
      </w:r>
      <w:r w:rsidR="00437371">
        <w:t xml:space="preserve">evident through the low </w:t>
      </w:r>
      <w:r w:rsidR="001718F6">
        <w:t>rate</w:t>
      </w:r>
      <w:r w:rsidR="00437371">
        <w:t xml:space="preserve"> of unregistered teaching (</w:t>
      </w:r>
      <w:r w:rsidR="00661F63">
        <w:t>0.02%</w:t>
      </w:r>
      <w:r w:rsidR="00437371">
        <w:t>)</w:t>
      </w:r>
      <w:r w:rsidR="00C83B07">
        <w:t xml:space="preserve"> and</w:t>
      </w:r>
      <w:r w:rsidR="00437371">
        <w:t xml:space="preserve"> high rate </w:t>
      </w:r>
      <w:r w:rsidR="00661F63">
        <w:t xml:space="preserve">of teachers completing registration tasks </w:t>
      </w:r>
      <w:r w:rsidR="00070DE4">
        <w:t>on schedule</w:t>
      </w:r>
      <w:r w:rsidR="006F2350">
        <w:t xml:space="preserve"> (approximately 90%)</w:t>
      </w:r>
      <w:r w:rsidR="00661F63">
        <w:t xml:space="preserve">. </w:t>
      </w:r>
      <w:r w:rsidR="00437371">
        <w:t xml:space="preserve">The VIT </w:t>
      </w:r>
      <w:r w:rsidR="00213CBE">
        <w:t>c</w:t>
      </w:r>
      <w:r w:rsidR="00857ED7">
        <w:t>oordinat</w:t>
      </w:r>
      <w:r w:rsidR="00437371">
        <w:t>ed</w:t>
      </w:r>
      <w:r w:rsidR="00857ED7">
        <w:t xml:space="preserve"> </w:t>
      </w:r>
      <w:r w:rsidR="00661F63">
        <w:t xml:space="preserve">15 </w:t>
      </w:r>
      <w:r w:rsidR="0078306B">
        <w:t xml:space="preserve">professional learning </w:t>
      </w:r>
      <w:r w:rsidR="00857ED7">
        <w:t>program</w:t>
      </w:r>
      <w:r w:rsidR="00661F63">
        <w:t>s</w:t>
      </w:r>
      <w:r w:rsidR="0078306B">
        <w:t>,</w:t>
      </w:r>
      <w:r w:rsidR="00661F63">
        <w:t xml:space="preserve"> </w:t>
      </w:r>
      <w:r w:rsidR="0078306B">
        <w:t xml:space="preserve">conferences and network meetings </w:t>
      </w:r>
      <w:r w:rsidR="00661F63">
        <w:t>across 118 sessions</w:t>
      </w:r>
      <w:r w:rsidR="00857ED7">
        <w:t xml:space="preserve"> </w:t>
      </w:r>
      <w:r w:rsidR="001718F6">
        <w:t xml:space="preserve">to support a range </w:t>
      </w:r>
      <w:r w:rsidR="00857ED7">
        <w:t xml:space="preserve">of teachers across </w:t>
      </w:r>
      <w:r w:rsidR="00905F13">
        <w:t xml:space="preserve">tertiary </w:t>
      </w:r>
      <w:r w:rsidR="00857ED7">
        <w:t xml:space="preserve">sector, Government and Catholic school sectors, and </w:t>
      </w:r>
      <w:r w:rsidR="00905F13">
        <w:t>i</w:t>
      </w:r>
      <w:r w:rsidR="00857ED7">
        <w:t>ndependent schools</w:t>
      </w:r>
      <w:r w:rsidR="001718F6">
        <w:t xml:space="preserve"> to comply with registration requirements</w:t>
      </w:r>
      <w:r w:rsidR="00050DAB">
        <w:t>.</w:t>
      </w:r>
    </w:p>
    <w:p w14:paraId="05E786FC" w14:textId="2946E530" w:rsidR="00857ED7" w:rsidRDefault="00150CBB" w:rsidP="00857ED7">
      <w:pPr>
        <w:pStyle w:val="Bullet1"/>
      </w:pPr>
      <w:r>
        <w:rPr>
          <w:b/>
          <w:bCs/>
        </w:rPr>
        <w:t>Strengthening the regulatory approach to</w:t>
      </w:r>
      <w:r w:rsidR="002061AE">
        <w:rPr>
          <w:b/>
          <w:bCs/>
        </w:rPr>
        <w:t xml:space="preserve"> child safety and wellbeing </w:t>
      </w:r>
      <w:r w:rsidR="00CE6120">
        <w:rPr>
          <w:b/>
          <w:bCs/>
        </w:rPr>
        <w:t>–</w:t>
      </w:r>
      <w:r w:rsidR="00050DAB">
        <w:rPr>
          <w:b/>
          <w:bCs/>
        </w:rPr>
        <w:t xml:space="preserve"> </w:t>
      </w:r>
      <w:r w:rsidR="00CE6120">
        <w:t>modernising</w:t>
      </w:r>
      <w:r w:rsidR="00873F81">
        <w:t xml:space="preserve"> the</w:t>
      </w:r>
      <w:r w:rsidR="00CE6120">
        <w:t xml:space="preserve"> </w:t>
      </w:r>
      <w:r w:rsidR="00873F81">
        <w:t xml:space="preserve">regulatory approach </w:t>
      </w:r>
      <w:r w:rsidR="00CE6120">
        <w:t xml:space="preserve">and strategically aligning the VIT with </w:t>
      </w:r>
      <w:r w:rsidR="00873F81">
        <w:t xml:space="preserve">the </w:t>
      </w:r>
      <w:r w:rsidR="00CE6120">
        <w:t>new legislative function</w:t>
      </w:r>
      <w:r w:rsidR="00873F81">
        <w:t xml:space="preserve"> to take into account child safety</w:t>
      </w:r>
      <w:r w:rsidR="00913D83">
        <w:t xml:space="preserve">, including </w:t>
      </w:r>
      <w:r w:rsidR="00213CBE">
        <w:t>u</w:t>
      </w:r>
      <w:r w:rsidR="00857ED7">
        <w:t xml:space="preserve">ndertaking </w:t>
      </w:r>
      <w:r w:rsidR="001718F6">
        <w:t xml:space="preserve">corporate </w:t>
      </w:r>
      <w:r w:rsidR="00857ED7">
        <w:t xml:space="preserve">business planning </w:t>
      </w:r>
      <w:r w:rsidR="001718F6">
        <w:t xml:space="preserve">(the Strategic Plan 2018-20) </w:t>
      </w:r>
      <w:r w:rsidR="00857ED7">
        <w:t xml:space="preserve">and </w:t>
      </w:r>
      <w:r w:rsidR="00913D83">
        <w:t xml:space="preserve">policy development to </w:t>
      </w:r>
      <w:r w:rsidR="001718F6">
        <w:t>updat</w:t>
      </w:r>
      <w:r w:rsidR="00913D83">
        <w:t>e</w:t>
      </w:r>
      <w:r w:rsidR="001718F6">
        <w:t xml:space="preserve"> all internal and external policies</w:t>
      </w:r>
      <w:r w:rsidR="00050DAB">
        <w:t>.</w:t>
      </w:r>
    </w:p>
    <w:p w14:paraId="3842D8B4" w14:textId="1FD31A90" w:rsidR="00305A7B" w:rsidRPr="00305A7B" w:rsidRDefault="00150CBB">
      <w:pPr>
        <w:pStyle w:val="Bullet1"/>
      </w:pPr>
      <w:r>
        <w:rPr>
          <w:b/>
          <w:bCs/>
        </w:rPr>
        <w:t xml:space="preserve">Transparent </w:t>
      </w:r>
      <w:r w:rsidR="00D06F9A">
        <w:rPr>
          <w:b/>
          <w:bCs/>
        </w:rPr>
        <w:t xml:space="preserve">and accountable </w:t>
      </w:r>
      <w:r>
        <w:rPr>
          <w:b/>
          <w:bCs/>
        </w:rPr>
        <w:t>decisions</w:t>
      </w:r>
      <w:r w:rsidR="00DE41B9" w:rsidRPr="00E139B4">
        <w:rPr>
          <w:b/>
          <w:bCs/>
        </w:rPr>
        <w:t xml:space="preserve"> </w:t>
      </w:r>
      <w:r w:rsidR="00E139B4">
        <w:rPr>
          <w:b/>
          <w:bCs/>
        </w:rPr>
        <w:t>–</w:t>
      </w:r>
      <w:r w:rsidR="00342334">
        <w:rPr>
          <w:b/>
          <w:bCs/>
        </w:rPr>
        <w:t xml:space="preserve"> </w:t>
      </w:r>
      <w:r w:rsidR="00342334">
        <w:t xml:space="preserve">providing quality assurance to the public that teachers are safe to work with children, through </w:t>
      </w:r>
      <w:r w:rsidR="00213CBE">
        <w:t>p</w:t>
      </w:r>
      <w:r w:rsidR="00305A7B">
        <w:t xml:space="preserve">ublishing transparent and accountable information </w:t>
      </w:r>
      <w:r w:rsidR="00342334">
        <w:t>in the Register of Teachers and the Register of Disciplinary Actions on its website</w:t>
      </w:r>
      <w:r w:rsidR="00305A7B">
        <w:t>.</w:t>
      </w:r>
    </w:p>
    <w:p w14:paraId="1E321E35" w14:textId="59F9C69F" w:rsidR="00857ED7" w:rsidRDefault="0021619C" w:rsidP="00857ED7">
      <w:r>
        <w:t>T</w:t>
      </w:r>
      <w:r w:rsidR="00447CD6">
        <w:t>he VIT could improve</w:t>
      </w:r>
      <w:r>
        <w:t xml:space="preserve"> in:</w:t>
      </w:r>
      <w:r w:rsidR="00447CD6">
        <w:t xml:space="preserve"> </w:t>
      </w:r>
    </w:p>
    <w:p w14:paraId="2BA113B4" w14:textId="5FF1F9FD" w:rsidR="00A44CCE" w:rsidRDefault="00A44CCE" w:rsidP="00A44CCE">
      <w:pPr>
        <w:pStyle w:val="Bullet1"/>
      </w:pPr>
      <w:r w:rsidRPr="00B37B6C">
        <w:rPr>
          <w:b/>
          <w:bCs/>
        </w:rPr>
        <w:t>Data collection for the SOE –</w:t>
      </w:r>
      <w:r>
        <w:t xml:space="preserve"> timely data collection to enable performance measures and targets to be achieved. </w:t>
      </w:r>
      <w:r w:rsidR="003B0432">
        <w:t xml:space="preserve">At the time of the evaluation, the VIT was upgrading its IT systems, and this had an impact on data collection and performance reporting. </w:t>
      </w:r>
      <w:r>
        <w:t>Half of the data required to report against the performance measures w</w:t>
      </w:r>
      <w:r w:rsidR="00EE6EC4">
        <w:t>as</w:t>
      </w:r>
      <w:r>
        <w:t xml:space="preserve"> </w:t>
      </w:r>
      <w:r w:rsidR="003B0432">
        <w:t xml:space="preserve">unable to be </w:t>
      </w:r>
      <w:r>
        <w:t xml:space="preserve">provided to the Department to assess performance against the SOE. </w:t>
      </w:r>
    </w:p>
    <w:p w14:paraId="166D2C6E" w14:textId="56C5A915" w:rsidR="005047BF" w:rsidRPr="00581AF0" w:rsidRDefault="00D102D1" w:rsidP="00857ED7">
      <w:pPr>
        <w:pStyle w:val="Bullet1"/>
      </w:pPr>
      <w:r w:rsidRPr="00581AF0">
        <w:rPr>
          <w:b/>
          <w:bCs/>
        </w:rPr>
        <w:t xml:space="preserve">Coordinating and sharing information with </w:t>
      </w:r>
      <w:r w:rsidR="00310076">
        <w:rPr>
          <w:b/>
          <w:bCs/>
        </w:rPr>
        <w:t xml:space="preserve">agencies and </w:t>
      </w:r>
      <w:r w:rsidRPr="00581AF0">
        <w:rPr>
          <w:b/>
          <w:bCs/>
        </w:rPr>
        <w:t>regulators</w:t>
      </w:r>
      <w:r w:rsidRPr="00581AF0">
        <w:t xml:space="preserve"> </w:t>
      </w:r>
      <w:r w:rsidRPr="00581AF0">
        <w:rPr>
          <w:b/>
          <w:bCs/>
        </w:rPr>
        <w:t>–</w:t>
      </w:r>
      <w:r w:rsidRPr="00581AF0">
        <w:t xml:space="preserve"> </w:t>
      </w:r>
      <w:r w:rsidR="00213CBE" w:rsidRPr="00581AF0">
        <w:t>b</w:t>
      </w:r>
      <w:r w:rsidR="00857ED7" w:rsidRPr="00581AF0">
        <w:t>uilding partnerships with co-regulators to align with other</w:t>
      </w:r>
      <w:r w:rsidR="00CF604A">
        <w:t xml:space="preserve"> child safety</w:t>
      </w:r>
      <w:r w:rsidR="00857ED7" w:rsidRPr="00581AF0">
        <w:t xml:space="preserve"> regulatory schemes, including ensuring roles are clear in the Reportable Conduct Scheme</w:t>
      </w:r>
      <w:r w:rsidR="009578D2" w:rsidRPr="00581AF0">
        <w:t xml:space="preserve"> (RCS)</w:t>
      </w:r>
      <w:r w:rsidR="00857ED7" w:rsidRPr="00581AF0">
        <w:t xml:space="preserve"> and the Working with Children </w:t>
      </w:r>
      <w:r w:rsidR="009578D2" w:rsidRPr="00581AF0">
        <w:t xml:space="preserve">(WWC) </w:t>
      </w:r>
      <w:r w:rsidR="00857ED7" w:rsidRPr="00581AF0">
        <w:t>Check Scheme</w:t>
      </w:r>
      <w:r w:rsidRPr="00581AF0">
        <w:t>.</w:t>
      </w:r>
      <w:r w:rsidR="00750C83" w:rsidRPr="00581AF0">
        <w:t xml:space="preserve"> </w:t>
      </w:r>
      <w:r w:rsidR="005047BF" w:rsidRPr="00581AF0">
        <w:t xml:space="preserve">The </w:t>
      </w:r>
      <w:r w:rsidR="00581AF0" w:rsidRPr="00581AF0">
        <w:t xml:space="preserve">VIT Review recommended developing </w:t>
      </w:r>
      <w:proofErr w:type="spellStart"/>
      <w:r w:rsidR="00581AF0" w:rsidRPr="00581AF0">
        <w:t>MoUs</w:t>
      </w:r>
      <w:proofErr w:type="spellEnd"/>
      <w:r w:rsidR="00581AF0" w:rsidRPr="00581AF0">
        <w:t xml:space="preserve"> with co-regulators to clarify </w:t>
      </w:r>
      <w:r w:rsidR="00581AF0">
        <w:t xml:space="preserve">interrelated </w:t>
      </w:r>
      <w:r w:rsidR="00581AF0" w:rsidRPr="00581AF0">
        <w:t xml:space="preserve">roles and responsibilities, and in response the VIT has developed nine </w:t>
      </w:r>
      <w:proofErr w:type="spellStart"/>
      <w:r w:rsidR="00581AF0" w:rsidRPr="00581AF0">
        <w:t>MoUs</w:t>
      </w:r>
      <w:proofErr w:type="spellEnd"/>
      <w:r w:rsidR="00581AF0" w:rsidRPr="00581AF0">
        <w:t xml:space="preserve">, with a further six </w:t>
      </w:r>
      <w:proofErr w:type="spellStart"/>
      <w:r w:rsidR="00581AF0" w:rsidRPr="00581AF0">
        <w:t>MoUs</w:t>
      </w:r>
      <w:proofErr w:type="spellEnd"/>
      <w:r w:rsidR="00581AF0" w:rsidRPr="00581AF0">
        <w:t xml:space="preserve"> under development to fulfil this requirement. </w:t>
      </w:r>
    </w:p>
    <w:p w14:paraId="1AFB6889" w14:textId="56BBB7B8" w:rsidR="00857ED7" w:rsidRDefault="00D07239" w:rsidP="00857ED7">
      <w:pPr>
        <w:pStyle w:val="Bullet1"/>
      </w:pPr>
      <w:r w:rsidRPr="00D07239">
        <w:rPr>
          <w:b/>
          <w:bCs/>
        </w:rPr>
        <w:t xml:space="preserve">Supporting the government to implement </w:t>
      </w:r>
      <w:r w:rsidR="00F85FED">
        <w:rPr>
          <w:b/>
          <w:bCs/>
        </w:rPr>
        <w:t xml:space="preserve">child safety </w:t>
      </w:r>
      <w:r w:rsidRPr="00D07239">
        <w:rPr>
          <w:b/>
          <w:bCs/>
        </w:rPr>
        <w:t xml:space="preserve">legislative reforms </w:t>
      </w:r>
      <w:r w:rsidRPr="00581AF0">
        <w:rPr>
          <w:b/>
          <w:bCs/>
        </w:rPr>
        <w:t>–</w:t>
      </w:r>
      <w:r>
        <w:t xml:space="preserve"> </w:t>
      </w:r>
      <w:r w:rsidR="00563BA7">
        <w:t xml:space="preserve">supporting regulated parties to understand the complex and evolving child safety </w:t>
      </w:r>
      <w:r w:rsidR="00563BA7">
        <w:lastRenderedPageBreak/>
        <w:t xml:space="preserve">space, through continuing to provide advice and regularly </w:t>
      </w:r>
      <w:r w:rsidR="00213CBE">
        <w:t>u</w:t>
      </w:r>
      <w:r w:rsidR="00857ED7">
        <w:t>pdating compliance guidance on the regulatory requirements for child safety</w:t>
      </w:r>
      <w:r w:rsidR="00563BA7">
        <w:t>.</w:t>
      </w:r>
    </w:p>
    <w:p w14:paraId="4CBD6404" w14:textId="00AEBBAA" w:rsidR="00857ED7" w:rsidRDefault="00C92B44" w:rsidP="00857ED7">
      <w:pPr>
        <w:pStyle w:val="Bullet1"/>
      </w:pPr>
      <w:r w:rsidRPr="00C92B44">
        <w:rPr>
          <w:b/>
          <w:bCs/>
        </w:rPr>
        <w:t>Continuing to improve compliance</w:t>
      </w:r>
      <w:r w:rsidR="00F85FED">
        <w:rPr>
          <w:b/>
          <w:bCs/>
        </w:rPr>
        <w:t xml:space="preserve"> assistance</w:t>
      </w:r>
      <w:r w:rsidRPr="00581AF0">
        <w:rPr>
          <w:b/>
          <w:bCs/>
        </w:rPr>
        <w:t>–</w:t>
      </w:r>
      <w:r>
        <w:t xml:space="preserve"> </w:t>
      </w:r>
      <w:r w:rsidR="00213CBE">
        <w:t>p</w:t>
      </w:r>
      <w:r w:rsidR="00857ED7">
        <w:t>roviding compliance-related assistance and advice to people with disability</w:t>
      </w:r>
      <w:r>
        <w:t xml:space="preserve">. Currently policy and procedures </w:t>
      </w:r>
      <w:r w:rsidR="00857ED7">
        <w:t xml:space="preserve">documents </w:t>
      </w:r>
      <w:r>
        <w:t xml:space="preserve">available </w:t>
      </w:r>
      <w:r w:rsidR="00857ED7">
        <w:t xml:space="preserve">on the </w:t>
      </w:r>
      <w:r w:rsidR="004726F5">
        <w:t xml:space="preserve">VIT </w:t>
      </w:r>
      <w:r w:rsidR="00857ED7">
        <w:t>website</w:t>
      </w:r>
      <w:r w:rsidR="00C76034">
        <w:t xml:space="preserve"> are not accessible to people with disability</w:t>
      </w:r>
      <w:r>
        <w:t xml:space="preserve">. </w:t>
      </w:r>
    </w:p>
    <w:p w14:paraId="18B2DB13" w14:textId="30066934" w:rsidR="00857ED7" w:rsidRDefault="00817AED" w:rsidP="00857ED7">
      <w:pPr>
        <w:pStyle w:val="Bullet1"/>
      </w:pPr>
      <w:r w:rsidRPr="00817AED">
        <w:rPr>
          <w:b/>
          <w:bCs/>
        </w:rPr>
        <w:t>Engaging with stakeholders to meet community expectations</w:t>
      </w:r>
      <w:r>
        <w:t xml:space="preserve"> </w:t>
      </w:r>
      <w:r w:rsidRPr="00581AF0">
        <w:rPr>
          <w:b/>
          <w:bCs/>
        </w:rPr>
        <w:t>–</w:t>
      </w:r>
      <w:r>
        <w:t xml:space="preserve"> </w:t>
      </w:r>
      <w:r w:rsidR="00213CBE">
        <w:t>c</w:t>
      </w:r>
      <w:r w:rsidR="00857ED7">
        <w:t xml:space="preserve">larifying </w:t>
      </w:r>
      <w:r w:rsidR="00213CBE">
        <w:t xml:space="preserve">the </w:t>
      </w:r>
      <w:r w:rsidR="00857ED7">
        <w:t xml:space="preserve">role </w:t>
      </w:r>
      <w:r w:rsidR="00305A7B">
        <w:t>of the regulator</w:t>
      </w:r>
      <w:r w:rsidR="00857ED7">
        <w:t xml:space="preserve"> and strengthening stakeholder consultation and engagement to improve performance, satisfaction with service delivery and alignment to community expectations. </w:t>
      </w:r>
      <w:r w:rsidR="00C56061">
        <w:t xml:space="preserve">The Stakeholder Engagement Committee </w:t>
      </w:r>
      <w:r w:rsidR="00DA4ACD">
        <w:t>should</w:t>
      </w:r>
      <w:r w:rsidR="00C56061">
        <w:t xml:space="preserve"> gather </w:t>
      </w:r>
      <w:r w:rsidR="00DA4ACD">
        <w:t xml:space="preserve">information </w:t>
      </w:r>
      <w:r w:rsidR="00C56061">
        <w:t xml:space="preserve">on community expectations and strengthen stakeholder engagement. </w:t>
      </w:r>
      <w:r w:rsidR="00DA4ACD">
        <w:t xml:space="preserve">A </w:t>
      </w:r>
      <w:r w:rsidR="00331DD4">
        <w:t>regular annual stakeholder survey</w:t>
      </w:r>
      <w:r w:rsidR="003A7388">
        <w:t xml:space="preserve"> could provide a consistent approach</w:t>
      </w:r>
      <w:r w:rsidR="00331DD4">
        <w:t xml:space="preserve"> to seek</w:t>
      </w:r>
      <w:r w:rsidR="003A7388">
        <w:t>ing</w:t>
      </w:r>
      <w:r w:rsidR="00331DD4">
        <w:t xml:space="preserve"> feedback and insights into performance.</w:t>
      </w:r>
    </w:p>
    <w:p w14:paraId="633F4C82" w14:textId="4A6228D2" w:rsidR="005D1924" w:rsidRPr="00825D63" w:rsidRDefault="001B69DD" w:rsidP="005D1924">
      <w:r>
        <w:t xml:space="preserve">The Department and the VIT could consider </w:t>
      </w:r>
      <w:r w:rsidR="00F85FED">
        <w:t xml:space="preserve">improving </w:t>
      </w:r>
      <w:r>
        <w:t>processes for future SOEs, such as</w:t>
      </w:r>
      <w:r w:rsidR="005D1924">
        <w:t>:</w:t>
      </w:r>
    </w:p>
    <w:p w14:paraId="170F601B" w14:textId="26244CAE" w:rsidR="00787693" w:rsidRDefault="00787693" w:rsidP="005D1924">
      <w:pPr>
        <w:pStyle w:val="Bullet1"/>
      </w:pPr>
      <w:r>
        <w:rPr>
          <w:b/>
          <w:bCs/>
        </w:rPr>
        <w:t>S</w:t>
      </w:r>
      <w:r w:rsidRPr="00787667">
        <w:rPr>
          <w:b/>
          <w:bCs/>
        </w:rPr>
        <w:t>trategic alignment</w:t>
      </w:r>
      <w:r>
        <w:t xml:space="preserve"> </w:t>
      </w:r>
      <w:r w:rsidR="00C176C1" w:rsidRPr="00581AF0">
        <w:rPr>
          <w:b/>
          <w:bCs/>
        </w:rPr>
        <w:t>–</w:t>
      </w:r>
      <w:r>
        <w:t xml:space="preserve"> clearly aligning the Evaluation Plan to the SOE Letter and SOE Response. The three documents were developed independently, and closer linkages between expectations, activities and performance measures would have improved the coherence of the </w:t>
      </w:r>
      <w:r w:rsidR="005E4F97">
        <w:t xml:space="preserve">SOE and the </w:t>
      </w:r>
      <w:r>
        <w:t xml:space="preserve">evaluation. </w:t>
      </w:r>
    </w:p>
    <w:p w14:paraId="624A1D77" w14:textId="18947A32" w:rsidR="005D1924" w:rsidRPr="00447445" w:rsidRDefault="00C176C1" w:rsidP="005D1924">
      <w:pPr>
        <w:pStyle w:val="Bullet1"/>
      </w:pPr>
      <w:r w:rsidRPr="00C176C1">
        <w:rPr>
          <w:b/>
          <w:bCs/>
        </w:rPr>
        <w:t>Develop out</w:t>
      </w:r>
      <w:r w:rsidR="005D1924" w:rsidRPr="00C176C1">
        <w:rPr>
          <w:b/>
          <w:bCs/>
        </w:rPr>
        <w:t>comes-based measures</w:t>
      </w:r>
      <w:r w:rsidR="005D1924" w:rsidRPr="00447445">
        <w:t xml:space="preserve"> </w:t>
      </w:r>
      <w:r w:rsidRPr="00581AF0">
        <w:rPr>
          <w:b/>
          <w:bCs/>
        </w:rPr>
        <w:t>–</w:t>
      </w:r>
      <w:r>
        <w:rPr>
          <w:b/>
          <w:bCs/>
        </w:rPr>
        <w:t xml:space="preserve"> </w:t>
      </w:r>
      <w:r w:rsidR="00393D25">
        <w:t>measures should</w:t>
      </w:r>
      <w:r w:rsidR="00393D25" w:rsidRPr="00447445">
        <w:t xml:space="preserve"> </w:t>
      </w:r>
      <w:r w:rsidR="005D1924" w:rsidRPr="00447445">
        <w:t>demonstrate an improvement in performance and quality outcomes</w:t>
      </w:r>
      <w:r w:rsidR="00B94BEB">
        <w:t xml:space="preserve">. </w:t>
      </w:r>
      <w:r w:rsidR="00787693">
        <w:t xml:space="preserve">Many of the performance measures were based on outputs, and in these cases the result of the VIT action </w:t>
      </w:r>
      <w:r w:rsidR="00D4562B">
        <w:t xml:space="preserve">to support regulated parties or reduce regulatory burden </w:t>
      </w:r>
      <w:r w:rsidR="00787693">
        <w:t>was not demonstrated.</w:t>
      </w:r>
    </w:p>
    <w:p w14:paraId="010CE505" w14:textId="4203FACE" w:rsidR="004A01BE" w:rsidRDefault="004A01BE" w:rsidP="004A01BE">
      <w:pPr>
        <w:pStyle w:val="Bullet1"/>
        <w:spacing w:before="40"/>
      </w:pPr>
      <w:r>
        <w:rPr>
          <w:b/>
          <w:bCs/>
        </w:rPr>
        <w:t xml:space="preserve">Comparable </w:t>
      </w:r>
      <w:r w:rsidRPr="00787667">
        <w:rPr>
          <w:b/>
          <w:bCs/>
        </w:rPr>
        <w:t>data</w:t>
      </w:r>
      <w:r>
        <w:t xml:space="preserve"> - comparing a</w:t>
      </w:r>
      <w:r w:rsidRPr="007D44E2">
        <w:t>ll data across the same timeframe</w:t>
      </w:r>
      <w:r>
        <w:t>, as the evaluation has a mix of financial year and calendar year data. The SOE is framed in the financial year, however calendar year data (in line with the school year) is most appropriate for performance reporting in the teaching sector.</w:t>
      </w:r>
    </w:p>
    <w:p w14:paraId="1D08C920" w14:textId="5F6F1CE4" w:rsidR="005D1924" w:rsidRPr="005D1924" w:rsidRDefault="005D1924" w:rsidP="002F43B7">
      <w:pPr>
        <w:rPr>
          <w:b/>
          <w:caps/>
        </w:rPr>
        <w:sectPr w:rsidR="005D1924" w:rsidRPr="005D1924">
          <w:pgSz w:w="11906" w:h="16838"/>
          <w:pgMar w:top="1440" w:right="1440" w:bottom="1440" w:left="1440" w:header="708" w:footer="708" w:gutter="0"/>
          <w:cols w:space="708"/>
          <w:docGrid w:linePitch="360"/>
        </w:sectPr>
      </w:pPr>
    </w:p>
    <w:p w14:paraId="7237875C" w14:textId="0B502785" w:rsidR="00A45DE5" w:rsidRDefault="00F9491E" w:rsidP="00A45155">
      <w:pPr>
        <w:pStyle w:val="Heading1"/>
      </w:pPr>
      <w:bookmarkStart w:id="10" w:name="_Toc48559332"/>
      <w:r>
        <w:rPr>
          <w:caps w:val="0"/>
        </w:rPr>
        <w:lastRenderedPageBreak/>
        <w:t>EVALUATION</w:t>
      </w:r>
      <w:bookmarkEnd w:id="3"/>
      <w:bookmarkEnd w:id="4"/>
      <w:bookmarkEnd w:id="5"/>
      <w:bookmarkEnd w:id="6"/>
      <w:r>
        <w:rPr>
          <w:caps w:val="0"/>
        </w:rPr>
        <w:t xml:space="preserve"> CONTEXT</w:t>
      </w:r>
      <w:bookmarkEnd w:id="7"/>
      <w:bookmarkEnd w:id="8"/>
      <w:bookmarkEnd w:id="10"/>
      <w:r>
        <w:rPr>
          <w:caps w:val="0"/>
        </w:rPr>
        <w:t xml:space="preserve"> </w:t>
      </w:r>
    </w:p>
    <w:p w14:paraId="7F85ADC7" w14:textId="29FEB775" w:rsidR="0078499C" w:rsidRDefault="00946C92" w:rsidP="00FB577C">
      <w:pPr>
        <w:pStyle w:val="Heading2"/>
        <w:pBdr>
          <w:top w:val="single" w:sz="4" w:space="1" w:color="auto"/>
        </w:pBdr>
      </w:pPr>
      <w:bookmarkStart w:id="11" w:name="_Toc38349008"/>
      <w:bookmarkStart w:id="12" w:name="_Toc38349274"/>
      <w:bookmarkStart w:id="13" w:name="_Toc48559333"/>
      <w:bookmarkStart w:id="14" w:name="_Toc25757113"/>
      <w:bookmarkStart w:id="15" w:name="_Toc25757253"/>
      <w:bookmarkStart w:id="16" w:name="_Toc25757394"/>
      <w:bookmarkStart w:id="17" w:name="_Toc25827712"/>
      <w:r>
        <w:t xml:space="preserve">STATEMENT OF EXPECTATIONS </w:t>
      </w:r>
      <w:bookmarkEnd w:id="11"/>
      <w:bookmarkEnd w:id="12"/>
      <w:r>
        <w:t>FRAMEWORK</w:t>
      </w:r>
      <w:bookmarkEnd w:id="13"/>
    </w:p>
    <w:p w14:paraId="210964BC" w14:textId="69C49A32" w:rsidR="00DE3633" w:rsidRDefault="00DE3633" w:rsidP="00DE3633">
      <w:pPr>
        <w:pStyle w:val="Intro"/>
        <w:pBdr>
          <w:top w:val="none" w:sz="0" w:space="0" w:color="auto"/>
        </w:pBdr>
      </w:pPr>
      <w:bookmarkStart w:id="18" w:name="_Hlk37748149"/>
      <w:bookmarkStart w:id="19" w:name="_Toc25757116"/>
      <w:bookmarkStart w:id="20" w:name="_Toc25757256"/>
      <w:bookmarkStart w:id="21" w:name="_Toc25757397"/>
      <w:bookmarkStart w:id="22" w:name="_Toc25827715"/>
      <w:bookmarkStart w:id="23" w:name="_Toc25757114"/>
      <w:bookmarkStart w:id="24" w:name="_Toc25757254"/>
      <w:bookmarkStart w:id="25" w:name="_Toc25757395"/>
      <w:bookmarkStart w:id="26" w:name="_Toc25827713"/>
      <w:r>
        <w:t xml:space="preserve">The </w:t>
      </w:r>
      <w:r w:rsidR="000A055C">
        <w:t xml:space="preserve">Minister outlined expectations </w:t>
      </w:r>
      <w:r w:rsidR="00382E03">
        <w:t>for the VIT</w:t>
      </w:r>
      <w:r w:rsidR="00382E03" w:rsidRPr="00382E03">
        <w:t xml:space="preserve"> </w:t>
      </w:r>
      <w:r w:rsidR="00382E03">
        <w:t>to promote greater efficiency in regulation</w:t>
      </w:r>
      <w:r w:rsidR="000A055C">
        <w:t xml:space="preserve"> in the SOE over two years. </w:t>
      </w:r>
    </w:p>
    <w:bookmarkEnd w:id="18"/>
    <w:p w14:paraId="2E45B6E2" w14:textId="5C46DA1E" w:rsidR="00DE0F2C" w:rsidRDefault="00DE0F2C" w:rsidP="00DE0F2C">
      <w:pPr>
        <w:pStyle w:val="Intro"/>
        <w:pBdr>
          <w:top w:val="none" w:sz="0" w:space="0" w:color="auto"/>
        </w:pBdr>
      </w:pPr>
      <w:r w:rsidRPr="00A45DE5">
        <w:t>The</w:t>
      </w:r>
      <w:r w:rsidR="008E1FC0">
        <w:t xml:space="preserve"> </w:t>
      </w:r>
      <w:r w:rsidRPr="00A45DE5">
        <w:t>SOE Framework</w:t>
      </w:r>
      <w:r>
        <w:t xml:space="preserve"> for Regulators (SOE Framework)</w:t>
      </w:r>
      <w:r w:rsidR="003E3F21">
        <w:t xml:space="preserve"> process was followed</w:t>
      </w:r>
      <w:r w:rsidR="008E1FC0">
        <w:t xml:space="preserve">, </w:t>
      </w:r>
      <w:r w:rsidR="003E3F21">
        <w:t>including</w:t>
      </w:r>
      <w:r>
        <w:t>:</w:t>
      </w:r>
    </w:p>
    <w:p w14:paraId="4385D69D" w14:textId="6CBA3F16" w:rsidR="00DE0F2C" w:rsidRDefault="00462957" w:rsidP="00DE0F2C">
      <w:pPr>
        <w:pStyle w:val="Bullet1"/>
      </w:pPr>
      <w:r>
        <w:t xml:space="preserve">the </w:t>
      </w:r>
      <w:r w:rsidR="00DE0F2C">
        <w:t>Minister set priorities within a</w:t>
      </w:r>
      <w:r w:rsidR="008E1FC0">
        <w:t>n</w:t>
      </w:r>
      <w:r w:rsidR="00DE0F2C">
        <w:t xml:space="preserve"> SOE </w:t>
      </w:r>
      <w:r w:rsidR="009578D2">
        <w:t>L</w:t>
      </w:r>
      <w:r w:rsidR="00DE0F2C">
        <w:t xml:space="preserve">etter that </w:t>
      </w:r>
      <w:r w:rsidR="008E1FC0">
        <w:t xml:space="preserve">was </w:t>
      </w:r>
      <w:r w:rsidR="00DE0F2C">
        <w:t xml:space="preserve">published on the </w:t>
      </w:r>
      <w:r w:rsidR="00993E4C">
        <w:t xml:space="preserve">regulator’s </w:t>
      </w:r>
      <w:r w:rsidR="00DE0F2C">
        <w:t>website</w:t>
      </w:r>
    </w:p>
    <w:p w14:paraId="00872F10" w14:textId="77339A88" w:rsidR="00DE0F2C" w:rsidRDefault="00462957" w:rsidP="00DE0F2C">
      <w:pPr>
        <w:pStyle w:val="Bullet1"/>
      </w:pPr>
      <w:r>
        <w:t xml:space="preserve">the </w:t>
      </w:r>
      <w:r w:rsidR="003E3F21">
        <w:t>VIT</w:t>
      </w:r>
      <w:r w:rsidR="00993E4C">
        <w:t xml:space="preserve"> </w:t>
      </w:r>
      <w:r w:rsidR="008E1FC0">
        <w:t>set</w:t>
      </w:r>
      <w:r w:rsidR="00DE0F2C">
        <w:t xml:space="preserve"> activities to deliver the SOE</w:t>
      </w:r>
      <w:r w:rsidR="003B032E">
        <w:t xml:space="preserve"> (the SOE Response)</w:t>
      </w:r>
      <w:r w:rsidR="009578D2">
        <w:t xml:space="preserve"> </w:t>
      </w:r>
      <w:r w:rsidR="00DE0F2C">
        <w:t xml:space="preserve">that </w:t>
      </w:r>
      <w:r w:rsidR="008E1FC0">
        <w:t xml:space="preserve">was </w:t>
      </w:r>
      <w:r w:rsidR="00DE0F2C">
        <w:t xml:space="preserve">published on the </w:t>
      </w:r>
      <w:r w:rsidR="00993E4C">
        <w:t xml:space="preserve">regulator’s </w:t>
      </w:r>
      <w:r w:rsidR="00DE0F2C">
        <w:t>website</w:t>
      </w:r>
      <w:r w:rsidR="009578D2">
        <w:t xml:space="preserve"> </w:t>
      </w:r>
    </w:p>
    <w:p w14:paraId="3C003B0D" w14:textId="2DCB3B5D" w:rsidR="007D0DCB" w:rsidRPr="007D0DCB" w:rsidRDefault="007D0DCB" w:rsidP="007D0DCB">
      <w:pPr>
        <w:pStyle w:val="Bullet1"/>
      </w:pPr>
      <w:r>
        <w:t>The Department develop</w:t>
      </w:r>
      <w:r w:rsidR="006419A1">
        <w:t>ed</w:t>
      </w:r>
      <w:r>
        <w:t xml:space="preserve"> an SOE Evaluation Plan </w:t>
      </w:r>
      <w:r w:rsidR="006419A1">
        <w:t>in consultation with the VIT</w:t>
      </w:r>
    </w:p>
    <w:p w14:paraId="0C121AD2" w14:textId="50B54C09" w:rsidR="00993E4C" w:rsidRPr="00993E4C" w:rsidRDefault="00993E4C" w:rsidP="00993E4C">
      <w:pPr>
        <w:pStyle w:val="Bullet1"/>
      </w:pPr>
      <w:r>
        <w:t xml:space="preserve">the </w:t>
      </w:r>
      <w:r w:rsidR="003E3F21">
        <w:t xml:space="preserve">VIT </w:t>
      </w:r>
      <w:r w:rsidR="008E1FC0">
        <w:t>report</w:t>
      </w:r>
      <w:r w:rsidR="003E3F21">
        <w:t>ed</w:t>
      </w:r>
      <w:r>
        <w:t xml:space="preserve"> publicly against the improvements</w:t>
      </w:r>
      <w:r w:rsidR="00CD3183">
        <w:t xml:space="preserve"> and </w:t>
      </w:r>
      <w:r>
        <w:t xml:space="preserve">targets included in the SOE </w:t>
      </w:r>
      <w:r w:rsidR="008E1FC0">
        <w:t xml:space="preserve">Letter and SOE Response </w:t>
      </w:r>
      <w:r w:rsidR="007D0DCB">
        <w:t>in its annual report</w:t>
      </w:r>
    </w:p>
    <w:p w14:paraId="31C26024" w14:textId="397869C6" w:rsidR="00993E4C" w:rsidRDefault="00462957" w:rsidP="00DE0F2C">
      <w:pPr>
        <w:pStyle w:val="Bullet1"/>
      </w:pPr>
      <w:r>
        <w:t xml:space="preserve">the </w:t>
      </w:r>
      <w:r w:rsidR="00DE0F2C">
        <w:t xml:space="preserve">Department </w:t>
      </w:r>
      <w:r w:rsidR="008E1FC0">
        <w:t>evaluat</w:t>
      </w:r>
      <w:r w:rsidR="003E3F21">
        <w:t>ed</w:t>
      </w:r>
      <w:r w:rsidR="00DE0F2C">
        <w:t xml:space="preserve"> the </w:t>
      </w:r>
      <w:r w:rsidR="007D0DCB">
        <w:t>VIT</w:t>
      </w:r>
      <w:r w:rsidR="00993E4C">
        <w:t>’s performance in implementing</w:t>
      </w:r>
      <w:r w:rsidR="00DE0F2C">
        <w:t xml:space="preserve"> the SOE and </w:t>
      </w:r>
      <w:r w:rsidR="003E3F21">
        <w:t>published</w:t>
      </w:r>
      <w:r w:rsidR="00DE0F2C">
        <w:t xml:space="preserve"> </w:t>
      </w:r>
      <w:r w:rsidR="003E3F21">
        <w:t xml:space="preserve">this </w:t>
      </w:r>
      <w:r w:rsidR="00DE0F2C">
        <w:t xml:space="preserve">report on the </w:t>
      </w:r>
      <w:r w:rsidR="003E3F21">
        <w:t xml:space="preserve">evaluation findings on the </w:t>
      </w:r>
      <w:r w:rsidR="00993E4C">
        <w:t xml:space="preserve">Department’s </w:t>
      </w:r>
      <w:r w:rsidR="00DE0F2C">
        <w:t>website</w:t>
      </w:r>
    </w:p>
    <w:p w14:paraId="5D252D1C" w14:textId="7DCF5DF8" w:rsidR="00DE0F2C" w:rsidRPr="00A369C2" w:rsidRDefault="00993E4C" w:rsidP="00DE0F2C">
      <w:pPr>
        <w:pStyle w:val="Bullet1"/>
      </w:pPr>
      <w:r>
        <w:t xml:space="preserve">Better Regulation Victoria </w:t>
      </w:r>
      <w:r w:rsidR="003E3F21">
        <w:t xml:space="preserve">will </w:t>
      </w:r>
      <w:r w:rsidR="008E1FC0">
        <w:t>review</w:t>
      </w:r>
      <w:r>
        <w:t xml:space="preserve"> th</w:t>
      </w:r>
      <w:r w:rsidR="00CD3183">
        <w:t>is</w:t>
      </w:r>
      <w:r>
        <w:t xml:space="preserve"> evaluation report to identify areas of best practice</w:t>
      </w:r>
      <w:r w:rsidR="008E1FC0">
        <w:t xml:space="preserve"> across the regulation sector</w:t>
      </w:r>
      <w:r w:rsidR="00DE0F2C">
        <w:t>.</w:t>
      </w:r>
    </w:p>
    <w:p w14:paraId="7C1293F2" w14:textId="295A1361" w:rsidR="00F04FC7" w:rsidRDefault="00C841BB" w:rsidP="00F04FC7">
      <w:pPr>
        <w:pStyle w:val="Heading2"/>
      </w:pPr>
      <w:bookmarkStart w:id="27" w:name="_Toc38349009"/>
      <w:bookmarkStart w:id="28" w:name="_Toc38349275"/>
      <w:bookmarkStart w:id="29" w:name="_Toc48559334"/>
      <w:r>
        <w:rPr>
          <w:caps/>
        </w:rPr>
        <w:t xml:space="preserve">OVERVIEW OF </w:t>
      </w:r>
      <w:bookmarkEnd w:id="19"/>
      <w:bookmarkEnd w:id="20"/>
      <w:bookmarkEnd w:id="21"/>
      <w:bookmarkEnd w:id="22"/>
      <w:r>
        <w:rPr>
          <w:caps/>
        </w:rPr>
        <w:t>THE VICTORIAN INSTITUTE OF TEACHING</w:t>
      </w:r>
      <w:bookmarkEnd w:id="27"/>
      <w:bookmarkEnd w:id="28"/>
      <w:bookmarkEnd w:id="29"/>
      <w:r>
        <w:rPr>
          <w:caps/>
        </w:rPr>
        <w:t xml:space="preserve"> </w:t>
      </w:r>
    </w:p>
    <w:p w14:paraId="6FC2A712" w14:textId="6669169A" w:rsidR="00F04FC7" w:rsidRDefault="00785B3B" w:rsidP="00F04FC7">
      <w:r>
        <w:t xml:space="preserve">The </w:t>
      </w:r>
      <w:r w:rsidR="00F04FC7">
        <w:t xml:space="preserve">VIT is an independent statutory authority for the regulation of the teaching profession. </w:t>
      </w:r>
    </w:p>
    <w:p w14:paraId="1990422C" w14:textId="256179A1" w:rsidR="00F04FC7" w:rsidRDefault="00F34057" w:rsidP="00F04FC7">
      <w:r>
        <w:t>The VIT’s k</w:t>
      </w:r>
      <w:r w:rsidR="00F04FC7">
        <w:t xml:space="preserve">ey </w:t>
      </w:r>
      <w:r w:rsidR="00E300BA">
        <w:t xml:space="preserve">regulatory </w:t>
      </w:r>
      <w:r w:rsidR="00F04FC7">
        <w:t>functions include:</w:t>
      </w:r>
    </w:p>
    <w:p w14:paraId="526B2852" w14:textId="60FC15E3" w:rsidR="004028CE" w:rsidRDefault="00462957" w:rsidP="00385524">
      <w:pPr>
        <w:pStyle w:val="Bullet1"/>
      </w:pPr>
      <w:r>
        <w:t>r</w:t>
      </w:r>
      <w:r w:rsidR="00F666E9">
        <w:t xml:space="preserve">egistering </w:t>
      </w:r>
      <w:r w:rsidR="004028CE">
        <w:t>teachers to ensure only qualified and suitable persons are eligible to teach in Victorian schools</w:t>
      </w:r>
    </w:p>
    <w:p w14:paraId="5124FB72" w14:textId="54BBF0AA" w:rsidR="00385524" w:rsidRDefault="004028CE" w:rsidP="00385524">
      <w:pPr>
        <w:pStyle w:val="Bullet1"/>
      </w:pPr>
      <w:r>
        <w:t>providing quality assurance to ensure that teachers maintain standards of professional practice</w:t>
      </w:r>
    </w:p>
    <w:p w14:paraId="33D4DCE2" w14:textId="501456E0" w:rsidR="004028CE" w:rsidRDefault="004028CE" w:rsidP="004028CE">
      <w:pPr>
        <w:pStyle w:val="Bullet1"/>
      </w:pPr>
      <w:r>
        <w:t xml:space="preserve">supporting provisionally registered teachers to fulfil requirements of full registration </w:t>
      </w:r>
    </w:p>
    <w:p w14:paraId="0975073C" w14:textId="46CBF515" w:rsidR="004028CE" w:rsidRPr="004028CE" w:rsidRDefault="004028CE" w:rsidP="004028CE">
      <w:pPr>
        <w:pStyle w:val="Bullet1"/>
      </w:pPr>
      <w:r>
        <w:t>working with teachers to develop and implement a professional learning framework</w:t>
      </w:r>
    </w:p>
    <w:p w14:paraId="1EF0152A" w14:textId="45E680C4" w:rsidR="00F04FC7" w:rsidRDefault="000A4827" w:rsidP="00F04FC7">
      <w:pPr>
        <w:pStyle w:val="Bullet1"/>
      </w:pPr>
      <w:r>
        <w:t xml:space="preserve">approving and </w:t>
      </w:r>
      <w:r w:rsidR="00462957">
        <w:t>a</w:t>
      </w:r>
      <w:r w:rsidR="00F04FC7">
        <w:t xml:space="preserve">ccrediting </w:t>
      </w:r>
      <w:r w:rsidR="009578D2">
        <w:t>ITE</w:t>
      </w:r>
      <w:r w:rsidR="00F04FC7">
        <w:t xml:space="preserve"> programs</w:t>
      </w:r>
      <w:r>
        <w:t xml:space="preserve"> </w:t>
      </w:r>
      <w:r w:rsidR="004028CE">
        <w:t xml:space="preserve">that provide teaching qualifications </w:t>
      </w:r>
    </w:p>
    <w:p w14:paraId="759EEFB3" w14:textId="7136BDF0" w:rsidR="00F04FC7" w:rsidRPr="0078499C" w:rsidRDefault="00462957" w:rsidP="00F04FC7">
      <w:pPr>
        <w:pStyle w:val="Bullet1"/>
      </w:pPr>
      <w:r>
        <w:t>i</w:t>
      </w:r>
      <w:r w:rsidR="00F666E9" w:rsidRPr="0078499C">
        <w:t xml:space="preserve">nvestigating </w:t>
      </w:r>
      <w:r w:rsidR="00F04FC7" w:rsidRPr="0078499C">
        <w:t>breaches of conduct</w:t>
      </w:r>
      <w:r w:rsidR="00590BC9">
        <w:t>, competence, fitness and suitability</w:t>
      </w:r>
      <w:r w:rsidR="00EE3606">
        <w:t xml:space="preserve"> and</w:t>
      </w:r>
      <w:r w:rsidR="00385524">
        <w:t xml:space="preserve"> </w:t>
      </w:r>
      <w:r w:rsidR="00F04FC7" w:rsidRPr="0078499C">
        <w:t>undertaking enforcement action</w:t>
      </w:r>
      <w:r w:rsidR="004028CE">
        <w:t>.</w:t>
      </w:r>
    </w:p>
    <w:p w14:paraId="0DB62CE9" w14:textId="71894952" w:rsidR="0078499C" w:rsidRDefault="0078499C" w:rsidP="002F43B7">
      <w:pPr>
        <w:pStyle w:val="Heading3"/>
      </w:pPr>
      <w:bookmarkStart w:id="30" w:name="_Toc38349010"/>
      <w:bookmarkStart w:id="31" w:name="_Toc38349276"/>
      <w:r>
        <w:t>T</w:t>
      </w:r>
      <w:r w:rsidR="00D71233">
        <w:t>he</w:t>
      </w:r>
      <w:r>
        <w:t xml:space="preserve"> VIT SOE 2018-</w:t>
      </w:r>
      <w:bookmarkEnd w:id="23"/>
      <w:bookmarkEnd w:id="24"/>
      <w:bookmarkEnd w:id="25"/>
      <w:bookmarkEnd w:id="26"/>
      <w:r>
        <w:t>20</w:t>
      </w:r>
      <w:bookmarkEnd w:id="30"/>
      <w:bookmarkEnd w:id="31"/>
    </w:p>
    <w:p w14:paraId="20E5A344" w14:textId="425712BE" w:rsidR="0078499C" w:rsidRDefault="006E37AD" w:rsidP="0078499C">
      <w:bookmarkStart w:id="32" w:name="_Hlk25847286"/>
      <w:r>
        <w:t xml:space="preserve">The </w:t>
      </w:r>
      <w:r w:rsidR="0023605A" w:rsidRPr="0064536C">
        <w:t xml:space="preserve">Hon James </w:t>
      </w:r>
      <w:proofErr w:type="spellStart"/>
      <w:r w:rsidR="0023605A" w:rsidRPr="0064536C">
        <w:t>Merlino</w:t>
      </w:r>
      <w:proofErr w:type="spellEnd"/>
      <w:r w:rsidR="0023605A" w:rsidRPr="0064536C">
        <w:t xml:space="preserve"> MP, Deputy Premier and Minister </w:t>
      </w:r>
      <w:r w:rsidR="0023605A">
        <w:t xml:space="preserve">for </w:t>
      </w:r>
      <w:r w:rsidR="0023605A" w:rsidRPr="0064536C">
        <w:t>Education</w:t>
      </w:r>
      <w:r w:rsidR="0023605A">
        <w:t xml:space="preserve"> </w:t>
      </w:r>
      <w:r w:rsidR="0023605A" w:rsidRPr="00042E94">
        <w:t>issued</w:t>
      </w:r>
      <w:r w:rsidR="0023605A">
        <w:t xml:space="preserve"> the </w:t>
      </w:r>
      <w:hyperlink r:id="rId19" w:history="1">
        <w:r w:rsidRPr="00E14D44">
          <w:rPr>
            <w:rStyle w:val="Hyperlink"/>
          </w:rPr>
          <w:t xml:space="preserve">VIT </w:t>
        </w:r>
        <w:r w:rsidR="0078499C" w:rsidRPr="00E14D44">
          <w:rPr>
            <w:rStyle w:val="Hyperlink"/>
          </w:rPr>
          <w:t xml:space="preserve">SOE </w:t>
        </w:r>
        <w:r w:rsidRPr="00E14D44">
          <w:rPr>
            <w:rStyle w:val="Hyperlink"/>
          </w:rPr>
          <w:t xml:space="preserve">letter </w:t>
        </w:r>
        <w:r w:rsidR="0078499C" w:rsidRPr="00E14D44">
          <w:rPr>
            <w:rStyle w:val="Hyperlink"/>
          </w:rPr>
          <w:t>2018-20</w:t>
        </w:r>
      </w:hyperlink>
      <w:r w:rsidR="0078499C" w:rsidRPr="00042E94">
        <w:t xml:space="preserve"> </w:t>
      </w:r>
      <w:r w:rsidR="0078499C" w:rsidRPr="009329C4">
        <w:t>on 2</w:t>
      </w:r>
      <w:r w:rsidR="0078499C">
        <w:t>6</w:t>
      </w:r>
      <w:r w:rsidR="0078499C" w:rsidRPr="009329C4">
        <w:t xml:space="preserve"> June 2018</w:t>
      </w:r>
      <w:r w:rsidR="0078499C">
        <w:t xml:space="preserve">. </w:t>
      </w:r>
      <w:bookmarkEnd w:id="32"/>
      <w:r w:rsidR="0087152E">
        <w:t xml:space="preserve">The </w:t>
      </w:r>
      <w:r w:rsidR="0078499C">
        <w:t>VIT</w:t>
      </w:r>
      <w:r w:rsidR="002074CF">
        <w:t xml:space="preserve"> Council</w:t>
      </w:r>
      <w:r w:rsidR="0078499C">
        <w:t xml:space="preserve"> </w:t>
      </w:r>
      <w:r w:rsidR="0078499C" w:rsidRPr="00042E94">
        <w:t xml:space="preserve">issued its </w:t>
      </w:r>
      <w:hyperlink r:id="rId20" w:history="1">
        <w:r w:rsidR="00E14D44" w:rsidRPr="00E14D44">
          <w:rPr>
            <w:rStyle w:val="Hyperlink"/>
          </w:rPr>
          <w:t>SOE Response</w:t>
        </w:r>
      </w:hyperlink>
      <w:r w:rsidR="00E14D44">
        <w:t xml:space="preserve"> and </w:t>
      </w:r>
      <w:hyperlink r:id="rId21" w:history="1">
        <w:r w:rsidR="00E14D44" w:rsidRPr="00E14D44">
          <w:rPr>
            <w:rStyle w:val="Hyperlink"/>
          </w:rPr>
          <w:t>response attachment</w:t>
        </w:r>
      </w:hyperlink>
      <w:r w:rsidR="00E14D44">
        <w:t xml:space="preserve"> </w:t>
      </w:r>
      <w:r w:rsidR="0087152E">
        <w:t xml:space="preserve">to the </w:t>
      </w:r>
      <w:r w:rsidR="0003218D">
        <w:t xml:space="preserve">Ministerial SOE </w:t>
      </w:r>
      <w:r w:rsidR="003B032E">
        <w:t>L</w:t>
      </w:r>
      <w:r w:rsidR="0003218D">
        <w:t xml:space="preserve">etter </w:t>
      </w:r>
      <w:r w:rsidR="0078499C">
        <w:t>2018-20</w:t>
      </w:r>
      <w:r w:rsidR="002074CF">
        <w:t xml:space="preserve"> </w:t>
      </w:r>
      <w:r w:rsidR="0087152E">
        <w:t xml:space="preserve">on </w:t>
      </w:r>
      <w:r w:rsidR="002074CF">
        <w:t>10 September 2018 and</w:t>
      </w:r>
      <w:r w:rsidR="0087152E">
        <w:t xml:space="preserve"> </w:t>
      </w:r>
      <w:r w:rsidR="0078499C" w:rsidRPr="00042E94">
        <w:t xml:space="preserve">published </w:t>
      </w:r>
      <w:r w:rsidR="002074CF">
        <w:t>it</w:t>
      </w:r>
      <w:r w:rsidR="0078499C" w:rsidRPr="00042E94">
        <w:t xml:space="preserve"> </w:t>
      </w:r>
      <w:r w:rsidR="0078499C">
        <w:t>on the VIT website</w:t>
      </w:r>
      <w:r w:rsidR="0078499C" w:rsidRPr="00042E94">
        <w:t xml:space="preserve">. The </w:t>
      </w:r>
      <w:r w:rsidR="000B2ACA">
        <w:t>nominal expiry date of the current SOE Letter is</w:t>
      </w:r>
      <w:r w:rsidR="0078499C" w:rsidRPr="00042E94">
        <w:t xml:space="preserve"> </w:t>
      </w:r>
      <w:r w:rsidR="0078499C">
        <w:t>30 June 2020</w:t>
      </w:r>
      <w:r w:rsidR="0078499C" w:rsidRPr="00042E94">
        <w:t>.</w:t>
      </w:r>
    </w:p>
    <w:p w14:paraId="38A7C214" w14:textId="7BEBBD52" w:rsidR="00DF45BA" w:rsidRPr="00AE4FC6" w:rsidRDefault="00946C92" w:rsidP="00DF45BA">
      <w:pPr>
        <w:pStyle w:val="Heading2"/>
      </w:pPr>
      <w:bookmarkStart w:id="33" w:name="_Toc48559335"/>
      <w:bookmarkStart w:id="34" w:name="_Toc38349011"/>
      <w:bookmarkStart w:id="35" w:name="_Toc38349277"/>
      <w:r w:rsidRPr="00AE4FC6">
        <w:rPr>
          <w:caps/>
        </w:rPr>
        <w:t xml:space="preserve">PURPOSE OF </w:t>
      </w:r>
      <w:r>
        <w:rPr>
          <w:caps/>
        </w:rPr>
        <w:t>THE EVALUATION</w:t>
      </w:r>
      <w:bookmarkEnd w:id="33"/>
      <w:r>
        <w:rPr>
          <w:caps/>
        </w:rPr>
        <w:t xml:space="preserve"> </w:t>
      </w:r>
      <w:bookmarkEnd w:id="34"/>
      <w:bookmarkEnd w:id="35"/>
    </w:p>
    <w:p w14:paraId="54FD7EA3" w14:textId="111E5B82" w:rsidR="00DF45BA" w:rsidRDefault="006D0E2F" w:rsidP="00DF45BA">
      <w:r>
        <w:t xml:space="preserve">The evaluation </w:t>
      </w:r>
      <w:r w:rsidR="006419A1">
        <w:t>wa</w:t>
      </w:r>
      <w:r>
        <w:t>s designed to assist</w:t>
      </w:r>
      <w:r w:rsidR="00DF45BA">
        <w:t xml:space="preserve"> the regulator to improve performance and reduce costs on regulated parties. </w:t>
      </w:r>
    </w:p>
    <w:bookmarkEnd w:id="14"/>
    <w:bookmarkEnd w:id="15"/>
    <w:bookmarkEnd w:id="16"/>
    <w:bookmarkEnd w:id="17"/>
    <w:p w14:paraId="5D4A19EE" w14:textId="194C3B83" w:rsidR="00042E94" w:rsidRDefault="00D71233" w:rsidP="002F43B7">
      <w:pPr>
        <w:pStyle w:val="Heading3"/>
      </w:pPr>
      <w:r>
        <w:t>Scope of the Evaluation</w:t>
      </w:r>
    </w:p>
    <w:p w14:paraId="53682D41" w14:textId="179D01F2" w:rsidR="00A36979" w:rsidRPr="00A36979" w:rsidRDefault="00633E08">
      <w:r>
        <w:t xml:space="preserve">The </w:t>
      </w:r>
      <w:r w:rsidR="00A5087A">
        <w:t xml:space="preserve">evaluation </w:t>
      </w:r>
      <w:r>
        <w:t xml:space="preserve">considered </w:t>
      </w:r>
      <w:r w:rsidR="00A5087A">
        <w:t xml:space="preserve">the </w:t>
      </w:r>
      <w:r>
        <w:t>VIT</w:t>
      </w:r>
      <w:r w:rsidR="00A5087A">
        <w:t>’s</w:t>
      </w:r>
      <w:r>
        <w:t xml:space="preserve"> progress in implementing key recommendations of the VIT Review (2017)</w:t>
      </w:r>
      <w:r w:rsidR="00BB5217">
        <w:t xml:space="preserve">, including </w:t>
      </w:r>
      <w:r w:rsidR="0043605C">
        <w:t xml:space="preserve">child safety and wellbeing, legislative reform, </w:t>
      </w:r>
      <w:r w:rsidR="0049387A">
        <w:t xml:space="preserve">and </w:t>
      </w:r>
      <w:r w:rsidR="0043605C">
        <w:t>improving teacher quality</w:t>
      </w:r>
      <w:r w:rsidR="0049387A">
        <w:t>,</w:t>
      </w:r>
      <w:r w:rsidR="0043605C">
        <w:t xml:space="preserve"> education</w:t>
      </w:r>
      <w:r w:rsidR="0049387A">
        <w:t xml:space="preserve">, </w:t>
      </w:r>
      <w:r w:rsidR="0043605C">
        <w:t xml:space="preserve">processes, policies and governance. </w:t>
      </w:r>
      <w:r w:rsidR="00886EDC">
        <w:t xml:space="preserve">The performance of the </w:t>
      </w:r>
      <w:r w:rsidR="007F297A">
        <w:t>VIT</w:t>
      </w:r>
      <w:r w:rsidR="00886EDC">
        <w:t xml:space="preserve"> </w:t>
      </w:r>
      <w:r w:rsidR="00886EDC">
        <w:lastRenderedPageBreak/>
        <w:t xml:space="preserve">was analysed against the SOE Evaluation Plan and the SOE Framework. </w:t>
      </w:r>
      <w:r w:rsidR="00327D4E">
        <w:t>Other elements of</w:t>
      </w:r>
      <w:r w:rsidR="008410CC">
        <w:t xml:space="preserve"> the</w:t>
      </w:r>
      <w:r w:rsidR="00327D4E">
        <w:t xml:space="preserve"> VIT</w:t>
      </w:r>
      <w:r w:rsidR="00886EDC">
        <w:t>’s</w:t>
      </w:r>
      <w:r w:rsidR="00327D4E">
        <w:t xml:space="preserve"> operations were out of scope, such as enforcement</w:t>
      </w:r>
      <w:r w:rsidR="00DE5B34">
        <w:t>,</w:t>
      </w:r>
      <w:r w:rsidR="00327D4E">
        <w:t xml:space="preserve"> </w:t>
      </w:r>
      <w:r w:rsidR="00A53723">
        <w:t>incidents and complaints</w:t>
      </w:r>
      <w:r w:rsidR="00327D4E">
        <w:t>.</w:t>
      </w:r>
      <w:r w:rsidR="00A93CD9">
        <w:t xml:space="preserve"> </w:t>
      </w:r>
    </w:p>
    <w:p w14:paraId="4624770F" w14:textId="7D22BA4D" w:rsidR="00562688" w:rsidRDefault="00D71233" w:rsidP="002F43B7">
      <w:pPr>
        <w:pStyle w:val="Heading3"/>
      </w:pPr>
      <w:r>
        <w:t>Evaluation Team</w:t>
      </w:r>
    </w:p>
    <w:p w14:paraId="47FC635C" w14:textId="01B61724" w:rsidR="006825FB" w:rsidRDefault="006825FB" w:rsidP="006825FB">
      <w:pPr>
        <w:pStyle w:val="Heading3"/>
      </w:pPr>
      <w:r w:rsidRPr="006825FB">
        <w:t>Contact</w:t>
      </w:r>
    </w:p>
    <w:p w14:paraId="41A26E62" w14:textId="2C08FD20" w:rsidR="006825FB" w:rsidRDefault="006825FB" w:rsidP="006825FB">
      <w:r w:rsidRPr="006825FB">
        <w:t>Strategic Projects Team, Secondary Schooling, Pathways and Tertiary Education Reform Division, Policy, Strategy and Performance Group, Department of Education and Training (the Department)</w:t>
      </w:r>
    </w:p>
    <w:p w14:paraId="6FE38F10" w14:textId="22EA589F" w:rsidR="006825FB" w:rsidRDefault="006825FB" w:rsidP="006825FB">
      <w:pPr>
        <w:pStyle w:val="Heading3"/>
      </w:pPr>
      <w:r w:rsidRPr="006825FB">
        <w:t>Area of involvement</w:t>
      </w:r>
    </w:p>
    <w:p w14:paraId="13567EA4" w14:textId="2E08DD98" w:rsidR="006825FB" w:rsidRDefault="006825FB" w:rsidP="006825FB">
      <w:r w:rsidRPr="006825FB">
        <w:t>The team within the Department that conducted the evaluation.</w:t>
      </w:r>
    </w:p>
    <w:p w14:paraId="7A34D81C" w14:textId="77777777" w:rsidR="006825FB" w:rsidRDefault="006825FB" w:rsidP="006825FB">
      <w:pPr>
        <w:pStyle w:val="Heading3"/>
      </w:pPr>
      <w:r w:rsidRPr="006825FB">
        <w:t>Contact</w:t>
      </w:r>
    </w:p>
    <w:p w14:paraId="2529E723" w14:textId="1A046176" w:rsidR="006825FB" w:rsidRDefault="006825FB" w:rsidP="006825FB">
      <w:r w:rsidRPr="006825FB">
        <w:t>Corporate Legal Counsel, Governance and Council Secretariat, Executive and Governance Branch, the VIT</w:t>
      </w:r>
    </w:p>
    <w:p w14:paraId="0088DB76" w14:textId="77777777" w:rsidR="006825FB" w:rsidRDefault="006825FB" w:rsidP="006825FB">
      <w:pPr>
        <w:pStyle w:val="Heading3"/>
      </w:pPr>
      <w:r w:rsidRPr="006825FB">
        <w:t>Area of involvement</w:t>
      </w:r>
    </w:p>
    <w:p w14:paraId="351BA4AA" w14:textId="4699943E" w:rsidR="006825FB" w:rsidRDefault="006825FB" w:rsidP="006825FB">
      <w:r w:rsidRPr="00BF363C">
        <w:t xml:space="preserve">The team within the regulator </w:t>
      </w:r>
      <w:r>
        <w:t>that collected</w:t>
      </w:r>
      <w:r w:rsidRPr="00BF363C">
        <w:t xml:space="preserve"> the data and information on each improvement</w:t>
      </w:r>
      <w:r>
        <w:t xml:space="preserve"> and </w:t>
      </w:r>
      <w:r w:rsidRPr="00BF363C">
        <w:t>target to inform the evaluation.</w:t>
      </w:r>
    </w:p>
    <w:p w14:paraId="058EE02D" w14:textId="5D7A7955" w:rsidR="00A45155" w:rsidRDefault="00A45155" w:rsidP="00A45155">
      <w:pPr>
        <w:pStyle w:val="Heading2"/>
      </w:pPr>
      <w:bookmarkStart w:id="36" w:name="_Toc25757127"/>
      <w:bookmarkStart w:id="37" w:name="_Toc25757267"/>
      <w:bookmarkStart w:id="38" w:name="_Toc25757403"/>
      <w:bookmarkStart w:id="39" w:name="_Toc25827721"/>
      <w:bookmarkStart w:id="40" w:name="_Toc38349014"/>
      <w:bookmarkStart w:id="41" w:name="_Toc38349280"/>
      <w:bookmarkStart w:id="42" w:name="_Toc48559336"/>
      <w:r>
        <w:t>APPROACH TO THE OUTCOME EVALUATION</w:t>
      </w:r>
      <w:bookmarkEnd w:id="36"/>
      <w:bookmarkEnd w:id="37"/>
      <w:bookmarkEnd w:id="38"/>
      <w:bookmarkEnd w:id="39"/>
      <w:bookmarkEnd w:id="40"/>
      <w:bookmarkEnd w:id="41"/>
      <w:bookmarkEnd w:id="42"/>
    </w:p>
    <w:p w14:paraId="6F20FD49" w14:textId="1E11B64F" w:rsidR="00BD7045" w:rsidRDefault="00BD7045">
      <w:r>
        <w:t xml:space="preserve">The outcome evaluation assessed the impact of the SOE in improving regulation. </w:t>
      </w:r>
    </w:p>
    <w:p w14:paraId="5D9D10D7" w14:textId="288BC613" w:rsidR="00DD538E" w:rsidRPr="00D71233" w:rsidRDefault="00D71233">
      <w:pPr>
        <w:pStyle w:val="Heading3"/>
      </w:pPr>
      <w:r>
        <w:t>Methodology</w:t>
      </w:r>
    </w:p>
    <w:p w14:paraId="2C0C83FE" w14:textId="1D288239" w:rsidR="00095B84" w:rsidRDefault="00095B84" w:rsidP="00DD538E">
      <w:pPr>
        <w:rPr>
          <w:iCs/>
        </w:rPr>
      </w:pPr>
      <w:r>
        <w:rPr>
          <w:iCs/>
        </w:rPr>
        <w:t xml:space="preserve">The </w:t>
      </w:r>
      <w:r w:rsidR="00B73057">
        <w:rPr>
          <w:iCs/>
        </w:rPr>
        <w:t xml:space="preserve">VIT’s performance was assessed in the </w:t>
      </w:r>
      <w:r>
        <w:rPr>
          <w:iCs/>
        </w:rPr>
        <w:t>outcome evaluation</w:t>
      </w:r>
      <w:r w:rsidR="00F7340E">
        <w:rPr>
          <w:iCs/>
        </w:rPr>
        <w:t xml:space="preserve">, </w:t>
      </w:r>
      <w:r w:rsidR="00F666E9">
        <w:rPr>
          <w:iCs/>
        </w:rPr>
        <w:t xml:space="preserve">including </w:t>
      </w:r>
      <w:r w:rsidR="00F7340E">
        <w:rPr>
          <w:iCs/>
        </w:rPr>
        <w:t>the</w:t>
      </w:r>
      <w:r>
        <w:rPr>
          <w:iCs/>
        </w:rPr>
        <w:t>:</w:t>
      </w:r>
    </w:p>
    <w:p w14:paraId="44DEC2F8" w14:textId="08B21489" w:rsidR="00095B84" w:rsidRDefault="00494DEF" w:rsidP="00DD538E">
      <w:pPr>
        <w:pStyle w:val="Bullet1"/>
      </w:pPr>
      <w:r>
        <w:t>a</w:t>
      </w:r>
      <w:r w:rsidR="005242C4">
        <w:t>ctivities that delivered on the Minister’s expectations</w:t>
      </w:r>
      <w:r w:rsidR="00095B84">
        <w:t xml:space="preserve"> </w:t>
      </w:r>
      <w:r w:rsidR="005242C4">
        <w:t>(</w:t>
      </w:r>
      <w:r w:rsidR="00095B84">
        <w:t>the VIT Review 2017)</w:t>
      </w:r>
    </w:p>
    <w:p w14:paraId="67991A4C" w14:textId="32CA77AE" w:rsidR="00095B84" w:rsidRDefault="00494DEF" w:rsidP="00095B84">
      <w:pPr>
        <w:pStyle w:val="Bullet1"/>
      </w:pPr>
      <w:r>
        <w:t>e</w:t>
      </w:r>
      <w:r w:rsidR="00F7340E">
        <w:t>xtent to which t</w:t>
      </w:r>
      <w:r w:rsidR="00095B84">
        <w:t>he selected elements of good regulatory practice from the SOE Framework</w:t>
      </w:r>
      <w:r w:rsidR="00F7340E">
        <w:t xml:space="preserve"> were delivered</w:t>
      </w:r>
      <w:r w:rsidR="00095B84">
        <w:t xml:space="preserve">, including timeliness, risk-based strategies, compliance-related assistance and advice, stakeholder consultation and engagement, role clarity and cooperation amongst regulators. </w:t>
      </w:r>
    </w:p>
    <w:p w14:paraId="4BD5588B" w14:textId="4F0790A8" w:rsidR="003C2A5C" w:rsidRDefault="003C2A5C" w:rsidP="003C2A5C">
      <w:pPr>
        <w:pStyle w:val="Heading3"/>
      </w:pPr>
      <w:bookmarkStart w:id="43" w:name="_Toc25757130"/>
      <w:bookmarkStart w:id="44" w:name="_Toc25757270"/>
      <w:r>
        <w:t>Data collection</w:t>
      </w:r>
      <w:bookmarkEnd w:id="43"/>
      <w:bookmarkEnd w:id="44"/>
      <w:r>
        <w:t xml:space="preserve"> </w:t>
      </w:r>
    </w:p>
    <w:p w14:paraId="45E58041" w14:textId="612F2F39" w:rsidR="00B4349E" w:rsidRPr="00A73DDC" w:rsidRDefault="00CD3183" w:rsidP="00B4349E">
      <w:r>
        <w:t xml:space="preserve">The Department reviewed </w:t>
      </w:r>
      <w:r w:rsidR="009E01FA">
        <w:t>i</w:t>
      </w:r>
      <w:r w:rsidR="00B94F0D" w:rsidRPr="00B94F0D">
        <w:t xml:space="preserve">nternal data from </w:t>
      </w:r>
      <w:r w:rsidR="00314246">
        <w:t xml:space="preserve">the </w:t>
      </w:r>
      <w:r w:rsidR="00B94F0D" w:rsidRPr="00B94F0D">
        <w:t>VIT officers</w:t>
      </w:r>
      <w:r w:rsidR="00A73DDC">
        <w:t xml:space="preserve"> </w:t>
      </w:r>
      <w:r w:rsidR="009E01FA">
        <w:t>and p</w:t>
      </w:r>
      <w:r w:rsidR="00B94F0D" w:rsidRPr="00B94F0D">
        <w:t>ublicly available data</w:t>
      </w:r>
      <w:r>
        <w:t xml:space="preserve"> to develop the evaluation report</w:t>
      </w:r>
      <w:r w:rsidR="009E01FA">
        <w:t xml:space="preserve">. </w:t>
      </w:r>
      <w:r w:rsidR="00B94F0D" w:rsidRPr="00B94F0D">
        <w:t xml:space="preserve">A full list of references is provided </w:t>
      </w:r>
      <w:r w:rsidR="00684C5A">
        <w:t>in</w:t>
      </w:r>
      <w:r w:rsidR="00684C5A" w:rsidRPr="00B94F0D">
        <w:t xml:space="preserve"> </w:t>
      </w:r>
      <w:r w:rsidR="00AE0683">
        <w:t xml:space="preserve">chapter </w:t>
      </w:r>
      <w:r w:rsidR="003B032E">
        <w:t>6</w:t>
      </w:r>
      <w:r w:rsidR="00B94F0D" w:rsidRPr="00B94F0D">
        <w:t>.</w:t>
      </w:r>
      <w:r w:rsidR="0043605C">
        <w:t xml:space="preserve"> </w:t>
      </w:r>
      <w:r w:rsidR="00B4349E" w:rsidRPr="00A73DDC">
        <w:t>Th</w:t>
      </w:r>
      <w:r>
        <w:t>e</w:t>
      </w:r>
      <w:r w:rsidRPr="00A73DDC">
        <w:t xml:space="preserve"> data </w:t>
      </w:r>
      <w:r>
        <w:t xml:space="preserve">and data </w:t>
      </w:r>
      <w:r w:rsidRPr="00A73DDC">
        <w:t xml:space="preserve">sources </w:t>
      </w:r>
      <w:r>
        <w:t xml:space="preserve">for performance </w:t>
      </w:r>
      <w:r w:rsidR="00B4349E" w:rsidRPr="00A73DDC">
        <w:t xml:space="preserve">measures </w:t>
      </w:r>
      <w:r>
        <w:t>follows the</w:t>
      </w:r>
      <w:r w:rsidR="006419A1">
        <w:t xml:space="preserve"> SOE Evaluation Plan and</w:t>
      </w:r>
      <w:r>
        <w:t xml:space="preserve"> </w:t>
      </w:r>
      <w:r w:rsidRPr="00A73DDC">
        <w:t>w</w:t>
      </w:r>
      <w:r>
        <w:t>as</w:t>
      </w:r>
      <w:r w:rsidRPr="00A73DDC">
        <w:t xml:space="preserve"> </w:t>
      </w:r>
      <w:r w:rsidR="00B4349E" w:rsidRPr="00A73DDC">
        <w:t xml:space="preserve">mapped back to the SOE </w:t>
      </w:r>
      <w:r w:rsidR="009578D2">
        <w:t>L</w:t>
      </w:r>
      <w:r w:rsidR="00B4349E" w:rsidRPr="00A73DDC">
        <w:t>etter</w:t>
      </w:r>
      <w:r w:rsidR="006419A1">
        <w:t xml:space="preserve"> and SOE Response</w:t>
      </w:r>
      <w:r w:rsidR="00B4349E" w:rsidRPr="00A73DDC">
        <w:t xml:space="preserve">. </w:t>
      </w:r>
    </w:p>
    <w:p w14:paraId="441E1E61" w14:textId="048A8073" w:rsidR="00B4349E" w:rsidRDefault="00B4349E" w:rsidP="00B4349E">
      <w:pPr>
        <w:pStyle w:val="Heading3"/>
      </w:pPr>
      <w:bookmarkStart w:id="45" w:name="_Toc25757131"/>
      <w:bookmarkStart w:id="46" w:name="_Toc25757271"/>
      <w:r w:rsidRPr="00B4349E">
        <w:t>Limitations</w:t>
      </w:r>
      <w:bookmarkEnd w:id="45"/>
      <w:bookmarkEnd w:id="46"/>
    </w:p>
    <w:p w14:paraId="51CD01A3" w14:textId="6A338585" w:rsidR="00CB0555" w:rsidRDefault="007D24F4" w:rsidP="007D24F4">
      <w:pPr>
        <w:rPr>
          <w:rFonts w:cs="Arial"/>
          <w:color w:val="000000"/>
        </w:rPr>
      </w:pPr>
      <w:r w:rsidRPr="007D24F4">
        <w:rPr>
          <w:rFonts w:cs="Arial"/>
          <w:color w:val="000000"/>
        </w:rPr>
        <w:t xml:space="preserve">This evaluation </w:t>
      </w:r>
      <w:r w:rsidR="0053725A" w:rsidRPr="007D24F4">
        <w:rPr>
          <w:rFonts w:cs="Arial"/>
          <w:color w:val="000000"/>
        </w:rPr>
        <w:t>cover</w:t>
      </w:r>
      <w:r w:rsidR="0053725A">
        <w:rPr>
          <w:rFonts w:cs="Arial"/>
          <w:color w:val="000000"/>
        </w:rPr>
        <w:t>ed</w:t>
      </w:r>
      <w:r w:rsidR="0053725A" w:rsidRPr="007D24F4">
        <w:rPr>
          <w:rFonts w:cs="Arial"/>
          <w:color w:val="000000"/>
        </w:rPr>
        <w:t xml:space="preserve"> </w:t>
      </w:r>
      <w:r w:rsidR="00B04321">
        <w:rPr>
          <w:rFonts w:cs="Arial"/>
          <w:color w:val="000000"/>
        </w:rPr>
        <w:t>18</w:t>
      </w:r>
      <w:r w:rsidRPr="007D24F4">
        <w:rPr>
          <w:rFonts w:cs="Arial"/>
          <w:color w:val="000000"/>
        </w:rPr>
        <w:t xml:space="preserve"> months (J</w:t>
      </w:r>
      <w:r>
        <w:rPr>
          <w:rFonts w:cs="Arial"/>
          <w:color w:val="000000"/>
        </w:rPr>
        <w:t>uly</w:t>
      </w:r>
      <w:r w:rsidRPr="007D24F4">
        <w:rPr>
          <w:rFonts w:cs="Arial"/>
          <w:color w:val="000000"/>
        </w:rPr>
        <w:t xml:space="preserve"> </w:t>
      </w:r>
      <w:r w:rsidR="00B04321">
        <w:rPr>
          <w:rFonts w:cs="Arial"/>
          <w:color w:val="000000"/>
        </w:rPr>
        <w:t>2018 t</w:t>
      </w:r>
      <w:r w:rsidRPr="007D24F4">
        <w:rPr>
          <w:rFonts w:cs="Arial"/>
          <w:color w:val="000000"/>
        </w:rPr>
        <w:t>o December 201</w:t>
      </w:r>
      <w:r>
        <w:rPr>
          <w:rFonts w:cs="Arial"/>
          <w:color w:val="000000"/>
        </w:rPr>
        <w:t>9</w:t>
      </w:r>
      <w:r w:rsidRPr="007D24F4">
        <w:rPr>
          <w:rFonts w:cs="Arial"/>
          <w:color w:val="000000"/>
        </w:rPr>
        <w:t xml:space="preserve">) of the </w:t>
      </w:r>
      <w:r w:rsidR="00253F11">
        <w:rPr>
          <w:rFonts w:cs="Arial"/>
          <w:color w:val="000000"/>
        </w:rPr>
        <w:t>two</w:t>
      </w:r>
      <w:r w:rsidR="00A52BC8">
        <w:rPr>
          <w:rFonts w:cs="Arial"/>
          <w:color w:val="000000"/>
        </w:rPr>
        <w:t>-</w:t>
      </w:r>
      <w:r w:rsidR="00253F11">
        <w:rPr>
          <w:rFonts w:cs="Arial"/>
          <w:color w:val="000000"/>
        </w:rPr>
        <w:t>year</w:t>
      </w:r>
      <w:r w:rsidRPr="007D24F4">
        <w:rPr>
          <w:rFonts w:cs="Arial"/>
          <w:color w:val="000000"/>
        </w:rPr>
        <w:t xml:space="preserve"> SOE cycle (J</w:t>
      </w:r>
      <w:r>
        <w:rPr>
          <w:rFonts w:cs="Arial"/>
          <w:color w:val="000000"/>
        </w:rPr>
        <w:t>uly</w:t>
      </w:r>
      <w:r w:rsidRPr="007D24F4">
        <w:rPr>
          <w:rFonts w:cs="Arial"/>
          <w:color w:val="000000"/>
        </w:rPr>
        <w:t xml:space="preserve"> 201</w:t>
      </w:r>
      <w:r w:rsidR="00B04321">
        <w:rPr>
          <w:rFonts w:cs="Arial"/>
          <w:color w:val="000000"/>
        </w:rPr>
        <w:t>8</w:t>
      </w:r>
      <w:r w:rsidRPr="007D24F4">
        <w:rPr>
          <w:rFonts w:cs="Arial"/>
          <w:color w:val="000000"/>
        </w:rPr>
        <w:t xml:space="preserve"> to June 20</w:t>
      </w:r>
      <w:r>
        <w:rPr>
          <w:rFonts w:cs="Arial"/>
          <w:color w:val="000000"/>
        </w:rPr>
        <w:t>20</w:t>
      </w:r>
      <w:r w:rsidRPr="007D24F4">
        <w:rPr>
          <w:rFonts w:cs="Arial"/>
          <w:color w:val="000000"/>
        </w:rPr>
        <w:t>)</w:t>
      </w:r>
      <w:r w:rsidR="00253F11">
        <w:rPr>
          <w:rFonts w:cs="Arial"/>
          <w:color w:val="000000"/>
        </w:rPr>
        <w:t xml:space="preserve"> </w:t>
      </w:r>
      <w:r w:rsidRPr="007D24F4">
        <w:rPr>
          <w:rFonts w:cs="Arial"/>
          <w:color w:val="000000"/>
        </w:rPr>
        <w:t>in order to inform the next iteration of the SOE</w:t>
      </w:r>
      <w:r w:rsidR="00F666E9">
        <w:rPr>
          <w:rFonts w:cs="Arial"/>
          <w:color w:val="000000"/>
        </w:rPr>
        <w:t>.</w:t>
      </w:r>
      <w:r w:rsidR="000A4827">
        <w:rPr>
          <w:rFonts w:cs="Arial"/>
          <w:color w:val="000000"/>
        </w:rPr>
        <w:t xml:space="preserve"> </w:t>
      </w:r>
      <w:r w:rsidR="00623F8C">
        <w:rPr>
          <w:rFonts w:cs="Arial"/>
          <w:color w:val="000000"/>
        </w:rPr>
        <w:t xml:space="preserve">The timing of the evaluation </w:t>
      </w:r>
      <w:r w:rsidR="009C048A">
        <w:rPr>
          <w:rFonts w:cs="Arial"/>
          <w:color w:val="000000"/>
        </w:rPr>
        <w:t xml:space="preserve">excluded </w:t>
      </w:r>
      <w:r w:rsidR="00733ADB">
        <w:rPr>
          <w:rFonts w:cs="Arial"/>
          <w:color w:val="000000"/>
        </w:rPr>
        <w:t xml:space="preserve">key </w:t>
      </w:r>
      <w:r w:rsidR="009C048A">
        <w:rPr>
          <w:rFonts w:cs="Arial"/>
          <w:color w:val="000000"/>
        </w:rPr>
        <w:t xml:space="preserve">work of the VIT </w:t>
      </w:r>
      <w:r w:rsidR="00B243DE">
        <w:rPr>
          <w:rFonts w:cs="Arial"/>
          <w:color w:val="000000"/>
        </w:rPr>
        <w:t>from</w:t>
      </w:r>
      <w:r w:rsidR="009C048A">
        <w:rPr>
          <w:rFonts w:cs="Arial"/>
          <w:color w:val="000000"/>
        </w:rPr>
        <w:t xml:space="preserve"> January to June 2020 to fulfil </w:t>
      </w:r>
      <w:r w:rsidR="00733ADB">
        <w:rPr>
          <w:rFonts w:cs="Arial"/>
          <w:color w:val="000000"/>
        </w:rPr>
        <w:t xml:space="preserve">the SOE, particularly around </w:t>
      </w:r>
      <w:r w:rsidR="009C048A">
        <w:rPr>
          <w:rFonts w:cs="Arial"/>
          <w:color w:val="000000"/>
        </w:rPr>
        <w:t>recommendation 21 of the VIT Review (</w:t>
      </w:r>
      <w:r w:rsidR="00623F8C">
        <w:rPr>
          <w:rFonts w:cs="Arial"/>
          <w:color w:val="000000"/>
        </w:rPr>
        <w:t>implement</w:t>
      </w:r>
      <w:r w:rsidR="009C048A">
        <w:rPr>
          <w:rFonts w:cs="Arial"/>
          <w:color w:val="000000"/>
        </w:rPr>
        <w:t>ing</w:t>
      </w:r>
      <w:r w:rsidR="00623F8C">
        <w:rPr>
          <w:rFonts w:cs="Arial"/>
          <w:color w:val="000000"/>
        </w:rPr>
        <w:t xml:space="preserve"> a new IT system</w:t>
      </w:r>
      <w:r w:rsidR="00CE4714">
        <w:rPr>
          <w:rFonts w:cs="Arial"/>
          <w:color w:val="000000"/>
        </w:rPr>
        <w:t xml:space="preserve"> to improve timeliness of business practices</w:t>
      </w:r>
      <w:r w:rsidR="009C048A">
        <w:rPr>
          <w:rFonts w:cs="Arial"/>
          <w:color w:val="000000"/>
        </w:rPr>
        <w:t>).</w:t>
      </w:r>
    </w:p>
    <w:p w14:paraId="51275228" w14:textId="0E22506C" w:rsidR="00CB0555" w:rsidRDefault="00CB0555">
      <w:r>
        <w:t xml:space="preserve">Quantitative data </w:t>
      </w:r>
      <w:r w:rsidR="006419A1">
        <w:t>wa</w:t>
      </w:r>
      <w:r>
        <w:t xml:space="preserve">s provided where available. </w:t>
      </w:r>
      <w:r w:rsidR="00F666E9">
        <w:t>T</w:t>
      </w:r>
      <w:r w:rsidR="00AE3688" w:rsidRPr="007D73B6">
        <w:t xml:space="preserve">he SOE </w:t>
      </w:r>
      <w:r w:rsidR="006419A1">
        <w:t>wa</w:t>
      </w:r>
      <w:r w:rsidR="00AE3688" w:rsidRPr="007D73B6">
        <w:t xml:space="preserve">s </w:t>
      </w:r>
      <w:r w:rsidR="0014571C">
        <w:t xml:space="preserve">framed for the </w:t>
      </w:r>
      <w:r w:rsidR="00AE3688" w:rsidRPr="007D73B6">
        <w:t xml:space="preserve">financial year, </w:t>
      </w:r>
      <w:r w:rsidR="00C13D3A">
        <w:t xml:space="preserve">however </w:t>
      </w:r>
      <w:r w:rsidR="00AE3688" w:rsidRPr="007D73B6">
        <w:t xml:space="preserve">the </w:t>
      </w:r>
      <w:r w:rsidR="0014571C">
        <w:t>sector</w:t>
      </w:r>
      <w:r w:rsidR="00B0499C" w:rsidRPr="007D73B6">
        <w:t xml:space="preserve"> </w:t>
      </w:r>
      <w:r w:rsidR="006419A1" w:rsidRPr="007D73B6">
        <w:t>operate</w:t>
      </w:r>
      <w:r w:rsidR="006419A1">
        <w:t>d</w:t>
      </w:r>
      <w:r w:rsidR="006419A1" w:rsidRPr="007D73B6">
        <w:t xml:space="preserve"> </w:t>
      </w:r>
      <w:r w:rsidR="0014571C">
        <w:t>on the school year</w:t>
      </w:r>
      <w:r w:rsidR="00F666E9">
        <w:t xml:space="preserve">, and data </w:t>
      </w:r>
      <w:r w:rsidR="006419A1">
        <w:t>wa</w:t>
      </w:r>
      <w:r w:rsidR="00F666E9">
        <w:t xml:space="preserve">s </w:t>
      </w:r>
      <w:r w:rsidR="0014571C">
        <w:t xml:space="preserve">based on </w:t>
      </w:r>
      <w:r w:rsidR="006419A1">
        <w:t xml:space="preserve">the </w:t>
      </w:r>
      <w:r w:rsidR="0014571C">
        <w:t>calendar year</w:t>
      </w:r>
      <w:r w:rsidR="00AE3688" w:rsidRPr="007D73B6">
        <w:t xml:space="preserve">. </w:t>
      </w:r>
    </w:p>
    <w:p w14:paraId="5FB68B62" w14:textId="07EAAE16" w:rsidR="00A573B2" w:rsidRDefault="00A573B2">
      <w:r>
        <w:t xml:space="preserve">The SOE </w:t>
      </w:r>
      <w:r w:rsidR="0014571C">
        <w:t>focused</w:t>
      </w:r>
      <w:r>
        <w:t xml:space="preserve"> on process improvements</w:t>
      </w:r>
      <w:r w:rsidR="00F666E9">
        <w:t>,</w:t>
      </w:r>
      <w:r w:rsidR="002E315D">
        <w:t xml:space="preserve"> and </w:t>
      </w:r>
      <w:r w:rsidR="00F666E9">
        <w:t>measured activity rather than outcomes</w:t>
      </w:r>
      <w:r w:rsidR="002771A6">
        <w:t xml:space="preserve">. </w:t>
      </w:r>
    </w:p>
    <w:p w14:paraId="5CDB558D" w14:textId="7DE34224" w:rsidR="005050B3" w:rsidRDefault="00C841BB" w:rsidP="005050B3">
      <w:pPr>
        <w:pStyle w:val="Heading2"/>
      </w:pPr>
      <w:bookmarkStart w:id="47" w:name="_Toc38349015"/>
      <w:bookmarkStart w:id="48" w:name="_Toc38349281"/>
      <w:bookmarkStart w:id="49" w:name="_Toc48559337"/>
      <w:r>
        <w:rPr>
          <w:caps/>
        </w:rPr>
        <w:t>APPROACH TO PROCESS EVALUATION</w:t>
      </w:r>
      <w:bookmarkEnd w:id="47"/>
      <w:bookmarkEnd w:id="48"/>
      <w:bookmarkEnd w:id="49"/>
    </w:p>
    <w:p w14:paraId="2AE07528" w14:textId="18828403" w:rsidR="00A93CD9" w:rsidRDefault="00A93CD9" w:rsidP="00A93CD9">
      <w:bookmarkStart w:id="50" w:name="_Toc25757133"/>
      <w:bookmarkStart w:id="51" w:name="_Toc25757273"/>
      <w:bookmarkStart w:id="52" w:name="_Toc25757406"/>
      <w:bookmarkStart w:id="53" w:name="_Toc25827724"/>
      <w:r>
        <w:t xml:space="preserve">The process evaluation </w:t>
      </w:r>
      <w:r w:rsidR="00CB0555">
        <w:t xml:space="preserve">assessed the effectiveness of the SOE process. </w:t>
      </w:r>
      <w:r>
        <w:t xml:space="preserve"> </w:t>
      </w:r>
    </w:p>
    <w:bookmarkEnd w:id="50"/>
    <w:bookmarkEnd w:id="51"/>
    <w:bookmarkEnd w:id="52"/>
    <w:bookmarkEnd w:id="53"/>
    <w:p w14:paraId="3C46EAC5" w14:textId="620F2BA6" w:rsidR="005050B3" w:rsidRDefault="00D71233" w:rsidP="002F43B7">
      <w:pPr>
        <w:pStyle w:val="Heading3"/>
      </w:pPr>
      <w:r>
        <w:lastRenderedPageBreak/>
        <w:t xml:space="preserve">Methodology </w:t>
      </w:r>
    </w:p>
    <w:p w14:paraId="62040D03" w14:textId="5E0653D6" w:rsidR="00CD2699" w:rsidRDefault="00CD2699" w:rsidP="00CD2699">
      <w:bookmarkStart w:id="54" w:name="_Toc25757134"/>
      <w:bookmarkStart w:id="55" w:name="_Toc25757274"/>
      <w:r>
        <w:t xml:space="preserve">The </w:t>
      </w:r>
      <w:r w:rsidR="00B73057">
        <w:t>VIT’s process of implementing the SOE was considered in the p</w:t>
      </w:r>
      <w:r>
        <w:t xml:space="preserve">rocess </w:t>
      </w:r>
      <w:r w:rsidR="00B73057">
        <w:t>e</w:t>
      </w:r>
      <w:r>
        <w:t>valuation</w:t>
      </w:r>
      <w:r w:rsidR="00B73057">
        <w:t>, including the:</w:t>
      </w:r>
    </w:p>
    <w:p w14:paraId="50740B1A" w14:textId="33CB23F7" w:rsidR="00CD2699" w:rsidRDefault="00CD2699" w:rsidP="00CD2699">
      <w:pPr>
        <w:pStyle w:val="Bullet1"/>
      </w:pPr>
      <w:r>
        <w:t xml:space="preserve">SOE </w:t>
      </w:r>
      <w:r w:rsidR="004B7B3A">
        <w:t>d</w:t>
      </w:r>
      <w:r>
        <w:t>evelopment</w:t>
      </w:r>
      <w:r w:rsidR="004C1AA5">
        <w:t>:</w:t>
      </w:r>
      <w:r>
        <w:t xml:space="preserve"> including the elements of good regulatory practice, self-assessment, Good Regulatory Practice Plan </w:t>
      </w:r>
      <w:r w:rsidR="002F7628">
        <w:t xml:space="preserve">(GRPP) </w:t>
      </w:r>
      <w:r>
        <w:t>and SOE Letter</w:t>
      </w:r>
    </w:p>
    <w:p w14:paraId="0EDABB37" w14:textId="132F91CD" w:rsidR="00CD2699" w:rsidRPr="006557E3" w:rsidRDefault="00CD2699" w:rsidP="00CD2699">
      <w:pPr>
        <w:pStyle w:val="Bullet1"/>
      </w:pPr>
      <w:r>
        <w:t xml:space="preserve">SOE </w:t>
      </w:r>
      <w:r w:rsidR="004B7B3A">
        <w:t>implementation</w:t>
      </w:r>
      <w:r w:rsidR="004C1AA5">
        <w:t>:</w:t>
      </w:r>
      <w:r>
        <w:t xml:space="preserve"> including the SOE Response, Evaluation Plan and Evaluation Report.</w:t>
      </w:r>
    </w:p>
    <w:p w14:paraId="66B6D150" w14:textId="77777777" w:rsidR="005050B3" w:rsidRDefault="005050B3" w:rsidP="005050B3">
      <w:pPr>
        <w:pStyle w:val="Heading3"/>
      </w:pPr>
      <w:bookmarkStart w:id="56" w:name="_Toc25757135"/>
      <w:bookmarkStart w:id="57" w:name="_Toc25757275"/>
      <w:bookmarkEnd w:id="54"/>
      <w:bookmarkEnd w:id="55"/>
      <w:r>
        <w:t>Data collection</w:t>
      </w:r>
      <w:bookmarkEnd w:id="56"/>
      <w:bookmarkEnd w:id="57"/>
      <w:r>
        <w:t xml:space="preserve"> </w:t>
      </w:r>
    </w:p>
    <w:p w14:paraId="0E88DC08" w14:textId="73A72DCC" w:rsidR="005050B3" w:rsidRDefault="00B0650A" w:rsidP="005050B3">
      <w:pPr>
        <w:rPr>
          <w:highlight w:val="yellow"/>
        </w:rPr>
      </w:pPr>
      <w:r>
        <w:t>The Department collected d</w:t>
      </w:r>
      <w:r w:rsidR="005050B3">
        <w:t>ata to inform the process evaluation from officers within the VIT</w:t>
      </w:r>
      <w:r w:rsidR="001E3A4E">
        <w:t>,</w:t>
      </w:r>
      <w:r w:rsidR="00937728" w:rsidRPr="00937728">
        <w:t xml:space="preserve"> </w:t>
      </w:r>
      <w:r w:rsidR="00937728">
        <w:t>a survey on the SOE process,</w:t>
      </w:r>
      <w:r w:rsidR="001E3A4E">
        <w:t xml:space="preserve"> the </w:t>
      </w:r>
      <w:r w:rsidR="002E315D">
        <w:t xml:space="preserve">VIT </w:t>
      </w:r>
      <w:r w:rsidR="001E3A4E">
        <w:t xml:space="preserve">self-assessment and </w:t>
      </w:r>
      <w:r w:rsidR="0053725A">
        <w:t>GRPP</w:t>
      </w:r>
      <w:r w:rsidR="001E3A4E">
        <w:t>.</w:t>
      </w:r>
    </w:p>
    <w:p w14:paraId="336DDCF3" w14:textId="77777777" w:rsidR="005050B3" w:rsidRPr="004E525B" w:rsidRDefault="005050B3" w:rsidP="005050B3">
      <w:pPr>
        <w:pStyle w:val="Heading3"/>
      </w:pPr>
      <w:bookmarkStart w:id="58" w:name="_Toc25757136"/>
      <w:bookmarkStart w:id="59" w:name="_Toc25757276"/>
      <w:r w:rsidRPr="004E525B">
        <w:t>Limitations</w:t>
      </w:r>
      <w:bookmarkEnd w:id="58"/>
      <w:bookmarkEnd w:id="59"/>
    </w:p>
    <w:p w14:paraId="0608ECD7" w14:textId="67C08D11" w:rsidR="002337C0" w:rsidRDefault="005050B3" w:rsidP="005050B3">
      <w:r>
        <w:t xml:space="preserve">The staggered advice from </w:t>
      </w:r>
      <w:r w:rsidR="00822BFF">
        <w:t xml:space="preserve">the </w:t>
      </w:r>
      <w:r w:rsidR="00822BFF" w:rsidRPr="008C1D18">
        <w:t>Department of Treasury and Finance</w:t>
      </w:r>
      <w:r>
        <w:t xml:space="preserve"> </w:t>
      </w:r>
      <w:r w:rsidR="00C13D3A">
        <w:t xml:space="preserve">on </w:t>
      </w:r>
      <w:r>
        <w:t xml:space="preserve">the SOE Framework meant that the </w:t>
      </w:r>
      <w:r w:rsidR="00822BFF">
        <w:t>E</w:t>
      </w:r>
      <w:r>
        <w:t xml:space="preserve">valuation </w:t>
      </w:r>
      <w:r w:rsidR="00822BFF">
        <w:t>P</w:t>
      </w:r>
      <w:r>
        <w:t xml:space="preserve">lan was developed after the SOE </w:t>
      </w:r>
      <w:r w:rsidR="00822BFF">
        <w:t>L</w:t>
      </w:r>
      <w:r>
        <w:t xml:space="preserve">etter </w:t>
      </w:r>
      <w:r w:rsidR="00822BFF">
        <w:t>and Response</w:t>
      </w:r>
      <w:r>
        <w:t xml:space="preserve">. </w:t>
      </w:r>
      <w:r w:rsidR="00F63942">
        <w:t xml:space="preserve">The </w:t>
      </w:r>
      <w:r w:rsidR="00B0650A">
        <w:t xml:space="preserve">Minister requested the </w:t>
      </w:r>
      <w:r w:rsidR="00F63942">
        <w:t xml:space="preserve">VIT to prioritise fulfilling </w:t>
      </w:r>
      <w:r w:rsidR="00B0650A">
        <w:t xml:space="preserve">key </w:t>
      </w:r>
      <w:r w:rsidR="00F63942">
        <w:t>recommendation</w:t>
      </w:r>
      <w:r w:rsidR="00A83F5C">
        <w:t>s</w:t>
      </w:r>
      <w:r w:rsidR="00F63942">
        <w:t xml:space="preserve"> of the VIT Review, </w:t>
      </w:r>
      <w:r w:rsidR="00B0650A">
        <w:t xml:space="preserve">however </w:t>
      </w:r>
      <w:r w:rsidR="00F63942">
        <w:t xml:space="preserve">some areas were not accepted by </w:t>
      </w:r>
      <w:r w:rsidR="00A83F5C">
        <w:t xml:space="preserve">the </w:t>
      </w:r>
      <w:r w:rsidR="00F63942">
        <w:t xml:space="preserve">Government </w:t>
      </w:r>
      <w:r w:rsidR="00A83F5C">
        <w:t xml:space="preserve">(1b) or decisions were delayed (1a, 1c, 2, 3, 4, 6, 12c) </w:t>
      </w:r>
      <w:r w:rsidR="00F63942">
        <w:t xml:space="preserve">and </w:t>
      </w:r>
      <w:r w:rsidR="00A83F5C">
        <w:t xml:space="preserve">these activities </w:t>
      </w:r>
      <w:r w:rsidR="00F63942">
        <w:t>could not be completed</w:t>
      </w:r>
      <w:r w:rsidR="00B0650A">
        <w:t xml:space="preserve"> by the VIT</w:t>
      </w:r>
      <w:r w:rsidR="00F63942">
        <w:t>.</w:t>
      </w:r>
    </w:p>
    <w:p w14:paraId="24D9A170" w14:textId="0BC360D4" w:rsidR="00350824" w:rsidRDefault="00314246" w:rsidP="00FF6A57">
      <w:r>
        <w:t xml:space="preserve">The </w:t>
      </w:r>
      <w:r w:rsidR="005050B3">
        <w:t xml:space="preserve">VIT was not able to collect and track 53% of the data required for SOE performance reporting, with 18 of 34 performance measures missing data. </w:t>
      </w:r>
      <w:r w:rsidR="00F459A7">
        <w:t xml:space="preserve">In some areas, data </w:t>
      </w:r>
      <w:r w:rsidR="005050B3">
        <w:t xml:space="preserve">collection </w:t>
      </w:r>
      <w:r w:rsidR="00BF2D36">
        <w:t xml:space="preserve">for performance measures </w:t>
      </w:r>
      <w:r w:rsidR="005050B3">
        <w:t xml:space="preserve">was not possible within the timeframe, particularly where new IT systems and processes were established. </w:t>
      </w:r>
    </w:p>
    <w:p w14:paraId="529B2814" w14:textId="0F608CC3" w:rsidR="00350824" w:rsidRDefault="00350824" w:rsidP="00FF6A57">
      <w:pPr>
        <w:sectPr w:rsidR="00350824">
          <w:pgSz w:w="11906" w:h="16838"/>
          <w:pgMar w:top="1440" w:right="1440" w:bottom="1440" w:left="1440" w:header="708" w:footer="708" w:gutter="0"/>
          <w:cols w:space="708"/>
          <w:docGrid w:linePitch="360"/>
        </w:sectPr>
      </w:pPr>
    </w:p>
    <w:p w14:paraId="65563982" w14:textId="3534EE11" w:rsidR="00350824" w:rsidRDefault="00E20088" w:rsidP="00A45155">
      <w:pPr>
        <w:pStyle w:val="Heading1"/>
      </w:pPr>
      <w:bookmarkStart w:id="60" w:name="_Toc38349017"/>
      <w:bookmarkStart w:id="61" w:name="_Toc38349283"/>
      <w:bookmarkStart w:id="62" w:name="_Toc48559338"/>
      <w:bookmarkStart w:id="63" w:name="_Hlk38267276"/>
      <w:bookmarkStart w:id="64" w:name="_Hlk36467509"/>
      <w:bookmarkStart w:id="65" w:name="_Toc25757132"/>
      <w:bookmarkStart w:id="66" w:name="_Toc25757272"/>
      <w:bookmarkStart w:id="67" w:name="_Toc25757405"/>
      <w:bookmarkStart w:id="68" w:name="_Toc25827723"/>
      <w:bookmarkStart w:id="69" w:name="_Hlk36738971"/>
      <w:r>
        <w:lastRenderedPageBreak/>
        <w:t>OUTCOME EVALUATION</w:t>
      </w:r>
      <w:bookmarkEnd w:id="60"/>
      <w:bookmarkEnd w:id="61"/>
      <w:bookmarkEnd w:id="62"/>
      <w:r>
        <w:t xml:space="preserve"> </w:t>
      </w:r>
    </w:p>
    <w:p w14:paraId="2E21D994" w14:textId="47AE37FC" w:rsidR="007A6B6E" w:rsidRPr="003056E8" w:rsidRDefault="00F060F0" w:rsidP="002F43B7">
      <w:pPr>
        <w:pStyle w:val="Heading2"/>
        <w:pBdr>
          <w:top w:val="single" w:sz="4" w:space="1" w:color="auto"/>
        </w:pBdr>
      </w:pPr>
      <w:bookmarkStart w:id="70" w:name="_Toc48559339"/>
      <w:r>
        <w:t>EFFECTIVE REGULATION</w:t>
      </w:r>
      <w:r w:rsidR="00721916">
        <w:t xml:space="preserve"> </w:t>
      </w:r>
      <w:bookmarkStart w:id="71" w:name="_Hlk38547292"/>
      <w:r w:rsidR="00763317">
        <w:t xml:space="preserve">– </w:t>
      </w:r>
      <w:bookmarkEnd w:id="71"/>
      <w:r w:rsidR="00763317">
        <w:t>TIMELINESS DATA</w:t>
      </w:r>
      <w:bookmarkEnd w:id="70"/>
      <w:r w:rsidR="00763317">
        <w:t xml:space="preserve"> </w:t>
      </w:r>
    </w:p>
    <w:p w14:paraId="614FF717" w14:textId="690879C0" w:rsidR="005E64FB" w:rsidRDefault="00BA47BF">
      <w:r>
        <w:t xml:space="preserve">The data below </w:t>
      </w:r>
      <w:r w:rsidR="00DE311B">
        <w:t xml:space="preserve">addressed </w:t>
      </w:r>
      <w:r>
        <w:t xml:space="preserve">the mandatory element of good regulatory practice ‘timeliness’ in the SOE Framework. Timeliness in this context </w:t>
      </w:r>
      <w:r w:rsidR="008B38E9">
        <w:t xml:space="preserve">referred </w:t>
      </w:r>
      <w:r>
        <w:t xml:space="preserve">to regulatory decisions, issues and approvals being resolved in a timely manner, to avoid unnecessary administrative costs for regulated parties. </w:t>
      </w:r>
      <w:r w:rsidR="00B73057">
        <w:t xml:space="preserve">The </w:t>
      </w:r>
      <w:r>
        <w:t xml:space="preserve">VIT committed to </w:t>
      </w:r>
      <w:r w:rsidR="00B73057">
        <w:t xml:space="preserve">the following </w:t>
      </w:r>
      <w:r>
        <w:t xml:space="preserve">activities to </w:t>
      </w:r>
      <w:r w:rsidR="00B73057">
        <w:t xml:space="preserve">meet the Minister’s expectation to </w:t>
      </w:r>
      <w:r w:rsidR="00F060F0">
        <w:t>support effective regulation</w:t>
      </w:r>
      <w:r>
        <w:t xml:space="preserve">. </w:t>
      </w:r>
    </w:p>
    <w:p w14:paraId="0533A5C0" w14:textId="4B14323A" w:rsidR="00FD5F04" w:rsidRDefault="00FD5F04" w:rsidP="00D4749B">
      <w:pPr>
        <w:pStyle w:val="Heading3"/>
      </w:pPr>
      <w:r w:rsidRPr="00FD5F04">
        <w:t>Expectation</w:t>
      </w:r>
    </w:p>
    <w:p w14:paraId="0AB0B04A" w14:textId="77777777" w:rsidR="00FD5F04" w:rsidRDefault="00FD5F04" w:rsidP="00FD5F04">
      <w:r>
        <w:t>Improving the efficiency and effectiveness of the VIT’s processes through the development of a set of regulatory principles applying to all functions and activities, and the adoption of contemporary, aligned regulatory policies and governance models.</w:t>
      </w:r>
    </w:p>
    <w:p w14:paraId="60D7AEEA" w14:textId="70887052" w:rsidR="00FD5F04" w:rsidRDefault="00FD5F04" w:rsidP="00FD5F04">
      <w:r>
        <w:t>Recommendation 21 of the VIT Review – Ensure reforms to registration processes and customer-interfaces, including migration to online registration and renewal processes are completed by the end of 2018.</w:t>
      </w:r>
    </w:p>
    <w:p w14:paraId="3D49E8E9" w14:textId="73378C17" w:rsidR="00FD5F04" w:rsidRDefault="00FD5F04" w:rsidP="00D4749B">
      <w:pPr>
        <w:pStyle w:val="Heading3"/>
      </w:pPr>
      <w:r w:rsidRPr="00FD5F04">
        <w:t>Response Activity</w:t>
      </w:r>
    </w:p>
    <w:p w14:paraId="0BEC4181" w14:textId="77777777" w:rsidR="00FD5F04" w:rsidRDefault="00FD5F04" w:rsidP="00FD5F04">
      <w:r>
        <w:t>To support effective regulation the VIT will:</w:t>
      </w:r>
    </w:p>
    <w:p w14:paraId="0199B813" w14:textId="707F663D" w:rsidR="00FD5F04" w:rsidRDefault="00FD5F04" w:rsidP="00FD5F04">
      <w:pPr>
        <w:pStyle w:val="Bullet1"/>
      </w:pPr>
      <w:r>
        <w:t>review its regulatory framework and tools to promote the best interests of children</w:t>
      </w:r>
    </w:p>
    <w:p w14:paraId="01376BF3" w14:textId="38430690" w:rsidR="00FD5F04" w:rsidRDefault="00FD5F04" w:rsidP="00FD5F04">
      <w:pPr>
        <w:pStyle w:val="Bullet1"/>
      </w:pPr>
      <w:r>
        <w:t>work with the Department and co-regulators to form a community of practice and adopt strategies to ensure suitable persons are registered as teachers.</w:t>
      </w:r>
    </w:p>
    <w:p w14:paraId="7A94CC7D" w14:textId="77777777" w:rsidR="00FD5F04" w:rsidRDefault="00FD5F04" w:rsidP="00FD5F04">
      <w:r>
        <w:t xml:space="preserve">In response to the expectation, VIT will: </w:t>
      </w:r>
    </w:p>
    <w:p w14:paraId="3975C328" w14:textId="35E4EB1B" w:rsidR="00FD5F04" w:rsidRDefault="00FD5F04" w:rsidP="00FD5F04">
      <w:pPr>
        <w:pStyle w:val="Bullet1"/>
      </w:pPr>
      <w:r>
        <w:t xml:space="preserve">update risk-based policies and regulatory frameworks </w:t>
      </w:r>
    </w:p>
    <w:p w14:paraId="3506541A" w14:textId="29F35921" w:rsidR="00FD5F04" w:rsidRDefault="00FD5F04" w:rsidP="00FD5F04">
      <w:pPr>
        <w:pStyle w:val="Bullet1"/>
      </w:pPr>
      <w:r>
        <w:t>adopt best practice in business systems to support compliance and reduction in regulatory burden.</w:t>
      </w:r>
    </w:p>
    <w:p w14:paraId="77AF2253" w14:textId="650D3032" w:rsidR="00FD5F04" w:rsidRDefault="00FD5F04" w:rsidP="00FD5F04">
      <w:pPr>
        <w:pStyle w:val="Heading3"/>
      </w:pPr>
      <w:r w:rsidRPr="00FD5F04">
        <w:t>Outcome</w:t>
      </w:r>
    </w:p>
    <w:p w14:paraId="7C877227" w14:textId="77777777" w:rsidR="00FD5F04" w:rsidRDefault="00FD5F04" w:rsidP="00FD5F04">
      <w:r>
        <w:t>Improved application, assessment and registration times</w:t>
      </w:r>
    </w:p>
    <w:p w14:paraId="45FECE99" w14:textId="07D21D46" w:rsidR="00FD5F04" w:rsidRDefault="00FD5F04" w:rsidP="00FD5F04">
      <w:r>
        <w:t>Reduced regulatory burden</w:t>
      </w:r>
    </w:p>
    <w:p w14:paraId="22B9BB08" w14:textId="20CDE64D" w:rsidR="00FD5F04" w:rsidRDefault="00FD5F04" w:rsidP="00FD5F04">
      <w:pPr>
        <w:pStyle w:val="Heading3"/>
      </w:pPr>
      <w:r>
        <w:t>Measure</w:t>
      </w:r>
    </w:p>
    <w:p w14:paraId="1608D617" w14:textId="44DC47A0" w:rsidR="00FD5F04" w:rsidRDefault="00FD5F04" w:rsidP="00FD5F04">
      <w:r w:rsidRPr="00FD5F04">
        <w:t>Average number of business days taken to process new graduate applications</w:t>
      </w:r>
    </w:p>
    <w:p w14:paraId="51B49A3E" w14:textId="610E4034" w:rsidR="00FD5F04" w:rsidRDefault="00FD5F04" w:rsidP="00FD5F04">
      <w:pPr>
        <w:pStyle w:val="Heading3"/>
      </w:pPr>
      <w:r w:rsidRPr="00FD5F04">
        <w:t>Result 2018-20</w:t>
      </w:r>
    </w:p>
    <w:p w14:paraId="2D253621" w14:textId="77777777" w:rsidR="00FD5F04" w:rsidRDefault="00FD5F04" w:rsidP="00FD5F04">
      <w:r>
        <w:t>5.1 calendar days (2018-19)</w:t>
      </w:r>
    </w:p>
    <w:p w14:paraId="7AC1FC67" w14:textId="4A61D59C" w:rsidR="00FD5F04" w:rsidRDefault="00FD5F04" w:rsidP="00FD5F04">
      <w:r>
        <w:t>4.9 calendar days (2019-20)</w:t>
      </w:r>
    </w:p>
    <w:p w14:paraId="59E5E6DF" w14:textId="77777777" w:rsidR="00FD5F04" w:rsidRDefault="00FD5F04" w:rsidP="00FD5F04">
      <w:pPr>
        <w:pStyle w:val="Heading3"/>
      </w:pPr>
      <w:r>
        <w:t>Measure</w:t>
      </w:r>
    </w:p>
    <w:p w14:paraId="264C9931" w14:textId="294A9160" w:rsidR="00FD5F04" w:rsidRDefault="00FD5F04" w:rsidP="00FD5F04">
      <w:r w:rsidRPr="00FD5F04">
        <w:t>Percentage of new graduate applications finalised prior to 31 January</w:t>
      </w:r>
    </w:p>
    <w:p w14:paraId="5020AC19" w14:textId="77777777" w:rsidR="00FD5F04" w:rsidRDefault="00FD5F04" w:rsidP="00FD5F04">
      <w:pPr>
        <w:pStyle w:val="Heading3"/>
      </w:pPr>
      <w:r w:rsidRPr="00FD5F04">
        <w:t>Result 2018-20</w:t>
      </w:r>
    </w:p>
    <w:p w14:paraId="67DC6FC5" w14:textId="77777777" w:rsidR="00FD5F04" w:rsidRDefault="00FD5F04" w:rsidP="00FD5F04">
      <w:r>
        <w:t>86.3% (2018-19)</w:t>
      </w:r>
    </w:p>
    <w:p w14:paraId="2CB7DAF4" w14:textId="5FBAC4C7" w:rsidR="00FD5F04" w:rsidRDefault="00FD5F04" w:rsidP="00FD5F04">
      <w:r>
        <w:t>99.4% (2019-20)</w:t>
      </w:r>
    </w:p>
    <w:p w14:paraId="0031E75A" w14:textId="77777777" w:rsidR="00FD5F04" w:rsidRDefault="00FD5F04" w:rsidP="00FD5F04">
      <w:pPr>
        <w:pStyle w:val="Heading3"/>
      </w:pPr>
      <w:r>
        <w:lastRenderedPageBreak/>
        <w:t>Measure</w:t>
      </w:r>
    </w:p>
    <w:p w14:paraId="1B1BF1D1" w14:textId="32CD1643" w:rsidR="00FD5F04" w:rsidRDefault="00FD5F04" w:rsidP="00FD5F04">
      <w:r w:rsidRPr="00FD5F04">
        <w:t xml:space="preserve">Average number of business days taken to assess ‘provisional to full’ registration </w:t>
      </w:r>
      <w:r w:rsidR="00D4749B">
        <w:t>a</w:t>
      </w:r>
      <w:r w:rsidRPr="00FD5F04">
        <w:t>pplications</w:t>
      </w:r>
    </w:p>
    <w:p w14:paraId="125FF2B4" w14:textId="77777777" w:rsidR="00FD5F04" w:rsidRDefault="00FD5F04" w:rsidP="00FD5F04">
      <w:pPr>
        <w:pStyle w:val="Heading3"/>
      </w:pPr>
      <w:r w:rsidRPr="00FD5F04">
        <w:t>Result 2018-20</w:t>
      </w:r>
    </w:p>
    <w:p w14:paraId="56D9F099" w14:textId="77777777" w:rsidR="00FD5F04" w:rsidRDefault="00FD5F04" w:rsidP="00FD5F04">
      <w:r>
        <w:t>21.3 calendar days (2018-19)</w:t>
      </w:r>
    </w:p>
    <w:p w14:paraId="7F3D6BF9" w14:textId="36D508C4" w:rsidR="00FD5F04" w:rsidRDefault="00FD5F04" w:rsidP="00FD5F04">
      <w:r>
        <w:t>8.3 calendar days (2019-20)</w:t>
      </w:r>
    </w:p>
    <w:p w14:paraId="470BC527" w14:textId="77777777" w:rsidR="00182DD6" w:rsidRDefault="00182DD6" w:rsidP="00182DD6">
      <w:pPr>
        <w:pStyle w:val="Heading3"/>
      </w:pPr>
      <w:r>
        <w:t>Measure</w:t>
      </w:r>
    </w:p>
    <w:p w14:paraId="25BE089E" w14:textId="25ADB2AD" w:rsidR="00182DD6" w:rsidRDefault="00182DD6" w:rsidP="00FD5F04">
      <w:r w:rsidRPr="00182DD6">
        <w:t>Percentage of key registration processes that are partially or fully paper based</w:t>
      </w:r>
    </w:p>
    <w:p w14:paraId="4875D2AB" w14:textId="77777777" w:rsidR="00182DD6" w:rsidRDefault="00182DD6" w:rsidP="00182DD6">
      <w:pPr>
        <w:pStyle w:val="Heading3"/>
      </w:pPr>
      <w:r w:rsidRPr="00FD5F04">
        <w:t>Result 2018-20</w:t>
      </w:r>
    </w:p>
    <w:p w14:paraId="5E73C933" w14:textId="77777777" w:rsidR="00182DD6" w:rsidRDefault="00182DD6" w:rsidP="00182DD6">
      <w:r>
        <w:t xml:space="preserve">Data is not available for 2018-19 </w:t>
      </w:r>
    </w:p>
    <w:p w14:paraId="13AC6C1E" w14:textId="17EA7AAF" w:rsidR="00182DD6" w:rsidRDefault="00182DD6" w:rsidP="00182DD6">
      <w:r>
        <w:t>39% (2019-20)</w:t>
      </w:r>
    </w:p>
    <w:p w14:paraId="308F4C40" w14:textId="77777777" w:rsidR="00182DD6" w:rsidRDefault="00182DD6" w:rsidP="00182DD6">
      <w:pPr>
        <w:pStyle w:val="Heading3"/>
      </w:pPr>
      <w:r>
        <w:t>Measure</w:t>
      </w:r>
    </w:p>
    <w:p w14:paraId="1971542F" w14:textId="5DB96C12" w:rsidR="00182DD6" w:rsidRDefault="00182DD6" w:rsidP="00182DD6">
      <w:r w:rsidRPr="00087D1C">
        <w:t>Number of suspensions reviewed within 30 days</w:t>
      </w:r>
    </w:p>
    <w:p w14:paraId="3783DA1B" w14:textId="77777777" w:rsidR="00182DD6" w:rsidRDefault="00182DD6" w:rsidP="00182DD6">
      <w:pPr>
        <w:pStyle w:val="Heading3"/>
      </w:pPr>
      <w:r w:rsidRPr="00FD5F04">
        <w:t>Result 2018-20</w:t>
      </w:r>
    </w:p>
    <w:p w14:paraId="093E32DF" w14:textId="77777777" w:rsidR="00182DD6" w:rsidRDefault="00182DD6" w:rsidP="00182DD6">
      <w:r>
        <w:t>100% (2018-19)</w:t>
      </w:r>
    </w:p>
    <w:p w14:paraId="2D73D8DD" w14:textId="4DAC39BD" w:rsidR="00182DD6" w:rsidRDefault="00182DD6" w:rsidP="00182DD6">
      <w:r>
        <w:t>100% (2019-20)</w:t>
      </w:r>
    </w:p>
    <w:p w14:paraId="16B97419" w14:textId="77777777" w:rsidR="00182DD6" w:rsidRDefault="00182DD6" w:rsidP="00182DD6">
      <w:pPr>
        <w:pStyle w:val="Heading3"/>
      </w:pPr>
      <w:r>
        <w:t>Measure</w:t>
      </w:r>
    </w:p>
    <w:p w14:paraId="632FDBF4" w14:textId="1E5525B7" w:rsidR="00182DD6" w:rsidRDefault="00182DD6" w:rsidP="00182DD6">
      <w:r w:rsidRPr="00182DD6">
        <w:t>Percentage of calls answered within 20 seconds</w:t>
      </w:r>
    </w:p>
    <w:p w14:paraId="4C51124D" w14:textId="77777777" w:rsidR="00182DD6" w:rsidRDefault="00182DD6" w:rsidP="00182DD6">
      <w:pPr>
        <w:pStyle w:val="Heading3"/>
      </w:pPr>
      <w:r w:rsidRPr="00FD5F04">
        <w:t>Result 2018-20</w:t>
      </w:r>
    </w:p>
    <w:p w14:paraId="739D0109" w14:textId="77777777" w:rsidR="00182DD6" w:rsidRDefault="00182DD6" w:rsidP="00182DD6">
      <w:r>
        <w:t>31.4% (2018-19)</w:t>
      </w:r>
    </w:p>
    <w:p w14:paraId="43948EB5" w14:textId="009C458D" w:rsidR="00182DD6" w:rsidRDefault="00182DD6" w:rsidP="00182DD6">
      <w:r>
        <w:t>12.6% (2019-20)</w:t>
      </w:r>
    </w:p>
    <w:p w14:paraId="361C66DE" w14:textId="77777777" w:rsidR="00182DD6" w:rsidRDefault="00182DD6" w:rsidP="00182DD6">
      <w:pPr>
        <w:pStyle w:val="Heading3"/>
      </w:pPr>
      <w:r>
        <w:t>Measure</w:t>
      </w:r>
    </w:p>
    <w:p w14:paraId="0624E879" w14:textId="7F9EF955" w:rsidR="00182DD6" w:rsidRDefault="00182DD6" w:rsidP="00182DD6">
      <w:r w:rsidRPr="00182DD6">
        <w:t>% calls handled</w:t>
      </w:r>
    </w:p>
    <w:p w14:paraId="799D25B9" w14:textId="77777777" w:rsidR="00182DD6" w:rsidRDefault="00182DD6" w:rsidP="00182DD6">
      <w:pPr>
        <w:pStyle w:val="Heading3"/>
      </w:pPr>
      <w:r w:rsidRPr="00FD5F04">
        <w:t>Result 2018-20</w:t>
      </w:r>
    </w:p>
    <w:p w14:paraId="179D14C2" w14:textId="77777777" w:rsidR="00182DD6" w:rsidRDefault="00182DD6" w:rsidP="00182DD6">
      <w:r>
        <w:t>72% (2018-19)</w:t>
      </w:r>
    </w:p>
    <w:p w14:paraId="10D01E9B" w14:textId="1B1679EC" w:rsidR="00182DD6" w:rsidRDefault="00182DD6" w:rsidP="00182DD6">
      <w:r>
        <w:t>57% (2019-20)</w:t>
      </w:r>
    </w:p>
    <w:p w14:paraId="5BB84ADD" w14:textId="77777777" w:rsidR="00182DD6" w:rsidRDefault="00182DD6" w:rsidP="00182DD6">
      <w:pPr>
        <w:pStyle w:val="Heading3"/>
      </w:pPr>
      <w:r>
        <w:t>Measure</w:t>
      </w:r>
    </w:p>
    <w:p w14:paraId="48500A08" w14:textId="7A5B366F" w:rsidR="00182DD6" w:rsidRDefault="00182DD6" w:rsidP="00182DD6">
      <w:r w:rsidRPr="00182DD6">
        <w:t>Time taken to suspend registration when notified of a Category A offence or Negative Notice</w:t>
      </w:r>
    </w:p>
    <w:p w14:paraId="4EA56065" w14:textId="77777777" w:rsidR="00182DD6" w:rsidRDefault="00182DD6" w:rsidP="00182DD6">
      <w:pPr>
        <w:pStyle w:val="Heading3"/>
      </w:pPr>
      <w:r w:rsidRPr="00FD5F04">
        <w:t>Result 2018-20</w:t>
      </w:r>
    </w:p>
    <w:p w14:paraId="18444A32" w14:textId="39EF1D3E" w:rsidR="00182DD6" w:rsidRDefault="00182DD6" w:rsidP="00182DD6">
      <w:r>
        <w:t>Data is unavailable for 2018-20.</w:t>
      </w:r>
      <w:r w:rsidR="00D4749B">
        <w:t xml:space="preserve"> </w:t>
      </w:r>
      <w:r>
        <w:t>Data will be available from 2020-21. This measure became a legislative requirement on 1 September 2019.</w:t>
      </w:r>
    </w:p>
    <w:p w14:paraId="72A5B7E4" w14:textId="77777777" w:rsidR="00182DD6" w:rsidRDefault="00182DD6" w:rsidP="00182DD6">
      <w:pPr>
        <w:pStyle w:val="Heading3"/>
      </w:pPr>
      <w:r>
        <w:t>Measure</w:t>
      </w:r>
    </w:p>
    <w:p w14:paraId="478E97AF" w14:textId="6D672609" w:rsidR="00182DD6" w:rsidRDefault="00182DD6" w:rsidP="00182DD6">
      <w:r w:rsidRPr="00182DD6">
        <w:t>Number of preliminary assessments undertaken per annum</w:t>
      </w:r>
    </w:p>
    <w:p w14:paraId="16CF616E" w14:textId="77777777" w:rsidR="00182DD6" w:rsidRDefault="00182DD6" w:rsidP="00182DD6">
      <w:pPr>
        <w:pStyle w:val="Heading3"/>
      </w:pPr>
      <w:r w:rsidRPr="00FD5F04">
        <w:t>Result 2018-20</w:t>
      </w:r>
    </w:p>
    <w:p w14:paraId="409182BC" w14:textId="77777777" w:rsidR="00D4749B" w:rsidRDefault="00182DD6" w:rsidP="00182DD6">
      <w:r>
        <w:t>279 (2018-19)</w:t>
      </w:r>
    </w:p>
    <w:p w14:paraId="292B2A8C" w14:textId="2541B0D0" w:rsidR="00182DD6" w:rsidRPr="00FD5F04" w:rsidRDefault="00182DD6" w:rsidP="00182DD6">
      <w:r>
        <w:t>Data is not available for 2019-20.</w:t>
      </w:r>
    </w:p>
    <w:p w14:paraId="0D1DB8B0" w14:textId="77777777" w:rsidR="00645869" w:rsidRDefault="00645869" w:rsidP="00386210">
      <w:pPr>
        <w:rPr>
          <w:rFonts w:eastAsiaTheme="majorEastAsia" w:cstheme="majorBidi"/>
          <w:b/>
          <w:caps/>
          <w:color w:val="C00000"/>
          <w:sz w:val="26"/>
          <w:szCs w:val="26"/>
        </w:rPr>
        <w:sectPr w:rsidR="00645869" w:rsidSect="00D4749B">
          <w:pgSz w:w="11906" w:h="16838"/>
          <w:pgMar w:top="1440" w:right="1440" w:bottom="1440" w:left="1440" w:header="709" w:footer="709" w:gutter="0"/>
          <w:cols w:space="708"/>
          <w:docGrid w:linePitch="360"/>
        </w:sectPr>
      </w:pPr>
    </w:p>
    <w:p w14:paraId="531BC613" w14:textId="36148A4C" w:rsidR="00386210" w:rsidRPr="00EA4B47" w:rsidRDefault="00946C92" w:rsidP="00FB577C">
      <w:pPr>
        <w:pStyle w:val="Heading3"/>
      </w:pPr>
      <w:r w:rsidRPr="00EA4B47">
        <w:rPr>
          <w:caps/>
        </w:rPr>
        <w:lastRenderedPageBreak/>
        <w:t>KEY FINDINGS</w:t>
      </w:r>
      <w:r>
        <w:rPr>
          <w:caps/>
        </w:rPr>
        <w:t xml:space="preserve"> FOR TIMELINESS OF </w:t>
      </w:r>
      <w:r w:rsidR="00816335">
        <w:t>EFFECTIVE REGULATION</w:t>
      </w:r>
    </w:p>
    <w:p w14:paraId="3B99ED1C" w14:textId="77777777" w:rsidR="0032114F" w:rsidRDefault="0032114F">
      <w:pPr>
        <w:pStyle w:val="Heading3"/>
      </w:pPr>
    </w:p>
    <w:p w14:paraId="61EF4EC7" w14:textId="1217F18A" w:rsidR="001C4F4C" w:rsidRDefault="0095632C" w:rsidP="002F43B7">
      <w:pPr>
        <w:pStyle w:val="Heading3"/>
      </w:pPr>
      <w:r w:rsidRPr="00EA4B47">
        <w:t>Achievement of Minister’s expectations</w:t>
      </w:r>
      <w:r w:rsidR="007212EE">
        <w:t xml:space="preserve"> </w:t>
      </w:r>
    </w:p>
    <w:p w14:paraId="5ACF6BD5" w14:textId="0FA76569" w:rsidR="00EC238F" w:rsidRPr="00EA4B47" w:rsidRDefault="00EC238F" w:rsidP="00EC238F">
      <w:r>
        <w:t>The VIT</w:t>
      </w:r>
      <w:r w:rsidRPr="00EA4B47">
        <w:t xml:space="preserve"> applied best endeavours to meet the Minister’s expectation to improve </w:t>
      </w:r>
      <w:r>
        <w:t xml:space="preserve">the timeliness of the </w:t>
      </w:r>
      <w:r w:rsidRPr="00EA4B47">
        <w:t xml:space="preserve">VIT </w:t>
      </w:r>
      <w:r>
        <w:t xml:space="preserve">registration </w:t>
      </w:r>
      <w:r w:rsidRPr="00EA4B47">
        <w:t xml:space="preserve">processes. </w:t>
      </w:r>
    </w:p>
    <w:p w14:paraId="62689FB8" w14:textId="35154B9D" w:rsidR="00EC238F" w:rsidRPr="00EA4B47" w:rsidRDefault="001A577E" w:rsidP="00EC238F">
      <w:r>
        <w:t>R</w:t>
      </w:r>
      <w:r w:rsidR="00EC238F">
        <w:t>egistration applications for provisional teachers seeking full registration and new graduate applications</w:t>
      </w:r>
      <w:r>
        <w:t xml:space="preserve"> </w:t>
      </w:r>
      <w:r w:rsidR="00A8743E">
        <w:t>w</w:t>
      </w:r>
      <w:r w:rsidR="002057C9">
        <w:t>ere</w:t>
      </w:r>
      <w:r w:rsidR="00A8743E">
        <w:t xml:space="preserve"> </w:t>
      </w:r>
      <w:r>
        <w:t>assessed</w:t>
      </w:r>
      <w:r w:rsidR="00EC238F">
        <w:t xml:space="preserve"> in a short timeframe. The VIT worked towards automating registration processes to save time for teachers, with just under two thirds of registration processes electronic. The VIT ensured all suspensions of teachers </w:t>
      </w:r>
      <w:r>
        <w:t>were</w:t>
      </w:r>
      <w:r w:rsidR="00EC238F">
        <w:t xml:space="preserve"> reviewed within 30 days and conducted preliminary assessments </w:t>
      </w:r>
      <w:r w:rsidR="00D516FA">
        <w:t>o</w:t>
      </w:r>
      <w:r w:rsidR="00A36B26">
        <w:t>f</w:t>
      </w:r>
      <w:r w:rsidR="00D516FA">
        <w:t xml:space="preserve"> child safety notifications, including from criminal history checks, complaints from the public and employers, </w:t>
      </w:r>
      <w:r w:rsidR="00A36B26">
        <w:t>the RCS</w:t>
      </w:r>
      <w:r w:rsidR="00D516FA">
        <w:t xml:space="preserve"> and own motion enquiries</w:t>
      </w:r>
      <w:r w:rsidR="00EC238F">
        <w:t>.</w:t>
      </w:r>
    </w:p>
    <w:p w14:paraId="2B3A95B7" w14:textId="66407ED0" w:rsidR="00B81180" w:rsidRDefault="00EC238F" w:rsidP="00EC238F">
      <w:r w:rsidRPr="005A7A6B">
        <w:t xml:space="preserve">The VIT </w:t>
      </w:r>
      <w:r w:rsidR="00A8743E">
        <w:t>worked</w:t>
      </w:r>
      <w:r w:rsidR="00082EA5" w:rsidRPr="005A7A6B">
        <w:t xml:space="preserve"> towards </w:t>
      </w:r>
      <w:r w:rsidRPr="005A7A6B">
        <w:t>improv</w:t>
      </w:r>
      <w:r w:rsidR="00082EA5" w:rsidRPr="005A7A6B">
        <w:t>ing</w:t>
      </w:r>
      <w:r w:rsidRPr="005A7A6B">
        <w:t xml:space="preserve"> timeliness</w:t>
      </w:r>
      <w:r w:rsidR="00942821" w:rsidRPr="005A7A6B">
        <w:t xml:space="preserve"> for customer service</w:t>
      </w:r>
      <w:r w:rsidR="00082EA5" w:rsidRPr="005A7A6B">
        <w:t xml:space="preserve">, with </w:t>
      </w:r>
      <w:r w:rsidR="005A7A6B" w:rsidRPr="002F43B7">
        <w:t>a deterioration in two metrics</w:t>
      </w:r>
      <w:r w:rsidR="00782A37">
        <w:t>:</w:t>
      </w:r>
      <w:r w:rsidR="005A7A6B" w:rsidRPr="002F43B7">
        <w:t xml:space="preserve"> a drop of 19% in the percentage of calls answered in 20 seconds, and a drop of 15% in the percentage of calls handled. The </w:t>
      </w:r>
      <w:r w:rsidR="00B81180">
        <w:t>VIT received a</w:t>
      </w:r>
      <w:r w:rsidR="007663F5" w:rsidRPr="005A7A6B">
        <w:t xml:space="preserve"> higher volume of enquiries for </w:t>
      </w:r>
      <w:r w:rsidR="00942821" w:rsidRPr="005A7A6B">
        <w:t xml:space="preserve">new business practices, including </w:t>
      </w:r>
      <w:r w:rsidR="007663F5" w:rsidRPr="005A7A6B">
        <w:t>online renewal notices and the</w:t>
      </w:r>
      <w:r w:rsidR="007663F5">
        <w:t xml:space="preserve"> </w:t>
      </w:r>
      <w:r w:rsidR="003B032E">
        <w:t>RCS</w:t>
      </w:r>
      <w:r w:rsidR="00B81180">
        <w:t xml:space="preserve">, that led to the </w:t>
      </w:r>
      <w:r w:rsidR="00F55A2B">
        <w:t>reduction in timeliness</w:t>
      </w:r>
      <w:r w:rsidR="007663F5">
        <w:t xml:space="preserve">. </w:t>
      </w:r>
    </w:p>
    <w:p w14:paraId="29ECB3F0" w14:textId="1617D84F" w:rsidR="0095632C" w:rsidRDefault="0095632C" w:rsidP="002F43B7">
      <w:pPr>
        <w:pStyle w:val="Heading3"/>
      </w:pPr>
      <w:r w:rsidRPr="005235A8">
        <w:t xml:space="preserve">Achievement of standards set out in the </w:t>
      </w:r>
      <w:r w:rsidR="0011469B">
        <w:t>SOE</w:t>
      </w:r>
      <w:r w:rsidRPr="005235A8">
        <w:t xml:space="preserve"> Framework </w:t>
      </w:r>
    </w:p>
    <w:p w14:paraId="218115D2" w14:textId="58BB5BC3" w:rsidR="00EC228A" w:rsidRDefault="00EC238F" w:rsidP="00EC238F">
      <w:r>
        <w:t>The VIT fulfilled</w:t>
      </w:r>
      <w:r w:rsidRPr="00D947EC">
        <w:t xml:space="preserve"> all minimum </w:t>
      </w:r>
      <w:r>
        <w:t>and best</w:t>
      </w:r>
      <w:r w:rsidR="00C57DD2">
        <w:t xml:space="preserve"> practice</w:t>
      </w:r>
      <w:r>
        <w:t xml:space="preserve"> </w:t>
      </w:r>
      <w:r w:rsidRPr="00D947EC">
        <w:t xml:space="preserve">standards of the </w:t>
      </w:r>
      <w:r>
        <w:t>SOE</w:t>
      </w:r>
      <w:r w:rsidRPr="00D947EC">
        <w:t xml:space="preserve"> Framework</w:t>
      </w:r>
      <w:r w:rsidR="00777D79">
        <w:rPr>
          <w:rStyle w:val="FootnoteReference"/>
        </w:rPr>
        <w:footnoteReference w:id="2"/>
      </w:r>
      <w:r>
        <w:t xml:space="preserve">. </w:t>
      </w:r>
    </w:p>
    <w:p w14:paraId="08852743" w14:textId="4500290C" w:rsidR="00EC238F" w:rsidRPr="000F389B" w:rsidRDefault="00682ED8" w:rsidP="00EC238F">
      <w:r>
        <w:t>The VIT ha</w:t>
      </w:r>
      <w:r w:rsidR="00EE2986">
        <w:t>d</w:t>
      </w:r>
      <w:r>
        <w:t xml:space="preserve"> e</w:t>
      </w:r>
      <w:r w:rsidR="00EC238F">
        <w:t xml:space="preserve">stablished systems, processes and advice </w:t>
      </w:r>
      <w:r w:rsidR="00A8743E">
        <w:t xml:space="preserve">to support teachers to comply with </w:t>
      </w:r>
      <w:r w:rsidR="00EC238F">
        <w:t>registration</w:t>
      </w:r>
      <w:r w:rsidR="00A8743E" w:rsidRPr="00A8743E">
        <w:t xml:space="preserve"> </w:t>
      </w:r>
      <w:r w:rsidR="00A8743E">
        <w:t>requirements</w:t>
      </w:r>
      <w:r w:rsidR="00EC238F">
        <w:t xml:space="preserve">. </w:t>
      </w:r>
      <w:r w:rsidR="00EE2986">
        <w:t xml:space="preserve">The VIT provided timely registration advice to teachers through the online portal, </w:t>
      </w:r>
      <w:proofErr w:type="spellStart"/>
      <w:r w:rsidR="00EE2986">
        <w:t>MyVIT</w:t>
      </w:r>
      <w:proofErr w:type="spellEnd"/>
      <w:r w:rsidR="00EE2986">
        <w:t xml:space="preserve">, including the ability to track registration status. </w:t>
      </w:r>
      <w:r w:rsidR="00EC238F">
        <w:t xml:space="preserve">The VIT established partnerships with co-regulators to understand other compliance requirements for teachers and ensure timely requests for information. </w:t>
      </w:r>
    </w:p>
    <w:p w14:paraId="773FEF7B" w14:textId="51F53885" w:rsidR="00EC238F" w:rsidRDefault="00EC238F" w:rsidP="00EC238F">
      <w:r>
        <w:t xml:space="preserve">The VIT worked towards improved e-capability, including managing data online. </w:t>
      </w:r>
      <w:r w:rsidR="00EE2986">
        <w:t xml:space="preserve">The </w:t>
      </w:r>
      <w:r w:rsidR="00253237">
        <w:t>paper</w:t>
      </w:r>
      <w:r w:rsidR="006F2E93">
        <w:t>-</w:t>
      </w:r>
      <w:r w:rsidR="00253237">
        <w:t xml:space="preserve">based </w:t>
      </w:r>
      <w:r>
        <w:t>Permission to Teach registration</w:t>
      </w:r>
      <w:r w:rsidR="00253237">
        <w:t xml:space="preserve"> process</w:t>
      </w:r>
      <w:r>
        <w:t xml:space="preserve"> </w:t>
      </w:r>
      <w:r w:rsidR="00253237">
        <w:t>will</w:t>
      </w:r>
      <w:r w:rsidR="00EE2986">
        <w:t xml:space="preserve"> be transferred to </w:t>
      </w:r>
      <w:r w:rsidR="00682ED8">
        <w:t>an</w:t>
      </w:r>
      <w:r>
        <w:t xml:space="preserve"> online IT system by 2020-21.</w:t>
      </w:r>
    </w:p>
    <w:p w14:paraId="2830E1E9" w14:textId="05B63550" w:rsidR="0095632C" w:rsidRPr="004D13D2" w:rsidRDefault="0095632C" w:rsidP="002F43B7">
      <w:pPr>
        <w:pStyle w:val="Heading3"/>
      </w:pPr>
      <w:r w:rsidRPr="004D13D2">
        <w:t>Overall comment</w:t>
      </w:r>
    </w:p>
    <w:p w14:paraId="584758D9" w14:textId="2719802D" w:rsidR="00EC238F" w:rsidRDefault="00EC238F" w:rsidP="00EC238F">
      <w:r>
        <w:t>The VIT</w:t>
      </w:r>
      <w:r w:rsidRPr="004D13D2">
        <w:t xml:space="preserve"> performed </w:t>
      </w:r>
      <w:r>
        <w:t>well</w:t>
      </w:r>
      <w:r w:rsidRPr="004D13D2">
        <w:t xml:space="preserve"> in timeliness, </w:t>
      </w:r>
      <w:r>
        <w:t xml:space="preserve">ranging from a strong performance in the timeliness of approval and decision processes to delays in responding to issues. Key risks affecting performance included a lack of investment in IT and customer service. Proactive data analysis could support improved timeliness. The VIT maintained a </w:t>
      </w:r>
      <w:r w:rsidR="00F301B9">
        <w:t>good</w:t>
      </w:r>
      <w:r>
        <w:t xml:space="preserve"> performance in avoiding unnecessary delay costs for teachers.  </w:t>
      </w:r>
    </w:p>
    <w:p w14:paraId="46F8F7CD" w14:textId="77777777" w:rsidR="00EC238F" w:rsidRPr="00082EA5" w:rsidRDefault="00EC238F" w:rsidP="002F43B7"/>
    <w:bookmarkEnd w:id="63"/>
    <w:p w14:paraId="77DC7A33" w14:textId="77777777" w:rsidR="00645869" w:rsidRDefault="00645869" w:rsidP="00424225">
      <w:pPr>
        <w:rPr>
          <w:szCs w:val="24"/>
        </w:rPr>
        <w:sectPr w:rsidR="00645869" w:rsidSect="00645869">
          <w:pgSz w:w="11906" w:h="16838"/>
          <w:pgMar w:top="1440" w:right="1440" w:bottom="1440" w:left="1440" w:header="709" w:footer="709" w:gutter="0"/>
          <w:cols w:space="708"/>
          <w:docGrid w:linePitch="360"/>
        </w:sectPr>
      </w:pPr>
    </w:p>
    <w:p w14:paraId="33988B6D" w14:textId="53EA79ED" w:rsidR="00747D58" w:rsidRDefault="007F15B5" w:rsidP="002F43B7">
      <w:pPr>
        <w:pStyle w:val="Heading2"/>
      </w:pPr>
      <w:bookmarkStart w:id="72" w:name="_Toc48559340"/>
      <w:r>
        <w:rPr>
          <w:caps/>
        </w:rPr>
        <w:lastRenderedPageBreak/>
        <w:t>TEACHER QUALITY AND EDUCATION</w:t>
      </w:r>
      <w:r>
        <w:t xml:space="preserve"> </w:t>
      </w:r>
      <w:r w:rsidR="00622BF4">
        <w:t>–</w:t>
      </w:r>
      <w:r>
        <w:t xml:space="preserve"> </w:t>
      </w:r>
      <w:r w:rsidR="005B3E13">
        <w:t xml:space="preserve">RISK-BASED STRATEGIES </w:t>
      </w:r>
      <w:r w:rsidR="00EC61C1">
        <w:t>DATA</w:t>
      </w:r>
      <w:bookmarkEnd w:id="72"/>
      <w:r w:rsidR="00EC61C1">
        <w:t xml:space="preserve"> </w:t>
      </w:r>
      <w:r w:rsidR="005B3E13">
        <w:rPr>
          <w:caps/>
        </w:rPr>
        <w:t xml:space="preserve"> </w:t>
      </w:r>
    </w:p>
    <w:p w14:paraId="7E299748" w14:textId="0054F80C" w:rsidR="00747D58" w:rsidRDefault="0087530A" w:rsidP="00747D58">
      <w:r>
        <w:t xml:space="preserve">The data below </w:t>
      </w:r>
      <w:r w:rsidR="00DE311B">
        <w:t xml:space="preserve">addressed </w:t>
      </w:r>
      <w:r>
        <w:t xml:space="preserve">the mandatory element of good regulatory practice ‘risk-based strategies’ in the SOE Framework. Risk-based strategies in this context </w:t>
      </w:r>
      <w:r w:rsidR="008B38E9">
        <w:t xml:space="preserve">referred </w:t>
      </w:r>
      <w:r>
        <w:t xml:space="preserve">to </w:t>
      </w:r>
      <w:r w:rsidR="00747D58">
        <w:t>improv</w:t>
      </w:r>
      <w:r>
        <w:t>ing</w:t>
      </w:r>
      <w:r w:rsidR="00747D58">
        <w:t xml:space="preserve"> regulatory outcomes by strategically focusing on activities where the risks are greatest. </w:t>
      </w:r>
      <w:r w:rsidR="00682ED8">
        <w:t>T</w:t>
      </w:r>
      <w:r w:rsidR="00CB5C06">
        <w:t xml:space="preserve">he VIT committed to </w:t>
      </w:r>
      <w:r w:rsidR="00682ED8">
        <w:t xml:space="preserve">the following </w:t>
      </w:r>
      <w:r w:rsidR="00CB5C06">
        <w:t xml:space="preserve">activities to </w:t>
      </w:r>
      <w:r w:rsidR="00682ED8">
        <w:t xml:space="preserve">meet the Minister’s expectation to </w:t>
      </w:r>
      <w:r w:rsidR="00CB5C06">
        <w:t xml:space="preserve">improve teacher quality and education. </w:t>
      </w:r>
    </w:p>
    <w:p w14:paraId="56BC9A62" w14:textId="1DF74365" w:rsidR="00AB5749" w:rsidRDefault="00AB5749" w:rsidP="00AB5749">
      <w:pPr>
        <w:pStyle w:val="Heading3"/>
      </w:pPr>
      <w:r>
        <w:t xml:space="preserve">Expectation </w:t>
      </w:r>
    </w:p>
    <w:p w14:paraId="5352F0E1" w14:textId="77777777" w:rsidR="00AB5749" w:rsidRDefault="00AB5749" w:rsidP="00AB5749">
      <w:r>
        <w:t xml:space="preserve">Continuing to improve teacher quality and education, and risk identification and compliance. </w:t>
      </w:r>
    </w:p>
    <w:p w14:paraId="1A7DAC7A" w14:textId="77777777" w:rsidR="00AB5749" w:rsidRDefault="00AB5749" w:rsidP="00AB5749">
      <w:r>
        <w:t>Recommendation 22 of the VIT Review – Expand future-focused research activity, including through facilitating and fostering stronger feedback loops between ITE providers and employers.</w:t>
      </w:r>
    </w:p>
    <w:p w14:paraId="791CCA58" w14:textId="77777777" w:rsidR="00AB5749" w:rsidRDefault="00AB5749" w:rsidP="00AB5749">
      <w:r>
        <w:t>Improving the efficiency and effectiveness of the VIT’s processes through the development of a set of regulatory principles applying to all functions and activities, and the adoption of contemporary, aligned regulatory policies and governance models.</w:t>
      </w:r>
    </w:p>
    <w:p w14:paraId="658A72B2" w14:textId="77777777" w:rsidR="00AB5749" w:rsidRDefault="00AB5749" w:rsidP="00AB5749">
      <w:r>
        <w:t xml:space="preserve">Recommendation 19 of the VIT Review – The VIT leverage its data to better inform and draw out intelligence about where areas of regulatory risk exist in teacher regulation, including through establishing partnerships with research and/or tertiary institutes. </w:t>
      </w:r>
    </w:p>
    <w:p w14:paraId="0B5EFC6C" w14:textId="77777777" w:rsidR="00AB5749" w:rsidRDefault="00AB5749" w:rsidP="00AB5749">
      <w:r>
        <w:t xml:space="preserve">Recommendation 24 of the VIT Review – Improve the efficiency, consistency and timeliness of enforcement processes by adopting risk-based triage and other processes which ensure reduced duplication of effort, greater streamlining, and improved notifier-experience. </w:t>
      </w:r>
    </w:p>
    <w:p w14:paraId="6CD04220" w14:textId="0D389769" w:rsidR="00AB5749" w:rsidRDefault="00AB5749" w:rsidP="00AB5749">
      <w:r>
        <w:t>Collaborating on the Government’s agenda to make Victoria’s teachers the best in the country, through our continued focus on ensuring excellence in teacher quality, education and practice.</w:t>
      </w:r>
    </w:p>
    <w:p w14:paraId="4F155B41" w14:textId="74AD7618" w:rsidR="00AB5749" w:rsidRPr="00AB5749" w:rsidRDefault="00AB5749" w:rsidP="00AB5749">
      <w:pPr>
        <w:pStyle w:val="Heading3"/>
      </w:pPr>
      <w:r>
        <w:t xml:space="preserve">Response Activity </w:t>
      </w:r>
    </w:p>
    <w:p w14:paraId="44193C15" w14:textId="77777777" w:rsidR="00AB5749" w:rsidRDefault="00AB5749" w:rsidP="00AB5749">
      <w:r>
        <w:t>To support high quality education the VIT will:</w:t>
      </w:r>
    </w:p>
    <w:p w14:paraId="1722CF4B" w14:textId="5106A8FE" w:rsidR="00AB5749" w:rsidRDefault="00AB5749" w:rsidP="00AB5749">
      <w:pPr>
        <w:pStyle w:val="Bullet1"/>
      </w:pPr>
      <w:r>
        <w:t>collaborate with the Department and ITE providers to implement the Victorian Selection Framework</w:t>
      </w:r>
    </w:p>
    <w:p w14:paraId="2D7725AC" w14:textId="678538F1" w:rsidR="00AB5749" w:rsidRDefault="00AB5749" w:rsidP="00AB5749">
      <w:pPr>
        <w:pStyle w:val="Bullet1"/>
      </w:pPr>
      <w:r>
        <w:t>undertake reform in the area of ITE programs to improve teacher quality</w:t>
      </w:r>
    </w:p>
    <w:p w14:paraId="4EECFE84" w14:textId="2FBC04BC" w:rsidR="00AB5749" w:rsidRDefault="00AB5749" w:rsidP="00AB5749">
      <w:pPr>
        <w:pStyle w:val="Bullet1"/>
      </w:pPr>
      <w:r>
        <w:t>work with the Department to deliver an effective mentoring program for early career teachers, including those in the Early Childhood sector</w:t>
      </w:r>
    </w:p>
    <w:p w14:paraId="74ECEF48" w14:textId="5508E70B" w:rsidR="00AB5749" w:rsidRDefault="00AB5749" w:rsidP="00AB5749">
      <w:pPr>
        <w:pStyle w:val="Bullet1"/>
      </w:pPr>
      <w:r>
        <w:t>support Early Childhood teachers</w:t>
      </w:r>
    </w:p>
    <w:p w14:paraId="40A49B7C" w14:textId="44FEAEFC" w:rsidR="00AB5749" w:rsidRDefault="00AB5749" w:rsidP="00AB5749">
      <w:pPr>
        <w:pStyle w:val="Bullet1"/>
      </w:pPr>
      <w:r>
        <w:t>support teachers to participate in professional learning to address children with Special Needs.</w:t>
      </w:r>
    </w:p>
    <w:p w14:paraId="05EDC77B" w14:textId="77777777" w:rsidR="00AB5749" w:rsidRDefault="00AB5749" w:rsidP="00AB5749">
      <w:r>
        <w:t>In response to the Minister’s expectation to improve teacher quality the VIT will:</w:t>
      </w:r>
    </w:p>
    <w:p w14:paraId="0E0A6E96" w14:textId="33FAF9CD" w:rsidR="00AB5749" w:rsidRDefault="00AB5749" w:rsidP="00AB5749">
      <w:pPr>
        <w:pStyle w:val="Bullet1"/>
      </w:pPr>
      <w:r>
        <w:t xml:space="preserve">develop close partnerships with ITE providers to improve teacher quality, and develop an ITE engagement plan </w:t>
      </w:r>
    </w:p>
    <w:p w14:paraId="41412D1C" w14:textId="520E1EA6" w:rsidR="00AB5749" w:rsidRDefault="00AB5749" w:rsidP="00AB5749">
      <w:pPr>
        <w:pStyle w:val="Bullet1"/>
      </w:pPr>
      <w:r>
        <w:t xml:space="preserve">adapt regulatory approach to support teachers and employers to comply with policy </w:t>
      </w:r>
    </w:p>
    <w:p w14:paraId="7C6C62FC" w14:textId="4D05F875" w:rsidR="00AB5749" w:rsidRDefault="00AB5749" w:rsidP="00AB5749">
      <w:pPr>
        <w:pStyle w:val="Bullet1"/>
      </w:pPr>
      <w:r>
        <w:t>review its strategic plan to focus on teacher quality (VIT Council)</w:t>
      </w:r>
    </w:p>
    <w:p w14:paraId="651E5940" w14:textId="6229A2A0" w:rsidR="00AB5749" w:rsidRDefault="00AB5749" w:rsidP="00AB5749">
      <w:pPr>
        <w:pStyle w:val="Bullet1"/>
      </w:pPr>
      <w:r>
        <w:t xml:space="preserve">engage a Principal Practitioner. </w:t>
      </w:r>
    </w:p>
    <w:p w14:paraId="5852E841" w14:textId="77777777" w:rsidR="00AB5749" w:rsidRDefault="00AB5749" w:rsidP="00AB5749">
      <w:r>
        <w:t>To support effective regulation the VIT will:</w:t>
      </w:r>
    </w:p>
    <w:p w14:paraId="7FA4F70D" w14:textId="1CB8A832" w:rsidR="00AB5749" w:rsidRDefault="00AB5749" w:rsidP="00AB5749">
      <w:pPr>
        <w:pStyle w:val="Bullet1"/>
      </w:pPr>
      <w:r>
        <w:lastRenderedPageBreak/>
        <w:t>review its regulatory framework and tools to promote the best interests of children</w:t>
      </w:r>
    </w:p>
    <w:p w14:paraId="76A6AE12" w14:textId="2E9362E6" w:rsidR="00AB5749" w:rsidRDefault="00AB5749" w:rsidP="00AB5749">
      <w:pPr>
        <w:pStyle w:val="Bullet1"/>
      </w:pPr>
      <w:r>
        <w:t>work with the Department and co-regulators to form a community of practice and adopt strategies to ensure suitable persons are registered as teachers.</w:t>
      </w:r>
    </w:p>
    <w:p w14:paraId="7370EE95" w14:textId="77777777" w:rsidR="00AB5749" w:rsidRDefault="00AB5749" w:rsidP="00AB5749">
      <w:r>
        <w:t>In response to the Minister’s expectation to improve the efficiency of processes, the VIT will:</w:t>
      </w:r>
    </w:p>
    <w:p w14:paraId="4E7DC8AF" w14:textId="55133E32" w:rsidR="00AB5749" w:rsidRDefault="00AB5749" w:rsidP="00AB5749">
      <w:pPr>
        <w:pStyle w:val="Bullet1"/>
      </w:pPr>
      <w:r>
        <w:t xml:space="preserve">update risk-based policies and regulatory frameworks </w:t>
      </w:r>
    </w:p>
    <w:p w14:paraId="1B2FA81E" w14:textId="5E45E59B" w:rsidR="00AB5749" w:rsidRDefault="00AB5749" w:rsidP="00AB5749">
      <w:pPr>
        <w:pStyle w:val="Bullet1"/>
      </w:pPr>
      <w:r>
        <w:t>adopt best practice in business systems to support compliance and reduction in regulatory burden.</w:t>
      </w:r>
    </w:p>
    <w:p w14:paraId="3A8660F2" w14:textId="593F83BB" w:rsidR="00AB5749" w:rsidRDefault="00AB5749" w:rsidP="00AB5749">
      <w:pPr>
        <w:pStyle w:val="Heading3"/>
      </w:pPr>
      <w:r>
        <w:t xml:space="preserve">Outcome </w:t>
      </w:r>
    </w:p>
    <w:p w14:paraId="6C7B47C4" w14:textId="77777777" w:rsidR="00AB5749" w:rsidRDefault="00AB5749" w:rsidP="00AB5749">
      <w:r>
        <w:t>Improved compliance against teacher standards</w:t>
      </w:r>
    </w:p>
    <w:p w14:paraId="69BD0CF6" w14:textId="77777777" w:rsidR="00AB5749" w:rsidRDefault="00AB5749" w:rsidP="00AB5749">
      <w:r>
        <w:t>Improved teacher quality</w:t>
      </w:r>
    </w:p>
    <w:p w14:paraId="2A933BC4" w14:textId="31AB343F" w:rsidR="00AB5749" w:rsidRDefault="00AB5749" w:rsidP="00AB5749">
      <w:r>
        <w:t>Reduced teacher misconduct (especially child safety)</w:t>
      </w:r>
    </w:p>
    <w:p w14:paraId="100032ED" w14:textId="649B1046" w:rsidR="00733108" w:rsidRDefault="00733108" w:rsidP="00733108">
      <w:pPr>
        <w:pStyle w:val="Heading3"/>
      </w:pPr>
      <w:r>
        <w:t xml:space="preserve">Measure </w:t>
      </w:r>
    </w:p>
    <w:p w14:paraId="2BCC2865" w14:textId="5CEE24B3" w:rsidR="00733108" w:rsidRDefault="00733108" w:rsidP="00733108">
      <w:r w:rsidRPr="00733108">
        <w:t>Compliance with special needs requirements</w:t>
      </w:r>
    </w:p>
    <w:p w14:paraId="3702C2BE" w14:textId="570DAC2B" w:rsidR="00733108" w:rsidRDefault="00733108" w:rsidP="00733108">
      <w:pPr>
        <w:pStyle w:val="Heading3"/>
      </w:pPr>
      <w:r>
        <w:t>Result 2018-20</w:t>
      </w:r>
    </w:p>
    <w:p w14:paraId="753A086F" w14:textId="77777777" w:rsidR="00733108" w:rsidRDefault="00733108" w:rsidP="00733108">
      <w:r>
        <w:t>100% (2018)</w:t>
      </w:r>
    </w:p>
    <w:p w14:paraId="4E627B77" w14:textId="77777777" w:rsidR="00733108" w:rsidRDefault="00733108" w:rsidP="00733108">
      <w:r>
        <w:t>100% (2019)</w:t>
      </w:r>
    </w:p>
    <w:p w14:paraId="0DB8876A" w14:textId="443C346A" w:rsidR="00733108" w:rsidRDefault="00733108" w:rsidP="00733108">
      <w:r>
        <w:t>All university degrees require compliance with special needs, therefore the sector is compliant</w:t>
      </w:r>
    </w:p>
    <w:p w14:paraId="54B39854" w14:textId="0CE656B0" w:rsidR="001F5608" w:rsidRDefault="001F5608" w:rsidP="001F5608">
      <w:pPr>
        <w:pStyle w:val="Heading3"/>
      </w:pPr>
      <w:r>
        <w:t>Measure</w:t>
      </w:r>
    </w:p>
    <w:p w14:paraId="7B984E43" w14:textId="1A5CC132" w:rsidR="001F5608" w:rsidRDefault="001F5608" w:rsidP="00733108">
      <w:r w:rsidRPr="001F5608">
        <w:t>Tertiary selection requirements met by ITE providers (ATAR 70 and other non-academic attributes)</w:t>
      </w:r>
    </w:p>
    <w:p w14:paraId="736C56F4" w14:textId="67B1C20A" w:rsidR="001F5608" w:rsidRDefault="001F5608" w:rsidP="001F5608">
      <w:pPr>
        <w:pStyle w:val="Heading3"/>
      </w:pPr>
      <w:r>
        <w:t>Result 2018-20</w:t>
      </w:r>
    </w:p>
    <w:p w14:paraId="4B0652F1" w14:textId="77777777" w:rsidR="001F5608" w:rsidRDefault="001F5608" w:rsidP="001F5608">
      <w:r>
        <w:t>Data is unavailable for 2018.</w:t>
      </w:r>
    </w:p>
    <w:p w14:paraId="4CA8C463" w14:textId="77777777" w:rsidR="001F5608" w:rsidRDefault="001F5608" w:rsidP="001F5608">
      <w:r>
        <w:t>100% (2019)</w:t>
      </w:r>
    </w:p>
    <w:p w14:paraId="296DE768" w14:textId="10F364C2" w:rsidR="001F5608" w:rsidRDefault="001F5608" w:rsidP="001F5608">
      <w:r>
        <w:t>All university degrees require an ATAR of 70, therefore the sector is compliant</w:t>
      </w:r>
    </w:p>
    <w:p w14:paraId="77B2A6A9" w14:textId="77777777" w:rsidR="001F5608" w:rsidRDefault="001F5608" w:rsidP="001F5608">
      <w:pPr>
        <w:pStyle w:val="Heading3"/>
      </w:pPr>
      <w:r>
        <w:t>Measure</w:t>
      </w:r>
    </w:p>
    <w:p w14:paraId="646D16A7" w14:textId="63C3CA6D" w:rsidR="001F5608" w:rsidRDefault="001F5608" w:rsidP="001F5608">
      <w:r w:rsidRPr="00EF2294">
        <w:t>Number of approved Victorian ITE programs</w:t>
      </w:r>
    </w:p>
    <w:p w14:paraId="62F74B8D" w14:textId="77777777" w:rsidR="001F5608" w:rsidRDefault="001F5608" w:rsidP="001F5608">
      <w:pPr>
        <w:pStyle w:val="Heading3"/>
      </w:pPr>
      <w:r>
        <w:t>Result 2018-20</w:t>
      </w:r>
    </w:p>
    <w:p w14:paraId="1B5EFACF" w14:textId="77777777" w:rsidR="001F5608" w:rsidRDefault="001F5608" w:rsidP="001F5608">
      <w:r>
        <w:t xml:space="preserve">Data for 2018 is unavailable. </w:t>
      </w:r>
    </w:p>
    <w:p w14:paraId="6939A18B" w14:textId="04B910FC" w:rsidR="001F5608" w:rsidRDefault="001F5608" w:rsidP="001F5608">
      <w:r>
        <w:t>89 (2019)</w:t>
      </w:r>
    </w:p>
    <w:p w14:paraId="67037BD4" w14:textId="77777777" w:rsidR="001F5608" w:rsidRDefault="001F5608" w:rsidP="001F5608">
      <w:pPr>
        <w:pStyle w:val="Heading3"/>
      </w:pPr>
      <w:r>
        <w:t>Measure</w:t>
      </w:r>
    </w:p>
    <w:p w14:paraId="4ACD400E" w14:textId="1424D5F1" w:rsidR="001F5608" w:rsidRDefault="001F5608" w:rsidP="001F5608">
      <w:r w:rsidRPr="001F5608">
        <w:t>Compliance with the “Accreditation of Initial Teacher Education Programs in Australia, Standards and Procedures” (including any Victorian overlays)</w:t>
      </w:r>
    </w:p>
    <w:p w14:paraId="55F3B31B" w14:textId="77777777" w:rsidR="001F5608" w:rsidRDefault="001F5608" w:rsidP="001F5608">
      <w:pPr>
        <w:pStyle w:val="Heading3"/>
      </w:pPr>
      <w:r>
        <w:t>Result 2018-20</w:t>
      </w:r>
    </w:p>
    <w:p w14:paraId="173AE61C" w14:textId="77777777" w:rsidR="001F5608" w:rsidRDefault="001F5608" w:rsidP="001F5608">
      <w:r>
        <w:t>100% (2018)</w:t>
      </w:r>
    </w:p>
    <w:p w14:paraId="499A88C7" w14:textId="77777777" w:rsidR="001F5608" w:rsidRDefault="001F5608" w:rsidP="001F5608">
      <w:r>
        <w:t>100% (2019)</w:t>
      </w:r>
    </w:p>
    <w:p w14:paraId="68BAD757" w14:textId="6FC0A14C" w:rsidR="001F5608" w:rsidRDefault="001F5608" w:rsidP="001F5608">
      <w:r>
        <w:lastRenderedPageBreak/>
        <w:t>All university degrees require compliance accreditation of ITE, therefore the sector is compliant</w:t>
      </w:r>
    </w:p>
    <w:p w14:paraId="16D2F042" w14:textId="77777777" w:rsidR="00962B17" w:rsidRDefault="00962B17" w:rsidP="00962B17">
      <w:pPr>
        <w:pStyle w:val="Heading3"/>
      </w:pPr>
      <w:r>
        <w:t>Measure</w:t>
      </w:r>
    </w:p>
    <w:p w14:paraId="4BF8DF04" w14:textId="2994C534" w:rsidR="001F5608" w:rsidRDefault="00962B17" w:rsidP="001F5608">
      <w:r w:rsidRPr="00962B17">
        <w:t>% of provisional teachers registered in the past 5 years meeting Australian Professional Standards for Teachers (APST) and moving to (full) registration within a given timeframe</w:t>
      </w:r>
    </w:p>
    <w:p w14:paraId="0D60CA7D" w14:textId="77777777" w:rsidR="00962B17" w:rsidRDefault="00962B17" w:rsidP="00962B17">
      <w:pPr>
        <w:pStyle w:val="Heading3"/>
      </w:pPr>
      <w:r>
        <w:t>Result 2018-20</w:t>
      </w:r>
    </w:p>
    <w:p w14:paraId="2BE2E6BF" w14:textId="77777777" w:rsidR="00962B17" w:rsidRDefault="00962B17" w:rsidP="00962B17">
      <w:r>
        <w:t>Data is unavailable for 2018-19 and 2019-20.</w:t>
      </w:r>
    </w:p>
    <w:p w14:paraId="0EC88C33" w14:textId="4451E4AE" w:rsidR="005057BE" w:rsidRPr="00962B17" w:rsidRDefault="00962B17" w:rsidP="00962B17">
      <w:r>
        <w:t>The VIT is upgrading IT systems and is unable to report on cohort data until all teachers are in the new system.</w:t>
      </w:r>
    </w:p>
    <w:p w14:paraId="05ACF0B3" w14:textId="3D332FF1" w:rsidR="00A113FA" w:rsidRDefault="00A113FA" w:rsidP="00A113FA">
      <w:pPr>
        <w:rPr>
          <w:rFonts w:eastAsiaTheme="majorEastAsia" w:cstheme="majorBidi"/>
          <w:b/>
          <w:caps/>
          <w:color w:val="C00000"/>
          <w:sz w:val="26"/>
          <w:szCs w:val="26"/>
          <w:highlight w:val="yellow"/>
        </w:rPr>
      </w:pPr>
    </w:p>
    <w:p w14:paraId="11469FE7" w14:textId="77777777" w:rsidR="00645869" w:rsidRDefault="00645869" w:rsidP="00A113FA">
      <w:pPr>
        <w:rPr>
          <w:rFonts w:eastAsiaTheme="majorEastAsia" w:cstheme="majorBidi"/>
          <w:b/>
          <w:caps/>
          <w:color w:val="C00000"/>
          <w:sz w:val="26"/>
          <w:szCs w:val="26"/>
          <w:highlight w:val="yellow"/>
        </w:rPr>
        <w:sectPr w:rsidR="00645869" w:rsidSect="00433AB9">
          <w:pgSz w:w="11906" w:h="16838"/>
          <w:pgMar w:top="1440" w:right="1440" w:bottom="1440" w:left="1440" w:header="709" w:footer="709" w:gutter="0"/>
          <w:cols w:space="708"/>
          <w:docGrid w:linePitch="360"/>
        </w:sectPr>
      </w:pPr>
    </w:p>
    <w:p w14:paraId="06727A65" w14:textId="156D9C1C" w:rsidR="00A113FA" w:rsidRDefault="00946C92" w:rsidP="00FB577C">
      <w:pPr>
        <w:pStyle w:val="Heading3"/>
      </w:pPr>
      <w:r w:rsidRPr="00EA4B47">
        <w:lastRenderedPageBreak/>
        <w:t>KEY FINDINGS</w:t>
      </w:r>
      <w:r>
        <w:t xml:space="preserve"> FOR RISK-BASED STRATEGIES OF TEACHER QUALITY AND EDUCATION</w:t>
      </w:r>
    </w:p>
    <w:p w14:paraId="290A90D3" w14:textId="77777777" w:rsidR="00802822" w:rsidRPr="009062CF" w:rsidRDefault="00802822" w:rsidP="002F43B7"/>
    <w:p w14:paraId="70CE2DA2" w14:textId="77777777" w:rsidR="00A113FA" w:rsidRPr="00B6121A" w:rsidRDefault="00A113FA" w:rsidP="002F43B7">
      <w:pPr>
        <w:pStyle w:val="Heading3"/>
      </w:pPr>
      <w:r w:rsidRPr="00B6121A">
        <w:t>Achievement of Minister’s expectations</w:t>
      </w:r>
    </w:p>
    <w:p w14:paraId="30B9A1DA" w14:textId="778B56BD" w:rsidR="00A113FA" w:rsidRDefault="000A58C8" w:rsidP="005B3E13">
      <w:r w:rsidRPr="00CD2F9C">
        <w:t xml:space="preserve">The </w:t>
      </w:r>
      <w:r w:rsidR="0000470C" w:rsidRPr="00CD2F9C">
        <w:t>VIT</w:t>
      </w:r>
      <w:r w:rsidR="00A113FA" w:rsidRPr="00CD2F9C">
        <w:t xml:space="preserve"> applied best endeavours to meet the Minister’s expectation to </w:t>
      </w:r>
      <w:r w:rsidR="00CD2F9C" w:rsidRPr="002F43B7">
        <w:t xml:space="preserve">apply a risk-based approach to </w:t>
      </w:r>
      <w:r w:rsidR="00CD2F9C">
        <w:t xml:space="preserve">regulating </w:t>
      </w:r>
      <w:r w:rsidR="00CD2F9C" w:rsidRPr="002F43B7">
        <w:t xml:space="preserve">teacher quality and education. </w:t>
      </w:r>
    </w:p>
    <w:p w14:paraId="1BF0AEDB" w14:textId="0CCBF4C5" w:rsidR="00CD2F9C" w:rsidRDefault="00C57DD2" w:rsidP="005B3E13">
      <w:r>
        <w:t>A</w:t>
      </w:r>
      <w:r w:rsidR="00CD2F9C">
        <w:t>ll university degrees complied with requirements for teacher education, including entry requirements, supporting students with special needs and accreditation of programs.</w:t>
      </w:r>
    </w:p>
    <w:p w14:paraId="0D177C01" w14:textId="3FFEE318" w:rsidR="00CD2F9C" w:rsidRPr="00B6121A" w:rsidRDefault="00CD2F9C" w:rsidP="002F43B7">
      <w:r>
        <w:t xml:space="preserve">The VIT is </w:t>
      </w:r>
      <w:r w:rsidR="007663F5">
        <w:t>on track to be able to monitor</w:t>
      </w:r>
      <w:r>
        <w:t xml:space="preserve"> the number of provisional teachers that achieve full registration</w:t>
      </w:r>
      <w:r w:rsidR="00F45A66">
        <w:t xml:space="preserve"> through an upgraded IT system</w:t>
      </w:r>
      <w:r>
        <w:t xml:space="preserve">. </w:t>
      </w:r>
    </w:p>
    <w:p w14:paraId="437CFF94" w14:textId="698F8B5B" w:rsidR="00A113FA" w:rsidRPr="00023B0A" w:rsidRDefault="00A113FA" w:rsidP="002F43B7">
      <w:pPr>
        <w:pStyle w:val="Heading3"/>
      </w:pPr>
      <w:r w:rsidRPr="00023B0A">
        <w:t xml:space="preserve">Achievement of standards set out in the </w:t>
      </w:r>
      <w:r w:rsidR="00EF52A5">
        <w:t>SOE</w:t>
      </w:r>
      <w:r w:rsidRPr="00023B0A">
        <w:t xml:space="preserve"> Framework </w:t>
      </w:r>
    </w:p>
    <w:p w14:paraId="77DD9239" w14:textId="77777777" w:rsidR="00EC4C7F" w:rsidRDefault="00FD0084" w:rsidP="000D1F8D">
      <w:r>
        <w:t xml:space="preserve">The VIT fulfilled all minimum and best practice standards of the SOE Framework. </w:t>
      </w:r>
    </w:p>
    <w:p w14:paraId="21B8B7C2" w14:textId="67DFDDB4" w:rsidR="000D1F8D" w:rsidRDefault="002C00D9" w:rsidP="000D1F8D">
      <w:r>
        <w:t>The VIT collected c</w:t>
      </w:r>
      <w:r w:rsidR="00EC4C7F">
        <w:t xml:space="preserve">omprehensive </w:t>
      </w:r>
      <w:r w:rsidR="00FD0084">
        <w:t xml:space="preserve">data to </w:t>
      </w:r>
      <w:r w:rsidR="00EC4C7F">
        <w:t>track compliance history</w:t>
      </w:r>
      <w:r w:rsidR="00FE42A6">
        <w:t xml:space="preserve"> and develop a risk profile for teachers, with enforcement action tailored to the risk profile.</w:t>
      </w:r>
      <w:r w:rsidR="00EC4C7F">
        <w:t xml:space="preserve"> </w:t>
      </w:r>
      <w:r w:rsidR="00253237">
        <w:t>The VIT assessed and prioritised i</w:t>
      </w:r>
      <w:r w:rsidR="0030737F">
        <w:t>ncidents and complaints according to the highest risk, guided by the Risk Management Framework.</w:t>
      </w:r>
      <w:r w:rsidR="005A6054">
        <w:t xml:space="preserve"> Targeted audits and data analysis supported risk mitigation. </w:t>
      </w:r>
    </w:p>
    <w:p w14:paraId="08EF3818" w14:textId="192D0AFE" w:rsidR="00FD0084" w:rsidRDefault="00C57DD2" w:rsidP="000D1F8D">
      <w:r>
        <w:t>A</w:t>
      </w:r>
      <w:r w:rsidR="00FD0084">
        <w:t xml:space="preserve"> consistent and documented approach</w:t>
      </w:r>
      <w:r>
        <w:t xml:space="preserve"> was applied</w:t>
      </w:r>
      <w:r w:rsidR="00FD0084">
        <w:t xml:space="preserve"> to risk management</w:t>
      </w:r>
      <w:r w:rsidR="005A6054">
        <w:t xml:space="preserve">, setting requirements for teacher registration in line with the </w:t>
      </w:r>
      <w:r w:rsidR="007A4174">
        <w:t>APST</w:t>
      </w:r>
      <w:r w:rsidR="005A6054">
        <w:t xml:space="preserve">. </w:t>
      </w:r>
    </w:p>
    <w:p w14:paraId="1167F3BD" w14:textId="01E9CAE4" w:rsidR="00EC4C7F" w:rsidRDefault="007A15CC" w:rsidP="002F43B7">
      <w:r>
        <w:t>T</w:t>
      </w:r>
      <w:r w:rsidR="0030737F">
        <w:t>he VIT applied a t</w:t>
      </w:r>
      <w:r w:rsidR="00EC4C7F">
        <w:t xml:space="preserve">ransparent approach to regulation, </w:t>
      </w:r>
      <w:r w:rsidR="00EC4C7F" w:rsidRPr="00D7210C">
        <w:t xml:space="preserve">providing </w:t>
      </w:r>
      <w:r>
        <w:t xml:space="preserve">public access to the </w:t>
      </w:r>
      <w:r w:rsidR="00695946">
        <w:t xml:space="preserve">registration details of teachers in the </w:t>
      </w:r>
      <w:r w:rsidR="00EC4C7F">
        <w:t>Register of Teachers and Register of Disciplinary Action</w:t>
      </w:r>
      <w:r w:rsidR="00695946">
        <w:t xml:space="preserve"> on the VIT website</w:t>
      </w:r>
      <w:r w:rsidR="00EC4C7F">
        <w:t>.</w:t>
      </w:r>
    </w:p>
    <w:p w14:paraId="13A0C3BB" w14:textId="77777777" w:rsidR="00A113FA" w:rsidRPr="00BC07D6" w:rsidRDefault="00A113FA" w:rsidP="002F43B7">
      <w:pPr>
        <w:pStyle w:val="Heading3"/>
      </w:pPr>
      <w:r w:rsidRPr="00BC07D6">
        <w:t>Overall comment</w:t>
      </w:r>
    </w:p>
    <w:p w14:paraId="1981AB16" w14:textId="1E47C867" w:rsidR="00A113FA" w:rsidRPr="00FE6217" w:rsidRDefault="009E3113" w:rsidP="002F43B7">
      <w:r>
        <w:t xml:space="preserve">The </w:t>
      </w:r>
      <w:r w:rsidR="00BC07D6" w:rsidRPr="00FE6217">
        <w:t>VIT</w:t>
      </w:r>
      <w:r w:rsidR="00A113FA" w:rsidRPr="00FE6217">
        <w:t xml:space="preserve"> performed strongly in following a risk-based strategy, by having consistent </w:t>
      </w:r>
      <w:r w:rsidR="0076569A" w:rsidRPr="00FE6217">
        <w:t>and transparent standards</w:t>
      </w:r>
      <w:r w:rsidR="00A113FA" w:rsidRPr="00FE6217">
        <w:t xml:space="preserve">, and targeting resources to </w:t>
      </w:r>
      <w:r w:rsidR="00113A41">
        <w:t>support proactively identifying risks</w:t>
      </w:r>
      <w:r w:rsidR="00A113FA" w:rsidRPr="00FE6217">
        <w:t xml:space="preserve">. </w:t>
      </w:r>
      <w:r w:rsidR="00E77619">
        <w:t xml:space="preserve">A key risk </w:t>
      </w:r>
      <w:r w:rsidR="00DF7F15">
        <w:t xml:space="preserve">to the VIT </w:t>
      </w:r>
      <w:r w:rsidR="00E77619">
        <w:t xml:space="preserve">in the short-term </w:t>
      </w:r>
      <w:r w:rsidR="00DF15BE">
        <w:t xml:space="preserve">included the upgrade of IT systems, affecting </w:t>
      </w:r>
      <w:r w:rsidR="00DF7F15">
        <w:t xml:space="preserve">its </w:t>
      </w:r>
      <w:r w:rsidR="00DF15BE">
        <w:t xml:space="preserve">ability to </w:t>
      </w:r>
      <w:r w:rsidR="003A47F6">
        <w:t xml:space="preserve">proactively analyse data and respond to risks. </w:t>
      </w:r>
      <w:r w:rsidR="00DF7F15">
        <w:t>The VIT is</w:t>
      </w:r>
      <w:r w:rsidR="005E297A">
        <w:t xml:space="preserve"> expected </w:t>
      </w:r>
      <w:r w:rsidR="00DF7F15">
        <w:t>to</w:t>
      </w:r>
      <w:r w:rsidR="005E297A">
        <w:t xml:space="preserve"> be more efficient in the long-term </w:t>
      </w:r>
      <w:r w:rsidR="00E77619">
        <w:t>as</w:t>
      </w:r>
      <w:r w:rsidR="005E297A">
        <w:t xml:space="preserve"> the new IT system </w:t>
      </w:r>
      <w:r w:rsidR="00E77619">
        <w:t xml:space="preserve">will </w:t>
      </w:r>
      <w:r w:rsidR="005E297A">
        <w:t>improv</w:t>
      </w:r>
      <w:r w:rsidR="00E77619">
        <w:t>e</w:t>
      </w:r>
      <w:r w:rsidR="005E297A">
        <w:t xml:space="preserve"> capability for data analysis and risk identification</w:t>
      </w:r>
      <w:r w:rsidR="00E64AA8">
        <w:t>, reducing the need for intervention over time</w:t>
      </w:r>
      <w:r w:rsidR="005E297A">
        <w:t xml:space="preserve">. </w:t>
      </w:r>
    </w:p>
    <w:p w14:paraId="7A4962BB" w14:textId="77777777" w:rsidR="00645869" w:rsidRDefault="00645869" w:rsidP="00A113FA">
      <w:pPr>
        <w:sectPr w:rsidR="00645869" w:rsidSect="00645869">
          <w:pgSz w:w="11906" w:h="16838"/>
          <w:pgMar w:top="1440" w:right="1440" w:bottom="1440" w:left="1440" w:header="709" w:footer="709" w:gutter="0"/>
          <w:cols w:space="708"/>
          <w:docGrid w:linePitch="360"/>
        </w:sectPr>
      </w:pPr>
    </w:p>
    <w:p w14:paraId="6916DD74" w14:textId="713282E1" w:rsidR="00917E75" w:rsidRDefault="007F15B5" w:rsidP="00917E75">
      <w:pPr>
        <w:pStyle w:val="Heading2"/>
      </w:pPr>
      <w:bookmarkStart w:id="73" w:name="_Toc38349021"/>
      <w:bookmarkStart w:id="74" w:name="_Toc38349287"/>
      <w:bookmarkStart w:id="75" w:name="_Toc48559341"/>
      <w:bookmarkStart w:id="76" w:name="_Hlk35252134"/>
      <w:r>
        <w:rPr>
          <w:caps/>
        </w:rPr>
        <w:lastRenderedPageBreak/>
        <w:t xml:space="preserve">TEACHER QUALITY AND EDUCATION </w:t>
      </w:r>
      <w:r w:rsidR="00622BF4">
        <w:t>–</w:t>
      </w:r>
      <w:r>
        <w:rPr>
          <w:caps/>
        </w:rPr>
        <w:t xml:space="preserve"> </w:t>
      </w:r>
      <w:r w:rsidR="00917E75">
        <w:rPr>
          <w:caps/>
        </w:rPr>
        <w:t>COMPLIANCE-RELATED ASSISTANCE AND ADVICE</w:t>
      </w:r>
      <w:bookmarkEnd w:id="73"/>
      <w:bookmarkEnd w:id="74"/>
      <w:r w:rsidR="006D2291">
        <w:rPr>
          <w:caps/>
        </w:rPr>
        <w:t xml:space="preserve"> </w:t>
      </w:r>
      <w:r w:rsidR="007E6FCE">
        <w:rPr>
          <w:caps/>
        </w:rPr>
        <w:t>DATA</w:t>
      </w:r>
      <w:bookmarkEnd w:id="75"/>
      <w:r w:rsidR="007E6FCE">
        <w:rPr>
          <w:caps/>
        </w:rPr>
        <w:t xml:space="preserve"> </w:t>
      </w:r>
      <w:r w:rsidR="006D2291">
        <w:rPr>
          <w:caps/>
        </w:rPr>
        <w:t xml:space="preserve"> </w:t>
      </w:r>
    </w:p>
    <w:p w14:paraId="2D3A9ADC" w14:textId="610FAEBD" w:rsidR="00917E75" w:rsidRDefault="005E554B" w:rsidP="00917E75">
      <w:r>
        <w:t xml:space="preserve">The data below </w:t>
      </w:r>
      <w:r w:rsidR="00DE311B">
        <w:t xml:space="preserve">addressed </w:t>
      </w:r>
      <w:r>
        <w:t>the mandatory element of good regulatory practice ‘</w:t>
      </w:r>
      <w:r w:rsidR="00A26547">
        <w:t>compliance-related assistance and advice</w:t>
      </w:r>
      <w:r>
        <w:t xml:space="preserve">’ in the SOE Framework. </w:t>
      </w:r>
      <w:r w:rsidR="00A26547">
        <w:t xml:space="preserve">Compliance-related assistance and advice </w:t>
      </w:r>
      <w:r>
        <w:t xml:space="preserve">in this context </w:t>
      </w:r>
      <w:r w:rsidR="008B38E9">
        <w:t xml:space="preserve">referred </w:t>
      </w:r>
      <w:r>
        <w:t xml:space="preserve">to </w:t>
      </w:r>
      <w:r w:rsidR="00A26547">
        <w:t xml:space="preserve">providing regulated parties with access to effective assistance and advice to support high rates of compliance with regulatory requirements. </w:t>
      </w:r>
      <w:r w:rsidR="002C00D9">
        <w:t>The VIT committed to the following activities t</w:t>
      </w:r>
      <w:r>
        <w:t xml:space="preserve">o meet </w:t>
      </w:r>
      <w:r w:rsidR="002C00D9">
        <w:t xml:space="preserve">the Minister’s </w:t>
      </w:r>
      <w:r>
        <w:t xml:space="preserve">expectation to improve teacher quality and education. </w:t>
      </w:r>
    </w:p>
    <w:p w14:paraId="31AF8617" w14:textId="6432888D" w:rsidR="00705A53" w:rsidRDefault="00705A53" w:rsidP="00705A53">
      <w:pPr>
        <w:pStyle w:val="Heading3"/>
      </w:pPr>
      <w:r>
        <w:t>Expectation</w:t>
      </w:r>
    </w:p>
    <w:p w14:paraId="265ED99F" w14:textId="77777777" w:rsidR="00705A53" w:rsidRDefault="00705A53" w:rsidP="00705A53">
      <w:r>
        <w:t xml:space="preserve">Continuing to improve teacher quality and education, and risk identification and compliance. </w:t>
      </w:r>
    </w:p>
    <w:p w14:paraId="741A8A6A" w14:textId="77777777" w:rsidR="00705A53" w:rsidRDefault="00705A53" w:rsidP="00705A53">
      <w:r>
        <w:t xml:space="preserve">Recommendation 23 of the VIT Review – Undertake a significant shift toward more risk-based, intelligence-led and outcomes-focused regulation in the immediate term to assist in best targeting resources. This should include utilising the full suite of compliance activities and significantly increasing assistance given to teachers to comply with the standards and prevent misconduct. </w:t>
      </w:r>
    </w:p>
    <w:p w14:paraId="7145C5DD" w14:textId="77777777" w:rsidR="00705A53" w:rsidRDefault="00705A53" w:rsidP="00705A53">
      <w:r>
        <w:t xml:space="preserve">Recommendation 25 of the VIT Review – Expand its activities beyond a narrow focus on compliance, towards proactive education of teachers and the community about teacher quality. This includes showcasing leading practice in teacher quality. It should not extend to advocacy and representation of the profession. </w:t>
      </w:r>
    </w:p>
    <w:p w14:paraId="01AD79C5" w14:textId="34A62905" w:rsidR="00705A53" w:rsidRDefault="00705A53" w:rsidP="00705A53">
      <w:r>
        <w:t>The VIT should continue to advise and support the Government’s policy agenda as appropriate, and to play a role in achieving this agenda through the VIT’s regulatory function and by cooperating with my Department and other regulators and departments across jurisdictions and portfolios.</w:t>
      </w:r>
    </w:p>
    <w:p w14:paraId="658084DF" w14:textId="6988D366" w:rsidR="00705A53" w:rsidRDefault="00705A53" w:rsidP="00705A53">
      <w:pPr>
        <w:pStyle w:val="Heading3"/>
      </w:pPr>
      <w:r w:rsidRPr="00705A53">
        <w:t>Response Activity</w:t>
      </w:r>
    </w:p>
    <w:p w14:paraId="1CE88401" w14:textId="77777777" w:rsidR="00705A53" w:rsidRDefault="00705A53" w:rsidP="00705A53">
      <w:r>
        <w:t>To support high quality education the VIT will:</w:t>
      </w:r>
    </w:p>
    <w:p w14:paraId="1F1CCCB8" w14:textId="0CED731F" w:rsidR="00705A53" w:rsidRDefault="00705A53" w:rsidP="00705A53">
      <w:pPr>
        <w:pStyle w:val="ListParagraph"/>
        <w:numPr>
          <w:ilvl w:val="0"/>
          <w:numId w:val="23"/>
        </w:numPr>
      </w:pPr>
      <w:r>
        <w:t>collaborate with the Department and ITE providers to implement the Victorian Selection Framework</w:t>
      </w:r>
    </w:p>
    <w:p w14:paraId="2EE664B8" w14:textId="435B38A9" w:rsidR="00705A53" w:rsidRDefault="00705A53" w:rsidP="00705A53">
      <w:pPr>
        <w:pStyle w:val="ListParagraph"/>
        <w:numPr>
          <w:ilvl w:val="0"/>
          <w:numId w:val="23"/>
        </w:numPr>
      </w:pPr>
      <w:r>
        <w:t>undertake reform in the area of ITE programs to improve teacher quality</w:t>
      </w:r>
    </w:p>
    <w:p w14:paraId="57B2B152" w14:textId="27CC871F" w:rsidR="00705A53" w:rsidRDefault="00705A53" w:rsidP="00705A53">
      <w:pPr>
        <w:pStyle w:val="ListParagraph"/>
        <w:numPr>
          <w:ilvl w:val="0"/>
          <w:numId w:val="23"/>
        </w:numPr>
      </w:pPr>
      <w:r>
        <w:t>work with the Department to deliver the effective mentoring program for early career teachers, including those in the Early Childhood sector</w:t>
      </w:r>
    </w:p>
    <w:p w14:paraId="7D4985C1" w14:textId="01251D85" w:rsidR="00705A53" w:rsidRDefault="00705A53" w:rsidP="00705A53">
      <w:pPr>
        <w:pStyle w:val="ListParagraph"/>
        <w:numPr>
          <w:ilvl w:val="0"/>
          <w:numId w:val="23"/>
        </w:numPr>
      </w:pPr>
      <w:r>
        <w:t>support Early Childhood teachers</w:t>
      </w:r>
    </w:p>
    <w:p w14:paraId="089D3DB2" w14:textId="3B679737" w:rsidR="00705A53" w:rsidRDefault="00705A53" w:rsidP="00705A53">
      <w:pPr>
        <w:pStyle w:val="ListParagraph"/>
        <w:numPr>
          <w:ilvl w:val="0"/>
          <w:numId w:val="23"/>
        </w:numPr>
      </w:pPr>
      <w:r>
        <w:t>support teachers to participate in professional learning to address children with special needs.</w:t>
      </w:r>
    </w:p>
    <w:p w14:paraId="2B5D8FED" w14:textId="77777777" w:rsidR="00705A53" w:rsidRDefault="00705A53" w:rsidP="00705A53">
      <w:r>
        <w:t>In response to the Minister’s expectation, the VIT will:</w:t>
      </w:r>
    </w:p>
    <w:p w14:paraId="3F674732" w14:textId="23B89149" w:rsidR="00705A53" w:rsidRDefault="00705A53" w:rsidP="00705A53">
      <w:pPr>
        <w:pStyle w:val="ListParagraph"/>
        <w:numPr>
          <w:ilvl w:val="0"/>
          <w:numId w:val="23"/>
        </w:numPr>
      </w:pPr>
      <w:r>
        <w:t xml:space="preserve">develop close partnerships with ITE providers to improve teacher quality, and develop an ITE engagement plan </w:t>
      </w:r>
    </w:p>
    <w:p w14:paraId="782329AB" w14:textId="7855DA3B" w:rsidR="00705A53" w:rsidRDefault="00705A53" w:rsidP="00705A53">
      <w:pPr>
        <w:pStyle w:val="ListParagraph"/>
        <w:numPr>
          <w:ilvl w:val="0"/>
          <w:numId w:val="23"/>
        </w:numPr>
      </w:pPr>
      <w:r>
        <w:t xml:space="preserve">adapt regulatory approach to support teachers and employers to comply with policy </w:t>
      </w:r>
    </w:p>
    <w:p w14:paraId="57C9FF83" w14:textId="77777777" w:rsidR="00705A53" w:rsidRDefault="00705A53" w:rsidP="00705A53">
      <w:pPr>
        <w:pStyle w:val="ListParagraph"/>
        <w:numPr>
          <w:ilvl w:val="0"/>
          <w:numId w:val="23"/>
        </w:numPr>
      </w:pPr>
      <w:r>
        <w:t>review its strategic plan to focus on teacher quality (VIT Council)</w:t>
      </w:r>
    </w:p>
    <w:p w14:paraId="4122E671" w14:textId="7B5C2BD6" w:rsidR="00705A53" w:rsidRDefault="00705A53" w:rsidP="00705A53">
      <w:pPr>
        <w:pStyle w:val="ListParagraph"/>
        <w:numPr>
          <w:ilvl w:val="0"/>
          <w:numId w:val="23"/>
        </w:numPr>
      </w:pPr>
      <w:r>
        <w:t>engage a Principal Practitioner.</w:t>
      </w:r>
    </w:p>
    <w:p w14:paraId="1A0ABC7C" w14:textId="4955B2F4" w:rsidR="00705A53" w:rsidRDefault="00705A53" w:rsidP="00705A53">
      <w:pPr>
        <w:pStyle w:val="Heading3"/>
      </w:pPr>
      <w:r w:rsidRPr="00705A53">
        <w:t>Outcome</w:t>
      </w:r>
    </w:p>
    <w:p w14:paraId="77BF06B1" w14:textId="06567F43" w:rsidR="00705A53" w:rsidRDefault="00705A53" w:rsidP="00705A53">
      <w:r w:rsidRPr="00705A53">
        <w:t>Improved understanding of the VIT’s messages and regulatory requirements (role of teachers) by teachers, graduates and the VIT’s staff</w:t>
      </w:r>
    </w:p>
    <w:p w14:paraId="3F5CF1AD" w14:textId="2F04C6B9" w:rsidR="00705A53" w:rsidRDefault="00705A53" w:rsidP="00705A53">
      <w:pPr>
        <w:pStyle w:val="Heading3"/>
      </w:pPr>
      <w:r>
        <w:lastRenderedPageBreak/>
        <w:t>Measure</w:t>
      </w:r>
    </w:p>
    <w:p w14:paraId="65487967" w14:textId="76E184DA" w:rsidR="00705A53" w:rsidRDefault="00705A53" w:rsidP="00705A53">
      <w:r w:rsidRPr="00705A53">
        <w:t>Reduction in incidents of unregistered teaching</w:t>
      </w:r>
    </w:p>
    <w:p w14:paraId="44B2A697" w14:textId="43FF433F" w:rsidR="00705A53" w:rsidRDefault="00705A53" w:rsidP="00705A53">
      <w:pPr>
        <w:pStyle w:val="Heading3"/>
      </w:pPr>
      <w:r>
        <w:t>Result 2018-20</w:t>
      </w:r>
    </w:p>
    <w:p w14:paraId="471DE78B" w14:textId="77777777" w:rsidR="00705A53" w:rsidRDefault="00705A53" w:rsidP="00705A53">
      <w:r>
        <w:t>74 cases investigated, with 30 confirmed cases of unregistered teaching (2018)</w:t>
      </w:r>
    </w:p>
    <w:p w14:paraId="32C3B1E9" w14:textId="10C62B9C" w:rsidR="00705A53" w:rsidRDefault="00705A53" w:rsidP="00705A53">
      <w:r>
        <w:t>Data unavailable for 2019</w:t>
      </w:r>
    </w:p>
    <w:p w14:paraId="3769455F" w14:textId="77777777" w:rsidR="00705A53" w:rsidRDefault="00705A53" w:rsidP="00705A53">
      <w:pPr>
        <w:pStyle w:val="Heading3"/>
      </w:pPr>
      <w:r>
        <w:t>Measure</w:t>
      </w:r>
    </w:p>
    <w:p w14:paraId="1D83C668" w14:textId="5C97264D" w:rsidR="00705A53" w:rsidRDefault="00705A53" w:rsidP="00705A53">
      <w:r w:rsidRPr="00705A53">
        <w:t>Number of teachers moved to non-practicing registration after identifying that they are unable to support declarations</w:t>
      </w:r>
    </w:p>
    <w:p w14:paraId="34E0ED85" w14:textId="77777777" w:rsidR="00705A53" w:rsidRDefault="00705A53" w:rsidP="00705A53">
      <w:pPr>
        <w:pStyle w:val="Heading3"/>
      </w:pPr>
      <w:r>
        <w:t>Result 2018-20</w:t>
      </w:r>
    </w:p>
    <w:p w14:paraId="5698874A" w14:textId="77777777" w:rsidR="00705A53" w:rsidRDefault="00705A53" w:rsidP="00705A53">
      <w:r>
        <w:t>7.2% (80 teachers) were unable to support declarations following random renewal of registration audit (2018)</w:t>
      </w:r>
    </w:p>
    <w:p w14:paraId="2DA53B2E" w14:textId="1BF59DF4" w:rsidR="00705A53" w:rsidRDefault="00705A53" w:rsidP="00705A53">
      <w:r>
        <w:t>Data unavailable for 2019</w:t>
      </w:r>
    </w:p>
    <w:p w14:paraId="38B94C38" w14:textId="60A6B629" w:rsidR="00705A53" w:rsidRDefault="00705A53" w:rsidP="00705A53">
      <w:pPr>
        <w:pStyle w:val="Heading3"/>
      </w:pPr>
      <w:r w:rsidRPr="00705A53">
        <w:t>Measure</w:t>
      </w:r>
    </w:p>
    <w:p w14:paraId="76A72114" w14:textId="7778E623" w:rsidR="00705A53" w:rsidRDefault="00705A53" w:rsidP="00705A53">
      <w:r>
        <w:t>Degree of understanding of provisionally registered teachers (PRT) obligations and responsibilities regarding professional conduct as a teacher</w:t>
      </w:r>
    </w:p>
    <w:p w14:paraId="066CD338" w14:textId="3B467585" w:rsidR="00705A53" w:rsidRDefault="00705A53" w:rsidP="00705A53">
      <w:pPr>
        <w:pStyle w:val="Heading3"/>
      </w:pPr>
      <w:r>
        <w:t>Result 2018-20</w:t>
      </w:r>
    </w:p>
    <w:p w14:paraId="191734ED" w14:textId="41D49A78" w:rsidR="00705A53" w:rsidRPr="00705A53" w:rsidRDefault="00705A53" w:rsidP="00705A53">
      <w:r w:rsidRPr="00705A53">
        <w:t>41.2% Survey of Provisionally Registered Teachers (2018)</w:t>
      </w:r>
    </w:p>
    <w:p w14:paraId="7421D708" w14:textId="66E1B787" w:rsidR="00705A53" w:rsidRDefault="00705A53" w:rsidP="00705A53">
      <w:r w:rsidRPr="00705A53">
        <w:t>Data unavailable for 2019-20 as the survey was not conducted (this is not an annual survey)</w:t>
      </w:r>
    </w:p>
    <w:p w14:paraId="51AB0139" w14:textId="77777777" w:rsidR="00705A53" w:rsidRDefault="00705A53" w:rsidP="00705A53">
      <w:pPr>
        <w:pStyle w:val="Heading3"/>
      </w:pPr>
      <w:r w:rsidRPr="00705A53">
        <w:t>Measure</w:t>
      </w:r>
    </w:p>
    <w:p w14:paraId="7C4A9520" w14:textId="3E079ACA" w:rsidR="00705A53" w:rsidRDefault="00705A53" w:rsidP="00705A53">
      <w:r w:rsidRPr="00705A53">
        <w:t>Percentage of teachers demonstrating the APST at the Proficient Teacher Level within five years of their initial registration</w:t>
      </w:r>
    </w:p>
    <w:p w14:paraId="15881A74" w14:textId="77777777" w:rsidR="00705A53" w:rsidRDefault="00705A53" w:rsidP="00705A53">
      <w:pPr>
        <w:pStyle w:val="Heading3"/>
      </w:pPr>
      <w:r>
        <w:t>Result 2018-20</w:t>
      </w:r>
    </w:p>
    <w:p w14:paraId="44CA0755" w14:textId="4688CB2B" w:rsidR="00705A53" w:rsidRDefault="00705A53" w:rsidP="00705A53">
      <w:r w:rsidRPr="00705A53">
        <w:t>Data is unavailable for 2018-19 and 2019-20. VIT is upgrading IT systems and is unable to report on cohort data until all teachers are in the new system.</w:t>
      </w:r>
    </w:p>
    <w:p w14:paraId="12DD35D3" w14:textId="77777777" w:rsidR="00705A53" w:rsidRDefault="00705A53" w:rsidP="00705A53">
      <w:pPr>
        <w:pStyle w:val="Heading3"/>
      </w:pPr>
      <w:r w:rsidRPr="00705A53">
        <w:t>Measure</w:t>
      </w:r>
    </w:p>
    <w:p w14:paraId="08E7187A" w14:textId="1E306E9E" w:rsidR="00705A53" w:rsidRDefault="00705A53" w:rsidP="00705A53">
      <w:r>
        <w:t>Percentage of registrants that completed annual registration tasks by 30 September</w:t>
      </w:r>
    </w:p>
    <w:p w14:paraId="77B4B1B6" w14:textId="77777777" w:rsidR="00705A53" w:rsidRDefault="00705A53" w:rsidP="00705A53">
      <w:pPr>
        <w:pStyle w:val="Heading3"/>
      </w:pPr>
      <w:r>
        <w:t>Result 2018-20</w:t>
      </w:r>
    </w:p>
    <w:p w14:paraId="66AE68A5" w14:textId="77777777" w:rsidR="00705A53" w:rsidRDefault="00705A53" w:rsidP="00705A53">
      <w:r>
        <w:t>91.3% (2018)</w:t>
      </w:r>
    </w:p>
    <w:p w14:paraId="431052FB" w14:textId="07494316" w:rsidR="00705A53" w:rsidRDefault="00705A53" w:rsidP="00705A53">
      <w:r>
        <w:t>93.7% (2019)</w:t>
      </w:r>
    </w:p>
    <w:p w14:paraId="39D9C112" w14:textId="77777777" w:rsidR="00705A53" w:rsidRDefault="00705A53" w:rsidP="00705A53">
      <w:pPr>
        <w:pStyle w:val="Heading3"/>
      </w:pPr>
      <w:r w:rsidRPr="00705A53">
        <w:t>Measure</w:t>
      </w:r>
    </w:p>
    <w:p w14:paraId="209F6A1A" w14:textId="081771F5" w:rsidR="00705A53" w:rsidRDefault="00705A53" w:rsidP="00705A53">
      <w:r w:rsidRPr="00705A53">
        <w:t>Total number of teacher demand (calls, emails and reception) per registered teacher</w:t>
      </w:r>
    </w:p>
    <w:p w14:paraId="179AFEF1" w14:textId="77777777" w:rsidR="00705A53" w:rsidRDefault="00705A53" w:rsidP="00705A53">
      <w:pPr>
        <w:pStyle w:val="Heading3"/>
      </w:pPr>
      <w:r>
        <w:t>Result 2018-20</w:t>
      </w:r>
    </w:p>
    <w:p w14:paraId="3452100E" w14:textId="77777777" w:rsidR="00705A53" w:rsidRDefault="00705A53" w:rsidP="00705A53">
      <w:r>
        <w:t xml:space="preserve">Teacher demand was 0.97, with each teacher contacting the VIT approximately once on average (2018-19). </w:t>
      </w:r>
    </w:p>
    <w:p w14:paraId="067B8B6A" w14:textId="4B3EC2ED" w:rsidR="00705A53" w:rsidRDefault="00705A53" w:rsidP="00705A53">
      <w:r>
        <w:t>Data will be available for 2019-20 at the end of the financial year.</w:t>
      </w:r>
    </w:p>
    <w:bookmarkEnd w:id="76"/>
    <w:p w14:paraId="0E6CED9C" w14:textId="77777777" w:rsidR="00917E75" w:rsidRDefault="00917E75" w:rsidP="00747D58"/>
    <w:p w14:paraId="64FDCCF5" w14:textId="7EEC68FF" w:rsidR="00A113FA" w:rsidRDefault="00A113FA" w:rsidP="00A113FA">
      <w:pPr>
        <w:tabs>
          <w:tab w:val="left" w:pos="1267"/>
        </w:tabs>
      </w:pPr>
      <w:r>
        <w:tab/>
      </w:r>
    </w:p>
    <w:p w14:paraId="4020A009" w14:textId="77777777" w:rsidR="00645869" w:rsidRDefault="00645869" w:rsidP="00A113FA">
      <w:pPr>
        <w:pStyle w:val="Heading3"/>
        <w:sectPr w:rsidR="00645869" w:rsidSect="00433AB9">
          <w:pgSz w:w="11906" w:h="16838"/>
          <w:pgMar w:top="1440" w:right="1440" w:bottom="1440" w:left="1440" w:header="709" w:footer="709" w:gutter="0"/>
          <w:cols w:space="708"/>
          <w:docGrid w:linePitch="360"/>
        </w:sectPr>
      </w:pPr>
    </w:p>
    <w:p w14:paraId="6704495B" w14:textId="0D3C5EAA" w:rsidR="00A113FA" w:rsidRPr="00EA4B47" w:rsidRDefault="00946C92" w:rsidP="00FB577C">
      <w:pPr>
        <w:pStyle w:val="Heading3"/>
      </w:pPr>
      <w:r w:rsidRPr="00EA4B47">
        <w:lastRenderedPageBreak/>
        <w:t>KEY FINDINGS</w:t>
      </w:r>
      <w:r>
        <w:t xml:space="preserve"> FOR COMPLIANCE-RELATED ASSISTANCE AND ADVICE </w:t>
      </w:r>
      <w:r w:rsidR="002F4938">
        <w:t xml:space="preserve">IN THE AREA OF </w:t>
      </w:r>
      <w:r>
        <w:t xml:space="preserve">TEACHER QUALITY AND EDUCATION </w:t>
      </w:r>
    </w:p>
    <w:p w14:paraId="5066ED7F" w14:textId="77777777" w:rsidR="00802822" w:rsidRDefault="00802822">
      <w:pPr>
        <w:pStyle w:val="Heading3"/>
      </w:pPr>
    </w:p>
    <w:p w14:paraId="6733524F" w14:textId="5B511386" w:rsidR="00A113FA" w:rsidRPr="00EA4B47" w:rsidRDefault="00A113FA" w:rsidP="002F43B7">
      <w:pPr>
        <w:pStyle w:val="Heading3"/>
      </w:pPr>
      <w:r w:rsidRPr="00EA4B47">
        <w:t>Achievement of Minister’s expectations</w:t>
      </w:r>
    </w:p>
    <w:p w14:paraId="36E98B9F" w14:textId="3D51B525" w:rsidR="00A113FA" w:rsidRDefault="009E3113" w:rsidP="00A31D18">
      <w:r>
        <w:t xml:space="preserve">The </w:t>
      </w:r>
      <w:r w:rsidR="00B52138">
        <w:t>VIT</w:t>
      </w:r>
      <w:r w:rsidR="00A113FA" w:rsidRPr="00EA4B47">
        <w:t xml:space="preserve"> applied best endeavours to meet the Minister’s expectation to improve </w:t>
      </w:r>
      <w:r w:rsidR="00C14C0B">
        <w:t xml:space="preserve">teacher quality and education, including through supporting teachers to comply with regulation. </w:t>
      </w:r>
    </w:p>
    <w:p w14:paraId="6539C98C" w14:textId="79932E01" w:rsidR="00A31D18" w:rsidRDefault="003B032E" w:rsidP="00A31D18">
      <w:r>
        <w:t>E</w:t>
      </w:r>
      <w:r w:rsidR="003F7606">
        <w:t xml:space="preserve">nforcement activity </w:t>
      </w:r>
      <w:r>
        <w:t xml:space="preserve">was undertaken </w:t>
      </w:r>
      <w:r w:rsidR="003F7606">
        <w:t xml:space="preserve">for a </w:t>
      </w:r>
      <w:r w:rsidR="00081B63">
        <w:t>small</w:t>
      </w:r>
      <w:r w:rsidR="003B24A9">
        <w:t xml:space="preserve"> </w:t>
      </w:r>
      <w:r w:rsidR="00A31D18">
        <w:t>number of incidents of unregistered teaching,</w:t>
      </w:r>
      <w:r w:rsidR="003F7606">
        <w:t xml:space="preserve"> </w:t>
      </w:r>
      <w:r w:rsidR="00A31D18">
        <w:t xml:space="preserve">and </w:t>
      </w:r>
      <w:r w:rsidR="003B24A9">
        <w:t>teachers falsifying declarations on registration renewal</w:t>
      </w:r>
      <w:r w:rsidR="003F7606">
        <w:t xml:space="preserve"> document</w:t>
      </w:r>
      <w:r w:rsidR="003B24A9">
        <w:t xml:space="preserve">s. </w:t>
      </w:r>
    </w:p>
    <w:p w14:paraId="514B8463" w14:textId="1800BB27" w:rsidR="003F7606" w:rsidRPr="00EA4B47" w:rsidRDefault="003672C3" w:rsidP="002F43B7">
      <w:r>
        <w:t xml:space="preserve">On average, each teacher contacted the VIT once for support, and </w:t>
      </w:r>
      <w:r w:rsidR="00C16368">
        <w:t>the</w:t>
      </w:r>
      <w:r w:rsidR="002F4938">
        <w:t>re was a high compliance rate of teachers’ completing</w:t>
      </w:r>
      <w:r>
        <w:t xml:space="preserve"> registration </w:t>
      </w:r>
      <w:r w:rsidR="003F7606">
        <w:t>requirements within the specified timeframe. The VIT support</w:t>
      </w:r>
      <w:r w:rsidR="00DE311B">
        <w:t>ed</w:t>
      </w:r>
      <w:r w:rsidR="003F7606">
        <w:t xml:space="preserve"> teachers to achieve the Proficient Level of the </w:t>
      </w:r>
      <w:r w:rsidR="001736F1">
        <w:t>APST</w:t>
      </w:r>
      <w:r w:rsidR="003F7606">
        <w:t xml:space="preserve"> within five years of initial registration, with data unavailable at the time of reporting due to an upgrade of IT systems.</w:t>
      </w:r>
    </w:p>
    <w:p w14:paraId="50655FD3" w14:textId="3BFA83AE" w:rsidR="00A113FA" w:rsidRPr="00E4386B" w:rsidRDefault="00A113FA" w:rsidP="002F43B7">
      <w:pPr>
        <w:pStyle w:val="Heading3"/>
      </w:pPr>
      <w:r w:rsidRPr="00E4386B">
        <w:t xml:space="preserve">Achievement of standards set out in the </w:t>
      </w:r>
      <w:r w:rsidR="00986A24">
        <w:t>SOE</w:t>
      </w:r>
      <w:r w:rsidRPr="00E4386B">
        <w:t xml:space="preserve"> Framework </w:t>
      </w:r>
    </w:p>
    <w:p w14:paraId="795E8D61" w14:textId="1C4EA50C" w:rsidR="00FA50D7" w:rsidRDefault="00E452ED" w:rsidP="00FA50D7">
      <w:r>
        <w:t xml:space="preserve">The VIT fulfilled the minimum standards, and partially fulfilled the best practice standards of the SOE Framework. </w:t>
      </w:r>
    </w:p>
    <w:p w14:paraId="101E6E84" w14:textId="1E298743" w:rsidR="00E452ED" w:rsidRDefault="007A4174" w:rsidP="00FA50D7">
      <w:r>
        <w:t>C</w:t>
      </w:r>
      <w:r w:rsidR="00E452ED">
        <w:t xml:space="preserve">ompliance-related assistance and advice </w:t>
      </w:r>
      <w:r>
        <w:t xml:space="preserve">was provided </w:t>
      </w:r>
      <w:r w:rsidR="00E452ED">
        <w:t>on the website and registration portal (</w:t>
      </w:r>
      <w:proofErr w:type="spellStart"/>
      <w:r w:rsidR="00E452ED">
        <w:t>MyVIT</w:t>
      </w:r>
      <w:proofErr w:type="spellEnd"/>
      <w:r w:rsidR="00E452ED">
        <w:t xml:space="preserve">) to support teachers to maintain registration and raise awareness of professional responsibilities. </w:t>
      </w:r>
      <w:r w:rsidR="00DE311B">
        <w:t>The VIT provided r</w:t>
      </w:r>
      <w:r w:rsidR="00E452ED">
        <w:t>esources online, including on the regulatory approach, policies and best practice. Teachers contact</w:t>
      </w:r>
      <w:r w:rsidR="009830AB">
        <w:t>ed</w:t>
      </w:r>
      <w:r w:rsidR="00E452ED">
        <w:t xml:space="preserve"> the VIT for tailored advice through email or phone enquiries. Compliance information </w:t>
      </w:r>
      <w:r w:rsidR="009830AB">
        <w:t>wa</w:t>
      </w:r>
      <w:r w:rsidR="00E452ED">
        <w:t xml:space="preserve">s provided in multiple formats, however accessible formats for people with disability </w:t>
      </w:r>
      <w:r w:rsidR="009830AB">
        <w:t>w</w:t>
      </w:r>
      <w:r w:rsidR="00ED0904">
        <w:t>ere</w:t>
      </w:r>
      <w:r w:rsidR="009830AB">
        <w:t xml:space="preserve"> </w:t>
      </w:r>
      <w:r w:rsidR="00E452ED">
        <w:t xml:space="preserve">not available. </w:t>
      </w:r>
    </w:p>
    <w:p w14:paraId="44B874E6" w14:textId="3A36E25E" w:rsidR="00E452ED" w:rsidRDefault="00E452ED" w:rsidP="002F43B7">
      <w:r>
        <w:t>The VIT evaluated teachers</w:t>
      </w:r>
      <w:r w:rsidR="002F4938">
        <w:t>’</w:t>
      </w:r>
      <w:r>
        <w:t xml:space="preserve"> understanding of professional standards through annual random audits of registration and </w:t>
      </w:r>
      <w:r w:rsidR="00AF0672">
        <w:t xml:space="preserve">a </w:t>
      </w:r>
      <w:r>
        <w:t xml:space="preserve">survey seeking feedback on obligations. </w:t>
      </w:r>
    </w:p>
    <w:p w14:paraId="1ACBC29F" w14:textId="77777777" w:rsidR="00A113FA" w:rsidRPr="00301C37" w:rsidRDefault="00A113FA" w:rsidP="002F43B7">
      <w:pPr>
        <w:pStyle w:val="Heading3"/>
      </w:pPr>
      <w:r w:rsidRPr="00301C37">
        <w:t>Overall comment</w:t>
      </w:r>
    </w:p>
    <w:p w14:paraId="062AB65B" w14:textId="6696FF7F" w:rsidR="002F4938" w:rsidRDefault="009E3113" w:rsidP="002F43B7">
      <w:r>
        <w:t xml:space="preserve">The </w:t>
      </w:r>
      <w:r w:rsidR="00301C37" w:rsidRPr="00301C37">
        <w:t>VIT</w:t>
      </w:r>
      <w:r w:rsidR="00A113FA" w:rsidRPr="00301C37">
        <w:t xml:space="preserve"> performed strongly in </w:t>
      </w:r>
      <w:r w:rsidR="00301C37" w:rsidRPr="00301C37">
        <w:t xml:space="preserve">providing effective compliance-related assistance and advice as there was a high compliance rate and stakeholders </w:t>
      </w:r>
      <w:r w:rsidR="009830AB">
        <w:t>had the opportunity to</w:t>
      </w:r>
      <w:r w:rsidR="00301C37" w:rsidRPr="00301C37">
        <w:t xml:space="preserve"> seek advice without fear of </w:t>
      </w:r>
      <w:r w:rsidR="00AF0672">
        <w:t xml:space="preserve">unnecessary </w:t>
      </w:r>
      <w:r w:rsidR="00301C37" w:rsidRPr="00301C37">
        <w:t xml:space="preserve">enforcement action. </w:t>
      </w:r>
      <w:r w:rsidR="00E452ED">
        <w:t xml:space="preserve">Key risks to performance included unregistered teaching and increasing demand for customer service support. Guidance should continue to be updated to support </w:t>
      </w:r>
      <w:r w:rsidR="00E62573">
        <w:t xml:space="preserve">all cohorts of </w:t>
      </w:r>
      <w:r w:rsidR="00E452ED">
        <w:t>stakeholders to achieve compliance</w:t>
      </w:r>
      <w:r w:rsidR="004704B6">
        <w:t xml:space="preserve"> and reduce the need for intervention</w:t>
      </w:r>
      <w:r w:rsidR="00E452ED">
        <w:t xml:space="preserve">. </w:t>
      </w:r>
    </w:p>
    <w:p w14:paraId="4428D784" w14:textId="65C87C7A" w:rsidR="00986A24" w:rsidRDefault="002F4938" w:rsidP="002F43B7">
      <w:pPr>
        <w:sectPr w:rsidR="00986A24" w:rsidSect="00645869">
          <w:pgSz w:w="11906" w:h="16838"/>
          <w:pgMar w:top="1440" w:right="1440" w:bottom="1440" w:left="1440" w:header="708" w:footer="708" w:gutter="0"/>
          <w:cols w:space="708"/>
          <w:docGrid w:linePitch="360"/>
        </w:sectPr>
      </w:pPr>
      <w:r>
        <w:t xml:space="preserve">The VIT </w:t>
      </w:r>
      <w:r w:rsidR="009830AB">
        <w:t>was</w:t>
      </w:r>
      <w:r>
        <w:t xml:space="preserve"> effective in providing compliance advice, </w:t>
      </w:r>
      <w:r w:rsidR="009830AB">
        <w:t>with</w:t>
      </w:r>
      <w:r w:rsidR="00301C37">
        <w:t xml:space="preserve"> a low risk of non-compliance</w:t>
      </w:r>
      <w:r w:rsidR="00EF647E">
        <w:t>.</w:t>
      </w:r>
    </w:p>
    <w:p w14:paraId="747DC68D" w14:textId="182F7E82" w:rsidR="003C3AEF" w:rsidRDefault="00946C92" w:rsidP="002F43B7">
      <w:pPr>
        <w:pStyle w:val="Heading2"/>
      </w:pPr>
      <w:bookmarkStart w:id="77" w:name="_Toc48559342"/>
      <w:r>
        <w:lastRenderedPageBreak/>
        <w:t>SECTOR COMMUNICATION</w:t>
      </w:r>
      <w:r w:rsidR="00763317">
        <w:t xml:space="preserve"> – STAKEHOLDER CONSULTATION AND ENGAGEMENT DATA</w:t>
      </w:r>
      <w:bookmarkEnd w:id="77"/>
      <w:r w:rsidR="00763317">
        <w:t xml:space="preserve"> </w:t>
      </w:r>
      <w:bookmarkStart w:id="78" w:name="_Hlk35252516"/>
    </w:p>
    <w:p w14:paraId="1F010705" w14:textId="0B0FC5CD" w:rsidR="001D7EBC" w:rsidRDefault="00A26547" w:rsidP="001D7EBC">
      <w:r>
        <w:t>The data below addresse</w:t>
      </w:r>
      <w:r w:rsidR="008B38E9">
        <w:t>d</w:t>
      </w:r>
      <w:r>
        <w:t xml:space="preserve"> the suggested element of good regulatory practice ‘stakeholder consultation and engagement’ in the SOE Framework. Stakeholder consultation and engagement in this context refer</w:t>
      </w:r>
      <w:r w:rsidR="008B38E9">
        <w:t>red</w:t>
      </w:r>
      <w:r>
        <w:t xml:space="preserve"> to effective communication and engagement with stakeholders </w:t>
      </w:r>
      <w:r w:rsidR="003E4EAE">
        <w:t xml:space="preserve">to </w:t>
      </w:r>
      <w:r>
        <w:t xml:space="preserve">facilitate better regulator performance and lead to better regulatory outcomes. </w:t>
      </w:r>
      <w:r w:rsidR="002C00D9">
        <w:t>The VIT committed to the following activities t</w:t>
      </w:r>
      <w:r>
        <w:t xml:space="preserve">o meet </w:t>
      </w:r>
      <w:r w:rsidR="002C00D9">
        <w:t xml:space="preserve">the Minister’s </w:t>
      </w:r>
      <w:r>
        <w:t xml:space="preserve">expectation to improve </w:t>
      </w:r>
      <w:r w:rsidR="002C00D9">
        <w:t>teacher quality</w:t>
      </w:r>
      <w:r>
        <w:t xml:space="preserve">. </w:t>
      </w:r>
    </w:p>
    <w:p w14:paraId="77240D6E" w14:textId="7613B5DD" w:rsidR="00433AB9" w:rsidRDefault="00433AB9" w:rsidP="00433AB9">
      <w:pPr>
        <w:pStyle w:val="Heading3"/>
      </w:pPr>
      <w:r>
        <w:t>Expectation</w:t>
      </w:r>
    </w:p>
    <w:p w14:paraId="5D75F228" w14:textId="77777777" w:rsidR="00433AB9" w:rsidRDefault="00433AB9" w:rsidP="00433AB9">
      <w:r>
        <w:t xml:space="preserve">Continuing to improve teacher quality and education, and risk identification and compliance. </w:t>
      </w:r>
    </w:p>
    <w:p w14:paraId="433F660B" w14:textId="77777777" w:rsidR="00433AB9" w:rsidRDefault="00433AB9" w:rsidP="00433AB9">
      <w:r>
        <w:t xml:space="preserve">Recommendation 25 of the VIT Review – Expand its activities beyond a narrow focus on compliance, towards proactive education of teachers and the community about teacher quality. This includes showcasing leading practice in teacher quality. It should not extend to advocacy and representation of the profession. </w:t>
      </w:r>
    </w:p>
    <w:p w14:paraId="6D34DC90" w14:textId="459024CC" w:rsidR="00433AB9" w:rsidRDefault="00433AB9" w:rsidP="00433AB9">
      <w:r>
        <w:t>Recommendation 29 of the VIT Review – Establish an executive-level Principal Practitioner position as a direct report to the Chief Executive Officer (CEO). This position should support the building of public trust and confidence in the VIT’s teaching expertise.</w:t>
      </w:r>
    </w:p>
    <w:p w14:paraId="45E08292" w14:textId="35AE0894" w:rsidR="00433AB9" w:rsidRDefault="00433AB9" w:rsidP="00433AB9">
      <w:pPr>
        <w:pStyle w:val="Heading3"/>
      </w:pPr>
      <w:r w:rsidRPr="00433AB9">
        <w:t>Response Activity</w:t>
      </w:r>
    </w:p>
    <w:p w14:paraId="6312E589" w14:textId="77777777" w:rsidR="00433AB9" w:rsidRDefault="00433AB9" w:rsidP="00433AB9">
      <w:r>
        <w:t>To support high quality education the VIT will:</w:t>
      </w:r>
    </w:p>
    <w:p w14:paraId="66FCAFAE" w14:textId="2D6F0612" w:rsidR="00433AB9" w:rsidRDefault="00433AB9" w:rsidP="00433AB9">
      <w:pPr>
        <w:pStyle w:val="Bullet1"/>
      </w:pPr>
      <w:r>
        <w:t>collaborate with the Department and ITE providers to implement the Victorian Framework for Selection into Initial Teacher Education (Victorian Selection Framework)</w:t>
      </w:r>
    </w:p>
    <w:p w14:paraId="06EC8A2B" w14:textId="5CAA06D5" w:rsidR="00433AB9" w:rsidRDefault="00433AB9" w:rsidP="00433AB9">
      <w:pPr>
        <w:pStyle w:val="Bullet1"/>
      </w:pPr>
      <w:r>
        <w:t>undertake reform in the area of ITE programs to improve teacher quality</w:t>
      </w:r>
    </w:p>
    <w:p w14:paraId="3B7D52F0" w14:textId="612A6106" w:rsidR="00433AB9" w:rsidRDefault="00433AB9" w:rsidP="00433AB9">
      <w:pPr>
        <w:pStyle w:val="Bullet1"/>
      </w:pPr>
      <w:r>
        <w:t>work with the Department to deliver an effective mentoring program for early career teachers, including those in the Early Childhood sector</w:t>
      </w:r>
    </w:p>
    <w:p w14:paraId="51E38752" w14:textId="6E441C69" w:rsidR="00433AB9" w:rsidRDefault="00433AB9" w:rsidP="00433AB9">
      <w:pPr>
        <w:pStyle w:val="Bullet1"/>
      </w:pPr>
      <w:r>
        <w:t>support Early Childhood teachers</w:t>
      </w:r>
    </w:p>
    <w:p w14:paraId="20CB2F3B" w14:textId="743D2241" w:rsidR="00433AB9" w:rsidRDefault="00433AB9" w:rsidP="00433AB9">
      <w:pPr>
        <w:pStyle w:val="Bullet1"/>
      </w:pPr>
      <w:r>
        <w:t>support teachers to participate in professional learning to address children with special needs.</w:t>
      </w:r>
    </w:p>
    <w:p w14:paraId="2DDFA720" w14:textId="77777777" w:rsidR="00433AB9" w:rsidRDefault="00433AB9" w:rsidP="00433AB9">
      <w:r>
        <w:t>In response to the Minister’s expectation, the VIT will:</w:t>
      </w:r>
    </w:p>
    <w:p w14:paraId="781B5568" w14:textId="15B928B5" w:rsidR="00433AB9" w:rsidRDefault="00433AB9" w:rsidP="00433AB9">
      <w:pPr>
        <w:pStyle w:val="Bullet1"/>
      </w:pPr>
      <w:r>
        <w:t xml:space="preserve">develop close partnerships with ITE providers to improve teacher quality, and develop an ITE engagement plan </w:t>
      </w:r>
    </w:p>
    <w:p w14:paraId="4BA86E5E" w14:textId="7E5CAED9" w:rsidR="00433AB9" w:rsidRDefault="00433AB9" w:rsidP="00433AB9">
      <w:pPr>
        <w:pStyle w:val="Bullet1"/>
      </w:pPr>
      <w:r>
        <w:t xml:space="preserve">adapt regulatory approach to support teachers and employers to comply with policy </w:t>
      </w:r>
    </w:p>
    <w:p w14:paraId="179EE218" w14:textId="2FF7EC62" w:rsidR="00433AB9" w:rsidRDefault="00433AB9" w:rsidP="00433AB9">
      <w:pPr>
        <w:pStyle w:val="Bullet1"/>
      </w:pPr>
      <w:r>
        <w:t>review its strategic plan to focus on teacher quality (VIT Council)</w:t>
      </w:r>
    </w:p>
    <w:p w14:paraId="708BDC58" w14:textId="412532B7" w:rsidR="00433AB9" w:rsidRDefault="00433AB9" w:rsidP="00433AB9">
      <w:pPr>
        <w:pStyle w:val="Bullet1"/>
      </w:pPr>
      <w:r>
        <w:t>engage a Principal Practitioner.</w:t>
      </w:r>
    </w:p>
    <w:p w14:paraId="4B177A5C" w14:textId="29AFE0E8" w:rsidR="00433AB9" w:rsidRDefault="00433AB9" w:rsidP="00433AB9">
      <w:pPr>
        <w:pStyle w:val="Heading3"/>
      </w:pPr>
      <w:r>
        <w:t>Outcome</w:t>
      </w:r>
    </w:p>
    <w:p w14:paraId="58B9BE32" w14:textId="77777777" w:rsidR="00433AB9" w:rsidRDefault="00433AB9" w:rsidP="00433AB9">
      <w:r>
        <w:t>Duty holder satisfaction</w:t>
      </w:r>
    </w:p>
    <w:p w14:paraId="0757731A" w14:textId="77777777" w:rsidR="00433AB9" w:rsidRDefault="00433AB9" w:rsidP="00433AB9">
      <w:r>
        <w:t>Perceptions of consistency</w:t>
      </w:r>
    </w:p>
    <w:p w14:paraId="5B53E46B" w14:textId="0AFD4BBA" w:rsidR="00433AB9" w:rsidRDefault="00433AB9" w:rsidP="00433AB9">
      <w:r>
        <w:t>Measure of public confidence</w:t>
      </w:r>
    </w:p>
    <w:p w14:paraId="324EC4DC" w14:textId="5BBB30AF" w:rsidR="00433AB9" w:rsidRDefault="00DB56FC" w:rsidP="00DB56FC">
      <w:pPr>
        <w:pStyle w:val="Heading3"/>
      </w:pPr>
      <w:r>
        <w:t>Measure</w:t>
      </w:r>
    </w:p>
    <w:p w14:paraId="3747982B" w14:textId="0658F208" w:rsidR="00DB56FC" w:rsidRDefault="00DB56FC" w:rsidP="00DB56FC">
      <w:r w:rsidRPr="00DB56FC">
        <w:t>Number of online resource downloads</w:t>
      </w:r>
    </w:p>
    <w:p w14:paraId="1D49DE2C" w14:textId="50DA2B31" w:rsidR="00DB56FC" w:rsidRDefault="00DB56FC" w:rsidP="00DB56FC">
      <w:pPr>
        <w:pStyle w:val="Heading3"/>
      </w:pPr>
      <w:r w:rsidRPr="00DB56FC">
        <w:lastRenderedPageBreak/>
        <w:t>Result 2018-20</w:t>
      </w:r>
    </w:p>
    <w:p w14:paraId="308BE55A" w14:textId="77777777" w:rsidR="00DB56FC" w:rsidRDefault="00DB56FC" w:rsidP="00DB56FC">
      <w:r>
        <w:t>Data is not available for 2018.</w:t>
      </w:r>
    </w:p>
    <w:p w14:paraId="1A170A35" w14:textId="77777777" w:rsidR="00DB56FC" w:rsidRDefault="00DB56FC" w:rsidP="00DB56FC">
      <w:r>
        <w:t>Registered teacher moving to full registration 74,260 downloads (2019)</w:t>
      </w:r>
    </w:p>
    <w:p w14:paraId="78848511" w14:textId="77777777" w:rsidR="00DB56FC" w:rsidRDefault="00DB56FC" w:rsidP="00DB56FC">
      <w:r>
        <w:t>Resources and seminars for full registration</w:t>
      </w:r>
    </w:p>
    <w:p w14:paraId="0EF1E51A" w14:textId="77777777" w:rsidR="00DB56FC" w:rsidRDefault="00DB56FC" w:rsidP="00DB56FC">
      <w:r>
        <w:t>25,197 downloads (2019)</w:t>
      </w:r>
    </w:p>
    <w:p w14:paraId="5CB7E89E" w14:textId="460F072E" w:rsidR="00DB56FC" w:rsidRDefault="00DB56FC" w:rsidP="00DB56FC">
      <w:r>
        <w:t>Professional responsibilities Conduct and Ethics 31,915 downloads (2019)</w:t>
      </w:r>
    </w:p>
    <w:p w14:paraId="18880331" w14:textId="77777777" w:rsidR="00DB56FC" w:rsidRDefault="00DB56FC" w:rsidP="00DB56FC">
      <w:pPr>
        <w:pStyle w:val="Heading3"/>
      </w:pPr>
      <w:r>
        <w:t>Measure</w:t>
      </w:r>
    </w:p>
    <w:p w14:paraId="49935550" w14:textId="791408A6" w:rsidR="00DB56FC" w:rsidRDefault="00DB56FC" w:rsidP="00DB56FC">
      <w:r w:rsidRPr="00DB56FC">
        <w:t>Number of Conduct and Registration podcast downloads</w:t>
      </w:r>
    </w:p>
    <w:p w14:paraId="109CC178" w14:textId="7892013C" w:rsidR="00DB56FC" w:rsidRDefault="00DB56FC" w:rsidP="00DB56FC">
      <w:pPr>
        <w:pStyle w:val="Heading3"/>
      </w:pPr>
      <w:r w:rsidRPr="00DB56FC">
        <w:t>Result 2018-20</w:t>
      </w:r>
    </w:p>
    <w:p w14:paraId="5F1D2AD2" w14:textId="77777777" w:rsidR="00DB56FC" w:rsidRDefault="00DB56FC" w:rsidP="00DB56FC">
      <w:r>
        <w:t>Podcast total downloads 5,065 (2018 and 2019)</w:t>
      </w:r>
    </w:p>
    <w:p w14:paraId="1C6A4EB4" w14:textId="77777777" w:rsidR="00DB56FC" w:rsidRDefault="00DB56FC" w:rsidP="00DB56FC">
      <w:r>
        <w:t>Podcast video total downloads 43,200</w:t>
      </w:r>
    </w:p>
    <w:p w14:paraId="1446602C" w14:textId="2B8014B4" w:rsidR="00DB56FC" w:rsidRDefault="00DB56FC" w:rsidP="00DB56FC">
      <w:r>
        <w:t>(2018 and 2019)</w:t>
      </w:r>
    </w:p>
    <w:p w14:paraId="324FD536" w14:textId="77777777" w:rsidR="00DB56FC" w:rsidRDefault="00DB56FC" w:rsidP="00DB56FC">
      <w:pPr>
        <w:pStyle w:val="Heading3"/>
      </w:pPr>
      <w:r>
        <w:t>Measure</w:t>
      </w:r>
    </w:p>
    <w:p w14:paraId="6BA704A5" w14:textId="14C60933" w:rsidR="00DB56FC" w:rsidRDefault="00DB56FC" w:rsidP="00DB56FC">
      <w:r w:rsidRPr="00DB56FC">
        <w:t>Readership of principal, early childhood and casual relief teacher circulars</w:t>
      </w:r>
    </w:p>
    <w:p w14:paraId="66C34887" w14:textId="77777777" w:rsidR="00DB56FC" w:rsidRDefault="00DB56FC" w:rsidP="00DB56FC">
      <w:pPr>
        <w:pStyle w:val="Heading3"/>
      </w:pPr>
      <w:r w:rsidRPr="00DB56FC">
        <w:t>Result 2018-20</w:t>
      </w:r>
    </w:p>
    <w:p w14:paraId="4E114D03" w14:textId="77777777" w:rsidR="00DB56FC" w:rsidRDefault="00DB56FC" w:rsidP="00DB56FC">
      <w:r>
        <w:t>Data unavailable for 2018.</w:t>
      </w:r>
    </w:p>
    <w:p w14:paraId="6CAA4DE8" w14:textId="77777777" w:rsidR="00DB56FC" w:rsidRDefault="00DB56FC" w:rsidP="00DB56FC">
      <w:r>
        <w:t>Early Childhood Circular (e-newsletter sent to all early childhood provider managers) 40% open rate (2019)</w:t>
      </w:r>
    </w:p>
    <w:p w14:paraId="1004A81C" w14:textId="77777777" w:rsidR="00DB56FC" w:rsidRDefault="00DB56FC" w:rsidP="00DB56FC">
      <w:r>
        <w:t>Principal Circular (e-newsletter sent to all school principals) 66% open rate (2019)</w:t>
      </w:r>
    </w:p>
    <w:p w14:paraId="0C5BB030" w14:textId="469FC66C" w:rsidR="00DB56FC" w:rsidRDefault="00DB56FC" w:rsidP="00DB56FC">
      <w:r>
        <w:t>Casual Relief Teacher Circular (e-newsletter sent to all casual relief teachers) 67% open rate (2019)</w:t>
      </w:r>
    </w:p>
    <w:p w14:paraId="5477C5E2" w14:textId="77777777" w:rsidR="00DB56FC" w:rsidRDefault="00DB56FC" w:rsidP="00DB56FC">
      <w:pPr>
        <w:pStyle w:val="Heading3"/>
      </w:pPr>
      <w:r>
        <w:t>Measure</w:t>
      </w:r>
    </w:p>
    <w:p w14:paraId="7A8BFA5E" w14:textId="16A7B55B" w:rsidR="00DB56FC" w:rsidRDefault="00DB56FC" w:rsidP="00DB56FC">
      <w:r w:rsidRPr="00DB56FC">
        <w:t>Readership of Professional Practice</w:t>
      </w:r>
    </w:p>
    <w:p w14:paraId="6B051274" w14:textId="77777777" w:rsidR="00DB56FC" w:rsidRDefault="00DB56FC" w:rsidP="00DB56FC">
      <w:pPr>
        <w:pStyle w:val="Heading3"/>
      </w:pPr>
      <w:r w:rsidRPr="00DB56FC">
        <w:t>Result 2018-20</w:t>
      </w:r>
    </w:p>
    <w:p w14:paraId="2B601C85" w14:textId="77777777" w:rsidR="00DB56FC" w:rsidRDefault="00DB56FC" w:rsidP="00DB56FC">
      <w:r>
        <w:t>Data unavailable for 2018.</w:t>
      </w:r>
    </w:p>
    <w:p w14:paraId="3AE52CAA" w14:textId="37F634EC" w:rsidR="00DB56FC" w:rsidRDefault="00DB56FC" w:rsidP="00DB56FC">
      <w:r>
        <w:t>Professional Practice (e-newsletter sent to all registered teachers) open rate 53% (2019)</w:t>
      </w:r>
    </w:p>
    <w:p w14:paraId="7D1900C9" w14:textId="77777777" w:rsidR="00DB56FC" w:rsidRDefault="00DB56FC" w:rsidP="00DB56FC">
      <w:pPr>
        <w:pStyle w:val="Heading3"/>
      </w:pPr>
      <w:r>
        <w:t>Measure</w:t>
      </w:r>
    </w:p>
    <w:p w14:paraId="0D69C522" w14:textId="0B31BF88" w:rsidR="00DB56FC" w:rsidRDefault="00DB56FC" w:rsidP="00DB56FC">
      <w:r w:rsidRPr="00DB56FC">
        <w:t>Number of resolved queries from conferences (Early Childhood Education, Education State School Leadership)</w:t>
      </w:r>
    </w:p>
    <w:p w14:paraId="63261751" w14:textId="77777777" w:rsidR="00DB56FC" w:rsidRDefault="00DB56FC" w:rsidP="00DB56FC">
      <w:pPr>
        <w:pStyle w:val="Heading3"/>
      </w:pPr>
      <w:r w:rsidRPr="00DB56FC">
        <w:t>Result 2018-20</w:t>
      </w:r>
    </w:p>
    <w:p w14:paraId="448556EF" w14:textId="77777777" w:rsidR="00DB56FC" w:rsidRDefault="00DB56FC" w:rsidP="00DB56FC">
      <w:r>
        <w:t xml:space="preserve">Data unavailable for 2018-20. </w:t>
      </w:r>
    </w:p>
    <w:p w14:paraId="0E8D709E" w14:textId="1327E790" w:rsidR="00DB56FC" w:rsidRDefault="00DB56FC" w:rsidP="00DB56FC">
      <w:r>
        <w:t>This is a new measure; data will be collected from 2020-21.</w:t>
      </w:r>
    </w:p>
    <w:p w14:paraId="03720D65" w14:textId="77777777" w:rsidR="00DB56FC" w:rsidRDefault="00DB56FC" w:rsidP="00DB56FC">
      <w:pPr>
        <w:pStyle w:val="Heading3"/>
      </w:pPr>
      <w:r>
        <w:t>Measure</w:t>
      </w:r>
    </w:p>
    <w:p w14:paraId="7CEB35EF" w14:textId="4978940A" w:rsidR="00DB56FC" w:rsidRDefault="00DB56FC" w:rsidP="00DB56FC">
      <w:r w:rsidRPr="00DB56FC">
        <w:t>Teachers understand what constitutes APST-referenced professional learning</w:t>
      </w:r>
    </w:p>
    <w:p w14:paraId="5032FC9E" w14:textId="77777777" w:rsidR="00DB56FC" w:rsidRDefault="00DB56FC" w:rsidP="00DB56FC">
      <w:pPr>
        <w:pStyle w:val="Heading3"/>
      </w:pPr>
      <w:r w:rsidRPr="00DB56FC">
        <w:t>Result 2018-20</w:t>
      </w:r>
    </w:p>
    <w:p w14:paraId="53F04A28" w14:textId="77777777" w:rsidR="00DB56FC" w:rsidRDefault="00DB56FC" w:rsidP="00DB56FC">
      <w:r>
        <w:t>Data unavailable for 2018</w:t>
      </w:r>
    </w:p>
    <w:p w14:paraId="4371C79D" w14:textId="77777777" w:rsidR="00DB56FC" w:rsidRDefault="00DB56FC" w:rsidP="00DB56FC">
      <w:r>
        <w:lastRenderedPageBreak/>
        <w:t>Effective Mentoring Program course feedback 95% satisfaction (good or very good for coverage of the registration requirements and Code of Conduct) (2019)</w:t>
      </w:r>
    </w:p>
    <w:p w14:paraId="31D40DE3" w14:textId="231C0151" w:rsidR="00DB56FC" w:rsidRDefault="00DB56FC" w:rsidP="00DB56FC">
      <w:r>
        <w:t>The VIT conducted a survey of provisionally registered teachers in 2019, results were inconclusive as there was a low response rate. Anecdotal feedback was positive regarding professional learning.</w:t>
      </w:r>
    </w:p>
    <w:p w14:paraId="24E8BA96" w14:textId="77777777" w:rsidR="00DB56FC" w:rsidRDefault="00DB56FC" w:rsidP="00DB56FC">
      <w:pPr>
        <w:pStyle w:val="Heading3"/>
      </w:pPr>
      <w:r>
        <w:t>Measure</w:t>
      </w:r>
    </w:p>
    <w:p w14:paraId="046B56AC" w14:textId="2C4FF2BF" w:rsidR="00DB56FC" w:rsidRDefault="00DB56FC" w:rsidP="00DB56FC">
      <w:r w:rsidRPr="00DB56FC">
        <w:t>Evidence of engagement with the sectors and other initiatives in professional practice, led by the Principal Practitioner</w:t>
      </w:r>
    </w:p>
    <w:p w14:paraId="2DEF167C" w14:textId="77777777" w:rsidR="00DB56FC" w:rsidRDefault="00DB56FC" w:rsidP="00DB56FC">
      <w:pPr>
        <w:pStyle w:val="Heading3"/>
      </w:pPr>
      <w:r w:rsidRPr="00DB56FC">
        <w:t>Result 2018-20</w:t>
      </w:r>
    </w:p>
    <w:p w14:paraId="12206733" w14:textId="17018121" w:rsidR="00DB56FC" w:rsidRDefault="00DB56FC" w:rsidP="00DB56FC">
      <w:r w:rsidRPr="00DB56FC">
        <w:t>The Principal Practitioner coordinated 15 professional learning programs, conferences and network meetings across 118 sessions, including for mentors, early-career teachers, provisionally registered teachers, principals, casual and relief teachers in Government, Catholic and Independent schools and the tertiary sector (2018-20).</w:t>
      </w:r>
    </w:p>
    <w:p w14:paraId="11A44687" w14:textId="77777777" w:rsidR="00DB56FC" w:rsidRDefault="00DB56FC" w:rsidP="00DB56FC">
      <w:pPr>
        <w:pStyle w:val="Heading3"/>
      </w:pPr>
      <w:r>
        <w:t>Measure</w:t>
      </w:r>
    </w:p>
    <w:p w14:paraId="2FC390B4" w14:textId="26638909" w:rsidR="00DB56FC" w:rsidRDefault="00DB56FC" w:rsidP="00DB56FC">
      <w:r w:rsidRPr="00DB56FC">
        <w:t>Strategic Plan reflects stakeholder and community expectations</w:t>
      </w:r>
    </w:p>
    <w:p w14:paraId="5E5FA6A6" w14:textId="77777777" w:rsidR="00DB56FC" w:rsidRDefault="00DB56FC" w:rsidP="00DB56FC">
      <w:pPr>
        <w:pStyle w:val="Heading3"/>
      </w:pPr>
      <w:r w:rsidRPr="00DB56FC">
        <w:t>Result 2018-20</w:t>
      </w:r>
    </w:p>
    <w:p w14:paraId="538CDF4E" w14:textId="47A75366" w:rsidR="00DB56FC" w:rsidRDefault="00DB56FC" w:rsidP="00DB56FC">
      <w:r w:rsidRPr="00DB56FC">
        <w:t>VIT developed a 2018-2020 Strategic Plan and business plan to implement the strategy.</w:t>
      </w:r>
    </w:p>
    <w:p w14:paraId="3BB3FBDA" w14:textId="77777777" w:rsidR="00DB56FC" w:rsidRPr="00DB56FC" w:rsidRDefault="00DB56FC" w:rsidP="00DB56FC"/>
    <w:bookmarkEnd w:id="78"/>
    <w:p w14:paraId="14E5964D" w14:textId="77777777" w:rsidR="004472BE" w:rsidRDefault="004472BE" w:rsidP="003C3AEF">
      <w:pPr>
        <w:rPr>
          <w:rFonts w:eastAsiaTheme="majorEastAsia" w:cstheme="majorBidi"/>
          <w:b/>
          <w:caps/>
          <w:color w:val="C00000"/>
          <w:sz w:val="44"/>
          <w:szCs w:val="32"/>
        </w:rPr>
      </w:pPr>
    </w:p>
    <w:p w14:paraId="67274F4F" w14:textId="77777777" w:rsidR="00645869" w:rsidRDefault="00645869" w:rsidP="00804C5C">
      <w:pPr>
        <w:pStyle w:val="Heading3"/>
        <w:sectPr w:rsidR="00645869" w:rsidSect="00DB56FC">
          <w:pgSz w:w="11906" w:h="16838"/>
          <w:pgMar w:top="1440" w:right="1440" w:bottom="1440" w:left="1440" w:header="708" w:footer="708" w:gutter="0"/>
          <w:cols w:space="708"/>
          <w:docGrid w:linePitch="360"/>
        </w:sectPr>
      </w:pPr>
    </w:p>
    <w:p w14:paraId="33E9CD8E" w14:textId="65E54B94" w:rsidR="00207234" w:rsidRDefault="00946C92" w:rsidP="00FB577C">
      <w:pPr>
        <w:pStyle w:val="Heading3"/>
      </w:pPr>
      <w:r w:rsidRPr="007F15B5">
        <w:lastRenderedPageBreak/>
        <w:t>KEY FINDINGS FOR STAKEHOLDER CONSULTATION AND ENGAGEMENT OF SECTOR COMMUNICATION</w:t>
      </w:r>
    </w:p>
    <w:p w14:paraId="28914BA0" w14:textId="77777777" w:rsidR="0002585D" w:rsidRPr="009062CF" w:rsidRDefault="0002585D" w:rsidP="002F43B7"/>
    <w:p w14:paraId="71260447" w14:textId="3B2ED35A" w:rsidR="00207234" w:rsidRPr="005E1A73" w:rsidRDefault="00207234" w:rsidP="002F43B7">
      <w:pPr>
        <w:pStyle w:val="Heading3"/>
      </w:pPr>
      <w:r w:rsidRPr="005E1A73">
        <w:t>Achievement of Minister’s expectations</w:t>
      </w:r>
    </w:p>
    <w:p w14:paraId="0E6EF4B2" w14:textId="295B0BF4" w:rsidR="00207234" w:rsidRPr="005E1A73" w:rsidRDefault="00801D6A" w:rsidP="002F43B7">
      <w:r>
        <w:t xml:space="preserve">The </w:t>
      </w:r>
      <w:r w:rsidR="00E17FE1">
        <w:t>VIT</w:t>
      </w:r>
      <w:r w:rsidR="0063654D" w:rsidRPr="005E1A73">
        <w:t xml:space="preserve"> </w:t>
      </w:r>
      <w:r w:rsidR="0060729F">
        <w:t xml:space="preserve">applied best endeavours to meet the Minister’s expectations, including </w:t>
      </w:r>
      <w:r w:rsidR="0077534B">
        <w:t xml:space="preserve">raising awareness of teacher registration and quality practice, </w:t>
      </w:r>
      <w:r w:rsidR="0060729F">
        <w:t>and engaging a Principal Practitioner</w:t>
      </w:r>
      <w:r w:rsidR="0077534B">
        <w:t xml:space="preserve"> to provide professional advice to the teaching profession</w:t>
      </w:r>
      <w:r w:rsidR="0060729F">
        <w:t xml:space="preserve">. </w:t>
      </w:r>
    </w:p>
    <w:p w14:paraId="3F0548AE" w14:textId="167560FD" w:rsidR="000D496C" w:rsidRDefault="002C00D9" w:rsidP="000D496C">
      <w:r>
        <w:t>Teachers had access to c</w:t>
      </w:r>
      <w:r w:rsidR="000D496C">
        <w:t>ompliance-related advice, including through professional teaching resources, podcasts and e-newsletters.</w:t>
      </w:r>
    </w:p>
    <w:p w14:paraId="36101FF5" w14:textId="52CB4DC8" w:rsidR="00B45ACA" w:rsidRDefault="00B45ACA" w:rsidP="000D496C">
      <w:r>
        <w:t xml:space="preserve">The Principal Practitioner provided teachers with a program of professional learning and conferences across </w:t>
      </w:r>
      <w:r w:rsidR="00040593">
        <w:t xml:space="preserve">the </w:t>
      </w:r>
      <w:r>
        <w:t>Government, Catholic and Tertiary sectors and Independent schools. The VIT collected stakeholder feedback at professional learning courses to measure its performance and received strong endorsement</w:t>
      </w:r>
      <w:r w:rsidR="00566D27">
        <w:t>, noting data on one of the feedback measures was unable to be collected</w:t>
      </w:r>
      <w:r w:rsidR="00A02176">
        <w:t xml:space="preserve">. </w:t>
      </w:r>
    </w:p>
    <w:p w14:paraId="0386BFFA" w14:textId="77777777" w:rsidR="00566D27" w:rsidRDefault="00566D27" w:rsidP="00566D27">
      <w:r>
        <w:t xml:space="preserve">The VIT updated its Strategic Plan and business plan to improve regulatory outcomes, including for child safety and teacher quality. </w:t>
      </w:r>
    </w:p>
    <w:p w14:paraId="465E80C7" w14:textId="5443BCFB" w:rsidR="00207234" w:rsidRPr="00D167C9" w:rsidRDefault="00207234" w:rsidP="002F43B7">
      <w:pPr>
        <w:pStyle w:val="Heading3"/>
      </w:pPr>
      <w:r w:rsidRPr="00D167C9">
        <w:t xml:space="preserve">Achievement of standards set out in the </w:t>
      </w:r>
      <w:r w:rsidR="00F96681">
        <w:t>SOE</w:t>
      </w:r>
      <w:r w:rsidRPr="00D167C9">
        <w:t xml:space="preserve"> Framework </w:t>
      </w:r>
    </w:p>
    <w:p w14:paraId="132B9299" w14:textId="2699B756" w:rsidR="00DE5615" w:rsidRDefault="00DE5615" w:rsidP="00DE5615">
      <w:r>
        <w:t xml:space="preserve">The VIT fulfilled all minimum standards and partially met the best practice standards of the SOE Framework. </w:t>
      </w:r>
    </w:p>
    <w:p w14:paraId="0E9C813A" w14:textId="552D0AF3" w:rsidR="00DD28FD" w:rsidRDefault="008B38E9" w:rsidP="002F43B7">
      <w:r>
        <w:t>The VIT</w:t>
      </w:r>
      <w:r w:rsidR="00D2481D">
        <w:t xml:space="preserve"> sought </w:t>
      </w:r>
      <w:r>
        <w:t xml:space="preserve">regular feedback </w:t>
      </w:r>
      <w:r w:rsidR="00DD28FD">
        <w:t>from stakeholders to improve r</w:t>
      </w:r>
      <w:r w:rsidR="00DE5615">
        <w:t>egistration processes</w:t>
      </w:r>
      <w:r w:rsidR="00DD28FD">
        <w:t>. Consultation with stakeholders informed the VIT Review discussion paper and supported policy development for future directions</w:t>
      </w:r>
      <w:r w:rsidR="002F4938">
        <w:t xml:space="preserve"> of the organisation</w:t>
      </w:r>
      <w:r w:rsidR="00DD28FD">
        <w:t xml:space="preserve">. </w:t>
      </w:r>
    </w:p>
    <w:p w14:paraId="61C28847" w14:textId="0E83091C" w:rsidR="00DE5615" w:rsidRDefault="00D2481D" w:rsidP="00DE5615">
      <w:r>
        <w:t>R</w:t>
      </w:r>
      <w:r w:rsidR="00DE5615">
        <w:t xml:space="preserve">egistration information </w:t>
      </w:r>
      <w:r>
        <w:t xml:space="preserve">was provided </w:t>
      </w:r>
      <w:r w:rsidR="00DE5615">
        <w:t>to teachers well in advance of deadlines</w:t>
      </w:r>
      <w:r w:rsidR="008B38E9">
        <w:t>. T</w:t>
      </w:r>
      <w:r>
        <w:t xml:space="preserve">he VIT </w:t>
      </w:r>
      <w:r w:rsidR="00DD28FD">
        <w:t xml:space="preserve">worked in partnership with the Department, Catholic sector and </w:t>
      </w:r>
      <w:r w:rsidR="00ED0904">
        <w:t xml:space="preserve">independent </w:t>
      </w:r>
      <w:r w:rsidR="00DD28FD">
        <w:t>schools to ensure schools were fully staffed prior to the beginning of school terms</w:t>
      </w:r>
      <w:r w:rsidR="00DE5615">
        <w:t>.</w:t>
      </w:r>
    </w:p>
    <w:p w14:paraId="4590C8C1" w14:textId="520DF357" w:rsidR="00DD28FD" w:rsidRDefault="00DD28FD" w:rsidP="002F43B7">
      <w:r>
        <w:t xml:space="preserve">The VIT </w:t>
      </w:r>
      <w:r w:rsidR="008B38E9">
        <w:t>worked</w:t>
      </w:r>
      <w:r>
        <w:t xml:space="preserve"> towards strengthening relationships with stakeholders to identify risks, evaluate performance and improve regulatory processes. The</w:t>
      </w:r>
      <w:r w:rsidR="008B38E9">
        <w:t xml:space="preserve"> VIT introduced the</w:t>
      </w:r>
      <w:r>
        <w:t xml:space="preserve"> Principal Practitioner role</w:t>
      </w:r>
      <w:r w:rsidR="008B38E9">
        <w:t xml:space="preserve">, which will enhance its ability </w:t>
      </w:r>
      <w:r>
        <w:t xml:space="preserve">to </w:t>
      </w:r>
      <w:r w:rsidR="00A94888">
        <w:t>engage</w:t>
      </w:r>
      <w:r>
        <w:t xml:space="preserve"> with the sector to improve regulation and teacher quality.</w:t>
      </w:r>
    </w:p>
    <w:p w14:paraId="2ACAD218" w14:textId="77777777" w:rsidR="00207234" w:rsidRPr="00F625AB" w:rsidRDefault="00207234" w:rsidP="002F43B7">
      <w:pPr>
        <w:pStyle w:val="Heading3"/>
      </w:pPr>
      <w:r w:rsidRPr="00F625AB">
        <w:t>Overall comment</w:t>
      </w:r>
    </w:p>
    <w:p w14:paraId="517B0B54" w14:textId="5493AF60" w:rsidR="006A6FA8" w:rsidRDefault="00BD02FB" w:rsidP="002F43B7">
      <w:r>
        <w:t xml:space="preserve">The </w:t>
      </w:r>
      <w:r w:rsidR="00F625AB" w:rsidRPr="00F625AB">
        <w:t xml:space="preserve">VIT performed </w:t>
      </w:r>
      <w:r w:rsidR="00ED582D">
        <w:t xml:space="preserve">well in supporting teachers to comply with registration requirements, </w:t>
      </w:r>
      <w:r w:rsidR="00F625AB">
        <w:t xml:space="preserve">including </w:t>
      </w:r>
      <w:r w:rsidR="00026671">
        <w:t>providing compliance</w:t>
      </w:r>
      <w:r w:rsidR="005F2410">
        <w:t xml:space="preserve"> </w:t>
      </w:r>
      <w:r w:rsidR="00026671">
        <w:t>advice</w:t>
      </w:r>
      <w:r w:rsidR="00E0581E">
        <w:t xml:space="preserve"> and</w:t>
      </w:r>
      <w:r w:rsidR="00026671">
        <w:t xml:space="preserve"> professional learning programs</w:t>
      </w:r>
      <w:r w:rsidR="00E0581E">
        <w:t xml:space="preserve">. </w:t>
      </w:r>
      <w:r w:rsidR="00DD28FD">
        <w:t xml:space="preserve">A key risk is that the VIT does not </w:t>
      </w:r>
      <w:r w:rsidR="00DD28FD" w:rsidRPr="007F0BEE">
        <w:t>c</w:t>
      </w:r>
      <w:r w:rsidR="00DD28FD">
        <w:t>onduct annual stakeholder surveys to engage consistently with regulated parties and seek feedback on performance. Proactively</w:t>
      </w:r>
      <w:r w:rsidR="005F2410">
        <w:t xml:space="preserve"> working towards improving stakeholder engagement </w:t>
      </w:r>
      <w:r w:rsidR="00DD28FD">
        <w:t xml:space="preserve">will continue to </w:t>
      </w:r>
      <w:r w:rsidR="005F2410">
        <w:t>support effective regulatory design</w:t>
      </w:r>
      <w:r w:rsidR="00DD28FD">
        <w:t xml:space="preserve"> and improve compliance and satisfaction</w:t>
      </w:r>
      <w:r w:rsidRPr="00BD02FB">
        <w:t xml:space="preserve">. </w:t>
      </w:r>
      <w:r w:rsidR="005963E8">
        <w:t xml:space="preserve">This approach will improve effectiveness </w:t>
      </w:r>
      <w:r w:rsidR="003E4EAE">
        <w:t xml:space="preserve">of stakeholder consultation and engagement </w:t>
      </w:r>
      <w:r w:rsidR="005963E8">
        <w:t>over time.</w:t>
      </w:r>
      <w:r w:rsidRPr="00BD02FB">
        <w:t xml:space="preserve"> </w:t>
      </w:r>
    </w:p>
    <w:p w14:paraId="687FEF63" w14:textId="786E713A" w:rsidR="002D6466" w:rsidRPr="002D6466" w:rsidRDefault="002D6466" w:rsidP="002D6466">
      <w:pPr>
        <w:sectPr w:rsidR="002D6466" w:rsidRPr="002D6466" w:rsidSect="00645869">
          <w:pgSz w:w="11906" w:h="16838"/>
          <w:pgMar w:top="1440" w:right="1440" w:bottom="1440" w:left="1440" w:header="708" w:footer="708" w:gutter="0"/>
          <w:cols w:space="708"/>
          <w:docGrid w:linePitch="360"/>
        </w:sectPr>
      </w:pPr>
    </w:p>
    <w:p w14:paraId="21954B59" w14:textId="37544963" w:rsidR="00B6693D" w:rsidRDefault="00946C92" w:rsidP="003C69EB">
      <w:pPr>
        <w:pStyle w:val="Heading2"/>
      </w:pPr>
      <w:bookmarkStart w:id="79" w:name="_Toc48559343"/>
      <w:r>
        <w:lastRenderedPageBreak/>
        <w:t xml:space="preserve">CHILD </w:t>
      </w:r>
      <w:r w:rsidR="003C69EB">
        <w:t>SAFETY – ROLE CLARITY DATA</w:t>
      </w:r>
      <w:bookmarkEnd w:id="79"/>
      <w:r w:rsidR="003C69EB">
        <w:t xml:space="preserve"> </w:t>
      </w:r>
      <w:bookmarkStart w:id="80" w:name="_Hlk37761903"/>
    </w:p>
    <w:p w14:paraId="7778649A" w14:textId="146ED0E9" w:rsidR="00B6693D" w:rsidRDefault="002F201D" w:rsidP="00B6693D">
      <w:r>
        <w:t xml:space="preserve">The data below </w:t>
      </w:r>
      <w:r w:rsidR="00A94888">
        <w:t xml:space="preserve">addressed </w:t>
      </w:r>
      <w:r>
        <w:t xml:space="preserve">the suggested element of good regulatory practice ‘role clarity’ in the SOE Framework. Role clarity in this context </w:t>
      </w:r>
      <w:r w:rsidR="00A94888">
        <w:t xml:space="preserve">referred </w:t>
      </w:r>
      <w:r>
        <w:t xml:space="preserve">to clearly defined roles and responsibilities of regulators </w:t>
      </w:r>
      <w:r w:rsidR="00957D45">
        <w:t xml:space="preserve">to </w:t>
      </w:r>
      <w:r>
        <w:t xml:space="preserve">strengthen regulatory performance and outcomes. </w:t>
      </w:r>
      <w:r w:rsidR="00D71B0C">
        <w:t>The VIT committed to the following activities t</w:t>
      </w:r>
      <w:r>
        <w:t xml:space="preserve">o meet </w:t>
      </w:r>
      <w:r w:rsidR="00D71B0C">
        <w:t xml:space="preserve">the Minister’s </w:t>
      </w:r>
      <w:r>
        <w:t xml:space="preserve">expectation to improve </w:t>
      </w:r>
      <w:r w:rsidR="00957D45">
        <w:t>child safety</w:t>
      </w:r>
      <w:r>
        <w:t xml:space="preserve">. </w:t>
      </w:r>
    </w:p>
    <w:p w14:paraId="7A5146C5" w14:textId="00554AC7" w:rsidR="00A80FBE" w:rsidRDefault="00837F2B" w:rsidP="00837F2B">
      <w:pPr>
        <w:pStyle w:val="Heading3"/>
      </w:pPr>
      <w:r w:rsidRPr="00837F2B">
        <w:t>Expectation</w:t>
      </w:r>
    </w:p>
    <w:p w14:paraId="3D2EA5A8" w14:textId="77777777" w:rsidR="00837F2B" w:rsidRDefault="00837F2B" w:rsidP="00837F2B">
      <w:r>
        <w:t xml:space="preserve">Contributing to and collaborating with the Department on the development of reforms to Part 2.6 of the Education and Training Reform Act 2006 (the Act), including the teacher disciplinary system, to ensure that the VIT’s procedures represent best regulatory practice and address issues with the current system as identified in the VIT Review. </w:t>
      </w:r>
    </w:p>
    <w:p w14:paraId="2EDA9423" w14:textId="77777777" w:rsidR="00837F2B" w:rsidRDefault="00837F2B" w:rsidP="00837F2B">
      <w:r>
        <w:t>Supporting the Government to consider and implement regulatory amendments arising from the VIT Review including the statutory</w:t>
      </w:r>
    </w:p>
    <w:p w14:paraId="1271CE05" w14:textId="77777777" w:rsidR="00837F2B" w:rsidRDefault="00837F2B" w:rsidP="00837F2B">
      <w:r>
        <w:t>requirement for the VIT to consider child safety and wellbeing, greater alignment of VIT registration to the WWC Check scheme, and coordination and information sharing between agencies and regulators.</w:t>
      </w:r>
    </w:p>
    <w:p w14:paraId="23A54F94" w14:textId="77777777" w:rsidR="00837F2B" w:rsidRDefault="00837F2B" w:rsidP="00837F2B">
      <w:r>
        <w:t>Recommendation 1 of the VIT Review – The Review recommends a comprehensive overhaul of Part 2.6 of the Act in order to streamline its operation and to ensure that it represents modern regulatory practice in connection with professional disciplinary schemes. In overhauling Part 2.6, consideration needs to be given to:</w:t>
      </w:r>
    </w:p>
    <w:p w14:paraId="17EAB30A" w14:textId="77777777" w:rsidR="00837F2B" w:rsidRDefault="00837F2B" w:rsidP="00837F2B">
      <w:r>
        <w:t>c) Giving the VIT specific legislative objects in relation to:</w:t>
      </w:r>
    </w:p>
    <w:p w14:paraId="21E34B0B" w14:textId="632ED4E5" w:rsidR="00837F2B" w:rsidRDefault="00837F2B" w:rsidP="00837F2B">
      <w:pPr>
        <w:pStyle w:val="Bullet1"/>
      </w:pPr>
      <w:r>
        <w:t>ensuring child safety and wellbeing</w:t>
      </w:r>
    </w:p>
    <w:p w14:paraId="27C2B89E" w14:textId="1A84AFF3" w:rsidR="00837F2B" w:rsidRDefault="00837F2B" w:rsidP="00837F2B">
      <w:pPr>
        <w:pStyle w:val="Bullet1"/>
      </w:pPr>
      <w:proofErr w:type="gramStart"/>
      <w:r>
        <w:t>taking into account</w:t>
      </w:r>
      <w:proofErr w:type="gramEnd"/>
      <w:r>
        <w:t xml:space="preserve"> community expectations</w:t>
      </w:r>
    </w:p>
    <w:p w14:paraId="74315425" w14:textId="226CE2B9" w:rsidR="00837F2B" w:rsidRDefault="00837F2B" w:rsidP="00837F2B">
      <w:pPr>
        <w:pStyle w:val="Bullet1"/>
      </w:pPr>
      <w:r>
        <w:t>ensuring quality of teaching and teachers.</w:t>
      </w:r>
    </w:p>
    <w:p w14:paraId="63225EB3" w14:textId="1A306D12" w:rsidR="00837F2B" w:rsidRDefault="00837F2B" w:rsidP="00837F2B">
      <w:r>
        <w:t>The VIT should provide data, information and advice to the Department.</w:t>
      </w:r>
    </w:p>
    <w:p w14:paraId="4ED51066" w14:textId="4A29F425" w:rsidR="00837F2B" w:rsidRDefault="00837F2B" w:rsidP="00837F2B">
      <w:pPr>
        <w:pStyle w:val="Heading3"/>
      </w:pPr>
      <w:r w:rsidRPr="00837F2B">
        <w:t>Response Activity</w:t>
      </w:r>
    </w:p>
    <w:p w14:paraId="4690AFB3" w14:textId="77777777" w:rsidR="00837F2B" w:rsidRDefault="00837F2B" w:rsidP="00837F2B">
      <w:r>
        <w:t>To support effective regulation the VIT will:</w:t>
      </w:r>
    </w:p>
    <w:p w14:paraId="37B14AE2" w14:textId="1EAD6DD8" w:rsidR="00837F2B" w:rsidRDefault="00837F2B" w:rsidP="00837F2B">
      <w:pPr>
        <w:pStyle w:val="Bullet1"/>
      </w:pPr>
      <w:r>
        <w:t>review its regulatory framework and tools to promote the best interests of children</w:t>
      </w:r>
    </w:p>
    <w:p w14:paraId="27928650" w14:textId="20015D56" w:rsidR="00837F2B" w:rsidRDefault="00837F2B" w:rsidP="00837F2B">
      <w:pPr>
        <w:pStyle w:val="Bullet1"/>
      </w:pPr>
      <w:r>
        <w:t>work with the Department and co-regulators to form a community of practice and adopt strategies to ensure suitable persons are registered as teachers.</w:t>
      </w:r>
    </w:p>
    <w:p w14:paraId="3B37661B" w14:textId="77777777" w:rsidR="00837F2B" w:rsidRDefault="00837F2B" w:rsidP="00837F2B">
      <w:r>
        <w:t>In response to the Minister’s expectation, the VIT will:</w:t>
      </w:r>
    </w:p>
    <w:p w14:paraId="5754F8BE" w14:textId="0A0A438F" w:rsidR="00837F2B" w:rsidRDefault="00837F2B" w:rsidP="00837F2B">
      <w:pPr>
        <w:pStyle w:val="Bullet1"/>
      </w:pPr>
      <w:r>
        <w:t>work with the Department on legislative reform to modernise regulatory tools and frameworks</w:t>
      </w:r>
    </w:p>
    <w:p w14:paraId="71D7702E" w14:textId="78A14E45" w:rsidR="00837F2B" w:rsidRDefault="00837F2B" w:rsidP="00837F2B">
      <w:pPr>
        <w:pStyle w:val="Bullet1"/>
      </w:pPr>
      <w:r>
        <w:t xml:space="preserve">draw on the experience and practice of other regulators to develop modern practice. </w:t>
      </w:r>
    </w:p>
    <w:p w14:paraId="70F788C6" w14:textId="77777777" w:rsidR="00837F2B" w:rsidRDefault="00837F2B" w:rsidP="00837F2B">
      <w:r>
        <w:t>To promote child safety and wellbeing the VIT will:</w:t>
      </w:r>
    </w:p>
    <w:p w14:paraId="6346FBB4" w14:textId="658D6648" w:rsidR="00837F2B" w:rsidRDefault="00837F2B" w:rsidP="00837F2B">
      <w:pPr>
        <w:pStyle w:val="Bullet1"/>
      </w:pPr>
      <w:r>
        <w:t>collaborate with co-regulators to support implementation of the RCS</w:t>
      </w:r>
    </w:p>
    <w:p w14:paraId="35331842" w14:textId="31F796A9" w:rsidR="00837F2B" w:rsidRDefault="00837F2B" w:rsidP="00837F2B">
      <w:pPr>
        <w:pStyle w:val="Bullet1"/>
      </w:pPr>
      <w:r>
        <w:t xml:space="preserve">update regulatory framework and policies to respond to the Betrayal of Trust Inquiry and Royal Commission </w:t>
      </w:r>
    </w:p>
    <w:p w14:paraId="04367D16" w14:textId="0F130D83" w:rsidR="00837F2B" w:rsidRDefault="00837F2B" w:rsidP="00837F2B">
      <w:pPr>
        <w:pStyle w:val="Bullet1"/>
      </w:pPr>
      <w:r>
        <w:t>take a risk-based approach to reduce non-compliance, including adoption of best practice in business systems.</w:t>
      </w:r>
    </w:p>
    <w:p w14:paraId="3969780E" w14:textId="77777777" w:rsidR="00837F2B" w:rsidRDefault="00837F2B" w:rsidP="00837F2B">
      <w:r>
        <w:lastRenderedPageBreak/>
        <w:t>In response to the Minister’s expectation, the VIT will:</w:t>
      </w:r>
    </w:p>
    <w:p w14:paraId="1E2F7A5E" w14:textId="5AA75A1C" w:rsidR="00837F2B" w:rsidRDefault="00837F2B" w:rsidP="00837F2B">
      <w:pPr>
        <w:pStyle w:val="Bullet1"/>
      </w:pPr>
      <w:r>
        <w:t>update its Strategic Plan to reflect legislative change to functions</w:t>
      </w:r>
    </w:p>
    <w:p w14:paraId="1E76345A" w14:textId="5B53CE70" w:rsidR="00837F2B" w:rsidRDefault="00837F2B" w:rsidP="00837F2B">
      <w:pPr>
        <w:pStyle w:val="Bullet1"/>
      </w:pPr>
      <w:r>
        <w:t xml:space="preserve">work with the Department on legislative reform </w:t>
      </w:r>
    </w:p>
    <w:p w14:paraId="37C3301F" w14:textId="237CE611" w:rsidR="00837F2B" w:rsidRDefault="00837F2B" w:rsidP="00837F2B">
      <w:pPr>
        <w:pStyle w:val="Bullet1"/>
      </w:pPr>
      <w:r>
        <w:t>align VIT processes with DJCS WWC Check Unit</w:t>
      </w:r>
    </w:p>
    <w:p w14:paraId="46880396" w14:textId="09239ED1" w:rsidR="00837F2B" w:rsidRDefault="00837F2B" w:rsidP="00837F2B">
      <w:pPr>
        <w:pStyle w:val="Bullet1"/>
      </w:pPr>
      <w:r>
        <w:t xml:space="preserve">develop and review </w:t>
      </w:r>
      <w:proofErr w:type="spellStart"/>
      <w:r>
        <w:t>MoUs</w:t>
      </w:r>
      <w:proofErr w:type="spellEnd"/>
      <w:r>
        <w:t xml:space="preserve"> with co-regulators.</w:t>
      </w:r>
    </w:p>
    <w:p w14:paraId="36906209" w14:textId="0ED1FD93" w:rsidR="00837F2B" w:rsidRDefault="00837F2B" w:rsidP="00837F2B">
      <w:pPr>
        <w:pStyle w:val="Heading3"/>
      </w:pPr>
      <w:r w:rsidRPr="00837F2B">
        <w:t>Outcome</w:t>
      </w:r>
    </w:p>
    <w:p w14:paraId="28F9974B" w14:textId="4DBE6722" w:rsidR="00837F2B" w:rsidRDefault="00837F2B" w:rsidP="00837F2B">
      <w:r w:rsidRPr="00837F2B">
        <w:t>Improved disciplinary procedures</w:t>
      </w:r>
    </w:p>
    <w:p w14:paraId="1C8762E3" w14:textId="266DD0D3" w:rsidR="00837F2B" w:rsidRDefault="00837F2B" w:rsidP="00837F2B">
      <w:pPr>
        <w:pStyle w:val="Heading3"/>
      </w:pPr>
      <w:r>
        <w:t>Measure</w:t>
      </w:r>
    </w:p>
    <w:p w14:paraId="5DF0EB7E" w14:textId="197E88B5" w:rsidR="00837F2B" w:rsidRDefault="00837F2B" w:rsidP="00837F2B">
      <w:r w:rsidRPr="00837F2B">
        <w:t>Staff and stakeholders understand the objectives of the regulation and place a high value on student safety and wellbeing</w:t>
      </w:r>
    </w:p>
    <w:p w14:paraId="264F4DAA" w14:textId="170E566D" w:rsidR="00837F2B" w:rsidRDefault="00837F2B" w:rsidP="00837F2B">
      <w:pPr>
        <w:pStyle w:val="Heading3"/>
      </w:pPr>
      <w:r>
        <w:t>Result 2018-20</w:t>
      </w:r>
    </w:p>
    <w:p w14:paraId="68543DFC" w14:textId="568367C1" w:rsidR="00837F2B" w:rsidRDefault="00837F2B" w:rsidP="00837F2B">
      <w:r>
        <w:t>12.53% of PRT believed that ‘protecting the safety, welfare and wellbeing of children’ was a core function for VIT (Survey of Provisionally Registered Teachers, 2018)</w:t>
      </w:r>
    </w:p>
    <w:p w14:paraId="1C1641FB" w14:textId="02DAD719" w:rsidR="00837F2B" w:rsidRPr="00837F2B" w:rsidRDefault="00837F2B" w:rsidP="00837F2B">
      <w:r>
        <w:t>Data unavailable for 2019 as Survey was not conducted (this is not an annual survey)</w:t>
      </w:r>
    </w:p>
    <w:p w14:paraId="2668C266" w14:textId="211AE49F" w:rsidR="00B6693D" w:rsidRDefault="00B6693D" w:rsidP="00B6693D"/>
    <w:p w14:paraId="45FB5267" w14:textId="77777777" w:rsidR="00645869" w:rsidRDefault="00645869" w:rsidP="00E25411">
      <w:pPr>
        <w:pStyle w:val="Heading3"/>
        <w:sectPr w:rsidR="00645869" w:rsidSect="0067469E">
          <w:pgSz w:w="11906" w:h="16838"/>
          <w:pgMar w:top="1440" w:right="1440" w:bottom="1440" w:left="1440" w:header="708" w:footer="708" w:gutter="0"/>
          <w:cols w:space="708"/>
          <w:docGrid w:linePitch="360"/>
        </w:sectPr>
      </w:pPr>
    </w:p>
    <w:p w14:paraId="27AA7705" w14:textId="7CE93077" w:rsidR="00E25411" w:rsidRPr="00B41086" w:rsidRDefault="00946C92" w:rsidP="00FB577C">
      <w:pPr>
        <w:pStyle w:val="Heading3"/>
      </w:pPr>
      <w:r w:rsidRPr="00B41086">
        <w:lastRenderedPageBreak/>
        <w:t>KEY FINDINGS</w:t>
      </w:r>
      <w:r>
        <w:t xml:space="preserve"> FOR ROLE CLARITY OF CHILD SAFETY</w:t>
      </w:r>
    </w:p>
    <w:p w14:paraId="02182240" w14:textId="77777777" w:rsidR="0002585D" w:rsidRDefault="0002585D">
      <w:pPr>
        <w:pStyle w:val="Heading3"/>
      </w:pPr>
    </w:p>
    <w:p w14:paraId="51A4BC61" w14:textId="690F1150" w:rsidR="00E25411" w:rsidRPr="00B41086" w:rsidRDefault="00E25411" w:rsidP="002F43B7">
      <w:pPr>
        <w:pStyle w:val="Heading3"/>
      </w:pPr>
      <w:r w:rsidRPr="00B41086">
        <w:t>Achievement of Minister’s expectations</w:t>
      </w:r>
      <w:r w:rsidR="00A47235">
        <w:t xml:space="preserve"> </w:t>
      </w:r>
    </w:p>
    <w:p w14:paraId="02CFD5EA" w14:textId="7CE74A29" w:rsidR="00A83726" w:rsidRDefault="006269A9" w:rsidP="0081111A">
      <w:r w:rsidRPr="00A83726">
        <w:t xml:space="preserve">The </w:t>
      </w:r>
      <w:r w:rsidR="00B41086" w:rsidRPr="00A83726">
        <w:t>VIT</w:t>
      </w:r>
      <w:r w:rsidR="00E25411" w:rsidRPr="00A83726">
        <w:t xml:space="preserve"> </w:t>
      </w:r>
      <w:r w:rsidR="002638CD">
        <w:t>progressed</w:t>
      </w:r>
      <w:r w:rsidR="00C10981" w:rsidRPr="00A83726">
        <w:t xml:space="preserve"> towards meeting</w:t>
      </w:r>
      <w:r w:rsidR="00E25411" w:rsidRPr="00A83726">
        <w:t xml:space="preserve"> the Minister’s expectation to </w:t>
      </w:r>
      <w:r w:rsidR="00A83726" w:rsidRPr="00A83726">
        <w:t>implement legislative reforms and u</w:t>
      </w:r>
      <w:r w:rsidR="00B41086" w:rsidRPr="00A83726">
        <w:t>pdate its regulatory practices</w:t>
      </w:r>
      <w:r w:rsidR="00A83726" w:rsidRPr="00A83726">
        <w:t xml:space="preserve"> in respect to child safety</w:t>
      </w:r>
      <w:r w:rsidR="00A83726">
        <w:t>.</w:t>
      </w:r>
    </w:p>
    <w:p w14:paraId="2D1CF58B" w14:textId="334CB208" w:rsidR="0081111A" w:rsidRPr="00A83726" w:rsidRDefault="0081111A" w:rsidP="002F43B7">
      <w:r>
        <w:t>The VIT provided compliance advice online to clarify the VIT’s new role in child safety</w:t>
      </w:r>
      <w:r w:rsidRPr="00FD64CE">
        <w:t xml:space="preserve">, </w:t>
      </w:r>
      <w:r>
        <w:t xml:space="preserve">which came into force </w:t>
      </w:r>
      <w:r w:rsidRPr="00FD64CE">
        <w:t>from 1 September 2019.</w:t>
      </w:r>
      <w:r>
        <w:t xml:space="preserve"> However, the </w:t>
      </w:r>
      <w:r w:rsidR="00F04BC0">
        <w:t xml:space="preserve">VIT was not able to </w:t>
      </w:r>
      <w:r w:rsidR="002638CD">
        <w:t>undertake rel</w:t>
      </w:r>
      <w:r w:rsidR="00ED0904">
        <w:t>ated</w:t>
      </w:r>
      <w:r w:rsidR="002638CD">
        <w:t xml:space="preserve"> data collection for the performance measure</w:t>
      </w:r>
      <w:r w:rsidR="00F04BC0">
        <w:t xml:space="preserve">, as the survey occurred before the relevant legislative reform. Therefore, the </w:t>
      </w:r>
      <w:r>
        <w:t xml:space="preserve">data </w:t>
      </w:r>
      <w:r w:rsidR="002638CD">
        <w:t xml:space="preserve">provided </w:t>
      </w:r>
      <w:r w:rsidR="00F04BC0">
        <w:t xml:space="preserve">is a baseline for applicable data in future years. </w:t>
      </w:r>
    </w:p>
    <w:p w14:paraId="4399C297" w14:textId="1FFF745C" w:rsidR="00E25411" w:rsidRPr="00990EC1" w:rsidRDefault="00E25411" w:rsidP="002F43B7">
      <w:pPr>
        <w:pStyle w:val="Heading3"/>
      </w:pPr>
      <w:r w:rsidRPr="00990EC1">
        <w:t xml:space="preserve">Achievement of standards set out in the </w:t>
      </w:r>
      <w:r w:rsidR="002347F1">
        <w:t>SOE</w:t>
      </w:r>
      <w:r w:rsidRPr="00990EC1">
        <w:t xml:space="preserve"> Framework </w:t>
      </w:r>
    </w:p>
    <w:p w14:paraId="6F2410BE" w14:textId="247C5850" w:rsidR="00602C30" w:rsidRDefault="00602C30" w:rsidP="00602C30">
      <w:r>
        <w:t xml:space="preserve">The VIT has met all minimum and best practice standards of the SOE Framework. </w:t>
      </w:r>
    </w:p>
    <w:p w14:paraId="6CBB0485" w14:textId="6174B4C3" w:rsidR="00602C30" w:rsidRPr="0044685D" w:rsidRDefault="002638CD" w:rsidP="00602C30">
      <w:r>
        <w:t>Child safety was monitored through q</w:t>
      </w:r>
      <w:r w:rsidR="00AA53EF" w:rsidRPr="00966C7A">
        <w:t>uality assurance process</w:t>
      </w:r>
      <w:r w:rsidR="00C1683E">
        <w:t>es</w:t>
      </w:r>
      <w:r w:rsidR="00AA53EF">
        <w:t xml:space="preserve">, </w:t>
      </w:r>
      <w:r w:rsidR="00C1683E">
        <w:t xml:space="preserve">including </w:t>
      </w:r>
      <w:r w:rsidR="00AA53EF" w:rsidRPr="00966C7A">
        <w:t xml:space="preserve">the Nationally Coordinated Criminal History Check </w:t>
      </w:r>
      <w:r w:rsidR="00E73565">
        <w:t xml:space="preserve">(NCCHC) </w:t>
      </w:r>
      <w:r w:rsidR="00AA53EF" w:rsidRPr="00966C7A">
        <w:t xml:space="preserve">required </w:t>
      </w:r>
      <w:r w:rsidR="00950ED3">
        <w:t>for</w:t>
      </w:r>
      <w:r w:rsidR="00AA53EF" w:rsidRPr="00966C7A">
        <w:t xml:space="preserve"> registration</w:t>
      </w:r>
      <w:r w:rsidR="00841558">
        <w:t xml:space="preserve"> and </w:t>
      </w:r>
      <w:r w:rsidR="00C1683E">
        <w:t>the disciplinary processes</w:t>
      </w:r>
      <w:r w:rsidR="00406ABB">
        <w:t>.</w:t>
      </w:r>
      <w:r w:rsidR="00AA53EF">
        <w:t xml:space="preserve"> </w:t>
      </w:r>
      <w:r w:rsidR="00602C30">
        <w:t xml:space="preserve">The VIT provided assurance to the Victorian community that teachers </w:t>
      </w:r>
      <w:r>
        <w:t>met</w:t>
      </w:r>
      <w:r w:rsidR="00602C30">
        <w:t xml:space="preserve"> their mandated registration requirements through publishing the Register of Teachers and the Register of Disciplinary Action</w:t>
      </w:r>
      <w:r w:rsidR="00B255D7">
        <w:t xml:space="preserve"> online</w:t>
      </w:r>
      <w:r w:rsidR="00602C30">
        <w:t>.</w:t>
      </w:r>
    </w:p>
    <w:p w14:paraId="2062AE19" w14:textId="43C51455" w:rsidR="001668A2" w:rsidRPr="001724B2" w:rsidRDefault="003779F8" w:rsidP="002F43B7">
      <w:r w:rsidRPr="00AA1D9A">
        <w:t xml:space="preserve">Formal roles </w:t>
      </w:r>
      <w:r>
        <w:t xml:space="preserve">to manage child safety in the </w:t>
      </w:r>
      <w:r w:rsidR="00886BF4">
        <w:t>RCS</w:t>
      </w:r>
      <w:r>
        <w:t xml:space="preserve"> </w:t>
      </w:r>
      <w:r w:rsidR="002638CD">
        <w:t>have been outlined</w:t>
      </w:r>
      <w:r w:rsidRPr="00AA1D9A">
        <w:t xml:space="preserve"> in the </w:t>
      </w:r>
      <w:r w:rsidRPr="00AA1D9A">
        <w:rPr>
          <w:i/>
          <w:iCs/>
        </w:rPr>
        <w:t>Child Wellbeing and Safety Act 2005</w:t>
      </w:r>
      <w:r w:rsidRPr="00AA1D9A">
        <w:t xml:space="preserve"> to promote cooperation between regulators</w:t>
      </w:r>
      <w:r>
        <w:t>.</w:t>
      </w:r>
      <w:r w:rsidRPr="00AA1D9A">
        <w:t xml:space="preserve"> </w:t>
      </w:r>
      <w:r w:rsidR="009956EC">
        <w:t xml:space="preserve">The </w:t>
      </w:r>
      <w:r w:rsidR="00F37F50">
        <w:t xml:space="preserve">VIT </w:t>
      </w:r>
      <w:r w:rsidR="00C03A63">
        <w:t>has</w:t>
      </w:r>
      <w:r w:rsidR="00F37F50">
        <w:t xml:space="preserve"> documented and established processes of working together</w:t>
      </w:r>
      <w:r w:rsidR="00C03A63">
        <w:t xml:space="preserve"> with co-regulators</w:t>
      </w:r>
      <w:r w:rsidR="00F37F50">
        <w:t>, for</w:t>
      </w:r>
      <w:r w:rsidR="00C03A63">
        <w:t xml:space="preserve"> example in </w:t>
      </w:r>
      <w:r w:rsidR="00C86459">
        <w:t xml:space="preserve">Memoranda </w:t>
      </w:r>
      <w:r w:rsidR="00C53210">
        <w:t>of Understanding</w:t>
      </w:r>
      <w:r w:rsidR="00C03A63">
        <w:t xml:space="preserve">’s (MoU) </w:t>
      </w:r>
      <w:r w:rsidR="00B6159D">
        <w:t>for</w:t>
      </w:r>
      <w:r w:rsidR="00D9377E">
        <w:t xml:space="preserve"> the </w:t>
      </w:r>
      <w:r w:rsidR="00886BF4">
        <w:t>RCS</w:t>
      </w:r>
      <w:r w:rsidR="00C53210">
        <w:t>.</w:t>
      </w:r>
      <w:r w:rsidR="00D9377E">
        <w:t xml:space="preserve"> </w:t>
      </w:r>
    </w:p>
    <w:p w14:paraId="146838F1" w14:textId="77777777" w:rsidR="00E25411" w:rsidRPr="008A6575" w:rsidRDefault="00E25411" w:rsidP="002F43B7">
      <w:pPr>
        <w:pStyle w:val="Heading3"/>
      </w:pPr>
      <w:r w:rsidRPr="008A6575">
        <w:t>Overall comment</w:t>
      </w:r>
    </w:p>
    <w:p w14:paraId="54A8CA48" w14:textId="66BAEB42" w:rsidR="00645869" w:rsidRDefault="00455F1B" w:rsidP="002F43B7">
      <w:pPr>
        <w:sectPr w:rsidR="00645869" w:rsidSect="00645869">
          <w:pgSz w:w="11906" w:h="16838"/>
          <w:pgMar w:top="1440" w:right="1440" w:bottom="1440" w:left="1440" w:header="708" w:footer="708" w:gutter="0"/>
          <w:cols w:space="708"/>
          <w:docGrid w:linePitch="360"/>
        </w:sectPr>
      </w:pPr>
      <w:r w:rsidRPr="0007138B">
        <w:t xml:space="preserve">The VIT </w:t>
      </w:r>
      <w:r w:rsidR="00B23CE4" w:rsidRPr="0007138B">
        <w:t>has performed well in</w:t>
      </w:r>
      <w:r w:rsidRPr="0007138B">
        <w:t xml:space="preserve"> meeting community expectations, </w:t>
      </w:r>
      <w:r w:rsidR="0007138B" w:rsidRPr="0007138B">
        <w:t xml:space="preserve">particularly around </w:t>
      </w:r>
      <w:r w:rsidR="0007138B">
        <w:t>providing assurance to the community that teachers are safe to work with children</w:t>
      </w:r>
      <w:r w:rsidR="00602C30">
        <w:t xml:space="preserve">. A key risk </w:t>
      </w:r>
      <w:r w:rsidR="002638CD">
        <w:t xml:space="preserve">was </w:t>
      </w:r>
      <w:r w:rsidR="00602C30">
        <w:t xml:space="preserve">that teachers </w:t>
      </w:r>
      <w:r w:rsidR="002638CD">
        <w:t>have been unclear</w:t>
      </w:r>
      <w:r w:rsidR="00602C30">
        <w:t xml:space="preserve"> on the role of the VIT as a regulator rather than a professional association. </w:t>
      </w:r>
      <w:r w:rsidR="00691164">
        <w:t>Other risks include</w:t>
      </w:r>
      <w:r w:rsidR="002638CD">
        <w:t>d</w:t>
      </w:r>
      <w:r w:rsidR="00691164">
        <w:t xml:space="preserve"> the complexities of implementing the </w:t>
      </w:r>
      <w:r w:rsidR="00886BF4">
        <w:t xml:space="preserve">RCS </w:t>
      </w:r>
      <w:r w:rsidR="00691164">
        <w:t xml:space="preserve">in alignment with co-regulators and presenting a streamlined approach. The VIT should continue to develop compliance guidance to clarify roles and responsibilities in the complex child safety regulatory environment. </w:t>
      </w:r>
      <w:r w:rsidR="00C86459">
        <w:t xml:space="preserve">The approach to child safety is evolving and good partnerships with co-regulators </w:t>
      </w:r>
      <w:r w:rsidR="002638CD">
        <w:t>have improved</w:t>
      </w:r>
      <w:r w:rsidR="00C86459">
        <w:t xml:space="preserve"> regulatory outcomes. </w:t>
      </w:r>
    </w:p>
    <w:p w14:paraId="1CFA44BC" w14:textId="048A1612" w:rsidR="000526FA" w:rsidRDefault="00946C92" w:rsidP="000526FA">
      <w:pPr>
        <w:pStyle w:val="Heading2"/>
      </w:pPr>
      <w:bookmarkStart w:id="81" w:name="_Toc38349029"/>
      <w:bookmarkStart w:id="82" w:name="_Toc38349294"/>
      <w:bookmarkStart w:id="83" w:name="_Toc48559344"/>
      <w:r>
        <w:lastRenderedPageBreak/>
        <w:t xml:space="preserve">CHILD SAFETY </w:t>
      </w:r>
      <w:r w:rsidR="00622BF4">
        <w:t>–</w:t>
      </w:r>
      <w:r>
        <w:t xml:space="preserve"> COOPERATION AMONGST REGULATORS</w:t>
      </w:r>
      <w:bookmarkEnd w:id="81"/>
      <w:bookmarkEnd w:id="82"/>
      <w:r>
        <w:t xml:space="preserve"> DATA</w:t>
      </w:r>
      <w:bookmarkEnd w:id="83"/>
      <w:r>
        <w:t xml:space="preserve">  </w:t>
      </w:r>
    </w:p>
    <w:p w14:paraId="482B98B8" w14:textId="615E0052" w:rsidR="000526FA" w:rsidRDefault="0093562E" w:rsidP="000526FA">
      <w:r>
        <w:t xml:space="preserve">The data below </w:t>
      </w:r>
      <w:r w:rsidR="009B6F3E">
        <w:t xml:space="preserve">addressed </w:t>
      </w:r>
      <w:r>
        <w:t xml:space="preserve">the suggested element of good regulatory practice ‘cooperation amongst regulators’ in the SOE Framework. Cooperation amongst regulators in this context </w:t>
      </w:r>
      <w:r w:rsidR="009B6F3E">
        <w:t xml:space="preserve">referred </w:t>
      </w:r>
      <w:r>
        <w:t xml:space="preserve">to sharing information and developing a common understanding of regulation </w:t>
      </w:r>
      <w:r w:rsidR="001141D2">
        <w:t xml:space="preserve">to </w:t>
      </w:r>
      <w:r>
        <w:t xml:space="preserve">support a positive compliance culture and improve outcomes. </w:t>
      </w:r>
      <w:r w:rsidR="00814652">
        <w:t>The VIT committed to the following activities t</w:t>
      </w:r>
      <w:r>
        <w:t xml:space="preserve">o meet </w:t>
      </w:r>
      <w:r w:rsidR="00814652">
        <w:t xml:space="preserve">the Minister’s </w:t>
      </w:r>
      <w:r>
        <w:t xml:space="preserve">expectation to improve child safety. </w:t>
      </w:r>
    </w:p>
    <w:p w14:paraId="6E3F38C1" w14:textId="38DA01FF" w:rsidR="00E8420B" w:rsidRDefault="00E8420B" w:rsidP="00E8420B">
      <w:pPr>
        <w:pStyle w:val="Heading3"/>
      </w:pPr>
      <w:r>
        <w:t>Expectation</w:t>
      </w:r>
    </w:p>
    <w:p w14:paraId="06042632" w14:textId="77777777" w:rsidR="00E8420B" w:rsidRDefault="00E8420B" w:rsidP="00E8420B">
      <w:r>
        <w:t>Supporting the Government to consider and implement regulatory amendments arising from the VIT Review including the statutory</w:t>
      </w:r>
    </w:p>
    <w:p w14:paraId="6839EFAE" w14:textId="77777777" w:rsidR="00E8420B" w:rsidRDefault="00E8420B" w:rsidP="00E8420B">
      <w:r>
        <w:t xml:space="preserve">requirement for the VIT to consider child safety and wellbeing, greater alignment of VIT registration to the WWC Check scheme, and coordination and information sharing between agencies and regulators. </w:t>
      </w:r>
    </w:p>
    <w:p w14:paraId="2BE03DEE" w14:textId="77777777" w:rsidR="00E8420B" w:rsidRDefault="00E8420B" w:rsidP="00E8420B">
      <w:r>
        <w:t xml:space="preserve">Recommendation 6 of the VIT Review – Consider amending the legislative requirements of the VIT scheme to ensure equivalency with the WWC Check scheme, to the extent the policy objectives of the two schemes are aligned; and following legislative amendment (if that is required) include a statement on VIT registration cards to communicate that a person who holds a valid VIT card is not required to hold a WWC Check when engaging in child-related work given that the VIT registration and WWC Check schemes generally have similar and equivalent requirements. </w:t>
      </w:r>
    </w:p>
    <w:p w14:paraId="54B49E9D" w14:textId="77777777" w:rsidR="00E8420B" w:rsidRDefault="00E8420B" w:rsidP="00E8420B">
      <w:r>
        <w:t xml:space="preserve">Recommendation 7 of the VIT Review – The VIT and Department of Justice and Community Safety (DJCS) Victoria’s administration of the WWC Check scheme are adopted by the VIT through staff secondments and out-posting and potentially through a service provision MoU between DJCS and the VIT. </w:t>
      </w:r>
    </w:p>
    <w:p w14:paraId="3035CDFE" w14:textId="77777777" w:rsidR="00E8420B" w:rsidRDefault="00E8420B" w:rsidP="00E8420B">
      <w:r>
        <w:t xml:space="preserve">Recommendation 8 of the VIT Review – The VIT to immediately agree and review any existing </w:t>
      </w:r>
      <w:proofErr w:type="spellStart"/>
      <w:r>
        <w:t>MoUs</w:t>
      </w:r>
      <w:proofErr w:type="spellEnd"/>
      <w:r>
        <w:t xml:space="preserve"> with Commission for Children and Young People (CCYP), Victoria Police and the other noted co-regulators so that respective RCS roles and responsibilities are clarified. Establish a formal forum for the DJCS, the VIT, the Quality Assessment and Regulation Division (QARD), the Victorian Registration and Qualifications Authority (VRQA), the CCYP and the Victoria Police to come together as co-regulators in the child safety and welfare sphere. </w:t>
      </w:r>
    </w:p>
    <w:p w14:paraId="1B2C64C3" w14:textId="77777777" w:rsidR="00E8420B" w:rsidRDefault="00E8420B" w:rsidP="00E8420B">
      <w:r>
        <w:t xml:space="preserve">Improving the efficiency and effectiveness of the VIT’s processes through the development of a set of regulatory principles applying to </w:t>
      </w:r>
      <w:proofErr w:type="gramStart"/>
      <w:r>
        <w:t>all of</w:t>
      </w:r>
      <w:proofErr w:type="gramEnd"/>
      <w:r>
        <w:t xml:space="preserve"> its functions and activities, and the adoption of contemporary, aligned regulatory policies and governance models.</w:t>
      </w:r>
    </w:p>
    <w:p w14:paraId="11225E5D" w14:textId="77777777" w:rsidR="00E8420B" w:rsidRDefault="00E8420B" w:rsidP="00E8420B">
      <w:r>
        <w:t>Recommendation 15 of the VIT Review – Establish an internal VIT taskforce to thoroughly refresh the VIT’s internal and external policies and procedures to ensure they align with best practice and broader government policy for regulators and statutory authorities.</w:t>
      </w:r>
    </w:p>
    <w:p w14:paraId="1E8B751F" w14:textId="00530A30" w:rsidR="00E8420B" w:rsidRDefault="00E8420B" w:rsidP="00E8420B">
      <w:r>
        <w:t>The VIT will need to consider any schools and teaching initiatives agreed with the Commonwealth Government, any relevant actions agreed in response to the Royal Commission, and any other emerging policy issues requiring the VIT input, including matters arising from the National Review of Teacher Registration being conducted by an Expert Panel under the auspice of the Australian Institute for Teaching and School Leadership.</w:t>
      </w:r>
    </w:p>
    <w:p w14:paraId="0CBA7F0D" w14:textId="118C6031" w:rsidR="00E8420B" w:rsidRDefault="00E8420B" w:rsidP="00E8420B">
      <w:pPr>
        <w:pStyle w:val="Heading3"/>
      </w:pPr>
      <w:r>
        <w:t>Response Activity</w:t>
      </w:r>
    </w:p>
    <w:p w14:paraId="01FD0945" w14:textId="77777777" w:rsidR="00E8420B" w:rsidRDefault="00E8420B" w:rsidP="00E8420B">
      <w:r>
        <w:t>To promote child safety and wellbeing the VIT will:</w:t>
      </w:r>
    </w:p>
    <w:p w14:paraId="6359516A" w14:textId="26D69223" w:rsidR="00E8420B" w:rsidRDefault="00E8420B" w:rsidP="00E8420B">
      <w:pPr>
        <w:pStyle w:val="Bullet1"/>
      </w:pPr>
      <w:r>
        <w:t>collaborate with co-regulators to support implementation of the RCS</w:t>
      </w:r>
    </w:p>
    <w:p w14:paraId="749535EF" w14:textId="71B92A9B" w:rsidR="00E8420B" w:rsidRDefault="00E8420B" w:rsidP="00E8420B">
      <w:pPr>
        <w:pStyle w:val="Bullet1"/>
      </w:pPr>
      <w:r>
        <w:lastRenderedPageBreak/>
        <w:t xml:space="preserve">update regulatory framework and policies to respond to the Betrayal of Trust Inquiry and Royal Commission </w:t>
      </w:r>
    </w:p>
    <w:p w14:paraId="1B430E48" w14:textId="2C15C1AB" w:rsidR="00E8420B" w:rsidRDefault="00E8420B" w:rsidP="00E8420B">
      <w:pPr>
        <w:pStyle w:val="Bullet1"/>
      </w:pPr>
      <w:r>
        <w:t>take a risk-based approach to reduce non-compliance, including adoption of best practice in business systems.</w:t>
      </w:r>
    </w:p>
    <w:p w14:paraId="7687AEC1" w14:textId="77777777" w:rsidR="00E8420B" w:rsidRDefault="00E8420B" w:rsidP="00E8420B">
      <w:r>
        <w:t>In response to the Minister’s expectation, the VIT will:</w:t>
      </w:r>
    </w:p>
    <w:p w14:paraId="4E4810B5" w14:textId="548BC866" w:rsidR="00E8420B" w:rsidRDefault="00E8420B" w:rsidP="00E8420B">
      <w:pPr>
        <w:pStyle w:val="Bullet1"/>
      </w:pPr>
      <w:r>
        <w:t>update its Strategic Plan to reflect legislative change to functions</w:t>
      </w:r>
    </w:p>
    <w:p w14:paraId="3DB5CD7D" w14:textId="6F8D9155" w:rsidR="00E8420B" w:rsidRDefault="00E8420B" w:rsidP="00E8420B">
      <w:pPr>
        <w:pStyle w:val="Bullet1"/>
      </w:pPr>
      <w:r>
        <w:t xml:space="preserve">work with the Department on legislative reform </w:t>
      </w:r>
    </w:p>
    <w:p w14:paraId="0299172B" w14:textId="0D5568B2" w:rsidR="00E8420B" w:rsidRDefault="00E8420B" w:rsidP="00E8420B">
      <w:pPr>
        <w:pStyle w:val="Bullet1"/>
      </w:pPr>
      <w:r>
        <w:t>align VIT processes with DJCS WWC Check Unit</w:t>
      </w:r>
    </w:p>
    <w:p w14:paraId="461A8F88" w14:textId="6D266DE1" w:rsidR="00E8420B" w:rsidRDefault="00E8420B" w:rsidP="00E8420B">
      <w:pPr>
        <w:pStyle w:val="Bullet1"/>
      </w:pPr>
      <w:r>
        <w:t xml:space="preserve">develop and review </w:t>
      </w:r>
      <w:proofErr w:type="spellStart"/>
      <w:r>
        <w:t>MoUs</w:t>
      </w:r>
      <w:proofErr w:type="spellEnd"/>
      <w:r>
        <w:t xml:space="preserve"> with co-regulators. </w:t>
      </w:r>
    </w:p>
    <w:p w14:paraId="0401361E" w14:textId="77777777" w:rsidR="00E8420B" w:rsidRDefault="00E8420B" w:rsidP="00E8420B">
      <w:r>
        <w:t>To support effective regulation the VIT will:</w:t>
      </w:r>
    </w:p>
    <w:p w14:paraId="3D85E1FC" w14:textId="4C6B7C94" w:rsidR="00E8420B" w:rsidRDefault="00E8420B" w:rsidP="00E8420B">
      <w:pPr>
        <w:pStyle w:val="Bullet1"/>
      </w:pPr>
      <w:r>
        <w:t>review its regulatory framework and tools to promote the best interests of children</w:t>
      </w:r>
    </w:p>
    <w:p w14:paraId="543B4628" w14:textId="0AFFDA27" w:rsidR="00E8420B" w:rsidRDefault="00E8420B" w:rsidP="00E8420B">
      <w:pPr>
        <w:pStyle w:val="Bullet1"/>
      </w:pPr>
      <w:r>
        <w:t>work with the Department and co-regulators to form a community of practice and adopt strategies to ensure suitable persons are registered as teachers.</w:t>
      </w:r>
    </w:p>
    <w:p w14:paraId="00FF3C8F" w14:textId="77777777" w:rsidR="00E8420B" w:rsidRDefault="00E8420B" w:rsidP="00E8420B">
      <w:r>
        <w:t>In response to the Minister’s expectation, the VIT will:</w:t>
      </w:r>
    </w:p>
    <w:p w14:paraId="5AC2ED20" w14:textId="606EDC8F" w:rsidR="00E8420B" w:rsidRDefault="00E8420B" w:rsidP="00E8420B">
      <w:pPr>
        <w:pStyle w:val="Bullet1"/>
      </w:pPr>
      <w:r>
        <w:t>work with the Department on legislative reform to modernise regulatory tools and frameworks</w:t>
      </w:r>
    </w:p>
    <w:p w14:paraId="5152E44F" w14:textId="2BA34F5C" w:rsidR="00E8420B" w:rsidRDefault="00E8420B" w:rsidP="00E8420B">
      <w:pPr>
        <w:pStyle w:val="Bullet1"/>
      </w:pPr>
      <w:r>
        <w:t>draw on the experience and practice of other regulators to develop modern practice.</w:t>
      </w:r>
    </w:p>
    <w:p w14:paraId="33283A17" w14:textId="5406A896" w:rsidR="00E8420B" w:rsidRDefault="00E8420B" w:rsidP="00E8420B">
      <w:pPr>
        <w:pStyle w:val="Heading3"/>
      </w:pPr>
      <w:r>
        <w:t>Outcome</w:t>
      </w:r>
    </w:p>
    <w:p w14:paraId="6123F06C" w14:textId="77777777" w:rsidR="00E8420B" w:rsidRDefault="00E8420B" w:rsidP="00E8420B">
      <w:r>
        <w:t>Alignment with co-regulators and regulatory best practice</w:t>
      </w:r>
    </w:p>
    <w:p w14:paraId="210EA2F0" w14:textId="77777777" w:rsidR="00E8420B" w:rsidRDefault="00E8420B" w:rsidP="00E8420B">
      <w:r>
        <w:t>Reduced regulatory burden</w:t>
      </w:r>
    </w:p>
    <w:p w14:paraId="1E7E6D1E" w14:textId="59A50BB3" w:rsidR="00E8420B" w:rsidRDefault="00E8420B" w:rsidP="00E8420B">
      <w:r>
        <w:t>Improved understanding of roles and responsibilities for RCS</w:t>
      </w:r>
    </w:p>
    <w:p w14:paraId="29A4DEBE" w14:textId="2310F19D" w:rsidR="00E8420B" w:rsidRDefault="00E8420B" w:rsidP="00E8420B">
      <w:pPr>
        <w:pStyle w:val="Heading3"/>
      </w:pPr>
      <w:r>
        <w:t>Measure</w:t>
      </w:r>
    </w:p>
    <w:p w14:paraId="5C11C6C3" w14:textId="312E6242" w:rsidR="00E8420B" w:rsidRDefault="00E8420B" w:rsidP="00E8420B">
      <w:r w:rsidRPr="00E8420B">
        <w:t>Number of the VIT registered teachers with a WWC Check</w:t>
      </w:r>
    </w:p>
    <w:p w14:paraId="5B7C4169" w14:textId="3E374CB4" w:rsidR="00E8420B" w:rsidRDefault="00E8420B" w:rsidP="00E8420B">
      <w:pPr>
        <w:pStyle w:val="Heading3"/>
      </w:pPr>
      <w:r>
        <w:t>Result 2018-20</w:t>
      </w:r>
    </w:p>
    <w:p w14:paraId="0A8ADF19" w14:textId="77777777" w:rsidR="00E8420B" w:rsidRDefault="00E8420B" w:rsidP="00E8420B">
      <w:r>
        <w:t>Data was not available for 2018-20. Data will be available from 2020-21 as this is a new scheme in Victoria.</w:t>
      </w:r>
    </w:p>
    <w:p w14:paraId="6A865959" w14:textId="7220A286" w:rsidR="00E8420B" w:rsidRDefault="00E8420B" w:rsidP="00E8420B">
      <w:r>
        <w:t>The VIT conducts a NCCHC for all registered teachers, which covers the requirements of the WWC Check and additional relevant offences. All teachers have a statement on their VIT Registration card to identify that the WWC Check is included. Teachers are no longer required to be included under both schemes, and this has potentially reduced the regulatory burden.</w:t>
      </w:r>
    </w:p>
    <w:p w14:paraId="0C72B0E7" w14:textId="77777777" w:rsidR="00E8420B" w:rsidRDefault="00E8420B" w:rsidP="00E8420B">
      <w:pPr>
        <w:pStyle w:val="Heading3"/>
      </w:pPr>
      <w:r>
        <w:t>Measure</w:t>
      </w:r>
    </w:p>
    <w:p w14:paraId="6907E956" w14:textId="49242DD7" w:rsidR="00E8420B" w:rsidRDefault="00E8420B" w:rsidP="00E8420B">
      <w:r w:rsidRPr="00E8420B">
        <w:t xml:space="preserve">Number of revised </w:t>
      </w:r>
      <w:proofErr w:type="spellStart"/>
      <w:r w:rsidRPr="00E8420B">
        <w:t>MoUs</w:t>
      </w:r>
      <w:proofErr w:type="spellEnd"/>
    </w:p>
    <w:p w14:paraId="3ABCDBE0" w14:textId="77777777" w:rsidR="00E8420B" w:rsidRDefault="00E8420B" w:rsidP="00E8420B">
      <w:pPr>
        <w:pStyle w:val="Heading3"/>
      </w:pPr>
      <w:r>
        <w:t>Result 2018-20</w:t>
      </w:r>
    </w:p>
    <w:p w14:paraId="74BE39C9" w14:textId="77777777" w:rsidR="00E8420B" w:rsidRDefault="00E8420B" w:rsidP="00E8420B">
      <w:r>
        <w:t>Acquitted</w:t>
      </w:r>
    </w:p>
    <w:p w14:paraId="0BFF7464" w14:textId="00BDEF5D" w:rsidR="00E8420B" w:rsidRDefault="00E8420B" w:rsidP="00E8420B">
      <w:r>
        <w:t xml:space="preserve">9 </w:t>
      </w:r>
      <w:proofErr w:type="spellStart"/>
      <w:r>
        <w:t>MoUs</w:t>
      </w:r>
      <w:proofErr w:type="spellEnd"/>
      <w:r>
        <w:t xml:space="preserve"> revised and in place; 2 draft </w:t>
      </w:r>
      <w:proofErr w:type="spellStart"/>
      <w:r>
        <w:t>MoUs</w:t>
      </w:r>
      <w:proofErr w:type="spellEnd"/>
      <w:r>
        <w:t xml:space="preserve">; consideration of another 4 </w:t>
      </w:r>
      <w:proofErr w:type="spellStart"/>
      <w:r>
        <w:t>MoUs</w:t>
      </w:r>
      <w:proofErr w:type="spellEnd"/>
      <w:r>
        <w:t xml:space="preserve"> that may be developed to clarify and reinforce the roles and responsibilities of regulators under the RCS (2018-19).</w:t>
      </w:r>
    </w:p>
    <w:p w14:paraId="5239D883" w14:textId="77777777" w:rsidR="00E8420B" w:rsidRDefault="00E8420B" w:rsidP="00E8420B">
      <w:pPr>
        <w:pStyle w:val="Heading3"/>
      </w:pPr>
      <w:r>
        <w:lastRenderedPageBreak/>
        <w:t>Measure</w:t>
      </w:r>
    </w:p>
    <w:p w14:paraId="1194621C" w14:textId="7B06B303" w:rsidR="00E8420B" w:rsidRDefault="00E8420B" w:rsidP="00E8420B">
      <w:r w:rsidRPr="00E8420B">
        <w:t>Alignment of internal policies and procedures to best practice and government policy for regulators</w:t>
      </w:r>
    </w:p>
    <w:p w14:paraId="5C5810C5" w14:textId="77777777" w:rsidR="00E8420B" w:rsidRDefault="00E8420B" w:rsidP="00E8420B">
      <w:pPr>
        <w:pStyle w:val="Heading3"/>
      </w:pPr>
      <w:r>
        <w:t>Result 2018-20</w:t>
      </w:r>
    </w:p>
    <w:p w14:paraId="0792F53A" w14:textId="77777777" w:rsidR="00E8420B" w:rsidRDefault="00E8420B" w:rsidP="00E8420B">
      <w:r>
        <w:t>Acquitted.</w:t>
      </w:r>
    </w:p>
    <w:p w14:paraId="4B0E8023" w14:textId="5BDA13D5" w:rsidR="00E8420B" w:rsidRDefault="00E8420B" w:rsidP="00E8420B">
      <w:r>
        <w:t>All policies are under review to be updated to align with the VIT’s new regulatory principles. The process is ongoing, with many policies updated and some policies under review (2018-20).</w:t>
      </w:r>
    </w:p>
    <w:p w14:paraId="35D7A2AC" w14:textId="77777777" w:rsidR="00E8420B" w:rsidRDefault="00E8420B" w:rsidP="00E8420B">
      <w:pPr>
        <w:pStyle w:val="Heading3"/>
      </w:pPr>
      <w:r>
        <w:t>Measure</w:t>
      </w:r>
    </w:p>
    <w:p w14:paraId="5837A998" w14:textId="4A72144F" w:rsidR="00E8420B" w:rsidRDefault="00E8420B" w:rsidP="00E8420B">
      <w:r>
        <w:t>Alignment of external policies and procedures to best practice and government policy for regulators</w:t>
      </w:r>
    </w:p>
    <w:p w14:paraId="63B61133" w14:textId="77777777" w:rsidR="00E8420B" w:rsidRDefault="00E8420B" w:rsidP="00E8420B">
      <w:pPr>
        <w:pStyle w:val="Heading3"/>
      </w:pPr>
      <w:r>
        <w:t>Result 2018-20</w:t>
      </w:r>
    </w:p>
    <w:p w14:paraId="068A723D" w14:textId="77777777" w:rsidR="00E8420B" w:rsidRDefault="00E8420B" w:rsidP="00E8420B">
      <w:r>
        <w:t>Acquitted.</w:t>
      </w:r>
    </w:p>
    <w:p w14:paraId="1581F1B2" w14:textId="5ABECE48" w:rsidR="00E8420B" w:rsidRDefault="00E8420B" w:rsidP="00E8420B">
      <w:r>
        <w:t>All policies are under review to be updated to align with the VIT’s new regulatory principles. The process is ongoing, with many policies updated and some policies under review (2018-20).</w:t>
      </w:r>
    </w:p>
    <w:p w14:paraId="11ECF5AF" w14:textId="77777777" w:rsidR="00E8420B" w:rsidRDefault="00E8420B" w:rsidP="00E8420B">
      <w:pPr>
        <w:pStyle w:val="Heading3"/>
      </w:pPr>
      <w:r>
        <w:t>Measure</w:t>
      </w:r>
    </w:p>
    <w:p w14:paraId="64FC8A8D" w14:textId="4A99FBB0" w:rsidR="00E8420B" w:rsidRDefault="00E8420B" w:rsidP="00E8420B">
      <w:r w:rsidRPr="00E8420B">
        <w:t>Number of formal co-regulator forums attended</w:t>
      </w:r>
    </w:p>
    <w:p w14:paraId="36210EC2" w14:textId="77777777" w:rsidR="00E8420B" w:rsidRDefault="00E8420B" w:rsidP="00E8420B">
      <w:pPr>
        <w:pStyle w:val="Heading3"/>
      </w:pPr>
      <w:r>
        <w:t>Result 2018-20</w:t>
      </w:r>
    </w:p>
    <w:p w14:paraId="2F927307" w14:textId="77777777" w:rsidR="00E8420B" w:rsidRDefault="00E8420B" w:rsidP="00E8420B">
      <w:r>
        <w:t xml:space="preserve">Acquitted, 5 forums attended. </w:t>
      </w:r>
    </w:p>
    <w:p w14:paraId="44C7DEEE" w14:textId="77777777" w:rsidR="00E8420B" w:rsidRDefault="00E8420B" w:rsidP="00E8420B">
      <w:r>
        <w:t xml:space="preserve">A forum was developed for co-regulators to engage with stakeholders and coordinate regulatory processes for child safety, co-hosted by the VIT and the CCYP. A Working Group was developed to coordinate the forum. </w:t>
      </w:r>
    </w:p>
    <w:p w14:paraId="105962DC" w14:textId="604EE737" w:rsidR="00E8420B" w:rsidRPr="00E8420B" w:rsidRDefault="00E8420B" w:rsidP="00E8420B">
      <w:r>
        <w:t>Other forums attended include monthly Regulators Community of Practice, bi-monthly meetings with the VRQA, quarterly meetings with the QARD, and monthly meetings with the CCYP. Informal meetings were held with the DJCS on the WWC Check Scheme.</w:t>
      </w:r>
    </w:p>
    <w:p w14:paraId="0E95BD8C" w14:textId="77777777" w:rsidR="00B6693D" w:rsidRPr="00B6693D" w:rsidRDefault="00B6693D" w:rsidP="00B6693D"/>
    <w:p w14:paraId="44DCA8AF" w14:textId="77777777" w:rsidR="00645869" w:rsidRDefault="00645869" w:rsidP="00886498">
      <w:pPr>
        <w:pStyle w:val="Heading3"/>
        <w:sectPr w:rsidR="00645869" w:rsidSect="00330C66">
          <w:pgSz w:w="11906" w:h="16838"/>
          <w:pgMar w:top="1440" w:right="1440" w:bottom="1440" w:left="1440" w:header="708" w:footer="708" w:gutter="0"/>
          <w:cols w:space="708"/>
          <w:docGrid w:linePitch="360"/>
        </w:sectPr>
      </w:pPr>
    </w:p>
    <w:p w14:paraId="4A45443E" w14:textId="05A0A3D0" w:rsidR="00D7394C" w:rsidRDefault="00946C92" w:rsidP="00FB577C">
      <w:pPr>
        <w:pStyle w:val="Heading3"/>
      </w:pPr>
      <w:r w:rsidRPr="00097D46">
        <w:lastRenderedPageBreak/>
        <w:t>KEY FINDINGS</w:t>
      </w:r>
      <w:r>
        <w:t xml:space="preserve"> FOR COOPERATION AMONGST REGULATORS OF CHILD SAFETY</w:t>
      </w:r>
    </w:p>
    <w:p w14:paraId="7EB92818" w14:textId="77777777" w:rsidR="0002585D" w:rsidRPr="009062CF" w:rsidRDefault="0002585D" w:rsidP="002F43B7"/>
    <w:p w14:paraId="5E57D9C9" w14:textId="77777777" w:rsidR="00D7394C" w:rsidRPr="00097D46" w:rsidRDefault="00D7394C" w:rsidP="002F43B7">
      <w:pPr>
        <w:pStyle w:val="Heading3"/>
      </w:pPr>
      <w:r w:rsidRPr="00097D46">
        <w:t>Achievement of Minister’s expectations</w:t>
      </w:r>
    </w:p>
    <w:p w14:paraId="6B4AD6FF" w14:textId="51B316D8" w:rsidR="00D7394C" w:rsidRPr="00097D46" w:rsidRDefault="00121754" w:rsidP="002F43B7">
      <w:r>
        <w:t xml:space="preserve">The </w:t>
      </w:r>
      <w:r w:rsidR="00097D46">
        <w:t xml:space="preserve">VIT </w:t>
      </w:r>
      <w:r w:rsidR="005C74D1" w:rsidRPr="00097D46">
        <w:t xml:space="preserve">met the Minister’s expectation to </w:t>
      </w:r>
      <w:r w:rsidR="007B55AB">
        <w:t>promote</w:t>
      </w:r>
      <w:r w:rsidR="00B87A22">
        <w:t xml:space="preserve"> child safety and wellbeing</w:t>
      </w:r>
      <w:r w:rsidR="00097D46">
        <w:t xml:space="preserve">, including </w:t>
      </w:r>
      <w:r w:rsidR="007B55AB">
        <w:t xml:space="preserve">developing partnerships with co-regulators, and </w:t>
      </w:r>
      <w:r w:rsidR="00344DAC">
        <w:t>streamlining regulation practices</w:t>
      </w:r>
      <w:r w:rsidR="00C67E52" w:rsidRPr="00097D46">
        <w:t xml:space="preserve">.  </w:t>
      </w:r>
    </w:p>
    <w:p w14:paraId="4316B8EC" w14:textId="5796090E" w:rsidR="00762ED2" w:rsidRDefault="00D62887" w:rsidP="002F43B7">
      <w:r>
        <w:t>P</w:t>
      </w:r>
      <w:r w:rsidR="00762ED2">
        <w:t>artnership</w:t>
      </w:r>
      <w:r>
        <w:t>s</w:t>
      </w:r>
      <w:r w:rsidR="00762ED2">
        <w:t xml:space="preserve"> with co-regulators </w:t>
      </w:r>
      <w:r>
        <w:t>led to the d</w:t>
      </w:r>
      <w:r w:rsidR="00762ED2">
        <w:t>evelop</w:t>
      </w:r>
      <w:r>
        <w:t>ment of</w:t>
      </w:r>
      <w:r w:rsidR="00762ED2">
        <w:t xml:space="preserve"> processes to enforce the requirements for the </w:t>
      </w:r>
      <w:r w:rsidR="00B30654">
        <w:t>RCS</w:t>
      </w:r>
      <w:r w:rsidR="00762ED2">
        <w:t>, including outlining roles and responsibilities in MoU documents.</w:t>
      </w:r>
    </w:p>
    <w:p w14:paraId="26E8768C" w14:textId="3BC9B977" w:rsidR="00523B56" w:rsidRDefault="00762ED2">
      <w:r>
        <w:t>The</w:t>
      </w:r>
      <w:r w:rsidR="0045744F">
        <w:t xml:space="preserve"> </w:t>
      </w:r>
      <w:r w:rsidR="00523B56">
        <w:t xml:space="preserve">policy framework </w:t>
      </w:r>
      <w:r w:rsidR="00EC4332">
        <w:t xml:space="preserve">was revised to </w:t>
      </w:r>
      <w:r w:rsidR="00523B56">
        <w:t xml:space="preserve">align with </w:t>
      </w:r>
      <w:r w:rsidR="00EC4332">
        <w:t xml:space="preserve">the policies of </w:t>
      </w:r>
      <w:r w:rsidR="0085014E">
        <w:t xml:space="preserve">the Victorian </w:t>
      </w:r>
      <w:r w:rsidR="00523B56">
        <w:t>Government.</w:t>
      </w:r>
      <w:r w:rsidR="00F13196">
        <w:t xml:space="preserve"> </w:t>
      </w:r>
    </w:p>
    <w:p w14:paraId="4F5CEDD9" w14:textId="6A07FF32" w:rsidR="00C67E52" w:rsidRDefault="009B6F3E" w:rsidP="00762ED2">
      <w:r>
        <w:t>The VIT supported n</w:t>
      </w:r>
      <w:r w:rsidR="00905C69">
        <w:t>etworks and partnership</w:t>
      </w:r>
      <w:r w:rsidR="00B0645B">
        <w:t>s</w:t>
      </w:r>
      <w:r w:rsidR="00905C69">
        <w:t xml:space="preserve"> with other regulators to share information and provide advice and support, including </w:t>
      </w:r>
      <w:r>
        <w:t xml:space="preserve">the development of </w:t>
      </w:r>
      <w:r w:rsidR="00905C69">
        <w:t>a formal co-regulator forum</w:t>
      </w:r>
      <w:r w:rsidR="00762ED2">
        <w:t>.</w:t>
      </w:r>
    </w:p>
    <w:p w14:paraId="110D8F4C" w14:textId="082BDB57" w:rsidR="00762ED2" w:rsidRPr="006F2E93" w:rsidRDefault="006D2E5A" w:rsidP="00762ED2">
      <w:r w:rsidRPr="006F2E93">
        <w:t xml:space="preserve">The VIT continued to perform well in evaluating teachers’ suitability to teach. </w:t>
      </w:r>
      <w:r w:rsidR="00762ED2" w:rsidRPr="006F2E93">
        <w:t xml:space="preserve">The VIT worked with co-regulators to streamline the </w:t>
      </w:r>
      <w:r w:rsidRPr="006F2E93">
        <w:t xml:space="preserve">NCCHC </w:t>
      </w:r>
      <w:r w:rsidR="00762ED2" w:rsidRPr="006F2E93">
        <w:t xml:space="preserve">and the WWC Check into one </w:t>
      </w:r>
      <w:r w:rsidR="00AF5B5E" w:rsidRPr="006F2E93">
        <w:t xml:space="preserve">scheme </w:t>
      </w:r>
      <w:r w:rsidR="00762ED2" w:rsidRPr="006F2E93">
        <w:t xml:space="preserve">to reduce the regulatory burden on teachers. The VIT is </w:t>
      </w:r>
      <w:r w:rsidR="00413CBA" w:rsidRPr="006F2E93">
        <w:t xml:space="preserve">working with WWC Victoria to collect </w:t>
      </w:r>
      <w:r w:rsidR="00D12105" w:rsidRPr="006F2E93">
        <w:t>additional data under the WW</w:t>
      </w:r>
      <w:r w:rsidR="008E1023">
        <w:t>C</w:t>
      </w:r>
      <w:r w:rsidR="00D12105" w:rsidRPr="006F2E93">
        <w:t xml:space="preserve"> Check Scheme</w:t>
      </w:r>
      <w:r w:rsidRPr="006F2E93">
        <w:t>.</w:t>
      </w:r>
    </w:p>
    <w:p w14:paraId="6839263E" w14:textId="2621E625" w:rsidR="00D7394C" w:rsidRPr="00E36E53" w:rsidRDefault="00D7394C" w:rsidP="002F43B7">
      <w:pPr>
        <w:pStyle w:val="Heading3"/>
      </w:pPr>
      <w:r w:rsidRPr="00E36E53">
        <w:t xml:space="preserve">Achievement of standards set out in the </w:t>
      </w:r>
      <w:r w:rsidR="00DE7010">
        <w:t>SOE</w:t>
      </w:r>
      <w:r w:rsidRPr="00E36E53">
        <w:t xml:space="preserve"> Framework </w:t>
      </w:r>
    </w:p>
    <w:p w14:paraId="652909C9" w14:textId="353ABBB3" w:rsidR="00BF10DB" w:rsidRDefault="00BF10DB" w:rsidP="00BF10DB">
      <w:r>
        <w:t>The VIT met all minimum standards of the SOE Framework, and partially met the best practice standards.</w:t>
      </w:r>
    </w:p>
    <w:p w14:paraId="790F0968" w14:textId="468AC47D" w:rsidR="00C4127C" w:rsidRPr="004431DF" w:rsidRDefault="00B503AE" w:rsidP="002F43B7">
      <w:r>
        <w:t xml:space="preserve">The VIT worked in partnership with co-regulators to share information, and coordinate </w:t>
      </w:r>
      <w:r w:rsidR="00203393">
        <w:t xml:space="preserve">processes and practices for </w:t>
      </w:r>
      <w:r>
        <w:t xml:space="preserve">child safety. </w:t>
      </w:r>
      <w:r w:rsidR="00C4127C">
        <w:t>The VIT f</w:t>
      </w:r>
      <w:r w:rsidR="00091A26">
        <w:t>acilitated</w:t>
      </w:r>
      <w:r w:rsidR="0038412D" w:rsidRPr="004431DF">
        <w:t xml:space="preserve"> data sharing</w:t>
      </w:r>
      <w:r w:rsidR="009143E7">
        <w:t xml:space="preserve"> with co-regulators to </w:t>
      </w:r>
      <w:r w:rsidR="00BE41E5">
        <w:t>streamline regulation</w:t>
      </w:r>
      <w:r w:rsidR="002C376D">
        <w:t xml:space="preserve">, including key partnerships with the </w:t>
      </w:r>
      <w:r w:rsidR="00D62887">
        <w:t>DJCS</w:t>
      </w:r>
      <w:r w:rsidR="00A950C0" w:rsidRPr="004431DF">
        <w:t xml:space="preserve"> </w:t>
      </w:r>
      <w:r w:rsidR="00BE41E5">
        <w:t>for</w:t>
      </w:r>
      <w:r w:rsidR="0038412D" w:rsidRPr="004431DF">
        <w:t xml:space="preserve"> </w:t>
      </w:r>
      <w:r w:rsidR="002B6E6F">
        <w:t>teacher registration</w:t>
      </w:r>
      <w:r w:rsidR="00BE41E5">
        <w:t xml:space="preserve"> and </w:t>
      </w:r>
      <w:r w:rsidR="00A950C0" w:rsidRPr="004431DF">
        <w:t xml:space="preserve">the </w:t>
      </w:r>
      <w:r w:rsidR="0038412D" w:rsidRPr="004431DF">
        <w:t>CCYP</w:t>
      </w:r>
      <w:r w:rsidR="00A950C0" w:rsidRPr="004431DF">
        <w:t xml:space="preserve"> </w:t>
      </w:r>
      <w:r w:rsidR="00BE41E5">
        <w:t>for</w:t>
      </w:r>
      <w:r w:rsidR="00A950C0" w:rsidRPr="004431DF">
        <w:t xml:space="preserve"> the </w:t>
      </w:r>
      <w:r w:rsidR="00B30654">
        <w:t>RCS</w:t>
      </w:r>
      <w:r w:rsidR="00A950C0" w:rsidRPr="004431DF">
        <w:t>.</w:t>
      </w:r>
      <w:r w:rsidR="00C4127C">
        <w:t xml:space="preserve"> </w:t>
      </w:r>
    </w:p>
    <w:p w14:paraId="0BEE16FC" w14:textId="39B26332" w:rsidR="00D7394C" w:rsidRDefault="00121754" w:rsidP="00C4127C">
      <w:r>
        <w:t xml:space="preserve">The </w:t>
      </w:r>
      <w:r w:rsidR="00EC3017">
        <w:t xml:space="preserve">VIT </w:t>
      </w:r>
      <w:r w:rsidR="004C1554">
        <w:t>is in the process of</w:t>
      </w:r>
      <w:r w:rsidR="00EC3017">
        <w:t xml:space="preserve"> streamlin</w:t>
      </w:r>
      <w:r w:rsidR="004C1554">
        <w:t>ing</w:t>
      </w:r>
      <w:r w:rsidR="00EC3017">
        <w:t xml:space="preserve"> practices between regulators, for example </w:t>
      </w:r>
      <w:r w:rsidR="00943624">
        <w:t>improving the complex investigations process for the</w:t>
      </w:r>
      <w:r w:rsidR="008B65A0">
        <w:t xml:space="preserve"> </w:t>
      </w:r>
      <w:r w:rsidR="00B30654">
        <w:t>RCS</w:t>
      </w:r>
      <w:r w:rsidR="008B65A0">
        <w:t xml:space="preserve"> </w:t>
      </w:r>
      <w:r w:rsidR="00943624">
        <w:t>managed by</w:t>
      </w:r>
      <w:r w:rsidR="008B65A0">
        <w:t xml:space="preserve"> </w:t>
      </w:r>
      <w:r>
        <w:t xml:space="preserve">the </w:t>
      </w:r>
      <w:r w:rsidR="008B65A0">
        <w:t xml:space="preserve">VIT, </w:t>
      </w:r>
      <w:r w:rsidR="003000AF">
        <w:t xml:space="preserve">the Department, </w:t>
      </w:r>
      <w:r w:rsidR="00C27BBF">
        <w:t>CCYP</w:t>
      </w:r>
      <w:r w:rsidR="008B65A0">
        <w:t xml:space="preserve"> and Victoria Police. </w:t>
      </w:r>
      <w:r w:rsidR="00EC3017">
        <w:t xml:space="preserve"> </w:t>
      </w:r>
    </w:p>
    <w:p w14:paraId="37AEE6FA" w14:textId="77777777" w:rsidR="00FF421C" w:rsidRPr="008D7192" w:rsidRDefault="00FF421C" w:rsidP="002F43B7">
      <w:pPr>
        <w:pStyle w:val="Heading3"/>
      </w:pPr>
      <w:r w:rsidRPr="008D7192">
        <w:t>Overall comment</w:t>
      </w:r>
    </w:p>
    <w:p w14:paraId="4BDFE1BB" w14:textId="54A0D769" w:rsidR="00FF421C" w:rsidRPr="008D7192" w:rsidRDefault="00B6780F" w:rsidP="002F43B7">
      <w:r>
        <w:t xml:space="preserve">The </w:t>
      </w:r>
      <w:r w:rsidR="0007698C" w:rsidRPr="008D7192">
        <w:t>VIT</w:t>
      </w:r>
      <w:r w:rsidR="00FF421C" w:rsidRPr="008D7192">
        <w:t xml:space="preserve"> performed </w:t>
      </w:r>
      <w:r w:rsidR="00344DAC">
        <w:t>well</w:t>
      </w:r>
      <w:r w:rsidR="00344DAC" w:rsidRPr="008D7192">
        <w:t xml:space="preserve"> </w:t>
      </w:r>
      <w:r w:rsidR="00FF421C" w:rsidRPr="008D7192">
        <w:t xml:space="preserve">in </w:t>
      </w:r>
      <w:r w:rsidR="0007698C" w:rsidRPr="008D7192">
        <w:t xml:space="preserve">cooperation amongst regulators, </w:t>
      </w:r>
      <w:r w:rsidR="0086527E">
        <w:t>ensuring teachers are evaluated for their safety to work with children</w:t>
      </w:r>
      <w:r w:rsidR="00344DAC">
        <w:t xml:space="preserve"> in alignment across the regulatory system</w:t>
      </w:r>
      <w:r w:rsidR="00C90FBB">
        <w:t xml:space="preserve">. </w:t>
      </w:r>
      <w:r w:rsidR="00344DAC">
        <w:t>Key risks include</w:t>
      </w:r>
      <w:r w:rsidR="00203393">
        <w:t>d</w:t>
      </w:r>
      <w:r w:rsidR="00344DAC">
        <w:t xml:space="preserve"> an unaligned regulatory framework in the complex interrelated regulatory approach that is required for child safety. </w:t>
      </w:r>
      <w:r w:rsidR="0046463E">
        <w:t xml:space="preserve">The </w:t>
      </w:r>
      <w:r w:rsidR="00344DAC">
        <w:t xml:space="preserve">VIT should continue to work in partnership with co-regulators to continuously improve and streamline regulation. </w:t>
      </w:r>
      <w:r w:rsidR="00AA6B6C">
        <w:t xml:space="preserve">This approach </w:t>
      </w:r>
      <w:r w:rsidR="00203393">
        <w:t xml:space="preserve">is expected to </w:t>
      </w:r>
      <w:r w:rsidR="00AA6B6C">
        <w:t xml:space="preserve">increase effectiveness over time. </w:t>
      </w:r>
      <w:r>
        <w:t xml:space="preserve"> </w:t>
      </w:r>
    </w:p>
    <w:bookmarkEnd w:id="64"/>
    <w:bookmarkEnd w:id="80"/>
    <w:p w14:paraId="44FEEC59" w14:textId="77777777" w:rsidR="000C09D1" w:rsidRDefault="000C09D1" w:rsidP="002F43B7">
      <w:pPr>
        <w:rPr>
          <w:b/>
          <w:caps/>
        </w:rPr>
        <w:sectPr w:rsidR="000C09D1" w:rsidSect="00645869">
          <w:pgSz w:w="11906" w:h="16838"/>
          <w:pgMar w:top="1440" w:right="1440" w:bottom="1440" w:left="1440" w:header="708" w:footer="708" w:gutter="0"/>
          <w:cols w:space="708"/>
          <w:docGrid w:linePitch="360"/>
        </w:sectPr>
      </w:pPr>
    </w:p>
    <w:p w14:paraId="6C2DB426" w14:textId="79A3234F" w:rsidR="00FF6A57" w:rsidRDefault="00946C92" w:rsidP="00A45155">
      <w:pPr>
        <w:pStyle w:val="Heading1"/>
      </w:pPr>
      <w:bookmarkStart w:id="84" w:name="_Toc38349031"/>
      <w:bookmarkStart w:id="85" w:name="_Toc38349296"/>
      <w:bookmarkStart w:id="86" w:name="_Toc48559345"/>
      <w:r w:rsidRPr="00226027">
        <w:rPr>
          <w:caps w:val="0"/>
        </w:rPr>
        <w:lastRenderedPageBreak/>
        <w:t>PROCESS EVALUATION</w:t>
      </w:r>
      <w:bookmarkEnd w:id="65"/>
      <w:bookmarkEnd w:id="66"/>
      <w:bookmarkEnd w:id="67"/>
      <w:bookmarkEnd w:id="68"/>
      <w:bookmarkEnd w:id="84"/>
      <w:bookmarkEnd w:id="85"/>
      <w:bookmarkEnd w:id="86"/>
    </w:p>
    <w:p w14:paraId="0A9BC2D1" w14:textId="148D7D3B" w:rsidR="004E525B" w:rsidRDefault="004E525B" w:rsidP="003C3AEF">
      <w:pPr>
        <w:pStyle w:val="Intro"/>
      </w:pPr>
    </w:p>
    <w:p w14:paraId="08E0E668" w14:textId="0726D87E" w:rsidR="004E525B" w:rsidRDefault="00946C92" w:rsidP="004E525B">
      <w:pPr>
        <w:pStyle w:val="Heading2"/>
      </w:pPr>
      <w:bookmarkStart w:id="87" w:name="_Toc25757137"/>
      <w:bookmarkStart w:id="88" w:name="_Toc25757277"/>
      <w:bookmarkStart w:id="89" w:name="_Toc25757407"/>
      <w:bookmarkStart w:id="90" w:name="_Toc25827725"/>
      <w:bookmarkStart w:id="91" w:name="_Toc38349032"/>
      <w:bookmarkStart w:id="92" w:name="_Toc38349297"/>
      <w:bookmarkStart w:id="93" w:name="_Toc48559346"/>
      <w:bookmarkStart w:id="94" w:name="_Hlk38569153"/>
      <w:r>
        <w:t xml:space="preserve">SOE DEVELOPMENT </w:t>
      </w:r>
      <w:r w:rsidR="00622BF4">
        <w:t>–</w:t>
      </w:r>
      <w:r>
        <w:t xml:space="preserve"> </w:t>
      </w:r>
      <w:r w:rsidRPr="004E525B">
        <w:t>SUMMARY</w:t>
      </w:r>
      <w:r>
        <w:t xml:space="preserve"> OF FINDINGS</w:t>
      </w:r>
      <w:bookmarkEnd w:id="87"/>
      <w:bookmarkEnd w:id="88"/>
      <w:bookmarkEnd w:id="89"/>
      <w:bookmarkEnd w:id="90"/>
      <w:bookmarkEnd w:id="91"/>
      <w:bookmarkEnd w:id="92"/>
      <w:bookmarkEnd w:id="93"/>
    </w:p>
    <w:p w14:paraId="5F8E5306" w14:textId="69A2602C" w:rsidR="00645869" w:rsidRDefault="003A2849" w:rsidP="002F43B7">
      <w:bookmarkStart w:id="95" w:name="_Toc25757138"/>
      <w:bookmarkStart w:id="96" w:name="_Toc25757278"/>
      <w:bookmarkStart w:id="97" w:name="_Toc25827726"/>
      <w:r>
        <w:t xml:space="preserve">The </w:t>
      </w:r>
      <w:r w:rsidR="00203393">
        <w:t xml:space="preserve">process evaluation reviewed </w:t>
      </w:r>
      <w:r>
        <w:t>the process followed to develop the SOE.</w:t>
      </w:r>
      <w:bookmarkEnd w:id="95"/>
      <w:bookmarkEnd w:id="96"/>
    </w:p>
    <w:bookmarkEnd w:id="94"/>
    <w:p w14:paraId="7213E8AA" w14:textId="115F9362" w:rsidR="00645869" w:rsidRDefault="00645869" w:rsidP="00645869">
      <w:r>
        <w:t xml:space="preserve">The SOE Framework set out four key steps in the process for developing the SOE letter. The VIT and the Department’s progress in fulfilling </w:t>
      </w:r>
      <w:r w:rsidR="00767E9C">
        <w:t xml:space="preserve">the </w:t>
      </w:r>
      <w:r w:rsidR="004B2003">
        <w:t>steps</w:t>
      </w:r>
      <w:r w:rsidR="00767E9C">
        <w:t xml:space="preserve"> has been</w:t>
      </w:r>
      <w:r>
        <w:t xml:space="preserve"> outlined below:</w:t>
      </w:r>
    </w:p>
    <w:p w14:paraId="1AA5D9AB" w14:textId="0D01976A" w:rsidR="00330C66" w:rsidRDefault="00330C66" w:rsidP="00330C66">
      <w:pPr>
        <w:pStyle w:val="Heading3"/>
      </w:pPr>
      <w:r>
        <w:t>SOE Development</w:t>
      </w:r>
    </w:p>
    <w:p w14:paraId="111A7675" w14:textId="0A439259" w:rsidR="00330C66" w:rsidRDefault="00330C66" w:rsidP="00330C66">
      <w:r w:rsidRPr="009B426A">
        <w:t>Identification of key elements of good regulatory practice</w:t>
      </w:r>
    </w:p>
    <w:p w14:paraId="5D520605" w14:textId="051638EF" w:rsidR="00330C66" w:rsidRDefault="00330C66" w:rsidP="00330C66">
      <w:pPr>
        <w:pStyle w:val="Heading3"/>
      </w:pPr>
      <w:r>
        <w:t>Progress 2018-20</w:t>
      </w:r>
    </w:p>
    <w:p w14:paraId="4092EAE9" w14:textId="6E556B0B" w:rsidR="00330C66" w:rsidRDefault="00330C66" w:rsidP="00330C66">
      <w:r w:rsidRPr="009B426A">
        <w:t>The VIT developed a plan considering nine elements of good regulatory practice under the SOE Framework. The VIT reviewed this plan and agreed on six elements of good regulatory practice (timeliness, risk-based strategies, compliance related assistance and advice, stakeholder consultation and engagement, role clarity and cooperation amongst regulators).</w:t>
      </w:r>
    </w:p>
    <w:p w14:paraId="0F1D5EFB" w14:textId="77777777" w:rsidR="00330C66" w:rsidRDefault="00330C66" w:rsidP="00330C66">
      <w:pPr>
        <w:pStyle w:val="Heading3"/>
      </w:pPr>
      <w:r>
        <w:t>SOE Development</w:t>
      </w:r>
    </w:p>
    <w:p w14:paraId="5DF879E2" w14:textId="2AD07D16" w:rsidR="00330C66" w:rsidRDefault="00330C66" w:rsidP="00330C66">
      <w:r w:rsidRPr="009B426A">
        <w:t>A self-assessment against the elements of good regulatory practice being undertaken for each regulator in order to establish a ‘baseline’ of current performance</w:t>
      </w:r>
      <w:r w:rsidR="00D7740F">
        <w:t>.</w:t>
      </w:r>
    </w:p>
    <w:p w14:paraId="78634324" w14:textId="77777777" w:rsidR="00330C66" w:rsidRDefault="00330C66" w:rsidP="00330C66">
      <w:pPr>
        <w:pStyle w:val="Heading3"/>
      </w:pPr>
      <w:r>
        <w:t>Progress 2018-20</w:t>
      </w:r>
    </w:p>
    <w:p w14:paraId="5B49DD8B" w14:textId="5620B726" w:rsidR="00330C66" w:rsidRDefault="00330C66" w:rsidP="00330C66">
      <w:r w:rsidRPr="009B426A">
        <w:t>The VIT undertook a self-assessment against the elements of good regulatory practice.</w:t>
      </w:r>
    </w:p>
    <w:p w14:paraId="1B160DC0" w14:textId="77777777" w:rsidR="00330C66" w:rsidRDefault="00330C66" w:rsidP="00330C66">
      <w:pPr>
        <w:pStyle w:val="Heading3"/>
      </w:pPr>
      <w:r>
        <w:t>SOE Development</w:t>
      </w:r>
    </w:p>
    <w:p w14:paraId="401F09F1" w14:textId="1B5B7429" w:rsidR="00330C66" w:rsidRDefault="00330C66" w:rsidP="00330C66">
      <w:r w:rsidRPr="009B426A">
        <w:t xml:space="preserve">A </w:t>
      </w:r>
      <w:r>
        <w:t>GRPP</w:t>
      </w:r>
      <w:r w:rsidRPr="009B426A">
        <w:t xml:space="preserve"> being developed for each regulator, focusing on elements identified in the self-assessment as having the greatest opportunity for improvement</w:t>
      </w:r>
      <w:r w:rsidR="00D7740F">
        <w:t>.</w:t>
      </w:r>
    </w:p>
    <w:p w14:paraId="7F3A2740" w14:textId="77777777" w:rsidR="00D7740F" w:rsidRDefault="00D7740F" w:rsidP="00D7740F">
      <w:pPr>
        <w:pStyle w:val="Heading3"/>
      </w:pPr>
      <w:r>
        <w:t>Progress 2018-20</w:t>
      </w:r>
    </w:p>
    <w:p w14:paraId="5C5FEFA7" w14:textId="7500C05A" w:rsidR="00330C66" w:rsidRDefault="00D7740F" w:rsidP="00330C66">
      <w:r w:rsidRPr="009B426A">
        <w:t>The VIT developed a GRPP that outlined opportunities for improvements.</w:t>
      </w:r>
    </w:p>
    <w:p w14:paraId="7EA82BF2" w14:textId="77777777" w:rsidR="00D7740F" w:rsidRDefault="00D7740F" w:rsidP="00D7740F">
      <w:pPr>
        <w:pStyle w:val="Heading3"/>
      </w:pPr>
      <w:r>
        <w:t>SOE Development</w:t>
      </w:r>
    </w:p>
    <w:p w14:paraId="38E03182" w14:textId="46F1343F" w:rsidR="00D7740F" w:rsidRDefault="00D7740F" w:rsidP="00330C66">
      <w:r w:rsidRPr="009B426A">
        <w:t xml:space="preserve">A Ministerial SOE letter being issued to the regulator, </w:t>
      </w:r>
      <w:proofErr w:type="gramStart"/>
      <w:r w:rsidRPr="009B426A">
        <w:t>taking into account</w:t>
      </w:r>
      <w:proofErr w:type="gramEnd"/>
      <w:r w:rsidRPr="009B426A">
        <w:t xml:space="preserve"> the regulator’s </w:t>
      </w:r>
      <w:r>
        <w:t>GRPP</w:t>
      </w:r>
    </w:p>
    <w:p w14:paraId="51FDFE85" w14:textId="77777777" w:rsidR="00D7740F" w:rsidRDefault="00D7740F" w:rsidP="00D7740F">
      <w:pPr>
        <w:pStyle w:val="Heading3"/>
      </w:pPr>
      <w:r>
        <w:t>Progress 2018-20</w:t>
      </w:r>
    </w:p>
    <w:p w14:paraId="2E6E213D" w14:textId="583DDC21" w:rsidR="00D7740F" w:rsidRPr="00330C66" w:rsidRDefault="00D7740F" w:rsidP="00330C66">
      <w:r w:rsidRPr="009B426A">
        <w:t>Ministerial SOE letter was developed by the Department and issued on 26 June 2018.</w:t>
      </w:r>
    </w:p>
    <w:p w14:paraId="6F13C91A" w14:textId="77777777" w:rsidR="00260520" w:rsidRDefault="00260520" w:rsidP="00E238CB">
      <w:pPr>
        <w:pStyle w:val="Heading3"/>
      </w:pPr>
    </w:p>
    <w:p w14:paraId="074CFB3A" w14:textId="4D69CE15" w:rsidR="00E238CB" w:rsidRDefault="00E238CB" w:rsidP="00E238CB">
      <w:pPr>
        <w:pStyle w:val="Heading3"/>
      </w:pPr>
      <w:r>
        <w:t>Key findings</w:t>
      </w:r>
    </w:p>
    <w:p w14:paraId="35386583" w14:textId="47276EA6" w:rsidR="00825D63" w:rsidRDefault="00825D63" w:rsidP="00825D63">
      <w:pPr>
        <w:pStyle w:val="Bullet1"/>
      </w:pPr>
      <w:r>
        <w:t xml:space="preserve">The </w:t>
      </w:r>
      <w:r w:rsidR="003254B0">
        <w:t xml:space="preserve">VIT implemented the </w:t>
      </w:r>
      <w:r>
        <w:t xml:space="preserve">SOE Framework process. The full process of self-assessment and planning through the GRPP was completed for SOE 2018-20. </w:t>
      </w:r>
    </w:p>
    <w:p w14:paraId="72B34838" w14:textId="71B24D6C" w:rsidR="00E238CB" w:rsidRDefault="00E238CB" w:rsidP="00E238CB">
      <w:pPr>
        <w:pStyle w:val="Bullet1"/>
      </w:pPr>
      <w:r>
        <w:t xml:space="preserve">The SOE </w:t>
      </w:r>
      <w:r w:rsidR="00767E9C">
        <w:t>L</w:t>
      </w:r>
      <w:r>
        <w:t xml:space="preserve">etter was not developed at the same time as the Evaluation Plan, </w:t>
      </w:r>
      <w:r w:rsidR="00767E9C">
        <w:t xml:space="preserve">resulting in some alignment issues with </w:t>
      </w:r>
      <w:r>
        <w:t xml:space="preserve">data collection and quantitative measures. The SOE was developed around </w:t>
      </w:r>
      <w:r w:rsidR="004C1206">
        <w:t xml:space="preserve">implementing the VIT </w:t>
      </w:r>
      <w:r w:rsidR="009658CB">
        <w:t>Review and</w:t>
      </w:r>
      <w:r w:rsidR="004C1206">
        <w:t xml:space="preserve"> required new actions to continuously improve regulation of teaching profession. </w:t>
      </w:r>
    </w:p>
    <w:p w14:paraId="62E6934A" w14:textId="5242E50C" w:rsidR="00E238CB" w:rsidRPr="006B5015" w:rsidRDefault="0031542F" w:rsidP="00E238CB">
      <w:pPr>
        <w:pStyle w:val="Bullet1"/>
      </w:pPr>
      <w:r>
        <w:t xml:space="preserve">The </w:t>
      </w:r>
      <w:r w:rsidR="00D40BC5">
        <w:t xml:space="preserve">Ministerial </w:t>
      </w:r>
      <w:r>
        <w:t xml:space="preserve">SOE </w:t>
      </w:r>
      <w:r w:rsidR="00E238CB">
        <w:t>letter was clear and understood by the regulator.</w:t>
      </w:r>
    </w:p>
    <w:p w14:paraId="510BFAC7" w14:textId="77777777" w:rsidR="009F0902" w:rsidRPr="009F0902" w:rsidRDefault="009F0902"/>
    <w:p w14:paraId="5010A4A4" w14:textId="77777777" w:rsidR="009F0902" w:rsidRDefault="009F0902">
      <w:pPr>
        <w:pStyle w:val="Heading2"/>
        <w:sectPr w:rsidR="009F0902" w:rsidSect="00645869">
          <w:pgSz w:w="11906" w:h="16838"/>
          <w:pgMar w:top="1440" w:right="1440" w:bottom="1440" w:left="1440" w:header="708" w:footer="708" w:gutter="0"/>
          <w:cols w:space="708"/>
          <w:docGrid w:linePitch="360"/>
        </w:sectPr>
      </w:pPr>
      <w:bookmarkStart w:id="98" w:name="_Toc25757140"/>
      <w:bookmarkStart w:id="99" w:name="_Toc25757280"/>
    </w:p>
    <w:p w14:paraId="10B7F771" w14:textId="4FA55514" w:rsidR="003A2849" w:rsidRDefault="00946C92" w:rsidP="002F43B7">
      <w:pPr>
        <w:pStyle w:val="Heading2"/>
      </w:pPr>
      <w:bookmarkStart w:id="100" w:name="_Toc48559347"/>
      <w:bookmarkStart w:id="101" w:name="_Hlk38569189"/>
      <w:bookmarkEnd w:id="98"/>
      <w:bookmarkEnd w:id="99"/>
      <w:r>
        <w:lastRenderedPageBreak/>
        <w:t>SOE IMPLEMENTATION – SUMMARY OF FINDINGS</w:t>
      </w:r>
      <w:bookmarkEnd w:id="100"/>
    </w:p>
    <w:p w14:paraId="2287F223" w14:textId="2C6FE5D1" w:rsidR="000702EA" w:rsidRDefault="003A2849" w:rsidP="000702EA">
      <w:r>
        <w:t xml:space="preserve">The </w:t>
      </w:r>
      <w:r w:rsidR="00DC5E8C">
        <w:t xml:space="preserve">process evaluation </w:t>
      </w:r>
      <w:r w:rsidR="00767E9C">
        <w:t xml:space="preserve">reviewed </w:t>
      </w:r>
      <w:r>
        <w:t xml:space="preserve">the </w:t>
      </w:r>
      <w:r w:rsidR="00DC5E8C">
        <w:t xml:space="preserve">regulator’s </w:t>
      </w:r>
      <w:r>
        <w:t>implementation of the SOE, including if the activities were undertaken as planned</w:t>
      </w:r>
      <w:r w:rsidR="00DC5E8C">
        <w:t xml:space="preserve"> and on time.</w:t>
      </w:r>
      <w:r>
        <w:t xml:space="preserve"> </w:t>
      </w:r>
      <w:bookmarkEnd w:id="101"/>
      <w:r w:rsidR="000702EA">
        <w:t xml:space="preserve">The SOE Framework set out three key steps in the process for implementing the SOE. The VIT and the Department’s progress in fulfilling the steps </w:t>
      </w:r>
      <w:r w:rsidR="004B2003">
        <w:t xml:space="preserve">has been </w:t>
      </w:r>
      <w:r w:rsidR="000702EA">
        <w:t>outlined below:</w:t>
      </w:r>
    </w:p>
    <w:p w14:paraId="5BD03EB8" w14:textId="2E4FF5C0" w:rsidR="00101E04" w:rsidRDefault="00101E04" w:rsidP="00101E04">
      <w:pPr>
        <w:pStyle w:val="Heading3"/>
      </w:pPr>
      <w:r>
        <w:t>SOE Implementation</w:t>
      </w:r>
    </w:p>
    <w:p w14:paraId="4C93A2B0" w14:textId="14C7D641" w:rsidR="00101E04" w:rsidRDefault="00101E04" w:rsidP="000702EA">
      <w:r w:rsidRPr="009B426A">
        <w:t>SOE Response</w:t>
      </w:r>
    </w:p>
    <w:p w14:paraId="51734B30" w14:textId="35EB3F72" w:rsidR="00101E04" w:rsidRDefault="00101E04" w:rsidP="00101E04">
      <w:pPr>
        <w:pStyle w:val="Heading3"/>
      </w:pPr>
      <w:r>
        <w:t>Progress 2018-20</w:t>
      </w:r>
    </w:p>
    <w:p w14:paraId="1CEDC418" w14:textId="5A4B7193" w:rsidR="00101E04" w:rsidRDefault="00101E04" w:rsidP="000702EA">
      <w:r>
        <w:t xml:space="preserve">The VIT delivered the </w:t>
      </w:r>
      <w:r w:rsidRPr="009B426A">
        <w:t>SOE Response to the Minister on 10 September 2018.</w:t>
      </w:r>
    </w:p>
    <w:p w14:paraId="63548366" w14:textId="77777777" w:rsidR="00101E04" w:rsidRDefault="00101E04" w:rsidP="00101E04">
      <w:pPr>
        <w:pStyle w:val="Heading3"/>
      </w:pPr>
      <w:r>
        <w:t>SOE Implementation</w:t>
      </w:r>
    </w:p>
    <w:p w14:paraId="1B50E88D" w14:textId="55718456" w:rsidR="00101E04" w:rsidRDefault="00101E04" w:rsidP="000702EA">
      <w:r w:rsidRPr="009B426A">
        <w:t>Evaluation Plan</w:t>
      </w:r>
    </w:p>
    <w:p w14:paraId="2E5297F1" w14:textId="77777777" w:rsidR="00101E04" w:rsidRDefault="00101E04" w:rsidP="00101E04">
      <w:pPr>
        <w:pStyle w:val="Heading3"/>
      </w:pPr>
      <w:r>
        <w:t>Progress 2018-20</w:t>
      </w:r>
    </w:p>
    <w:p w14:paraId="7EEEB0C7" w14:textId="38380140" w:rsidR="00101E04" w:rsidRDefault="00101E04" w:rsidP="000702EA">
      <w:r>
        <w:t xml:space="preserve">The Department and the VIT developed the </w:t>
      </w:r>
      <w:r w:rsidRPr="009B426A">
        <w:t xml:space="preserve">Evaluation Plan after the SOE </w:t>
      </w:r>
      <w:r>
        <w:t>L</w:t>
      </w:r>
      <w:r w:rsidRPr="009B426A">
        <w:t xml:space="preserve">etter and </w:t>
      </w:r>
      <w:r>
        <w:t>SOE R</w:t>
      </w:r>
      <w:r w:rsidRPr="009B426A">
        <w:t>esponse w</w:t>
      </w:r>
      <w:r>
        <w:t>as</w:t>
      </w:r>
      <w:r w:rsidRPr="009B426A">
        <w:t xml:space="preserve"> published in September 2019.</w:t>
      </w:r>
    </w:p>
    <w:p w14:paraId="0DF3B9B6" w14:textId="77777777" w:rsidR="00101E04" w:rsidRDefault="00101E04" w:rsidP="00101E04">
      <w:pPr>
        <w:pStyle w:val="Heading3"/>
      </w:pPr>
      <w:r>
        <w:t>SOE Implementation</w:t>
      </w:r>
    </w:p>
    <w:p w14:paraId="5794C3BF" w14:textId="5A2840A6" w:rsidR="00101E04" w:rsidRDefault="00101E04" w:rsidP="000702EA">
      <w:r w:rsidRPr="009B426A">
        <w:t>Evaluation Report</w:t>
      </w:r>
    </w:p>
    <w:p w14:paraId="1F7C6570" w14:textId="77777777" w:rsidR="00101E04" w:rsidRDefault="00101E04" w:rsidP="00101E04">
      <w:pPr>
        <w:pStyle w:val="Heading3"/>
      </w:pPr>
      <w:r>
        <w:t>Progress 2018-20</w:t>
      </w:r>
    </w:p>
    <w:p w14:paraId="55450FB9" w14:textId="735EC958" w:rsidR="00101E04" w:rsidRDefault="00101E04" w:rsidP="000702EA">
      <w:r w:rsidRPr="009B426A">
        <w:t>The Evaluation Report evaluate</w:t>
      </w:r>
      <w:r>
        <w:t>s</w:t>
      </w:r>
      <w:r w:rsidRPr="009B426A">
        <w:t xml:space="preserve"> the period from 1 July 2018 – 31 December 2019.</w:t>
      </w:r>
    </w:p>
    <w:p w14:paraId="07AA4BC7" w14:textId="77777777" w:rsidR="003A2849" w:rsidRDefault="003A2849" w:rsidP="00325B0E">
      <w:pPr>
        <w:pStyle w:val="Heading3"/>
      </w:pPr>
    </w:p>
    <w:p w14:paraId="52286456" w14:textId="5228F0CA" w:rsidR="00325B0E" w:rsidRDefault="00325B0E" w:rsidP="00325B0E">
      <w:pPr>
        <w:pStyle w:val="Heading3"/>
      </w:pPr>
      <w:r>
        <w:t>Key findings</w:t>
      </w:r>
    </w:p>
    <w:p w14:paraId="729E2B87" w14:textId="2DCDFBDE" w:rsidR="00325B0E" w:rsidRDefault="00507A9B" w:rsidP="00325B0E">
      <w:pPr>
        <w:pStyle w:val="Bullet1"/>
      </w:pPr>
      <w:r>
        <w:t>The</w:t>
      </w:r>
      <w:r w:rsidR="00876ADE">
        <w:t xml:space="preserve"> Minister’s priority for the</w:t>
      </w:r>
      <w:r>
        <w:t xml:space="preserve"> </w:t>
      </w:r>
      <w:r w:rsidR="00325B0E">
        <w:t>SOE 2018-</w:t>
      </w:r>
      <w:r w:rsidR="00EB6968">
        <w:t xml:space="preserve">20 </w:t>
      </w:r>
      <w:r w:rsidR="00876ADE">
        <w:t xml:space="preserve">was the implementation of the </w:t>
      </w:r>
      <w:r w:rsidR="00EB6968">
        <w:t xml:space="preserve">2017 VIT Review. </w:t>
      </w:r>
      <w:r w:rsidR="00BD1F9A">
        <w:t>It should be noted that</w:t>
      </w:r>
      <w:r w:rsidR="008E1023">
        <w:t xml:space="preserve"> some</w:t>
      </w:r>
      <w:r w:rsidR="00BD1F9A">
        <w:t xml:space="preserve"> recommendations of the VIT Review were </w:t>
      </w:r>
      <w:r w:rsidR="008E1023">
        <w:t xml:space="preserve">not </w:t>
      </w:r>
      <w:r w:rsidR="00BD1F9A">
        <w:t xml:space="preserve">supported </w:t>
      </w:r>
      <w:r w:rsidR="008E1023">
        <w:t xml:space="preserve">(1b) or were delayed </w:t>
      </w:r>
      <w:r w:rsidR="00BD1F9A">
        <w:t xml:space="preserve">by </w:t>
      </w:r>
      <w:r w:rsidR="008E1023">
        <w:t xml:space="preserve">the </w:t>
      </w:r>
      <w:r w:rsidR="00BD1F9A">
        <w:t>Government</w:t>
      </w:r>
      <w:r w:rsidR="008E1023">
        <w:t xml:space="preserve"> (1a, 1c, 2, 3, 4, 6, 12c)</w:t>
      </w:r>
      <w:r w:rsidR="00BD1F9A">
        <w:t xml:space="preserve">, which meant that some </w:t>
      </w:r>
      <w:r w:rsidR="00D33996">
        <w:t xml:space="preserve">of the Minister’s </w:t>
      </w:r>
      <w:r w:rsidR="00BD1F9A">
        <w:t>expectations could not be fulfilled</w:t>
      </w:r>
      <w:r w:rsidR="00E03783">
        <w:t>, and this was appropriate</w:t>
      </w:r>
      <w:r w:rsidR="00BD1F9A">
        <w:t xml:space="preserve">. </w:t>
      </w:r>
    </w:p>
    <w:p w14:paraId="38F8D6A6" w14:textId="201B9492" w:rsidR="00325B0E" w:rsidRDefault="00325B0E" w:rsidP="00325B0E">
      <w:pPr>
        <w:pStyle w:val="Bullet1"/>
      </w:pPr>
      <w:r>
        <w:t xml:space="preserve">In general, the activities outlined in the SOE Response </w:t>
      </w:r>
      <w:r w:rsidR="00C13C9E">
        <w:t xml:space="preserve">had been </w:t>
      </w:r>
      <w:r>
        <w:t xml:space="preserve">undertaken as planned, </w:t>
      </w:r>
      <w:r w:rsidR="00D412C1">
        <w:t xml:space="preserve">with </w:t>
      </w:r>
      <w:r w:rsidR="00507A9B">
        <w:t xml:space="preserve">the </w:t>
      </w:r>
      <w:r w:rsidR="00D412C1">
        <w:t xml:space="preserve">VIT prioritising </w:t>
      </w:r>
      <w:r w:rsidR="00F80B9C">
        <w:t xml:space="preserve">new activities, particularly </w:t>
      </w:r>
      <w:r w:rsidR="00D412C1">
        <w:t xml:space="preserve">key work to improve child safety and teacher quality. Legislation governing </w:t>
      </w:r>
      <w:r w:rsidR="00507A9B">
        <w:t xml:space="preserve">the </w:t>
      </w:r>
      <w:r w:rsidR="00D412C1">
        <w:t>VIT</w:t>
      </w:r>
      <w:r w:rsidR="00507A9B">
        <w:t>’s</w:t>
      </w:r>
      <w:r w:rsidR="00D412C1">
        <w:t xml:space="preserve"> operations, policies, risk management</w:t>
      </w:r>
      <w:r w:rsidR="001F64FC">
        <w:t xml:space="preserve">, </w:t>
      </w:r>
      <w:r w:rsidR="00D412C1">
        <w:t xml:space="preserve">business processes </w:t>
      </w:r>
      <w:r w:rsidR="001F64FC">
        <w:t xml:space="preserve">and strategic partnerships </w:t>
      </w:r>
      <w:r w:rsidR="006B0B2C">
        <w:t>was amended</w:t>
      </w:r>
      <w:r w:rsidR="001E50D5">
        <w:t xml:space="preserve"> to meet new requirements</w:t>
      </w:r>
      <w:r w:rsidR="00003FD2">
        <w:t xml:space="preserve">. </w:t>
      </w:r>
      <w:r w:rsidR="00D412C1">
        <w:t xml:space="preserve"> </w:t>
      </w:r>
    </w:p>
    <w:p w14:paraId="4FE74067" w14:textId="37316EAE" w:rsidR="00FC7E1A" w:rsidRDefault="00325B0E" w:rsidP="00FC7E1A">
      <w:pPr>
        <w:pStyle w:val="Bullet1"/>
      </w:pPr>
      <w:r>
        <w:t xml:space="preserve">The </w:t>
      </w:r>
      <w:r w:rsidR="00C13C9E">
        <w:t xml:space="preserve">VIT partially met its </w:t>
      </w:r>
      <w:r w:rsidR="00252947">
        <w:t xml:space="preserve">performance </w:t>
      </w:r>
      <w:r>
        <w:t>reporting requirements</w:t>
      </w:r>
      <w:r w:rsidR="00C13C9E">
        <w:t xml:space="preserve">, given that approximately </w:t>
      </w:r>
      <w:r w:rsidR="00DE1314">
        <w:t xml:space="preserve">half of the </w:t>
      </w:r>
      <w:r w:rsidR="00C13C9E">
        <w:t xml:space="preserve">SOE </w:t>
      </w:r>
      <w:r w:rsidR="00FC7E1A">
        <w:t xml:space="preserve">activities </w:t>
      </w:r>
      <w:r w:rsidR="00C13C9E">
        <w:t>could not</w:t>
      </w:r>
      <w:r w:rsidR="00FC7E1A">
        <w:t xml:space="preserve"> be measured</w:t>
      </w:r>
      <w:r w:rsidR="00C13C9E">
        <w:t xml:space="preserve"> or reported</w:t>
      </w:r>
      <w:r w:rsidR="00FC7E1A">
        <w:t xml:space="preserve">. </w:t>
      </w:r>
      <w:r w:rsidR="00507A9B">
        <w:t xml:space="preserve">The </w:t>
      </w:r>
      <w:r w:rsidR="00FC7E1A">
        <w:t xml:space="preserve">VIT advised that data was unavailable </w:t>
      </w:r>
      <w:r w:rsidR="00507A9B">
        <w:t xml:space="preserve">due to the following: </w:t>
      </w:r>
      <w:r w:rsidR="00FC7E1A">
        <w:t>new data collection processes required, new IT systems required, surveys not conducted, the measurement period was not aligned to the reporting period</w:t>
      </w:r>
      <w:r w:rsidR="00507A9B">
        <w:t>,</w:t>
      </w:r>
      <w:r w:rsidR="00FC7E1A">
        <w:t xml:space="preserve"> or data collection was not prioritised due to other commitments.</w:t>
      </w:r>
      <w:r w:rsidR="009B6535">
        <w:t xml:space="preserve"> As a result, performance could not be fully assessed. </w:t>
      </w:r>
    </w:p>
    <w:p w14:paraId="32D13D71" w14:textId="79A484AB" w:rsidR="005649E6" w:rsidRPr="005533F0" w:rsidRDefault="00325B0E" w:rsidP="006F2E93">
      <w:pPr>
        <w:pStyle w:val="Bullet1"/>
      </w:pPr>
      <w:r>
        <w:t xml:space="preserve">The Evaluation Plan was developed after the SOE </w:t>
      </w:r>
      <w:r w:rsidR="0046463E">
        <w:t>L</w:t>
      </w:r>
      <w:r>
        <w:t xml:space="preserve">etter and SOE Response. </w:t>
      </w:r>
      <w:r w:rsidR="005140EC">
        <w:t xml:space="preserve">In some cases, the VIT’s performance could not be </w:t>
      </w:r>
      <w:r w:rsidR="00C70EB7">
        <w:t>clearly demonstrated</w:t>
      </w:r>
      <w:r w:rsidR="005140EC">
        <w:t xml:space="preserve"> as the measures </w:t>
      </w:r>
      <w:r w:rsidR="005533F0">
        <w:t>identified</w:t>
      </w:r>
      <w:r>
        <w:t xml:space="preserve"> were not suitable for </w:t>
      </w:r>
      <w:r w:rsidR="005140EC">
        <w:t xml:space="preserve">monitoring </w:t>
      </w:r>
      <w:r>
        <w:t>and evaluation</w:t>
      </w:r>
      <w:r w:rsidR="00C70EB7">
        <w:t xml:space="preserve">, and primarily output </w:t>
      </w:r>
      <w:r>
        <w:t xml:space="preserve">focused, rather than outcome focused. </w:t>
      </w:r>
      <w:r w:rsidR="005140EC">
        <w:t>Notwithstanding, the Evaluation Plan</w:t>
      </w:r>
      <w:r w:rsidR="005649E6">
        <w:t xml:space="preserve"> </w:t>
      </w:r>
      <w:r w:rsidR="005140EC">
        <w:t>was</w:t>
      </w:r>
      <w:r w:rsidR="005649E6">
        <w:t xml:space="preserve"> considered appropriate for the purposes of a first cycle evaluation, as performance baselines </w:t>
      </w:r>
      <w:r w:rsidR="00C13C9E">
        <w:t xml:space="preserve">have been established to </w:t>
      </w:r>
      <w:r w:rsidR="005649E6">
        <w:t>build a platform for future performance evaluations under the SOE Framework.</w:t>
      </w:r>
    </w:p>
    <w:p w14:paraId="43654399" w14:textId="57031F21" w:rsidR="00325B0E" w:rsidRPr="00325B0E" w:rsidRDefault="00325B0E" w:rsidP="00325B0E">
      <w:pPr>
        <w:sectPr w:rsidR="00325B0E" w:rsidRPr="00325B0E" w:rsidSect="00645869">
          <w:pgSz w:w="11906" w:h="16838"/>
          <w:pgMar w:top="1440" w:right="1440" w:bottom="1440" w:left="1440" w:header="708" w:footer="708" w:gutter="0"/>
          <w:cols w:space="708"/>
          <w:docGrid w:linePitch="360"/>
        </w:sectPr>
      </w:pPr>
    </w:p>
    <w:p w14:paraId="35DA0D25" w14:textId="77777777" w:rsidR="00F96104" w:rsidRDefault="00F96104" w:rsidP="00F96104">
      <w:pPr>
        <w:pStyle w:val="Heading1"/>
      </w:pPr>
      <w:bookmarkStart w:id="102" w:name="_Toc43987658"/>
      <w:bookmarkStart w:id="103" w:name="_Toc38349035"/>
      <w:bookmarkStart w:id="104" w:name="_Toc38349300"/>
      <w:bookmarkStart w:id="105" w:name="_Toc48559348"/>
      <w:bookmarkStart w:id="106" w:name="_Toc25827730"/>
      <w:bookmarkEnd w:id="69"/>
      <w:bookmarkEnd w:id="97"/>
      <w:bookmarkEnd w:id="102"/>
      <w:r w:rsidRPr="00226027">
        <w:lastRenderedPageBreak/>
        <w:t>REFERENCES</w:t>
      </w:r>
      <w:bookmarkEnd w:id="103"/>
      <w:bookmarkEnd w:id="104"/>
      <w:bookmarkEnd w:id="105"/>
    </w:p>
    <w:p w14:paraId="09371E0F" w14:textId="438302FA" w:rsidR="00F96104" w:rsidRPr="0093687C" w:rsidRDefault="00F96104">
      <w:pPr>
        <w:pStyle w:val="Bullet1"/>
      </w:pPr>
      <w:r w:rsidRPr="0093687C">
        <w:t xml:space="preserve">Victorian Institute of Teaching website. 2020, [online] Available at: </w:t>
      </w:r>
      <w:hyperlink r:id="rId22" w:history="1">
        <w:r w:rsidR="001D0808" w:rsidRPr="002F43B7">
          <w:rPr>
            <w:rStyle w:val="Hyperlink"/>
            <w:color w:val="auto"/>
            <w:u w:val="none"/>
          </w:rPr>
          <w:t>www.vit.vic.edu.au</w:t>
        </w:r>
      </w:hyperlink>
    </w:p>
    <w:p w14:paraId="7B50FCE4" w14:textId="77777777" w:rsidR="000A12F1" w:rsidRPr="00615F5A" w:rsidRDefault="000A12F1" w:rsidP="000A12F1">
      <w:pPr>
        <w:pStyle w:val="Bullet1"/>
      </w:pPr>
      <w:r w:rsidRPr="00615F5A">
        <w:t xml:space="preserve">Victorian Institute of Teaching. 2019, </w:t>
      </w:r>
      <w:r w:rsidRPr="00615F5A">
        <w:rPr>
          <w:i/>
          <w:iCs/>
        </w:rPr>
        <w:t>Victorian Institute of Teaching Annual Report 2018-19</w:t>
      </w:r>
      <w:r w:rsidRPr="00615F5A">
        <w:t>. Melbourne</w:t>
      </w:r>
    </w:p>
    <w:p w14:paraId="2288E238" w14:textId="77777777" w:rsidR="00F96104" w:rsidRPr="0093687C" w:rsidRDefault="00F96104">
      <w:pPr>
        <w:pStyle w:val="Bullet1"/>
      </w:pPr>
      <w:r w:rsidRPr="0093687C">
        <w:t xml:space="preserve">Victorian Institute of Teaching. 2019, </w:t>
      </w:r>
      <w:r w:rsidRPr="0093687C">
        <w:rPr>
          <w:i/>
          <w:iCs/>
        </w:rPr>
        <w:t>Our Regulatory Approach</w:t>
      </w:r>
      <w:r w:rsidRPr="002F43B7">
        <w:t xml:space="preserve">. </w:t>
      </w:r>
      <w:r w:rsidRPr="0093687C">
        <w:t>Melbourne</w:t>
      </w:r>
    </w:p>
    <w:p w14:paraId="5F5C2266" w14:textId="34C1CEF6" w:rsidR="00F96104" w:rsidRPr="0093687C" w:rsidRDefault="005E2518">
      <w:pPr>
        <w:pStyle w:val="Bullet1"/>
      </w:pPr>
      <w:bookmarkStart w:id="107" w:name="_Hlk38550509"/>
      <w:r w:rsidRPr="0093687C">
        <w:t xml:space="preserve">Department of Treasury and Finance. 2019, </w:t>
      </w:r>
      <w:r w:rsidR="00F96104" w:rsidRPr="002F43B7">
        <w:rPr>
          <w:i/>
          <w:iCs/>
        </w:rPr>
        <w:t>Statement of Expectations Framework</w:t>
      </w:r>
      <w:r w:rsidR="00BC1A50" w:rsidRPr="002F43B7">
        <w:rPr>
          <w:i/>
          <w:iCs/>
        </w:rPr>
        <w:t xml:space="preserve"> for Regulators</w:t>
      </w:r>
      <w:r w:rsidRPr="002F43B7">
        <w:t xml:space="preserve">. </w:t>
      </w:r>
      <w:r w:rsidRPr="0093687C">
        <w:t>Melbourne</w:t>
      </w:r>
    </w:p>
    <w:p w14:paraId="10B0C76C" w14:textId="4982DB77" w:rsidR="005E2518" w:rsidRPr="0093687C" w:rsidRDefault="005E2518">
      <w:pPr>
        <w:pStyle w:val="Bullet1"/>
      </w:pPr>
      <w:r w:rsidRPr="0093687C">
        <w:t xml:space="preserve">Department of Treasury and Finance. 2018, </w:t>
      </w:r>
      <w:r w:rsidRPr="002F43B7">
        <w:rPr>
          <w:i/>
          <w:iCs/>
        </w:rPr>
        <w:t xml:space="preserve">Guidelines for Evaluation of </w:t>
      </w:r>
      <w:r w:rsidRPr="0093687C">
        <w:rPr>
          <w:i/>
          <w:iCs/>
        </w:rPr>
        <w:t>Statements of Expectations for Regulators</w:t>
      </w:r>
      <w:r w:rsidRPr="002F43B7">
        <w:t xml:space="preserve">. </w:t>
      </w:r>
      <w:r w:rsidRPr="0093687C">
        <w:t>Melbourne</w:t>
      </w:r>
    </w:p>
    <w:p w14:paraId="6CA07972" w14:textId="105F1A76" w:rsidR="00F96104" w:rsidRPr="0093687C" w:rsidRDefault="00B21308">
      <w:pPr>
        <w:pStyle w:val="Bullet1"/>
      </w:pPr>
      <w:r w:rsidRPr="0093687C">
        <w:t xml:space="preserve">Department of Education and Training. 2018, </w:t>
      </w:r>
      <w:r w:rsidR="00F96104" w:rsidRPr="002F43B7">
        <w:rPr>
          <w:i/>
          <w:iCs/>
        </w:rPr>
        <w:t xml:space="preserve">Statement of Expectations </w:t>
      </w:r>
      <w:r w:rsidRPr="002F43B7">
        <w:rPr>
          <w:i/>
          <w:iCs/>
        </w:rPr>
        <w:t xml:space="preserve">for the Victorian Institute of Teaching </w:t>
      </w:r>
      <w:r w:rsidR="00F96104" w:rsidRPr="002F43B7">
        <w:rPr>
          <w:i/>
          <w:iCs/>
        </w:rPr>
        <w:t>2018-20</w:t>
      </w:r>
      <w:r w:rsidRPr="002F43B7">
        <w:t>. Melbourne</w:t>
      </w:r>
    </w:p>
    <w:bookmarkEnd w:id="107"/>
    <w:p w14:paraId="635FF4CF" w14:textId="6CDDD909" w:rsidR="00F96104" w:rsidRPr="0093687C" w:rsidRDefault="00B21308">
      <w:pPr>
        <w:pStyle w:val="Bullet1"/>
      </w:pPr>
      <w:r w:rsidRPr="0093687C">
        <w:t xml:space="preserve">Victorian Institute of Teaching. 2018, </w:t>
      </w:r>
      <w:r w:rsidRPr="002F43B7">
        <w:rPr>
          <w:i/>
          <w:iCs/>
        </w:rPr>
        <w:t>VIT’s Response to the Minister’s Statement 2018-20</w:t>
      </w:r>
      <w:r w:rsidRPr="0093687C">
        <w:t xml:space="preserve">. Melbourne </w:t>
      </w:r>
    </w:p>
    <w:p w14:paraId="023F611E" w14:textId="1A17BE08" w:rsidR="00B21308" w:rsidRPr="0093687C" w:rsidRDefault="00B21308">
      <w:pPr>
        <w:pStyle w:val="Bullet1"/>
      </w:pPr>
      <w:r w:rsidRPr="0093687C">
        <w:t xml:space="preserve">Victorian Institute of Teaching. 2018, </w:t>
      </w:r>
      <w:r w:rsidRPr="0093687C">
        <w:rPr>
          <w:i/>
          <w:iCs/>
        </w:rPr>
        <w:t>VIT’s Response Attachment to the Minister’s Statement 2018-20</w:t>
      </w:r>
      <w:r w:rsidRPr="002F43B7">
        <w:t>.</w:t>
      </w:r>
      <w:r w:rsidRPr="0093687C">
        <w:t xml:space="preserve"> Melbourne </w:t>
      </w:r>
    </w:p>
    <w:p w14:paraId="733FA6B4" w14:textId="15DC325F" w:rsidR="00F96104" w:rsidRPr="0093687C" w:rsidRDefault="004D102F">
      <w:pPr>
        <w:pStyle w:val="Bullet1"/>
      </w:pPr>
      <w:r w:rsidRPr="0093687C">
        <w:t xml:space="preserve">Victorian Institute of Teaching. 2019, </w:t>
      </w:r>
      <w:r w:rsidR="00F96104" w:rsidRPr="002F43B7">
        <w:rPr>
          <w:i/>
          <w:iCs/>
        </w:rPr>
        <w:t>Statement of Expectations: outcomes and measures</w:t>
      </w:r>
      <w:r w:rsidRPr="0093687C">
        <w:t>. Melbourne</w:t>
      </w:r>
      <w:r w:rsidR="00F96104" w:rsidRPr="0093687C">
        <w:t xml:space="preserve"> </w:t>
      </w:r>
      <w:r w:rsidR="00C6443A" w:rsidRPr="0093687C">
        <w:t>[Evaluation Plan]</w:t>
      </w:r>
    </w:p>
    <w:p w14:paraId="17AEE69E" w14:textId="0D68313A" w:rsidR="00B71356" w:rsidRPr="0093687C" w:rsidRDefault="00B71356">
      <w:pPr>
        <w:pStyle w:val="Bullet1"/>
      </w:pPr>
      <w:r w:rsidRPr="0093687C">
        <w:t xml:space="preserve">Victorian Institute of Teaching. 2019, </w:t>
      </w:r>
      <w:r w:rsidRPr="0093687C">
        <w:rPr>
          <w:i/>
          <w:iCs/>
        </w:rPr>
        <w:t>Statement of Expectations: outcomes and measures 2019 year-end report</w:t>
      </w:r>
      <w:r w:rsidRPr="002F43B7">
        <w:t>.</w:t>
      </w:r>
      <w:r w:rsidRPr="0093687C">
        <w:t xml:space="preserve"> Melbourne </w:t>
      </w:r>
    </w:p>
    <w:p w14:paraId="2AC38B80" w14:textId="21218DE9" w:rsidR="00B71356" w:rsidRPr="0093687C" w:rsidRDefault="00B71356">
      <w:pPr>
        <w:pStyle w:val="Bullet1"/>
      </w:pPr>
      <w:r w:rsidRPr="0093687C">
        <w:t xml:space="preserve">Department of Education and Training. 2020, </w:t>
      </w:r>
      <w:r w:rsidRPr="002F43B7">
        <w:rPr>
          <w:i/>
          <w:iCs/>
        </w:rPr>
        <w:t xml:space="preserve">VIT Process Evaluation </w:t>
      </w:r>
      <w:r w:rsidRPr="0093687C">
        <w:rPr>
          <w:i/>
          <w:iCs/>
        </w:rPr>
        <w:t>Questions</w:t>
      </w:r>
      <w:r w:rsidRPr="0093687C">
        <w:t>. Melbourne [Survey]</w:t>
      </w:r>
    </w:p>
    <w:p w14:paraId="6BEB2ABE" w14:textId="3B8522FB" w:rsidR="00F96104" w:rsidRPr="0093687C" w:rsidRDefault="004D102F">
      <w:pPr>
        <w:pStyle w:val="Bullet1"/>
      </w:pPr>
      <w:r w:rsidRPr="0093687C">
        <w:t xml:space="preserve">Victorian Institute of Teaching. 2018, </w:t>
      </w:r>
      <w:r w:rsidRPr="002F43B7">
        <w:rPr>
          <w:i/>
          <w:iCs/>
        </w:rPr>
        <w:t xml:space="preserve">VIT </w:t>
      </w:r>
      <w:r w:rsidR="00F96104" w:rsidRPr="002F43B7">
        <w:rPr>
          <w:i/>
          <w:iCs/>
        </w:rPr>
        <w:t>Self</w:t>
      </w:r>
      <w:r w:rsidRPr="002F43B7">
        <w:rPr>
          <w:i/>
          <w:iCs/>
        </w:rPr>
        <w:t>-</w:t>
      </w:r>
      <w:r w:rsidR="00F96104" w:rsidRPr="002F43B7">
        <w:rPr>
          <w:i/>
          <w:iCs/>
        </w:rPr>
        <w:t>assessment</w:t>
      </w:r>
      <w:r w:rsidRPr="002F43B7">
        <w:rPr>
          <w:i/>
          <w:iCs/>
        </w:rPr>
        <w:t xml:space="preserve"> for Good Regulatory Practice</w:t>
      </w:r>
      <w:r w:rsidRPr="0093687C">
        <w:t>. Melbourne</w:t>
      </w:r>
    </w:p>
    <w:p w14:paraId="37D3B5D5" w14:textId="41D9F666" w:rsidR="00F96104" w:rsidRPr="0093687C" w:rsidRDefault="004D102F">
      <w:pPr>
        <w:pStyle w:val="Bullet1"/>
      </w:pPr>
      <w:r w:rsidRPr="0093687C">
        <w:t xml:space="preserve">Victorian Institute of Teaching. 2018, </w:t>
      </w:r>
      <w:r w:rsidR="00F96104" w:rsidRPr="002F43B7">
        <w:rPr>
          <w:i/>
          <w:iCs/>
        </w:rPr>
        <w:t>Good Regulatory Practice Plan</w:t>
      </w:r>
      <w:r w:rsidRPr="0093687C">
        <w:t>. Melbourne</w:t>
      </w:r>
    </w:p>
    <w:p w14:paraId="7BC65FC1" w14:textId="726784B0" w:rsidR="004D102F" w:rsidRPr="0093687C" w:rsidRDefault="004D102F">
      <w:pPr>
        <w:pStyle w:val="Bullet1"/>
      </w:pPr>
      <w:proofErr w:type="spellStart"/>
      <w:r w:rsidRPr="0093687C">
        <w:t>Armytage</w:t>
      </w:r>
      <w:proofErr w:type="spellEnd"/>
      <w:r w:rsidRPr="0093687C">
        <w:t>, P.</w:t>
      </w:r>
      <w:r w:rsidR="00126D02" w:rsidRPr="0093687C">
        <w:t>, KPMG.</w:t>
      </w:r>
      <w:r w:rsidRPr="0093687C">
        <w:t xml:space="preserve">  2017, </w:t>
      </w:r>
      <w:r w:rsidRPr="002F43B7">
        <w:rPr>
          <w:i/>
          <w:iCs/>
        </w:rPr>
        <w:t>Review of the Victorian Institute of Teaching: Final Report</w:t>
      </w:r>
      <w:r w:rsidR="00D205BB" w:rsidRPr="002F43B7">
        <w:t>. Melbourne</w:t>
      </w:r>
    </w:p>
    <w:p w14:paraId="04547AC9" w14:textId="085A4874" w:rsidR="004D102F" w:rsidRPr="0093687C" w:rsidRDefault="00126D02">
      <w:pPr>
        <w:pStyle w:val="Bullet1"/>
      </w:pPr>
      <w:r w:rsidRPr="0093687C">
        <w:t xml:space="preserve">Department of Education and Training. </w:t>
      </w:r>
      <w:r w:rsidR="0099143A" w:rsidRPr="0093687C">
        <w:t>201</w:t>
      </w:r>
      <w:r w:rsidR="00A25DD7" w:rsidRPr="0093687C">
        <w:t>8</w:t>
      </w:r>
      <w:r w:rsidR="0099143A" w:rsidRPr="0093687C">
        <w:t xml:space="preserve">, </w:t>
      </w:r>
      <w:r w:rsidR="0099143A" w:rsidRPr="002F43B7">
        <w:rPr>
          <w:i/>
          <w:iCs/>
        </w:rPr>
        <w:t xml:space="preserve">Review of the Victorian Institute of Teaching – </w:t>
      </w:r>
      <w:r w:rsidR="004D102F" w:rsidRPr="002F43B7">
        <w:rPr>
          <w:i/>
          <w:iCs/>
        </w:rPr>
        <w:t>Government</w:t>
      </w:r>
      <w:r w:rsidR="0099143A" w:rsidRPr="002F43B7">
        <w:rPr>
          <w:i/>
          <w:iCs/>
        </w:rPr>
        <w:t>’s</w:t>
      </w:r>
      <w:r w:rsidR="004D102F" w:rsidRPr="002F43B7">
        <w:rPr>
          <w:i/>
          <w:iCs/>
        </w:rPr>
        <w:t xml:space="preserve"> Response to </w:t>
      </w:r>
      <w:r w:rsidR="0099143A" w:rsidRPr="002F43B7">
        <w:rPr>
          <w:i/>
          <w:iCs/>
        </w:rPr>
        <w:t>Recommendations</w:t>
      </w:r>
      <w:r w:rsidR="0099143A" w:rsidRPr="0093687C">
        <w:t>. Melbourne</w:t>
      </w:r>
    </w:p>
    <w:p w14:paraId="2A08FBF7" w14:textId="5478B5C5" w:rsidR="004D102F" w:rsidRPr="0093687C" w:rsidRDefault="004D102F">
      <w:pPr>
        <w:pStyle w:val="Bullet1"/>
      </w:pPr>
      <w:r w:rsidRPr="0093687C">
        <w:t xml:space="preserve">Victorian Institute of Teaching. 2019, </w:t>
      </w:r>
      <w:r w:rsidR="00F60DFD" w:rsidRPr="002F43B7">
        <w:rPr>
          <w:i/>
          <w:iCs/>
        </w:rPr>
        <w:t xml:space="preserve">Transforming </w:t>
      </w:r>
      <w:r w:rsidRPr="002F43B7">
        <w:rPr>
          <w:i/>
          <w:iCs/>
        </w:rPr>
        <w:t>VIT</w:t>
      </w:r>
      <w:r w:rsidR="00F60DFD" w:rsidRPr="002F43B7">
        <w:rPr>
          <w:i/>
          <w:iCs/>
        </w:rPr>
        <w:t xml:space="preserve"> Project</w:t>
      </w:r>
      <w:r w:rsidRPr="002F43B7">
        <w:rPr>
          <w:i/>
          <w:iCs/>
        </w:rPr>
        <w:t xml:space="preserve"> Progress Report</w:t>
      </w:r>
      <w:r w:rsidR="00F60DFD" w:rsidRPr="0093687C">
        <w:t>. Melbourne</w:t>
      </w:r>
    </w:p>
    <w:p w14:paraId="4FF37B21" w14:textId="0A9A4F01" w:rsidR="00F96104" w:rsidRPr="0093687C" w:rsidRDefault="00A25DD7">
      <w:pPr>
        <w:pStyle w:val="Bullet1"/>
      </w:pPr>
      <w:r w:rsidRPr="0093687C">
        <w:t>Department of Education and Training</w:t>
      </w:r>
      <w:r w:rsidR="000C4A9B" w:rsidRPr="0093687C">
        <w:t xml:space="preserve">. 2019, </w:t>
      </w:r>
      <w:r w:rsidR="00F96104" w:rsidRPr="002F43B7">
        <w:rPr>
          <w:i/>
          <w:iCs/>
        </w:rPr>
        <w:t>Acquittal of Review of the Victorian Institute of Teaching Report from DET</w:t>
      </w:r>
      <w:r w:rsidR="00F96104" w:rsidRPr="0093687C">
        <w:t xml:space="preserve">. </w:t>
      </w:r>
      <w:r w:rsidR="000C4A9B" w:rsidRPr="0093687C">
        <w:t>Melbourne</w:t>
      </w:r>
    </w:p>
    <w:p w14:paraId="7ED43CAE" w14:textId="797F8931" w:rsidR="00F96104" w:rsidRPr="0093687C" w:rsidRDefault="00536322">
      <w:pPr>
        <w:pStyle w:val="Bullet1"/>
      </w:pPr>
      <w:r w:rsidRPr="0093687C">
        <w:t xml:space="preserve">Australian Institute for Teaching and School Leadership, </w:t>
      </w:r>
      <w:r w:rsidR="0031626B" w:rsidRPr="0093687C">
        <w:t>2010.</w:t>
      </w:r>
      <w:r w:rsidRPr="0093687C">
        <w:t xml:space="preserve"> </w:t>
      </w:r>
      <w:r w:rsidR="0031626B" w:rsidRPr="002F43B7">
        <w:rPr>
          <w:i/>
          <w:iCs/>
        </w:rPr>
        <w:t>Australian Professional Standards for Teachers</w:t>
      </w:r>
      <w:r w:rsidR="0031626B" w:rsidRPr="0093687C">
        <w:t xml:space="preserve">. Melbourne </w:t>
      </w:r>
    </w:p>
    <w:p w14:paraId="31BCAE9D" w14:textId="4ADC3E56" w:rsidR="00802337" w:rsidRPr="0093687C" w:rsidRDefault="00802337">
      <w:pPr>
        <w:pStyle w:val="Bullet1"/>
      </w:pPr>
      <w:r w:rsidRPr="0093687C">
        <w:t xml:space="preserve">Australian Institute for Teaching and School Leadership website. 2020, [online] Available at: </w:t>
      </w:r>
      <w:hyperlink r:id="rId23" w:history="1">
        <w:r w:rsidRPr="002F43B7">
          <w:rPr>
            <w:rStyle w:val="Hyperlink"/>
            <w:color w:val="auto"/>
            <w:u w:val="none"/>
          </w:rPr>
          <w:t>www.aitsl.edu.au</w:t>
        </w:r>
      </w:hyperlink>
    </w:p>
    <w:p w14:paraId="2DF136BB" w14:textId="1081313A" w:rsidR="00C2263E" w:rsidRPr="0093687C" w:rsidRDefault="00C2263E">
      <w:pPr>
        <w:pStyle w:val="Bullet1"/>
      </w:pPr>
      <w:r w:rsidRPr="002F43B7">
        <w:rPr>
          <w:i/>
          <w:iCs/>
        </w:rPr>
        <w:t>Education and Training Reform Act 200</w:t>
      </w:r>
      <w:r w:rsidRPr="0093687C">
        <w:rPr>
          <w:i/>
          <w:iCs/>
        </w:rPr>
        <w:t>6</w:t>
      </w:r>
      <w:r w:rsidRPr="0093687C">
        <w:t xml:space="preserve"> (Victoria). </w:t>
      </w:r>
      <w:bookmarkStart w:id="108" w:name="_Hlk38549906"/>
      <w:r w:rsidRPr="0093687C">
        <w:t xml:space="preserve">[online] Available at: </w:t>
      </w:r>
      <w:hyperlink r:id="rId24" w:history="1">
        <w:r w:rsidRPr="002F43B7">
          <w:rPr>
            <w:rStyle w:val="Hyperlink"/>
            <w:color w:val="auto"/>
            <w:u w:val="none"/>
          </w:rPr>
          <w:t>www.legislation.vic.gov.au</w:t>
        </w:r>
      </w:hyperlink>
      <w:bookmarkEnd w:id="108"/>
      <w:r w:rsidR="00700906">
        <w:t xml:space="preserve"> </w:t>
      </w:r>
    </w:p>
    <w:p w14:paraId="157C127B" w14:textId="05752262" w:rsidR="00C2263E" w:rsidRDefault="00C2263E" w:rsidP="0093687C">
      <w:pPr>
        <w:pStyle w:val="Bullet1"/>
      </w:pPr>
      <w:r w:rsidRPr="0093687C">
        <w:rPr>
          <w:i/>
          <w:iCs/>
        </w:rPr>
        <w:t>Child Wellbeing and Safety Act 2005</w:t>
      </w:r>
      <w:r w:rsidRPr="002F43B7">
        <w:t xml:space="preserve"> (Victoria). </w:t>
      </w:r>
      <w:r w:rsidRPr="0093687C">
        <w:t xml:space="preserve">[online] Available at: </w:t>
      </w:r>
      <w:hyperlink r:id="rId25" w:history="1">
        <w:r w:rsidRPr="002F43B7">
          <w:rPr>
            <w:rStyle w:val="Hyperlink"/>
            <w:color w:val="auto"/>
            <w:u w:val="none"/>
          </w:rPr>
          <w:t>www.legislation.vic.gov.au</w:t>
        </w:r>
      </w:hyperlink>
    </w:p>
    <w:bookmarkEnd w:id="0"/>
    <w:bookmarkEnd w:id="106"/>
    <w:p w14:paraId="1ED59C10" w14:textId="4A694702" w:rsidR="004C7F96" w:rsidRPr="00785F09" w:rsidRDefault="00327973" w:rsidP="002F43B7">
      <w:pPr>
        <w:pStyle w:val="Bullet1"/>
      </w:pPr>
      <w:r>
        <w:t xml:space="preserve">Victorian Institute of Teaching. 2018, </w:t>
      </w:r>
      <w:r w:rsidRPr="002F43B7">
        <w:rPr>
          <w:i/>
          <w:iCs/>
        </w:rPr>
        <w:t>VIT Strategic Plan 2018-20</w:t>
      </w:r>
      <w:r>
        <w:t>. Melbourne</w:t>
      </w:r>
    </w:p>
    <w:sectPr w:rsidR="004C7F96" w:rsidRPr="00785F09" w:rsidSect="002F43B7">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53448" w14:textId="77777777" w:rsidR="001F5608" w:rsidRDefault="001F5608" w:rsidP="00D90BC7">
      <w:pPr>
        <w:spacing w:after="0" w:line="240" w:lineRule="auto"/>
      </w:pPr>
      <w:r>
        <w:separator/>
      </w:r>
    </w:p>
  </w:endnote>
  <w:endnote w:type="continuationSeparator" w:id="0">
    <w:p w14:paraId="4DE559C6" w14:textId="77777777" w:rsidR="001F5608" w:rsidRDefault="001F5608" w:rsidP="00D90BC7">
      <w:pPr>
        <w:spacing w:after="0" w:line="240" w:lineRule="auto"/>
      </w:pPr>
      <w:r>
        <w:continuationSeparator/>
      </w:r>
    </w:p>
  </w:endnote>
  <w:endnote w:type="continuationNotice" w:id="1">
    <w:p w14:paraId="2E337172" w14:textId="77777777" w:rsidR="001F5608" w:rsidRDefault="001F5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B5A1" w14:textId="77777777" w:rsidR="001F5608" w:rsidRDefault="001F5608" w:rsidP="006206A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186CDD6" w14:textId="77777777" w:rsidR="001F5608" w:rsidRDefault="001F5608" w:rsidP="006206A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D0D2" w14:textId="77777777" w:rsidR="001F5608" w:rsidRDefault="001F5608" w:rsidP="006206A3">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B96A" w14:textId="17BB49DD" w:rsidR="001F5608" w:rsidRDefault="001F5608" w:rsidP="006206A3">
    <w:pPr>
      <w:pStyle w:val="FootnoteText"/>
      <w:ind w:right="3395"/>
      <w:rPr>
        <w:sz w:val="12"/>
        <w:szCs w:val="12"/>
      </w:rPr>
    </w:pPr>
    <w:r w:rsidRPr="001105FA">
      <w:rPr>
        <w:sz w:val="12"/>
        <w:szCs w:val="12"/>
      </w:rPr>
      <w:t xml:space="preserve">© State of Victoria (Department of Education and Training) </w:t>
    </w:r>
    <w:r w:rsidRPr="006F1796">
      <w:rPr>
        <w:sz w:val="12"/>
        <w:szCs w:val="12"/>
      </w:rPr>
      <w:t>2020</w:t>
    </w:r>
  </w:p>
  <w:p w14:paraId="447C02F4" w14:textId="77777777" w:rsidR="001F5608" w:rsidRPr="001105FA" w:rsidRDefault="001F5608" w:rsidP="006206A3">
    <w:pPr>
      <w:pStyle w:val="FootnoteText"/>
      <w:ind w:right="3395"/>
      <w:rPr>
        <w:sz w:val="12"/>
        <w:szCs w:val="12"/>
      </w:rPr>
    </w:pPr>
    <w:r>
      <w:rPr>
        <w:noProof/>
        <w:sz w:val="12"/>
        <w:szCs w:val="12"/>
      </w:rPr>
      <w:drawing>
        <wp:inline distT="0" distB="0" distL="0" distR="0" wp14:anchorId="5E7F25C5" wp14:editId="4ED8E8E8">
          <wp:extent cx="485336" cy="173334"/>
          <wp:effectExtent l="0" t="0" r="0" b="5080"/>
          <wp:docPr id="7" name="Picture 7" descr="Creative Commons Attribution 4.0 International licence. You are free to re-use the work under that licence, on the condition that you credit the State of Victoria (Department of Education and Training), indicate if changes were made and comply with the other licence terms.&#10;&#10;"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648A369C" w14:textId="69BA6704" w:rsidR="001F5608" w:rsidRPr="001105FA" w:rsidRDefault="001F5608" w:rsidP="006206A3">
    <w:pPr>
      <w:pStyle w:val="FootnoteText"/>
      <w:spacing w:before="120"/>
      <w:ind w:right="2544"/>
      <w:rPr>
        <w:sz w:val="12"/>
        <w:szCs w:val="12"/>
      </w:rPr>
    </w:pPr>
    <w:r>
      <w:rPr>
        <w:sz w:val="12"/>
        <w:szCs w:val="12"/>
      </w:rPr>
      <w:t>Statement of Expectations Evaluation Report: VIT 2018-20</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255DF50F" w14:textId="77777777" w:rsidR="001F5608" w:rsidRPr="001105FA" w:rsidRDefault="001F5608" w:rsidP="006206A3">
    <w:pPr>
      <w:pStyle w:val="FootnoteText"/>
      <w:ind w:right="1977"/>
      <w:rPr>
        <w:sz w:val="12"/>
        <w:szCs w:val="12"/>
      </w:rPr>
    </w:pPr>
    <w:r w:rsidRPr="001105FA">
      <w:rPr>
        <w:sz w:val="12"/>
        <w:szCs w:val="12"/>
      </w:rPr>
      <w:t>The licence does not apply to:</w:t>
    </w:r>
  </w:p>
  <w:p w14:paraId="208F19FE" w14:textId="77777777" w:rsidR="001F5608" w:rsidRPr="001105FA" w:rsidRDefault="001F5608" w:rsidP="006206A3">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2CE4DB13" w14:textId="77777777" w:rsidR="001F5608" w:rsidRPr="001105FA" w:rsidRDefault="001F5608" w:rsidP="006206A3">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62B52B69" w14:textId="4E7CCE13" w:rsidR="001F5608" w:rsidRPr="0020333C" w:rsidRDefault="001F5608" w:rsidP="005A3266">
    <w:pPr>
      <w:pStyle w:val="FootnoteText"/>
      <w:tabs>
        <w:tab w:val="left" w:pos="5140"/>
      </w:tabs>
      <w:ind w:right="1977"/>
      <w:rPr>
        <w:color w:val="0563C1" w:themeColor="hyperlink"/>
        <w:sz w:val="12"/>
        <w:szCs w:val="12"/>
        <w:u w:val="single"/>
      </w:rPr>
    </w:pPr>
    <w:r w:rsidRPr="001105FA">
      <w:rPr>
        <w:sz w:val="12"/>
        <w:szCs w:val="12"/>
      </w:rPr>
      <w:t xml:space="preserve">Copyright queries may be directed to </w:t>
    </w:r>
    <w:hyperlink r:id="rId3" w:history="1">
      <w:r w:rsidRPr="001105FA">
        <w:rPr>
          <w:rStyle w:val="Hyperlink"/>
          <w:color w:val="5B9BD5" w:themeColor="accent5"/>
          <w:sz w:val="12"/>
          <w:szCs w:val="12"/>
        </w:rPr>
        <w:t>copyright@edumail.vic.gov.au</w:t>
      </w:r>
    </w:hyperlink>
    <w:r w:rsidR="005A3266">
      <w:rPr>
        <w:rStyle w:val="Hyperlink"/>
        <w:color w:val="5B9BD5" w:themeColor="accent5"/>
        <w:sz w:val="12"/>
        <w:szCs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275070"/>
      <w:docPartObj>
        <w:docPartGallery w:val="Page Numbers (Bottom of Page)"/>
        <w:docPartUnique/>
      </w:docPartObj>
    </w:sdtPr>
    <w:sdtEndPr>
      <w:rPr>
        <w:noProof/>
      </w:rPr>
    </w:sdtEndPr>
    <w:sdtContent>
      <w:p w14:paraId="676DBB12" w14:textId="7E666B63" w:rsidR="001F5608" w:rsidRDefault="001F5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EC075" w14:textId="77777777" w:rsidR="001F5608" w:rsidRDefault="001F5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B9930" w14:textId="77777777" w:rsidR="001F5608" w:rsidRDefault="001F5608" w:rsidP="00D90BC7">
      <w:pPr>
        <w:spacing w:after="0" w:line="240" w:lineRule="auto"/>
      </w:pPr>
      <w:r>
        <w:separator/>
      </w:r>
    </w:p>
  </w:footnote>
  <w:footnote w:type="continuationSeparator" w:id="0">
    <w:p w14:paraId="4903766D" w14:textId="77777777" w:rsidR="001F5608" w:rsidRDefault="001F5608" w:rsidP="00D90BC7">
      <w:pPr>
        <w:spacing w:after="0" w:line="240" w:lineRule="auto"/>
      </w:pPr>
      <w:r>
        <w:continuationSeparator/>
      </w:r>
    </w:p>
  </w:footnote>
  <w:footnote w:type="continuationNotice" w:id="1">
    <w:p w14:paraId="36B805A7" w14:textId="77777777" w:rsidR="001F5608" w:rsidRDefault="001F5608">
      <w:pPr>
        <w:spacing w:after="0" w:line="240" w:lineRule="auto"/>
      </w:pPr>
    </w:p>
  </w:footnote>
  <w:footnote w:id="2">
    <w:p w14:paraId="26BC2C05" w14:textId="7DA71D72" w:rsidR="001F5608" w:rsidRPr="00777D79" w:rsidRDefault="001F5608" w:rsidP="002F43B7">
      <w:pPr>
        <w:pStyle w:val="Footnote"/>
      </w:pPr>
      <w:r>
        <w:rPr>
          <w:rStyle w:val="FootnoteReference"/>
        </w:rPr>
        <w:footnoteRef/>
      </w:r>
      <w:r>
        <w:t xml:space="preserve"> </w:t>
      </w:r>
      <w:r w:rsidRPr="00570996">
        <w:t>The minimum standards referred to are those outlined in the SOE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52E4" w14:textId="77777777" w:rsidR="001F5608" w:rsidRDefault="001F5608" w:rsidP="006206A3">
    <w:pPr>
      <w:pStyle w:val="Header"/>
      <w:tabs>
        <w:tab w:val="clear" w:pos="4513"/>
        <w:tab w:val="clear" w:pos="9026"/>
        <w:tab w:val="left" w:pos="1425"/>
      </w:tabs>
    </w:pPr>
    <w:r>
      <w:rPr>
        <w:noProof/>
      </w:rPr>
      <w:drawing>
        <wp:anchor distT="0" distB="0" distL="114300" distR="114300" simplePos="0" relativeHeight="251658241" behindDoc="1" locked="0" layoutInCell="1" allowOverlap="1" wp14:anchorId="0C792DA4" wp14:editId="1FD897E4">
          <wp:simplePos x="0" y="0"/>
          <wp:positionH relativeFrom="page">
            <wp:align>left</wp:align>
          </wp:positionH>
          <wp:positionV relativeFrom="page">
            <wp:align>top</wp:align>
          </wp:positionV>
          <wp:extent cx="7560000" cy="106992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 Report Covers - Colour Block_P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1D66A" w14:textId="77777777" w:rsidR="001F5608" w:rsidRDefault="001F5608" w:rsidP="006206A3">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5347B8DA" wp14:editId="018B77C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5B5E"/>
    <w:multiLevelType w:val="hybridMultilevel"/>
    <w:tmpl w:val="E06E6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F388A"/>
    <w:multiLevelType w:val="hybridMultilevel"/>
    <w:tmpl w:val="DCAC76A6"/>
    <w:lvl w:ilvl="0" w:tplc="4E880A92">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0D3A5F"/>
    <w:multiLevelType w:val="hybridMultilevel"/>
    <w:tmpl w:val="E3FE16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B7CD3"/>
    <w:multiLevelType w:val="hybridMultilevel"/>
    <w:tmpl w:val="FE581AFC"/>
    <w:lvl w:ilvl="0" w:tplc="AC76B242">
      <w:start w:val="1"/>
      <w:numFmt w:val="bullet"/>
      <w:pStyle w:val="Bullet2"/>
      <w:lvlText w:val="o"/>
      <w:lvlJc w:val="left"/>
      <w:pPr>
        <w:ind w:left="1495"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E0A9E"/>
    <w:multiLevelType w:val="hybridMultilevel"/>
    <w:tmpl w:val="A18CED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EA49C0"/>
    <w:multiLevelType w:val="hybridMultilevel"/>
    <w:tmpl w:val="25CE9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561B024B"/>
    <w:multiLevelType w:val="hybridMultilevel"/>
    <w:tmpl w:val="5A04A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4F1232"/>
    <w:multiLevelType w:val="hybridMultilevel"/>
    <w:tmpl w:val="5840274A"/>
    <w:lvl w:ilvl="0" w:tplc="97C4DF32">
      <w:start w:val="1"/>
      <w:numFmt w:val="bullet"/>
      <w:lvlText w:val="•"/>
      <w:lvlJc w:val="left"/>
      <w:pPr>
        <w:tabs>
          <w:tab w:val="num" w:pos="720"/>
        </w:tabs>
        <w:ind w:left="720" w:hanging="360"/>
      </w:pPr>
      <w:rPr>
        <w:rFonts w:ascii="Arial" w:hAnsi="Arial" w:hint="default"/>
      </w:rPr>
    </w:lvl>
    <w:lvl w:ilvl="1" w:tplc="2BD27A86" w:tentative="1">
      <w:start w:val="1"/>
      <w:numFmt w:val="bullet"/>
      <w:lvlText w:val="•"/>
      <w:lvlJc w:val="left"/>
      <w:pPr>
        <w:tabs>
          <w:tab w:val="num" w:pos="1440"/>
        </w:tabs>
        <w:ind w:left="1440" w:hanging="360"/>
      </w:pPr>
      <w:rPr>
        <w:rFonts w:ascii="Arial" w:hAnsi="Arial" w:hint="default"/>
      </w:rPr>
    </w:lvl>
    <w:lvl w:ilvl="2" w:tplc="E778AB34" w:tentative="1">
      <w:start w:val="1"/>
      <w:numFmt w:val="bullet"/>
      <w:lvlText w:val="•"/>
      <w:lvlJc w:val="left"/>
      <w:pPr>
        <w:tabs>
          <w:tab w:val="num" w:pos="2160"/>
        </w:tabs>
        <w:ind w:left="2160" w:hanging="360"/>
      </w:pPr>
      <w:rPr>
        <w:rFonts w:ascii="Arial" w:hAnsi="Arial" w:hint="default"/>
      </w:rPr>
    </w:lvl>
    <w:lvl w:ilvl="3" w:tplc="945AB926" w:tentative="1">
      <w:start w:val="1"/>
      <w:numFmt w:val="bullet"/>
      <w:lvlText w:val="•"/>
      <w:lvlJc w:val="left"/>
      <w:pPr>
        <w:tabs>
          <w:tab w:val="num" w:pos="2880"/>
        </w:tabs>
        <w:ind w:left="2880" w:hanging="360"/>
      </w:pPr>
      <w:rPr>
        <w:rFonts w:ascii="Arial" w:hAnsi="Arial" w:hint="default"/>
      </w:rPr>
    </w:lvl>
    <w:lvl w:ilvl="4" w:tplc="87FEAD7A" w:tentative="1">
      <w:start w:val="1"/>
      <w:numFmt w:val="bullet"/>
      <w:lvlText w:val="•"/>
      <w:lvlJc w:val="left"/>
      <w:pPr>
        <w:tabs>
          <w:tab w:val="num" w:pos="3600"/>
        </w:tabs>
        <w:ind w:left="3600" w:hanging="360"/>
      </w:pPr>
      <w:rPr>
        <w:rFonts w:ascii="Arial" w:hAnsi="Arial" w:hint="default"/>
      </w:rPr>
    </w:lvl>
    <w:lvl w:ilvl="5" w:tplc="BCEC3B90" w:tentative="1">
      <w:start w:val="1"/>
      <w:numFmt w:val="bullet"/>
      <w:lvlText w:val="•"/>
      <w:lvlJc w:val="left"/>
      <w:pPr>
        <w:tabs>
          <w:tab w:val="num" w:pos="4320"/>
        </w:tabs>
        <w:ind w:left="4320" w:hanging="360"/>
      </w:pPr>
      <w:rPr>
        <w:rFonts w:ascii="Arial" w:hAnsi="Arial" w:hint="default"/>
      </w:rPr>
    </w:lvl>
    <w:lvl w:ilvl="6" w:tplc="93082164" w:tentative="1">
      <w:start w:val="1"/>
      <w:numFmt w:val="bullet"/>
      <w:lvlText w:val="•"/>
      <w:lvlJc w:val="left"/>
      <w:pPr>
        <w:tabs>
          <w:tab w:val="num" w:pos="5040"/>
        </w:tabs>
        <w:ind w:left="5040" w:hanging="360"/>
      </w:pPr>
      <w:rPr>
        <w:rFonts w:ascii="Arial" w:hAnsi="Arial" w:hint="default"/>
      </w:rPr>
    </w:lvl>
    <w:lvl w:ilvl="7" w:tplc="4D562EDE" w:tentative="1">
      <w:start w:val="1"/>
      <w:numFmt w:val="bullet"/>
      <w:lvlText w:val="•"/>
      <w:lvlJc w:val="left"/>
      <w:pPr>
        <w:tabs>
          <w:tab w:val="num" w:pos="5760"/>
        </w:tabs>
        <w:ind w:left="5760" w:hanging="360"/>
      </w:pPr>
      <w:rPr>
        <w:rFonts w:ascii="Arial" w:hAnsi="Arial" w:hint="default"/>
      </w:rPr>
    </w:lvl>
    <w:lvl w:ilvl="8" w:tplc="85FC94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B36AF8"/>
    <w:multiLevelType w:val="hybridMultilevel"/>
    <w:tmpl w:val="7F5A45E6"/>
    <w:lvl w:ilvl="0" w:tplc="A7F018D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AF578A"/>
    <w:multiLevelType w:val="hybridMultilevel"/>
    <w:tmpl w:val="44E44C90"/>
    <w:lvl w:ilvl="0" w:tplc="8BA242E6">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1B4F9E"/>
    <w:multiLevelType w:val="hybridMultilevel"/>
    <w:tmpl w:val="84ECC60C"/>
    <w:lvl w:ilvl="0" w:tplc="60169E6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1"/>
  </w:num>
  <w:num w:numId="5">
    <w:abstractNumId w:val="8"/>
  </w:num>
  <w:num w:numId="6">
    <w:abstractNumId w:val="4"/>
  </w:num>
  <w:num w:numId="7">
    <w:abstractNumId w:val="10"/>
  </w:num>
  <w:num w:numId="8">
    <w:abstractNumId w:val="3"/>
  </w:num>
  <w:num w:numId="9">
    <w:abstractNumId w:val="7"/>
  </w:num>
  <w:num w:numId="10">
    <w:abstractNumId w:val="1"/>
    <w:lvlOverride w:ilvl="0">
      <w:startOverride w:val="1"/>
    </w:lvlOverride>
  </w:num>
  <w:num w:numId="11">
    <w:abstractNumId w:val="12"/>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9"/>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E5"/>
    <w:rsid w:val="00000573"/>
    <w:rsid w:val="00000E0B"/>
    <w:rsid w:val="00002544"/>
    <w:rsid w:val="00003BE2"/>
    <w:rsid w:val="00003FD2"/>
    <w:rsid w:val="000042EC"/>
    <w:rsid w:val="0000470C"/>
    <w:rsid w:val="00006541"/>
    <w:rsid w:val="00006AAB"/>
    <w:rsid w:val="00006B0B"/>
    <w:rsid w:val="0000772C"/>
    <w:rsid w:val="000077CE"/>
    <w:rsid w:val="00007944"/>
    <w:rsid w:val="00010A8A"/>
    <w:rsid w:val="000110F3"/>
    <w:rsid w:val="00012397"/>
    <w:rsid w:val="000127B5"/>
    <w:rsid w:val="000130A5"/>
    <w:rsid w:val="00015A00"/>
    <w:rsid w:val="00016EBA"/>
    <w:rsid w:val="00017745"/>
    <w:rsid w:val="00020122"/>
    <w:rsid w:val="00021456"/>
    <w:rsid w:val="000223EC"/>
    <w:rsid w:val="00023B0A"/>
    <w:rsid w:val="0002585D"/>
    <w:rsid w:val="00026671"/>
    <w:rsid w:val="00030324"/>
    <w:rsid w:val="000305FD"/>
    <w:rsid w:val="0003218D"/>
    <w:rsid w:val="00032AAB"/>
    <w:rsid w:val="00033825"/>
    <w:rsid w:val="00034542"/>
    <w:rsid w:val="00035F2C"/>
    <w:rsid w:val="00036399"/>
    <w:rsid w:val="00040593"/>
    <w:rsid w:val="000423A6"/>
    <w:rsid w:val="00042CE3"/>
    <w:rsid w:val="00042E94"/>
    <w:rsid w:val="00043F54"/>
    <w:rsid w:val="000455CA"/>
    <w:rsid w:val="00046B27"/>
    <w:rsid w:val="0005088B"/>
    <w:rsid w:val="00050DAB"/>
    <w:rsid w:val="000510B6"/>
    <w:rsid w:val="00051917"/>
    <w:rsid w:val="000526FA"/>
    <w:rsid w:val="000531BC"/>
    <w:rsid w:val="000549CE"/>
    <w:rsid w:val="00054D2E"/>
    <w:rsid w:val="00056571"/>
    <w:rsid w:val="000620C8"/>
    <w:rsid w:val="00062E30"/>
    <w:rsid w:val="000662CA"/>
    <w:rsid w:val="00066ED3"/>
    <w:rsid w:val="00067098"/>
    <w:rsid w:val="000670A7"/>
    <w:rsid w:val="00067115"/>
    <w:rsid w:val="0006773C"/>
    <w:rsid w:val="000702EA"/>
    <w:rsid w:val="000706A0"/>
    <w:rsid w:val="00070DE4"/>
    <w:rsid w:val="0007138B"/>
    <w:rsid w:val="000718E1"/>
    <w:rsid w:val="00071D3B"/>
    <w:rsid w:val="00072989"/>
    <w:rsid w:val="00073C28"/>
    <w:rsid w:val="00074305"/>
    <w:rsid w:val="00074647"/>
    <w:rsid w:val="000749AE"/>
    <w:rsid w:val="000758B6"/>
    <w:rsid w:val="0007698C"/>
    <w:rsid w:val="000801FA"/>
    <w:rsid w:val="000813A4"/>
    <w:rsid w:val="00081B63"/>
    <w:rsid w:val="00082EA5"/>
    <w:rsid w:val="00086CD0"/>
    <w:rsid w:val="000879B7"/>
    <w:rsid w:val="00087D1C"/>
    <w:rsid w:val="00090083"/>
    <w:rsid w:val="00091A26"/>
    <w:rsid w:val="00092A97"/>
    <w:rsid w:val="00092C61"/>
    <w:rsid w:val="00094045"/>
    <w:rsid w:val="00094912"/>
    <w:rsid w:val="00094C18"/>
    <w:rsid w:val="00095B84"/>
    <w:rsid w:val="000971AA"/>
    <w:rsid w:val="00097D46"/>
    <w:rsid w:val="000A055C"/>
    <w:rsid w:val="000A0692"/>
    <w:rsid w:val="000A0B28"/>
    <w:rsid w:val="000A12F1"/>
    <w:rsid w:val="000A311A"/>
    <w:rsid w:val="000A4827"/>
    <w:rsid w:val="000A490D"/>
    <w:rsid w:val="000A58C8"/>
    <w:rsid w:val="000A5E7E"/>
    <w:rsid w:val="000A794D"/>
    <w:rsid w:val="000A795B"/>
    <w:rsid w:val="000B2ACA"/>
    <w:rsid w:val="000B3316"/>
    <w:rsid w:val="000B51F4"/>
    <w:rsid w:val="000C09D1"/>
    <w:rsid w:val="000C2E0E"/>
    <w:rsid w:val="000C2F7B"/>
    <w:rsid w:val="000C385B"/>
    <w:rsid w:val="000C4520"/>
    <w:rsid w:val="000C4A9B"/>
    <w:rsid w:val="000C6DA5"/>
    <w:rsid w:val="000C72BF"/>
    <w:rsid w:val="000C74BE"/>
    <w:rsid w:val="000D10C0"/>
    <w:rsid w:val="000D143F"/>
    <w:rsid w:val="000D1D7B"/>
    <w:rsid w:val="000D1F8D"/>
    <w:rsid w:val="000D26BB"/>
    <w:rsid w:val="000D3D42"/>
    <w:rsid w:val="000D4622"/>
    <w:rsid w:val="000D496C"/>
    <w:rsid w:val="000E1E7B"/>
    <w:rsid w:val="000E2274"/>
    <w:rsid w:val="000E482A"/>
    <w:rsid w:val="000E5332"/>
    <w:rsid w:val="000E5997"/>
    <w:rsid w:val="000E63E0"/>
    <w:rsid w:val="000E679F"/>
    <w:rsid w:val="000E6D8A"/>
    <w:rsid w:val="000E7825"/>
    <w:rsid w:val="000F0D91"/>
    <w:rsid w:val="000F2F57"/>
    <w:rsid w:val="000F389B"/>
    <w:rsid w:val="000F40AF"/>
    <w:rsid w:val="000F550E"/>
    <w:rsid w:val="000F787A"/>
    <w:rsid w:val="000F79C6"/>
    <w:rsid w:val="00101E04"/>
    <w:rsid w:val="0010306C"/>
    <w:rsid w:val="00105376"/>
    <w:rsid w:val="00105DAA"/>
    <w:rsid w:val="00107608"/>
    <w:rsid w:val="00107F05"/>
    <w:rsid w:val="001117BE"/>
    <w:rsid w:val="00111BC4"/>
    <w:rsid w:val="00111CBA"/>
    <w:rsid w:val="00112A9E"/>
    <w:rsid w:val="0011397F"/>
    <w:rsid w:val="00113A41"/>
    <w:rsid w:val="001141D2"/>
    <w:rsid w:val="0011469B"/>
    <w:rsid w:val="001151A2"/>
    <w:rsid w:val="00121754"/>
    <w:rsid w:val="00121D13"/>
    <w:rsid w:val="0012349C"/>
    <w:rsid w:val="0012460C"/>
    <w:rsid w:val="00126A3E"/>
    <w:rsid w:val="00126D02"/>
    <w:rsid w:val="00126E8E"/>
    <w:rsid w:val="00126F1F"/>
    <w:rsid w:val="00127A2B"/>
    <w:rsid w:val="00130A11"/>
    <w:rsid w:val="00134744"/>
    <w:rsid w:val="0013559D"/>
    <w:rsid w:val="00136FA8"/>
    <w:rsid w:val="001404B6"/>
    <w:rsid w:val="00144DB4"/>
    <w:rsid w:val="0014518E"/>
    <w:rsid w:val="0014571C"/>
    <w:rsid w:val="001459D1"/>
    <w:rsid w:val="0014713D"/>
    <w:rsid w:val="00150CBB"/>
    <w:rsid w:val="001552E0"/>
    <w:rsid w:val="00155563"/>
    <w:rsid w:val="00156F3A"/>
    <w:rsid w:val="001603C6"/>
    <w:rsid w:val="0016062D"/>
    <w:rsid w:val="00160D64"/>
    <w:rsid w:val="00164E3F"/>
    <w:rsid w:val="001658C2"/>
    <w:rsid w:val="001668A2"/>
    <w:rsid w:val="00170BE2"/>
    <w:rsid w:val="001718F6"/>
    <w:rsid w:val="001724B2"/>
    <w:rsid w:val="00172537"/>
    <w:rsid w:val="001736F1"/>
    <w:rsid w:val="00175388"/>
    <w:rsid w:val="0017608D"/>
    <w:rsid w:val="00176D5E"/>
    <w:rsid w:val="00177482"/>
    <w:rsid w:val="00180371"/>
    <w:rsid w:val="0018111D"/>
    <w:rsid w:val="00182DD6"/>
    <w:rsid w:val="00186EC1"/>
    <w:rsid w:val="00187A37"/>
    <w:rsid w:val="00190BA5"/>
    <w:rsid w:val="00192BE7"/>
    <w:rsid w:val="00192FB8"/>
    <w:rsid w:val="001949EE"/>
    <w:rsid w:val="00194CCF"/>
    <w:rsid w:val="00195DE8"/>
    <w:rsid w:val="00195EF5"/>
    <w:rsid w:val="00196F9C"/>
    <w:rsid w:val="001A026C"/>
    <w:rsid w:val="001A2F81"/>
    <w:rsid w:val="001A2F9F"/>
    <w:rsid w:val="001A523B"/>
    <w:rsid w:val="001A577E"/>
    <w:rsid w:val="001A6F3D"/>
    <w:rsid w:val="001A7A28"/>
    <w:rsid w:val="001A7C95"/>
    <w:rsid w:val="001A7DB5"/>
    <w:rsid w:val="001B0272"/>
    <w:rsid w:val="001B1AE7"/>
    <w:rsid w:val="001B1F15"/>
    <w:rsid w:val="001B3000"/>
    <w:rsid w:val="001B42E2"/>
    <w:rsid w:val="001B64B4"/>
    <w:rsid w:val="001B69DD"/>
    <w:rsid w:val="001C1383"/>
    <w:rsid w:val="001C38A4"/>
    <w:rsid w:val="001C43F8"/>
    <w:rsid w:val="001C4F4C"/>
    <w:rsid w:val="001C5A36"/>
    <w:rsid w:val="001C5CF3"/>
    <w:rsid w:val="001D0808"/>
    <w:rsid w:val="001D092E"/>
    <w:rsid w:val="001D0DAF"/>
    <w:rsid w:val="001D1912"/>
    <w:rsid w:val="001D25E3"/>
    <w:rsid w:val="001D7EBC"/>
    <w:rsid w:val="001E1351"/>
    <w:rsid w:val="001E1BD4"/>
    <w:rsid w:val="001E2140"/>
    <w:rsid w:val="001E3A4E"/>
    <w:rsid w:val="001E50D5"/>
    <w:rsid w:val="001E5537"/>
    <w:rsid w:val="001E5540"/>
    <w:rsid w:val="001F09CC"/>
    <w:rsid w:val="001F1C21"/>
    <w:rsid w:val="001F1E16"/>
    <w:rsid w:val="001F2782"/>
    <w:rsid w:val="001F3473"/>
    <w:rsid w:val="001F4AF6"/>
    <w:rsid w:val="001F5608"/>
    <w:rsid w:val="001F58D9"/>
    <w:rsid w:val="001F64FC"/>
    <w:rsid w:val="001F6761"/>
    <w:rsid w:val="001F6B9B"/>
    <w:rsid w:val="001F72E6"/>
    <w:rsid w:val="001F787C"/>
    <w:rsid w:val="00200404"/>
    <w:rsid w:val="0020044B"/>
    <w:rsid w:val="00202767"/>
    <w:rsid w:val="00203393"/>
    <w:rsid w:val="0020392D"/>
    <w:rsid w:val="0020454C"/>
    <w:rsid w:val="002054DF"/>
    <w:rsid w:val="002057C9"/>
    <w:rsid w:val="002061AE"/>
    <w:rsid w:val="002064BC"/>
    <w:rsid w:val="00206514"/>
    <w:rsid w:val="00206980"/>
    <w:rsid w:val="00207234"/>
    <w:rsid w:val="002074CF"/>
    <w:rsid w:val="00210F37"/>
    <w:rsid w:val="0021114A"/>
    <w:rsid w:val="00213CBE"/>
    <w:rsid w:val="0021418C"/>
    <w:rsid w:val="0021619C"/>
    <w:rsid w:val="002168BD"/>
    <w:rsid w:val="00216997"/>
    <w:rsid w:val="00217233"/>
    <w:rsid w:val="002172D9"/>
    <w:rsid w:val="00217C17"/>
    <w:rsid w:val="00221A2A"/>
    <w:rsid w:val="00221F5D"/>
    <w:rsid w:val="00222D8E"/>
    <w:rsid w:val="002239F2"/>
    <w:rsid w:val="002243D9"/>
    <w:rsid w:val="00224898"/>
    <w:rsid w:val="00224ED1"/>
    <w:rsid w:val="002256E1"/>
    <w:rsid w:val="00226027"/>
    <w:rsid w:val="0022605A"/>
    <w:rsid w:val="0022641D"/>
    <w:rsid w:val="0022688E"/>
    <w:rsid w:val="002307A0"/>
    <w:rsid w:val="00230E0B"/>
    <w:rsid w:val="002316AA"/>
    <w:rsid w:val="00231EF3"/>
    <w:rsid w:val="002337C0"/>
    <w:rsid w:val="00233EDB"/>
    <w:rsid w:val="002347C5"/>
    <w:rsid w:val="002347F1"/>
    <w:rsid w:val="00234873"/>
    <w:rsid w:val="002350C9"/>
    <w:rsid w:val="0023605A"/>
    <w:rsid w:val="00237DB6"/>
    <w:rsid w:val="00237ED3"/>
    <w:rsid w:val="002408BA"/>
    <w:rsid w:val="00240987"/>
    <w:rsid w:val="002420C4"/>
    <w:rsid w:val="00243169"/>
    <w:rsid w:val="00244491"/>
    <w:rsid w:val="002453F4"/>
    <w:rsid w:val="00245D28"/>
    <w:rsid w:val="00245F8D"/>
    <w:rsid w:val="0024606C"/>
    <w:rsid w:val="00246176"/>
    <w:rsid w:val="00246F9D"/>
    <w:rsid w:val="00247011"/>
    <w:rsid w:val="002473F9"/>
    <w:rsid w:val="00247A6B"/>
    <w:rsid w:val="00247F03"/>
    <w:rsid w:val="00250BD2"/>
    <w:rsid w:val="00251298"/>
    <w:rsid w:val="002512B2"/>
    <w:rsid w:val="00252947"/>
    <w:rsid w:val="00252D70"/>
    <w:rsid w:val="0025306A"/>
    <w:rsid w:val="0025310E"/>
    <w:rsid w:val="0025317F"/>
    <w:rsid w:val="00253237"/>
    <w:rsid w:val="00253F11"/>
    <w:rsid w:val="00254A28"/>
    <w:rsid w:val="00255812"/>
    <w:rsid w:val="00256104"/>
    <w:rsid w:val="0025799E"/>
    <w:rsid w:val="00260520"/>
    <w:rsid w:val="00260602"/>
    <w:rsid w:val="0026142C"/>
    <w:rsid w:val="00261E10"/>
    <w:rsid w:val="00262F69"/>
    <w:rsid w:val="002638CD"/>
    <w:rsid w:val="00263E29"/>
    <w:rsid w:val="00264E1B"/>
    <w:rsid w:val="002653A5"/>
    <w:rsid w:val="00266202"/>
    <w:rsid w:val="00266714"/>
    <w:rsid w:val="00266E7A"/>
    <w:rsid w:val="002730DB"/>
    <w:rsid w:val="002745C8"/>
    <w:rsid w:val="002757CA"/>
    <w:rsid w:val="002758D9"/>
    <w:rsid w:val="00275B91"/>
    <w:rsid w:val="002771A6"/>
    <w:rsid w:val="00277BBA"/>
    <w:rsid w:val="00277CD7"/>
    <w:rsid w:val="002806B4"/>
    <w:rsid w:val="00282236"/>
    <w:rsid w:val="002825B5"/>
    <w:rsid w:val="00283AC8"/>
    <w:rsid w:val="0028404C"/>
    <w:rsid w:val="002860F6"/>
    <w:rsid w:val="002862E2"/>
    <w:rsid w:val="00287131"/>
    <w:rsid w:val="00287453"/>
    <w:rsid w:val="0028771A"/>
    <w:rsid w:val="00290A93"/>
    <w:rsid w:val="0029153B"/>
    <w:rsid w:val="00291A3F"/>
    <w:rsid w:val="002939B9"/>
    <w:rsid w:val="0029420B"/>
    <w:rsid w:val="00294579"/>
    <w:rsid w:val="002954ED"/>
    <w:rsid w:val="00296433"/>
    <w:rsid w:val="002A37E6"/>
    <w:rsid w:val="002A3C25"/>
    <w:rsid w:val="002A468C"/>
    <w:rsid w:val="002B002D"/>
    <w:rsid w:val="002B0419"/>
    <w:rsid w:val="002B17CE"/>
    <w:rsid w:val="002B2CFB"/>
    <w:rsid w:val="002B322E"/>
    <w:rsid w:val="002B36DE"/>
    <w:rsid w:val="002B5B49"/>
    <w:rsid w:val="002B61C6"/>
    <w:rsid w:val="002B6B06"/>
    <w:rsid w:val="002B6E6F"/>
    <w:rsid w:val="002B78AC"/>
    <w:rsid w:val="002C00D9"/>
    <w:rsid w:val="002C2AA7"/>
    <w:rsid w:val="002C376D"/>
    <w:rsid w:val="002C3BCD"/>
    <w:rsid w:val="002C49F6"/>
    <w:rsid w:val="002C4CCD"/>
    <w:rsid w:val="002C50B4"/>
    <w:rsid w:val="002C5A03"/>
    <w:rsid w:val="002C71C1"/>
    <w:rsid w:val="002C7910"/>
    <w:rsid w:val="002D0F60"/>
    <w:rsid w:val="002D19CE"/>
    <w:rsid w:val="002D1DCA"/>
    <w:rsid w:val="002D2097"/>
    <w:rsid w:val="002D279A"/>
    <w:rsid w:val="002D3E68"/>
    <w:rsid w:val="002D4533"/>
    <w:rsid w:val="002D625E"/>
    <w:rsid w:val="002D6466"/>
    <w:rsid w:val="002D6476"/>
    <w:rsid w:val="002D64BE"/>
    <w:rsid w:val="002D6A8E"/>
    <w:rsid w:val="002D77F9"/>
    <w:rsid w:val="002D7F9F"/>
    <w:rsid w:val="002E0312"/>
    <w:rsid w:val="002E0E15"/>
    <w:rsid w:val="002E315D"/>
    <w:rsid w:val="002E417A"/>
    <w:rsid w:val="002E4A9B"/>
    <w:rsid w:val="002E5316"/>
    <w:rsid w:val="002E56DC"/>
    <w:rsid w:val="002E5CBF"/>
    <w:rsid w:val="002E7482"/>
    <w:rsid w:val="002E79ED"/>
    <w:rsid w:val="002F0D75"/>
    <w:rsid w:val="002F201D"/>
    <w:rsid w:val="002F21DE"/>
    <w:rsid w:val="002F2585"/>
    <w:rsid w:val="002F2702"/>
    <w:rsid w:val="002F27FF"/>
    <w:rsid w:val="002F41F0"/>
    <w:rsid w:val="002F43B7"/>
    <w:rsid w:val="002F4938"/>
    <w:rsid w:val="002F4D92"/>
    <w:rsid w:val="002F62C2"/>
    <w:rsid w:val="002F7628"/>
    <w:rsid w:val="002F7630"/>
    <w:rsid w:val="003000AF"/>
    <w:rsid w:val="003001E3"/>
    <w:rsid w:val="00300966"/>
    <w:rsid w:val="00300FC5"/>
    <w:rsid w:val="0030189B"/>
    <w:rsid w:val="00301C37"/>
    <w:rsid w:val="00303301"/>
    <w:rsid w:val="00303346"/>
    <w:rsid w:val="003056E8"/>
    <w:rsid w:val="00305A7B"/>
    <w:rsid w:val="00305E2F"/>
    <w:rsid w:val="00306917"/>
    <w:rsid w:val="0030737F"/>
    <w:rsid w:val="0030753B"/>
    <w:rsid w:val="003077C8"/>
    <w:rsid w:val="00310076"/>
    <w:rsid w:val="003107C9"/>
    <w:rsid w:val="00310F87"/>
    <w:rsid w:val="00312980"/>
    <w:rsid w:val="00312FCA"/>
    <w:rsid w:val="00313582"/>
    <w:rsid w:val="00314246"/>
    <w:rsid w:val="00314F91"/>
    <w:rsid w:val="0031542F"/>
    <w:rsid w:val="00315862"/>
    <w:rsid w:val="0031626B"/>
    <w:rsid w:val="003174D4"/>
    <w:rsid w:val="00317CA0"/>
    <w:rsid w:val="0032114F"/>
    <w:rsid w:val="00322452"/>
    <w:rsid w:val="00322592"/>
    <w:rsid w:val="003229E8"/>
    <w:rsid w:val="00324B43"/>
    <w:rsid w:val="003254B0"/>
    <w:rsid w:val="003254C7"/>
    <w:rsid w:val="00325B0E"/>
    <w:rsid w:val="00327934"/>
    <w:rsid w:val="00327973"/>
    <w:rsid w:val="00327D4E"/>
    <w:rsid w:val="00330946"/>
    <w:rsid w:val="00330C66"/>
    <w:rsid w:val="00331A56"/>
    <w:rsid w:val="00331DD4"/>
    <w:rsid w:val="00331FC8"/>
    <w:rsid w:val="00332DF0"/>
    <w:rsid w:val="00332E0D"/>
    <w:rsid w:val="00334FAA"/>
    <w:rsid w:val="0033559A"/>
    <w:rsid w:val="00340067"/>
    <w:rsid w:val="0034171F"/>
    <w:rsid w:val="00342334"/>
    <w:rsid w:val="003444A8"/>
    <w:rsid w:val="003448A7"/>
    <w:rsid w:val="00344DAC"/>
    <w:rsid w:val="00344E31"/>
    <w:rsid w:val="0034793A"/>
    <w:rsid w:val="00347BF9"/>
    <w:rsid w:val="003506AC"/>
    <w:rsid w:val="00350824"/>
    <w:rsid w:val="00355836"/>
    <w:rsid w:val="00355AA2"/>
    <w:rsid w:val="00357649"/>
    <w:rsid w:val="0036028E"/>
    <w:rsid w:val="0036069A"/>
    <w:rsid w:val="003613E9"/>
    <w:rsid w:val="00361888"/>
    <w:rsid w:val="00366364"/>
    <w:rsid w:val="003672C3"/>
    <w:rsid w:val="00367560"/>
    <w:rsid w:val="00373527"/>
    <w:rsid w:val="003738F6"/>
    <w:rsid w:val="00373A17"/>
    <w:rsid w:val="003779F8"/>
    <w:rsid w:val="003805A0"/>
    <w:rsid w:val="00380844"/>
    <w:rsid w:val="00382C0B"/>
    <w:rsid w:val="00382E03"/>
    <w:rsid w:val="0038341A"/>
    <w:rsid w:val="00383862"/>
    <w:rsid w:val="00384118"/>
    <w:rsid w:val="0038412D"/>
    <w:rsid w:val="0038491E"/>
    <w:rsid w:val="00384BAD"/>
    <w:rsid w:val="0038513B"/>
    <w:rsid w:val="003852FB"/>
    <w:rsid w:val="00385524"/>
    <w:rsid w:val="0038574F"/>
    <w:rsid w:val="00385804"/>
    <w:rsid w:val="00386210"/>
    <w:rsid w:val="00386FD3"/>
    <w:rsid w:val="003870E0"/>
    <w:rsid w:val="0038725B"/>
    <w:rsid w:val="00390036"/>
    <w:rsid w:val="0039147A"/>
    <w:rsid w:val="00393D25"/>
    <w:rsid w:val="00394370"/>
    <w:rsid w:val="00395527"/>
    <w:rsid w:val="0039750E"/>
    <w:rsid w:val="003979A7"/>
    <w:rsid w:val="00397DA0"/>
    <w:rsid w:val="003A0174"/>
    <w:rsid w:val="003A0934"/>
    <w:rsid w:val="003A17CB"/>
    <w:rsid w:val="003A2849"/>
    <w:rsid w:val="003A47F6"/>
    <w:rsid w:val="003A523A"/>
    <w:rsid w:val="003A59CA"/>
    <w:rsid w:val="003A7388"/>
    <w:rsid w:val="003A7F59"/>
    <w:rsid w:val="003B032E"/>
    <w:rsid w:val="003B0432"/>
    <w:rsid w:val="003B1661"/>
    <w:rsid w:val="003B1EA1"/>
    <w:rsid w:val="003B2031"/>
    <w:rsid w:val="003B2131"/>
    <w:rsid w:val="003B24A9"/>
    <w:rsid w:val="003B514F"/>
    <w:rsid w:val="003B5314"/>
    <w:rsid w:val="003B67F6"/>
    <w:rsid w:val="003C0C0B"/>
    <w:rsid w:val="003C1507"/>
    <w:rsid w:val="003C2A5C"/>
    <w:rsid w:val="003C3561"/>
    <w:rsid w:val="003C3AEF"/>
    <w:rsid w:val="003C421F"/>
    <w:rsid w:val="003C523A"/>
    <w:rsid w:val="003C5558"/>
    <w:rsid w:val="003C69EB"/>
    <w:rsid w:val="003D023C"/>
    <w:rsid w:val="003D2377"/>
    <w:rsid w:val="003D3D6A"/>
    <w:rsid w:val="003D42B6"/>
    <w:rsid w:val="003D4876"/>
    <w:rsid w:val="003D529B"/>
    <w:rsid w:val="003D5780"/>
    <w:rsid w:val="003D6AD3"/>
    <w:rsid w:val="003D794B"/>
    <w:rsid w:val="003E3B7B"/>
    <w:rsid w:val="003E3F21"/>
    <w:rsid w:val="003E4EAE"/>
    <w:rsid w:val="003E5DB8"/>
    <w:rsid w:val="003E74AF"/>
    <w:rsid w:val="003F1343"/>
    <w:rsid w:val="003F240A"/>
    <w:rsid w:val="003F39C3"/>
    <w:rsid w:val="003F599A"/>
    <w:rsid w:val="003F6362"/>
    <w:rsid w:val="003F660B"/>
    <w:rsid w:val="003F6E82"/>
    <w:rsid w:val="003F7524"/>
    <w:rsid w:val="003F7606"/>
    <w:rsid w:val="003F7664"/>
    <w:rsid w:val="003F7A5C"/>
    <w:rsid w:val="003F7E07"/>
    <w:rsid w:val="00401A8E"/>
    <w:rsid w:val="00402870"/>
    <w:rsid w:val="004028CE"/>
    <w:rsid w:val="00403FB2"/>
    <w:rsid w:val="004049BB"/>
    <w:rsid w:val="00405BEC"/>
    <w:rsid w:val="0040644D"/>
    <w:rsid w:val="00406ABB"/>
    <w:rsid w:val="004105C5"/>
    <w:rsid w:val="004114F2"/>
    <w:rsid w:val="00413C83"/>
    <w:rsid w:val="00413CB4"/>
    <w:rsid w:val="00413CBA"/>
    <w:rsid w:val="00414C2C"/>
    <w:rsid w:val="004167C7"/>
    <w:rsid w:val="00416942"/>
    <w:rsid w:val="004177B3"/>
    <w:rsid w:val="00417CB7"/>
    <w:rsid w:val="004202A7"/>
    <w:rsid w:val="0042032F"/>
    <w:rsid w:val="00424225"/>
    <w:rsid w:val="00424761"/>
    <w:rsid w:val="00425528"/>
    <w:rsid w:val="00425AD4"/>
    <w:rsid w:val="004274AE"/>
    <w:rsid w:val="00427A17"/>
    <w:rsid w:val="00427FE3"/>
    <w:rsid w:val="004301BE"/>
    <w:rsid w:val="00433AB9"/>
    <w:rsid w:val="004350FD"/>
    <w:rsid w:val="0043605C"/>
    <w:rsid w:val="004370E6"/>
    <w:rsid w:val="00437371"/>
    <w:rsid w:val="00437AB5"/>
    <w:rsid w:val="00440527"/>
    <w:rsid w:val="004431DF"/>
    <w:rsid w:val="00443767"/>
    <w:rsid w:val="004438B0"/>
    <w:rsid w:val="00444358"/>
    <w:rsid w:val="004452C7"/>
    <w:rsid w:val="0044685D"/>
    <w:rsid w:val="00446FCF"/>
    <w:rsid w:val="004472BE"/>
    <w:rsid w:val="00447445"/>
    <w:rsid w:val="00447CD6"/>
    <w:rsid w:val="00447FFB"/>
    <w:rsid w:val="00452CD3"/>
    <w:rsid w:val="00453148"/>
    <w:rsid w:val="00453325"/>
    <w:rsid w:val="00453A92"/>
    <w:rsid w:val="004550C2"/>
    <w:rsid w:val="00455F1B"/>
    <w:rsid w:val="00456EBA"/>
    <w:rsid w:val="0045744F"/>
    <w:rsid w:val="004574C0"/>
    <w:rsid w:val="00457CF6"/>
    <w:rsid w:val="004601AD"/>
    <w:rsid w:val="00461178"/>
    <w:rsid w:val="00461856"/>
    <w:rsid w:val="00461B51"/>
    <w:rsid w:val="004625D7"/>
    <w:rsid w:val="00462957"/>
    <w:rsid w:val="00463725"/>
    <w:rsid w:val="004639D9"/>
    <w:rsid w:val="0046463E"/>
    <w:rsid w:val="00464D96"/>
    <w:rsid w:val="0046557B"/>
    <w:rsid w:val="004656FB"/>
    <w:rsid w:val="0047041F"/>
    <w:rsid w:val="004704B6"/>
    <w:rsid w:val="00471AB6"/>
    <w:rsid w:val="004724E2"/>
    <w:rsid w:val="00472598"/>
    <w:rsid w:val="004726F5"/>
    <w:rsid w:val="004727F6"/>
    <w:rsid w:val="00472AF2"/>
    <w:rsid w:val="00474FAF"/>
    <w:rsid w:val="00477226"/>
    <w:rsid w:val="00481F2E"/>
    <w:rsid w:val="0048389C"/>
    <w:rsid w:val="00484A2D"/>
    <w:rsid w:val="004852EA"/>
    <w:rsid w:val="00485A2E"/>
    <w:rsid w:val="00485B42"/>
    <w:rsid w:val="00486CF4"/>
    <w:rsid w:val="00486F87"/>
    <w:rsid w:val="00490948"/>
    <w:rsid w:val="00491310"/>
    <w:rsid w:val="00491C68"/>
    <w:rsid w:val="004927F8"/>
    <w:rsid w:val="0049387A"/>
    <w:rsid w:val="004943A4"/>
    <w:rsid w:val="00494DEF"/>
    <w:rsid w:val="004A01BE"/>
    <w:rsid w:val="004A035E"/>
    <w:rsid w:val="004A18DE"/>
    <w:rsid w:val="004A2447"/>
    <w:rsid w:val="004A2B74"/>
    <w:rsid w:val="004A2C63"/>
    <w:rsid w:val="004A3FEB"/>
    <w:rsid w:val="004A58DC"/>
    <w:rsid w:val="004A6669"/>
    <w:rsid w:val="004A6CA7"/>
    <w:rsid w:val="004A6D7D"/>
    <w:rsid w:val="004B028D"/>
    <w:rsid w:val="004B188B"/>
    <w:rsid w:val="004B2003"/>
    <w:rsid w:val="004B4D8B"/>
    <w:rsid w:val="004B616D"/>
    <w:rsid w:val="004B64B0"/>
    <w:rsid w:val="004B6585"/>
    <w:rsid w:val="004B7759"/>
    <w:rsid w:val="004B7B3A"/>
    <w:rsid w:val="004C1206"/>
    <w:rsid w:val="004C1554"/>
    <w:rsid w:val="004C1AA5"/>
    <w:rsid w:val="004C26BB"/>
    <w:rsid w:val="004C2CA6"/>
    <w:rsid w:val="004C30B7"/>
    <w:rsid w:val="004C32A8"/>
    <w:rsid w:val="004C39A4"/>
    <w:rsid w:val="004C439D"/>
    <w:rsid w:val="004C5363"/>
    <w:rsid w:val="004C65C5"/>
    <w:rsid w:val="004C6BF5"/>
    <w:rsid w:val="004C7F96"/>
    <w:rsid w:val="004D102F"/>
    <w:rsid w:val="004D13D2"/>
    <w:rsid w:val="004D1649"/>
    <w:rsid w:val="004D1913"/>
    <w:rsid w:val="004D2731"/>
    <w:rsid w:val="004D3FF1"/>
    <w:rsid w:val="004D46E0"/>
    <w:rsid w:val="004D4A93"/>
    <w:rsid w:val="004D4C33"/>
    <w:rsid w:val="004D68BF"/>
    <w:rsid w:val="004D7780"/>
    <w:rsid w:val="004E0282"/>
    <w:rsid w:val="004E08AC"/>
    <w:rsid w:val="004E0B8E"/>
    <w:rsid w:val="004E3B7A"/>
    <w:rsid w:val="004E3FBE"/>
    <w:rsid w:val="004E525B"/>
    <w:rsid w:val="004E5724"/>
    <w:rsid w:val="004E5DCA"/>
    <w:rsid w:val="004E5E5A"/>
    <w:rsid w:val="004F0770"/>
    <w:rsid w:val="004F1373"/>
    <w:rsid w:val="004F57BF"/>
    <w:rsid w:val="004F592E"/>
    <w:rsid w:val="005008DA"/>
    <w:rsid w:val="00500A4F"/>
    <w:rsid w:val="00500D99"/>
    <w:rsid w:val="00501CDE"/>
    <w:rsid w:val="0050316C"/>
    <w:rsid w:val="0050417B"/>
    <w:rsid w:val="005047BF"/>
    <w:rsid w:val="00504CB4"/>
    <w:rsid w:val="005050B3"/>
    <w:rsid w:val="005057BE"/>
    <w:rsid w:val="00505B90"/>
    <w:rsid w:val="0050713E"/>
    <w:rsid w:val="00507A9B"/>
    <w:rsid w:val="0051067A"/>
    <w:rsid w:val="00510A48"/>
    <w:rsid w:val="00510FA4"/>
    <w:rsid w:val="005117DB"/>
    <w:rsid w:val="00511D94"/>
    <w:rsid w:val="005134CA"/>
    <w:rsid w:val="00513A7F"/>
    <w:rsid w:val="00513ACA"/>
    <w:rsid w:val="005140EC"/>
    <w:rsid w:val="00516CBB"/>
    <w:rsid w:val="005206C8"/>
    <w:rsid w:val="00520718"/>
    <w:rsid w:val="00521CE9"/>
    <w:rsid w:val="00522127"/>
    <w:rsid w:val="00522406"/>
    <w:rsid w:val="0052340C"/>
    <w:rsid w:val="005235A8"/>
    <w:rsid w:val="00523769"/>
    <w:rsid w:val="00523B56"/>
    <w:rsid w:val="005242C4"/>
    <w:rsid w:val="00524BC3"/>
    <w:rsid w:val="0052610E"/>
    <w:rsid w:val="00527B74"/>
    <w:rsid w:val="00530B1A"/>
    <w:rsid w:val="00530DAD"/>
    <w:rsid w:val="00530FAA"/>
    <w:rsid w:val="00533C42"/>
    <w:rsid w:val="0053477B"/>
    <w:rsid w:val="00536322"/>
    <w:rsid w:val="0053683E"/>
    <w:rsid w:val="0053724D"/>
    <w:rsid w:val="0053725A"/>
    <w:rsid w:val="005401DB"/>
    <w:rsid w:val="0054046B"/>
    <w:rsid w:val="005419FE"/>
    <w:rsid w:val="00542E89"/>
    <w:rsid w:val="00544196"/>
    <w:rsid w:val="005455A7"/>
    <w:rsid w:val="00546F5E"/>
    <w:rsid w:val="005470A1"/>
    <w:rsid w:val="00551B2C"/>
    <w:rsid w:val="005533F0"/>
    <w:rsid w:val="00556B4C"/>
    <w:rsid w:val="00556D15"/>
    <w:rsid w:val="00557C63"/>
    <w:rsid w:val="005601CB"/>
    <w:rsid w:val="0056183F"/>
    <w:rsid w:val="00562557"/>
    <w:rsid w:val="00562688"/>
    <w:rsid w:val="00562C2F"/>
    <w:rsid w:val="00563BA7"/>
    <w:rsid w:val="005643CF"/>
    <w:rsid w:val="005649E6"/>
    <w:rsid w:val="00566B43"/>
    <w:rsid w:val="00566D27"/>
    <w:rsid w:val="00567865"/>
    <w:rsid w:val="00570996"/>
    <w:rsid w:val="00570DA8"/>
    <w:rsid w:val="00572AFD"/>
    <w:rsid w:val="00572C40"/>
    <w:rsid w:val="005752D8"/>
    <w:rsid w:val="0057570A"/>
    <w:rsid w:val="005765BC"/>
    <w:rsid w:val="00581AF0"/>
    <w:rsid w:val="00581F49"/>
    <w:rsid w:val="00584F95"/>
    <w:rsid w:val="005850C5"/>
    <w:rsid w:val="00590B09"/>
    <w:rsid w:val="00590BC9"/>
    <w:rsid w:val="0059227F"/>
    <w:rsid w:val="0059282D"/>
    <w:rsid w:val="0059318E"/>
    <w:rsid w:val="00594562"/>
    <w:rsid w:val="00595062"/>
    <w:rsid w:val="00595213"/>
    <w:rsid w:val="005956B4"/>
    <w:rsid w:val="00595DA2"/>
    <w:rsid w:val="005963E8"/>
    <w:rsid w:val="005A0043"/>
    <w:rsid w:val="005A1C06"/>
    <w:rsid w:val="005A2255"/>
    <w:rsid w:val="005A3266"/>
    <w:rsid w:val="005A46EB"/>
    <w:rsid w:val="005A48B1"/>
    <w:rsid w:val="005A4E1A"/>
    <w:rsid w:val="005A566B"/>
    <w:rsid w:val="005A5F9A"/>
    <w:rsid w:val="005A6054"/>
    <w:rsid w:val="005A686E"/>
    <w:rsid w:val="005A6EB3"/>
    <w:rsid w:val="005A79B5"/>
    <w:rsid w:val="005A7A6B"/>
    <w:rsid w:val="005B003E"/>
    <w:rsid w:val="005B0CEC"/>
    <w:rsid w:val="005B3E13"/>
    <w:rsid w:val="005B3FC2"/>
    <w:rsid w:val="005B45A3"/>
    <w:rsid w:val="005B6CF6"/>
    <w:rsid w:val="005B77B8"/>
    <w:rsid w:val="005C0F05"/>
    <w:rsid w:val="005C20DA"/>
    <w:rsid w:val="005C29EA"/>
    <w:rsid w:val="005C2EC5"/>
    <w:rsid w:val="005C394E"/>
    <w:rsid w:val="005C3BD6"/>
    <w:rsid w:val="005C3DF4"/>
    <w:rsid w:val="005C3EE6"/>
    <w:rsid w:val="005C53EE"/>
    <w:rsid w:val="005C5451"/>
    <w:rsid w:val="005C6259"/>
    <w:rsid w:val="005C6B88"/>
    <w:rsid w:val="005C74D1"/>
    <w:rsid w:val="005C7BD8"/>
    <w:rsid w:val="005D16D1"/>
    <w:rsid w:val="005D16FB"/>
    <w:rsid w:val="005D1924"/>
    <w:rsid w:val="005D33B1"/>
    <w:rsid w:val="005D34FA"/>
    <w:rsid w:val="005D47C3"/>
    <w:rsid w:val="005D4B49"/>
    <w:rsid w:val="005E160F"/>
    <w:rsid w:val="005E1A73"/>
    <w:rsid w:val="005E2518"/>
    <w:rsid w:val="005E272D"/>
    <w:rsid w:val="005E297A"/>
    <w:rsid w:val="005E32B9"/>
    <w:rsid w:val="005E3AA4"/>
    <w:rsid w:val="005E4DF6"/>
    <w:rsid w:val="005E4F97"/>
    <w:rsid w:val="005E554B"/>
    <w:rsid w:val="005E64FB"/>
    <w:rsid w:val="005E6677"/>
    <w:rsid w:val="005E694A"/>
    <w:rsid w:val="005E70F3"/>
    <w:rsid w:val="005E7377"/>
    <w:rsid w:val="005E7587"/>
    <w:rsid w:val="005E7B0B"/>
    <w:rsid w:val="005E7D1E"/>
    <w:rsid w:val="005F0B5F"/>
    <w:rsid w:val="005F17D6"/>
    <w:rsid w:val="005F2410"/>
    <w:rsid w:val="005F28BD"/>
    <w:rsid w:val="005F51CB"/>
    <w:rsid w:val="005F5268"/>
    <w:rsid w:val="00600FF8"/>
    <w:rsid w:val="006014D1"/>
    <w:rsid w:val="006021D4"/>
    <w:rsid w:val="00602C30"/>
    <w:rsid w:val="0060364A"/>
    <w:rsid w:val="00604094"/>
    <w:rsid w:val="00605A38"/>
    <w:rsid w:val="00606E4A"/>
    <w:rsid w:val="0060729F"/>
    <w:rsid w:val="00610143"/>
    <w:rsid w:val="00610188"/>
    <w:rsid w:val="006101F2"/>
    <w:rsid w:val="00610468"/>
    <w:rsid w:val="00611DB7"/>
    <w:rsid w:val="00612B88"/>
    <w:rsid w:val="00612E33"/>
    <w:rsid w:val="00613D2D"/>
    <w:rsid w:val="00614443"/>
    <w:rsid w:val="006151C6"/>
    <w:rsid w:val="0061582A"/>
    <w:rsid w:val="00615CD7"/>
    <w:rsid w:val="00615E5B"/>
    <w:rsid w:val="00617B6D"/>
    <w:rsid w:val="0062035E"/>
    <w:rsid w:val="006206A3"/>
    <w:rsid w:val="006219F5"/>
    <w:rsid w:val="00621D4A"/>
    <w:rsid w:val="006221D0"/>
    <w:rsid w:val="00622BF4"/>
    <w:rsid w:val="00622F25"/>
    <w:rsid w:val="00623F8C"/>
    <w:rsid w:val="006250A8"/>
    <w:rsid w:val="00625455"/>
    <w:rsid w:val="00626034"/>
    <w:rsid w:val="006260A5"/>
    <w:rsid w:val="006269A9"/>
    <w:rsid w:val="00626F54"/>
    <w:rsid w:val="006272B8"/>
    <w:rsid w:val="00627612"/>
    <w:rsid w:val="00630506"/>
    <w:rsid w:val="00630934"/>
    <w:rsid w:val="0063138E"/>
    <w:rsid w:val="0063169F"/>
    <w:rsid w:val="006321F6"/>
    <w:rsid w:val="00632358"/>
    <w:rsid w:val="00633303"/>
    <w:rsid w:val="00633E08"/>
    <w:rsid w:val="00634201"/>
    <w:rsid w:val="0063654D"/>
    <w:rsid w:val="006368A5"/>
    <w:rsid w:val="006419A1"/>
    <w:rsid w:val="00642467"/>
    <w:rsid w:val="0064284C"/>
    <w:rsid w:val="00642DCD"/>
    <w:rsid w:val="00642E27"/>
    <w:rsid w:val="00644CC4"/>
    <w:rsid w:val="00645197"/>
    <w:rsid w:val="0064536C"/>
    <w:rsid w:val="00645869"/>
    <w:rsid w:val="006479AF"/>
    <w:rsid w:val="00647D50"/>
    <w:rsid w:val="00652A5F"/>
    <w:rsid w:val="006536B3"/>
    <w:rsid w:val="00655046"/>
    <w:rsid w:val="006557E3"/>
    <w:rsid w:val="00655864"/>
    <w:rsid w:val="00656AB9"/>
    <w:rsid w:val="0065772E"/>
    <w:rsid w:val="00660F65"/>
    <w:rsid w:val="00661F63"/>
    <w:rsid w:val="00663CB6"/>
    <w:rsid w:val="00664226"/>
    <w:rsid w:val="00664AB0"/>
    <w:rsid w:val="00664C85"/>
    <w:rsid w:val="006658FD"/>
    <w:rsid w:val="00665CAD"/>
    <w:rsid w:val="0066616F"/>
    <w:rsid w:val="00666920"/>
    <w:rsid w:val="00666A85"/>
    <w:rsid w:val="006707FB"/>
    <w:rsid w:val="006726FD"/>
    <w:rsid w:val="0067469E"/>
    <w:rsid w:val="00674E55"/>
    <w:rsid w:val="00674F81"/>
    <w:rsid w:val="0067552F"/>
    <w:rsid w:val="0067755E"/>
    <w:rsid w:val="006801E3"/>
    <w:rsid w:val="00680F8B"/>
    <w:rsid w:val="006825FB"/>
    <w:rsid w:val="00682991"/>
    <w:rsid w:val="00682ED8"/>
    <w:rsid w:val="00684C5A"/>
    <w:rsid w:val="00685710"/>
    <w:rsid w:val="006860D3"/>
    <w:rsid w:val="006901C3"/>
    <w:rsid w:val="006907D7"/>
    <w:rsid w:val="00691164"/>
    <w:rsid w:val="00691643"/>
    <w:rsid w:val="0069365B"/>
    <w:rsid w:val="00693839"/>
    <w:rsid w:val="006943AD"/>
    <w:rsid w:val="0069519C"/>
    <w:rsid w:val="0069532F"/>
    <w:rsid w:val="00695946"/>
    <w:rsid w:val="00695C48"/>
    <w:rsid w:val="006970B3"/>
    <w:rsid w:val="006970C0"/>
    <w:rsid w:val="00697C18"/>
    <w:rsid w:val="006A1375"/>
    <w:rsid w:val="006A3F23"/>
    <w:rsid w:val="006A6FA8"/>
    <w:rsid w:val="006A7C64"/>
    <w:rsid w:val="006B093F"/>
    <w:rsid w:val="006B0B2C"/>
    <w:rsid w:val="006B2172"/>
    <w:rsid w:val="006B27A5"/>
    <w:rsid w:val="006B2E98"/>
    <w:rsid w:val="006B3959"/>
    <w:rsid w:val="006B60BA"/>
    <w:rsid w:val="006B64EF"/>
    <w:rsid w:val="006B6E70"/>
    <w:rsid w:val="006B7955"/>
    <w:rsid w:val="006C0AD5"/>
    <w:rsid w:val="006C1863"/>
    <w:rsid w:val="006C1956"/>
    <w:rsid w:val="006C1CDD"/>
    <w:rsid w:val="006C1D78"/>
    <w:rsid w:val="006C329B"/>
    <w:rsid w:val="006C5899"/>
    <w:rsid w:val="006C7EFC"/>
    <w:rsid w:val="006D0D8F"/>
    <w:rsid w:val="006D0E2F"/>
    <w:rsid w:val="006D109F"/>
    <w:rsid w:val="006D14B8"/>
    <w:rsid w:val="006D2291"/>
    <w:rsid w:val="006D2E5A"/>
    <w:rsid w:val="006D2FC6"/>
    <w:rsid w:val="006D36B7"/>
    <w:rsid w:val="006D4FC2"/>
    <w:rsid w:val="006D66A1"/>
    <w:rsid w:val="006E0997"/>
    <w:rsid w:val="006E0B5C"/>
    <w:rsid w:val="006E1D12"/>
    <w:rsid w:val="006E2250"/>
    <w:rsid w:val="006E2EC4"/>
    <w:rsid w:val="006E37AD"/>
    <w:rsid w:val="006E3EE0"/>
    <w:rsid w:val="006E42DC"/>
    <w:rsid w:val="006E5658"/>
    <w:rsid w:val="006E7D66"/>
    <w:rsid w:val="006F0076"/>
    <w:rsid w:val="006F06B7"/>
    <w:rsid w:val="006F1796"/>
    <w:rsid w:val="006F1A0F"/>
    <w:rsid w:val="006F2350"/>
    <w:rsid w:val="006F2E93"/>
    <w:rsid w:val="006F4CCC"/>
    <w:rsid w:val="006F5C72"/>
    <w:rsid w:val="006F757A"/>
    <w:rsid w:val="006F7D3E"/>
    <w:rsid w:val="00700906"/>
    <w:rsid w:val="00700B1A"/>
    <w:rsid w:val="007015F3"/>
    <w:rsid w:val="00701FC2"/>
    <w:rsid w:val="0070217F"/>
    <w:rsid w:val="00702B69"/>
    <w:rsid w:val="00702BF2"/>
    <w:rsid w:val="00702F11"/>
    <w:rsid w:val="00703B75"/>
    <w:rsid w:val="00705A53"/>
    <w:rsid w:val="00707656"/>
    <w:rsid w:val="007115C8"/>
    <w:rsid w:val="00711933"/>
    <w:rsid w:val="00715C10"/>
    <w:rsid w:val="00716D15"/>
    <w:rsid w:val="007174AA"/>
    <w:rsid w:val="00720F10"/>
    <w:rsid w:val="007212EE"/>
    <w:rsid w:val="00721916"/>
    <w:rsid w:val="0072337C"/>
    <w:rsid w:val="00723F01"/>
    <w:rsid w:val="007252E8"/>
    <w:rsid w:val="00725377"/>
    <w:rsid w:val="007257DB"/>
    <w:rsid w:val="00726BC3"/>
    <w:rsid w:val="00726E1D"/>
    <w:rsid w:val="00731435"/>
    <w:rsid w:val="00733108"/>
    <w:rsid w:val="00733ADB"/>
    <w:rsid w:val="00735447"/>
    <w:rsid w:val="00735CCA"/>
    <w:rsid w:val="007361DA"/>
    <w:rsid w:val="00736670"/>
    <w:rsid w:val="00737B83"/>
    <w:rsid w:val="00737BA8"/>
    <w:rsid w:val="00740684"/>
    <w:rsid w:val="00745B56"/>
    <w:rsid w:val="00746540"/>
    <w:rsid w:val="00746DFA"/>
    <w:rsid w:val="00747D58"/>
    <w:rsid w:val="00750C83"/>
    <w:rsid w:val="00751739"/>
    <w:rsid w:val="00752F4E"/>
    <w:rsid w:val="00754898"/>
    <w:rsid w:val="007549D0"/>
    <w:rsid w:val="00755E09"/>
    <w:rsid w:val="00756E25"/>
    <w:rsid w:val="0075710A"/>
    <w:rsid w:val="00757C6D"/>
    <w:rsid w:val="00760335"/>
    <w:rsid w:val="00760ABA"/>
    <w:rsid w:val="007614AC"/>
    <w:rsid w:val="00761D19"/>
    <w:rsid w:val="007626D0"/>
    <w:rsid w:val="00762ED2"/>
    <w:rsid w:val="00763317"/>
    <w:rsid w:val="0076335E"/>
    <w:rsid w:val="0076461F"/>
    <w:rsid w:val="0076569A"/>
    <w:rsid w:val="00765F37"/>
    <w:rsid w:val="007663F5"/>
    <w:rsid w:val="00767E9C"/>
    <w:rsid w:val="00772272"/>
    <w:rsid w:val="007731E2"/>
    <w:rsid w:val="00773387"/>
    <w:rsid w:val="007734D6"/>
    <w:rsid w:val="0077534B"/>
    <w:rsid w:val="00777D79"/>
    <w:rsid w:val="00777E1C"/>
    <w:rsid w:val="007803C0"/>
    <w:rsid w:val="007808CD"/>
    <w:rsid w:val="007819C2"/>
    <w:rsid w:val="00781A3B"/>
    <w:rsid w:val="00782A37"/>
    <w:rsid w:val="00782B2E"/>
    <w:rsid w:val="0078306B"/>
    <w:rsid w:val="00783208"/>
    <w:rsid w:val="00783CE8"/>
    <w:rsid w:val="00783F06"/>
    <w:rsid w:val="00784435"/>
    <w:rsid w:val="0078499C"/>
    <w:rsid w:val="00785708"/>
    <w:rsid w:val="00785B3B"/>
    <w:rsid w:val="00785C64"/>
    <w:rsid w:val="00785F09"/>
    <w:rsid w:val="007873E2"/>
    <w:rsid w:val="00787693"/>
    <w:rsid w:val="007907E4"/>
    <w:rsid w:val="00790980"/>
    <w:rsid w:val="00791E5D"/>
    <w:rsid w:val="00792DCB"/>
    <w:rsid w:val="007953BD"/>
    <w:rsid w:val="007A0EC8"/>
    <w:rsid w:val="007A15CC"/>
    <w:rsid w:val="007A4174"/>
    <w:rsid w:val="007A501E"/>
    <w:rsid w:val="007A5ED5"/>
    <w:rsid w:val="007A6B6E"/>
    <w:rsid w:val="007A6B84"/>
    <w:rsid w:val="007A6CC3"/>
    <w:rsid w:val="007A7189"/>
    <w:rsid w:val="007B03FA"/>
    <w:rsid w:val="007B0511"/>
    <w:rsid w:val="007B06E8"/>
    <w:rsid w:val="007B084E"/>
    <w:rsid w:val="007B0938"/>
    <w:rsid w:val="007B1056"/>
    <w:rsid w:val="007B2FD4"/>
    <w:rsid w:val="007B42AA"/>
    <w:rsid w:val="007B45CC"/>
    <w:rsid w:val="007B4B8D"/>
    <w:rsid w:val="007B558B"/>
    <w:rsid w:val="007B55AB"/>
    <w:rsid w:val="007B6BFA"/>
    <w:rsid w:val="007B707A"/>
    <w:rsid w:val="007B7878"/>
    <w:rsid w:val="007C06E9"/>
    <w:rsid w:val="007C0F0B"/>
    <w:rsid w:val="007C176F"/>
    <w:rsid w:val="007C26B4"/>
    <w:rsid w:val="007C2AA6"/>
    <w:rsid w:val="007C3094"/>
    <w:rsid w:val="007C7D99"/>
    <w:rsid w:val="007D06A8"/>
    <w:rsid w:val="007D071E"/>
    <w:rsid w:val="007D0CE7"/>
    <w:rsid w:val="007D0DCB"/>
    <w:rsid w:val="007D0E3B"/>
    <w:rsid w:val="007D1218"/>
    <w:rsid w:val="007D1468"/>
    <w:rsid w:val="007D24F4"/>
    <w:rsid w:val="007D48B8"/>
    <w:rsid w:val="007E1365"/>
    <w:rsid w:val="007E13D5"/>
    <w:rsid w:val="007E1411"/>
    <w:rsid w:val="007E1FA3"/>
    <w:rsid w:val="007E62D8"/>
    <w:rsid w:val="007E6A06"/>
    <w:rsid w:val="007E6AF4"/>
    <w:rsid w:val="007E6FCE"/>
    <w:rsid w:val="007F0B99"/>
    <w:rsid w:val="007F0BEE"/>
    <w:rsid w:val="007F0CE9"/>
    <w:rsid w:val="007F0F5A"/>
    <w:rsid w:val="007F15B5"/>
    <w:rsid w:val="007F1C50"/>
    <w:rsid w:val="007F20D9"/>
    <w:rsid w:val="007F2212"/>
    <w:rsid w:val="007F2574"/>
    <w:rsid w:val="007F297A"/>
    <w:rsid w:val="007F2CAB"/>
    <w:rsid w:val="007F376D"/>
    <w:rsid w:val="00801D6A"/>
    <w:rsid w:val="00802337"/>
    <w:rsid w:val="00802822"/>
    <w:rsid w:val="00802AEB"/>
    <w:rsid w:val="00802C4C"/>
    <w:rsid w:val="00804C5C"/>
    <w:rsid w:val="0081111A"/>
    <w:rsid w:val="008140C1"/>
    <w:rsid w:val="00814652"/>
    <w:rsid w:val="00814A98"/>
    <w:rsid w:val="00816335"/>
    <w:rsid w:val="00816970"/>
    <w:rsid w:val="00817169"/>
    <w:rsid w:val="008172FE"/>
    <w:rsid w:val="00817AED"/>
    <w:rsid w:val="00817E0E"/>
    <w:rsid w:val="008218AF"/>
    <w:rsid w:val="00821AA9"/>
    <w:rsid w:val="0082250A"/>
    <w:rsid w:val="00822BFF"/>
    <w:rsid w:val="00823246"/>
    <w:rsid w:val="00824947"/>
    <w:rsid w:val="00824FC1"/>
    <w:rsid w:val="0082531E"/>
    <w:rsid w:val="00825D63"/>
    <w:rsid w:val="00825ED2"/>
    <w:rsid w:val="0083116C"/>
    <w:rsid w:val="0083273D"/>
    <w:rsid w:val="00832CAF"/>
    <w:rsid w:val="008340B6"/>
    <w:rsid w:val="00834AFB"/>
    <w:rsid w:val="00835BB2"/>
    <w:rsid w:val="00837F2B"/>
    <w:rsid w:val="00840447"/>
    <w:rsid w:val="00840753"/>
    <w:rsid w:val="00840FAF"/>
    <w:rsid w:val="00841057"/>
    <w:rsid w:val="008410CC"/>
    <w:rsid w:val="00841558"/>
    <w:rsid w:val="0084179F"/>
    <w:rsid w:val="00841F78"/>
    <w:rsid w:val="00842EFF"/>
    <w:rsid w:val="00843AB9"/>
    <w:rsid w:val="008454A9"/>
    <w:rsid w:val="00845AE9"/>
    <w:rsid w:val="0085014E"/>
    <w:rsid w:val="00853575"/>
    <w:rsid w:val="00856D85"/>
    <w:rsid w:val="00857ED7"/>
    <w:rsid w:val="00862933"/>
    <w:rsid w:val="00863CA5"/>
    <w:rsid w:val="00863F57"/>
    <w:rsid w:val="00863FC9"/>
    <w:rsid w:val="0086473E"/>
    <w:rsid w:val="0086527E"/>
    <w:rsid w:val="00865C02"/>
    <w:rsid w:val="0086785B"/>
    <w:rsid w:val="00867E5C"/>
    <w:rsid w:val="00867FAF"/>
    <w:rsid w:val="00870459"/>
    <w:rsid w:val="0087152E"/>
    <w:rsid w:val="008736B2"/>
    <w:rsid w:val="00873F81"/>
    <w:rsid w:val="00874A00"/>
    <w:rsid w:val="00874BE2"/>
    <w:rsid w:val="0087530A"/>
    <w:rsid w:val="00876188"/>
    <w:rsid w:val="008761DE"/>
    <w:rsid w:val="00876309"/>
    <w:rsid w:val="00876ADE"/>
    <w:rsid w:val="00876D48"/>
    <w:rsid w:val="00881211"/>
    <w:rsid w:val="008818E1"/>
    <w:rsid w:val="00882580"/>
    <w:rsid w:val="00884208"/>
    <w:rsid w:val="00884453"/>
    <w:rsid w:val="00885A9D"/>
    <w:rsid w:val="00886498"/>
    <w:rsid w:val="00886BF4"/>
    <w:rsid w:val="00886C98"/>
    <w:rsid w:val="00886EDC"/>
    <w:rsid w:val="00887753"/>
    <w:rsid w:val="00890B5C"/>
    <w:rsid w:val="00890FDB"/>
    <w:rsid w:val="00891390"/>
    <w:rsid w:val="00892111"/>
    <w:rsid w:val="008924FD"/>
    <w:rsid w:val="00893475"/>
    <w:rsid w:val="00893C2A"/>
    <w:rsid w:val="00893ED7"/>
    <w:rsid w:val="00893FC6"/>
    <w:rsid w:val="00895FEC"/>
    <w:rsid w:val="00896231"/>
    <w:rsid w:val="008964A1"/>
    <w:rsid w:val="008A0329"/>
    <w:rsid w:val="008A054E"/>
    <w:rsid w:val="008A17AA"/>
    <w:rsid w:val="008A2236"/>
    <w:rsid w:val="008A2E70"/>
    <w:rsid w:val="008A3CE8"/>
    <w:rsid w:val="008A4AB6"/>
    <w:rsid w:val="008A60A8"/>
    <w:rsid w:val="008A62DB"/>
    <w:rsid w:val="008A6358"/>
    <w:rsid w:val="008A6575"/>
    <w:rsid w:val="008B0503"/>
    <w:rsid w:val="008B1D6D"/>
    <w:rsid w:val="008B28F3"/>
    <w:rsid w:val="008B31C1"/>
    <w:rsid w:val="008B3202"/>
    <w:rsid w:val="008B38E9"/>
    <w:rsid w:val="008B6177"/>
    <w:rsid w:val="008B64A4"/>
    <w:rsid w:val="008B65A0"/>
    <w:rsid w:val="008B7EDD"/>
    <w:rsid w:val="008C104D"/>
    <w:rsid w:val="008C1D18"/>
    <w:rsid w:val="008C1DC2"/>
    <w:rsid w:val="008C24AD"/>
    <w:rsid w:val="008C4E4F"/>
    <w:rsid w:val="008C5D8D"/>
    <w:rsid w:val="008D1540"/>
    <w:rsid w:val="008D15C6"/>
    <w:rsid w:val="008D2F41"/>
    <w:rsid w:val="008D432F"/>
    <w:rsid w:val="008D4790"/>
    <w:rsid w:val="008D50DD"/>
    <w:rsid w:val="008D7192"/>
    <w:rsid w:val="008D7E02"/>
    <w:rsid w:val="008D7EB5"/>
    <w:rsid w:val="008E0AB3"/>
    <w:rsid w:val="008E0ED3"/>
    <w:rsid w:val="008E1023"/>
    <w:rsid w:val="008E1FC0"/>
    <w:rsid w:val="008E20DA"/>
    <w:rsid w:val="008E2237"/>
    <w:rsid w:val="008E2723"/>
    <w:rsid w:val="008E2FA3"/>
    <w:rsid w:val="008E3334"/>
    <w:rsid w:val="008E3FC6"/>
    <w:rsid w:val="008E5A48"/>
    <w:rsid w:val="008E5B9D"/>
    <w:rsid w:val="008F0877"/>
    <w:rsid w:val="008F1EFD"/>
    <w:rsid w:val="008F62C7"/>
    <w:rsid w:val="008F68A1"/>
    <w:rsid w:val="0090123A"/>
    <w:rsid w:val="00901442"/>
    <w:rsid w:val="00901B81"/>
    <w:rsid w:val="00901B99"/>
    <w:rsid w:val="00901D24"/>
    <w:rsid w:val="0090282D"/>
    <w:rsid w:val="00902EBC"/>
    <w:rsid w:val="00903AFA"/>
    <w:rsid w:val="00905662"/>
    <w:rsid w:val="00905C69"/>
    <w:rsid w:val="00905F13"/>
    <w:rsid w:val="009062CF"/>
    <w:rsid w:val="00906719"/>
    <w:rsid w:val="009071CF"/>
    <w:rsid w:val="00910EDF"/>
    <w:rsid w:val="00912C22"/>
    <w:rsid w:val="00912F77"/>
    <w:rsid w:val="00913D83"/>
    <w:rsid w:val="00913E56"/>
    <w:rsid w:val="0091402F"/>
    <w:rsid w:val="009143E7"/>
    <w:rsid w:val="00914777"/>
    <w:rsid w:val="00914EF4"/>
    <w:rsid w:val="009156C4"/>
    <w:rsid w:val="009171A6"/>
    <w:rsid w:val="00917E75"/>
    <w:rsid w:val="00917F34"/>
    <w:rsid w:val="009207BF"/>
    <w:rsid w:val="00921BA8"/>
    <w:rsid w:val="009224B6"/>
    <w:rsid w:val="009236EB"/>
    <w:rsid w:val="00923B52"/>
    <w:rsid w:val="00924A2C"/>
    <w:rsid w:val="00924D19"/>
    <w:rsid w:val="009253A6"/>
    <w:rsid w:val="00925604"/>
    <w:rsid w:val="0092661E"/>
    <w:rsid w:val="00930638"/>
    <w:rsid w:val="009329C4"/>
    <w:rsid w:val="00933158"/>
    <w:rsid w:val="009334D0"/>
    <w:rsid w:val="0093562E"/>
    <w:rsid w:val="0093687C"/>
    <w:rsid w:val="009375E4"/>
    <w:rsid w:val="00937728"/>
    <w:rsid w:val="009378B2"/>
    <w:rsid w:val="0094037A"/>
    <w:rsid w:val="00941114"/>
    <w:rsid w:val="0094134B"/>
    <w:rsid w:val="009414AA"/>
    <w:rsid w:val="009415A1"/>
    <w:rsid w:val="00941945"/>
    <w:rsid w:val="009421E2"/>
    <w:rsid w:val="00942821"/>
    <w:rsid w:val="00942866"/>
    <w:rsid w:val="00942F90"/>
    <w:rsid w:val="00943624"/>
    <w:rsid w:val="00945034"/>
    <w:rsid w:val="00945417"/>
    <w:rsid w:val="00945531"/>
    <w:rsid w:val="009461F8"/>
    <w:rsid w:val="00946C92"/>
    <w:rsid w:val="00947924"/>
    <w:rsid w:val="00947F90"/>
    <w:rsid w:val="00950311"/>
    <w:rsid w:val="0095096D"/>
    <w:rsid w:val="00950ED3"/>
    <w:rsid w:val="00950F71"/>
    <w:rsid w:val="0095473D"/>
    <w:rsid w:val="009554AD"/>
    <w:rsid w:val="0095632C"/>
    <w:rsid w:val="00956F2C"/>
    <w:rsid w:val="0095780B"/>
    <w:rsid w:val="009578D2"/>
    <w:rsid w:val="00957D45"/>
    <w:rsid w:val="00957F48"/>
    <w:rsid w:val="009600AA"/>
    <w:rsid w:val="00960D54"/>
    <w:rsid w:val="00961417"/>
    <w:rsid w:val="00962B17"/>
    <w:rsid w:val="00963D4A"/>
    <w:rsid w:val="0096461D"/>
    <w:rsid w:val="00965069"/>
    <w:rsid w:val="0096544A"/>
    <w:rsid w:val="009658CB"/>
    <w:rsid w:val="00966C7A"/>
    <w:rsid w:val="00967EB3"/>
    <w:rsid w:val="0097015F"/>
    <w:rsid w:val="00971131"/>
    <w:rsid w:val="00973A9B"/>
    <w:rsid w:val="00973E5A"/>
    <w:rsid w:val="00976A9D"/>
    <w:rsid w:val="00977395"/>
    <w:rsid w:val="00977706"/>
    <w:rsid w:val="00977C2F"/>
    <w:rsid w:val="00977FC6"/>
    <w:rsid w:val="009803D4"/>
    <w:rsid w:val="009809C6"/>
    <w:rsid w:val="00981C78"/>
    <w:rsid w:val="00981CEC"/>
    <w:rsid w:val="009830AB"/>
    <w:rsid w:val="0098650C"/>
    <w:rsid w:val="009869BD"/>
    <w:rsid w:val="00986A24"/>
    <w:rsid w:val="00987B6E"/>
    <w:rsid w:val="00990EC1"/>
    <w:rsid w:val="0099143A"/>
    <w:rsid w:val="00993E4C"/>
    <w:rsid w:val="00994BB9"/>
    <w:rsid w:val="009956C0"/>
    <w:rsid w:val="009956EC"/>
    <w:rsid w:val="009A012C"/>
    <w:rsid w:val="009A0E54"/>
    <w:rsid w:val="009A1105"/>
    <w:rsid w:val="009A2305"/>
    <w:rsid w:val="009A3E77"/>
    <w:rsid w:val="009A5A9B"/>
    <w:rsid w:val="009A6AA2"/>
    <w:rsid w:val="009B0251"/>
    <w:rsid w:val="009B1A30"/>
    <w:rsid w:val="009B2365"/>
    <w:rsid w:val="009B426A"/>
    <w:rsid w:val="009B46DB"/>
    <w:rsid w:val="009B4760"/>
    <w:rsid w:val="009B5653"/>
    <w:rsid w:val="009B6535"/>
    <w:rsid w:val="009B6F3E"/>
    <w:rsid w:val="009C048A"/>
    <w:rsid w:val="009C0E78"/>
    <w:rsid w:val="009C1A88"/>
    <w:rsid w:val="009C20A8"/>
    <w:rsid w:val="009C20D6"/>
    <w:rsid w:val="009C2627"/>
    <w:rsid w:val="009C61AC"/>
    <w:rsid w:val="009C6D19"/>
    <w:rsid w:val="009D4EEF"/>
    <w:rsid w:val="009D7B3E"/>
    <w:rsid w:val="009E01FA"/>
    <w:rsid w:val="009E2534"/>
    <w:rsid w:val="009E2ADC"/>
    <w:rsid w:val="009E3080"/>
    <w:rsid w:val="009E3113"/>
    <w:rsid w:val="009E3BA5"/>
    <w:rsid w:val="009E4820"/>
    <w:rsid w:val="009E5898"/>
    <w:rsid w:val="009E58C1"/>
    <w:rsid w:val="009E7022"/>
    <w:rsid w:val="009E738D"/>
    <w:rsid w:val="009E7641"/>
    <w:rsid w:val="009E7C63"/>
    <w:rsid w:val="009F08B3"/>
    <w:rsid w:val="009F0902"/>
    <w:rsid w:val="009F117C"/>
    <w:rsid w:val="009F523B"/>
    <w:rsid w:val="009F54FF"/>
    <w:rsid w:val="009F5B4B"/>
    <w:rsid w:val="009F6286"/>
    <w:rsid w:val="009F6417"/>
    <w:rsid w:val="009F7587"/>
    <w:rsid w:val="00A01D0E"/>
    <w:rsid w:val="00A02176"/>
    <w:rsid w:val="00A03A22"/>
    <w:rsid w:val="00A04D58"/>
    <w:rsid w:val="00A04F30"/>
    <w:rsid w:val="00A072F2"/>
    <w:rsid w:val="00A07D67"/>
    <w:rsid w:val="00A1056A"/>
    <w:rsid w:val="00A113FA"/>
    <w:rsid w:val="00A11933"/>
    <w:rsid w:val="00A121D7"/>
    <w:rsid w:val="00A12302"/>
    <w:rsid w:val="00A15A01"/>
    <w:rsid w:val="00A16818"/>
    <w:rsid w:val="00A178E2"/>
    <w:rsid w:val="00A20183"/>
    <w:rsid w:val="00A25DD7"/>
    <w:rsid w:val="00A26547"/>
    <w:rsid w:val="00A26BCE"/>
    <w:rsid w:val="00A307A1"/>
    <w:rsid w:val="00A312B9"/>
    <w:rsid w:val="00A31D18"/>
    <w:rsid w:val="00A32CF8"/>
    <w:rsid w:val="00A33B1D"/>
    <w:rsid w:val="00A35C3B"/>
    <w:rsid w:val="00A36979"/>
    <w:rsid w:val="00A36B26"/>
    <w:rsid w:val="00A37729"/>
    <w:rsid w:val="00A40A6B"/>
    <w:rsid w:val="00A419DA"/>
    <w:rsid w:val="00A44728"/>
    <w:rsid w:val="00A44CCE"/>
    <w:rsid w:val="00A44D2A"/>
    <w:rsid w:val="00A45155"/>
    <w:rsid w:val="00A454C9"/>
    <w:rsid w:val="00A4561F"/>
    <w:rsid w:val="00A45DE5"/>
    <w:rsid w:val="00A4607F"/>
    <w:rsid w:val="00A47235"/>
    <w:rsid w:val="00A47889"/>
    <w:rsid w:val="00A478E3"/>
    <w:rsid w:val="00A5000E"/>
    <w:rsid w:val="00A50541"/>
    <w:rsid w:val="00A5087A"/>
    <w:rsid w:val="00A5100F"/>
    <w:rsid w:val="00A52BC8"/>
    <w:rsid w:val="00A53723"/>
    <w:rsid w:val="00A54F18"/>
    <w:rsid w:val="00A55621"/>
    <w:rsid w:val="00A56DAD"/>
    <w:rsid w:val="00A56EB5"/>
    <w:rsid w:val="00A573B2"/>
    <w:rsid w:val="00A602C6"/>
    <w:rsid w:val="00A608D5"/>
    <w:rsid w:val="00A63E42"/>
    <w:rsid w:val="00A6479D"/>
    <w:rsid w:val="00A64E23"/>
    <w:rsid w:val="00A65A0C"/>
    <w:rsid w:val="00A66F67"/>
    <w:rsid w:val="00A7163D"/>
    <w:rsid w:val="00A72F54"/>
    <w:rsid w:val="00A735C8"/>
    <w:rsid w:val="00A73DDC"/>
    <w:rsid w:val="00A744C0"/>
    <w:rsid w:val="00A74843"/>
    <w:rsid w:val="00A74F22"/>
    <w:rsid w:val="00A7516C"/>
    <w:rsid w:val="00A76091"/>
    <w:rsid w:val="00A7653C"/>
    <w:rsid w:val="00A77125"/>
    <w:rsid w:val="00A8032D"/>
    <w:rsid w:val="00A80FBE"/>
    <w:rsid w:val="00A81EA2"/>
    <w:rsid w:val="00A82156"/>
    <w:rsid w:val="00A83726"/>
    <w:rsid w:val="00A83A7C"/>
    <w:rsid w:val="00A83F5C"/>
    <w:rsid w:val="00A84FD6"/>
    <w:rsid w:val="00A8743E"/>
    <w:rsid w:val="00A875F5"/>
    <w:rsid w:val="00A87C35"/>
    <w:rsid w:val="00A9072A"/>
    <w:rsid w:val="00A90B3B"/>
    <w:rsid w:val="00A90E26"/>
    <w:rsid w:val="00A91168"/>
    <w:rsid w:val="00A9188E"/>
    <w:rsid w:val="00A91E4C"/>
    <w:rsid w:val="00A932C1"/>
    <w:rsid w:val="00A93735"/>
    <w:rsid w:val="00A93CD9"/>
    <w:rsid w:val="00A94888"/>
    <w:rsid w:val="00A950C0"/>
    <w:rsid w:val="00A96F52"/>
    <w:rsid w:val="00A9715C"/>
    <w:rsid w:val="00A976EC"/>
    <w:rsid w:val="00AA1D9A"/>
    <w:rsid w:val="00AA2979"/>
    <w:rsid w:val="00AA37F6"/>
    <w:rsid w:val="00AA4141"/>
    <w:rsid w:val="00AA53EF"/>
    <w:rsid w:val="00AA6B6C"/>
    <w:rsid w:val="00AA764C"/>
    <w:rsid w:val="00AA7812"/>
    <w:rsid w:val="00AA7A42"/>
    <w:rsid w:val="00AB073D"/>
    <w:rsid w:val="00AB0E1B"/>
    <w:rsid w:val="00AB2D84"/>
    <w:rsid w:val="00AB4661"/>
    <w:rsid w:val="00AB5749"/>
    <w:rsid w:val="00AB66E5"/>
    <w:rsid w:val="00AC0188"/>
    <w:rsid w:val="00AC066C"/>
    <w:rsid w:val="00AC0777"/>
    <w:rsid w:val="00AC1EA7"/>
    <w:rsid w:val="00AC2B09"/>
    <w:rsid w:val="00AC3448"/>
    <w:rsid w:val="00AC374D"/>
    <w:rsid w:val="00AD0589"/>
    <w:rsid w:val="00AD0F86"/>
    <w:rsid w:val="00AD1D7C"/>
    <w:rsid w:val="00AD2083"/>
    <w:rsid w:val="00AD2F18"/>
    <w:rsid w:val="00AD313A"/>
    <w:rsid w:val="00AD3168"/>
    <w:rsid w:val="00AD53B9"/>
    <w:rsid w:val="00AD678F"/>
    <w:rsid w:val="00AD7C00"/>
    <w:rsid w:val="00AE0676"/>
    <w:rsid w:val="00AE0683"/>
    <w:rsid w:val="00AE0F31"/>
    <w:rsid w:val="00AE1BBC"/>
    <w:rsid w:val="00AE208E"/>
    <w:rsid w:val="00AE3688"/>
    <w:rsid w:val="00AE4871"/>
    <w:rsid w:val="00AE6F73"/>
    <w:rsid w:val="00AE76B8"/>
    <w:rsid w:val="00AF0672"/>
    <w:rsid w:val="00AF0C01"/>
    <w:rsid w:val="00AF2357"/>
    <w:rsid w:val="00AF31CB"/>
    <w:rsid w:val="00AF4A2A"/>
    <w:rsid w:val="00AF5B5E"/>
    <w:rsid w:val="00AF6B02"/>
    <w:rsid w:val="00AF6C6D"/>
    <w:rsid w:val="00AF6F80"/>
    <w:rsid w:val="00AF70A4"/>
    <w:rsid w:val="00B01226"/>
    <w:rsid w:val="00B01CE7"/>
    <w:rsid w:val="00B02CD5"/>
    <w:rsid w:val="00B03CAE"/>
    <w:rsid w:val="00B04321"/>
    <w:rsid w:val="00B0499C"/>
    <w:rsid w:val="00B0645B"/>
    <w:rsid w:val="00B0650A"/>
    <w:rsid w:val="00B109B2"/>
    <w:rsid w:val="00B10AFE"/>
    <w:rsid w:val="00B10D39"/>
    <w:rsid w:val="00B11125"/>
    <w:rsid w:val="00B11B28"/>
    <w:rsid w:val="00B11FF2"/>
    <w:rsid w:val="00B140D2"/>
    <w:rsid w:val="00B1448A"/>
    <w:rsid w:val="00B149FA"/>
    <w:rsid w:val="00B161D9"/>
    <w:rsid w:val="00B1662F"/>
    <w:rsid w:val="00B20389"/>
    <w:rsid w:val="00B20834"/>
    <w:rsid w:val="00B21308"/>
    <w:rsid w:val="00B21CBB"/>
    <w:rsid w:val="00B2205C"/>
    <w:rsid w:val="00B231CF"/>
    <w:rsid w:val="00B23C9E"/>
    <w:rsid w:val="00B23CE4"/>
    <w:rsid w:val="00B243DE"/>
    <w:rsid w:val="00B245CF"/>
    <w:rsid w:val="00B255A4"/>
    <w:rsid w:val="00B255D7"/>
    <w:rsid w:val="00B25AB9"/>
    <w:rsid w:val="00B262B9"/>
    <w:rsid w:val="00B26F42"/>
    <w:rsid w:val="00B27C89"/>
    <w:rsid w:val="00B30654"/>
    <w:rsid w:val="00B31226"/>
    <w:rsid w:val="00B31CD5"/>
    <w:rsid w:val="00B3521E"/>
    <w:rsid w:val="00B36715"/>
    <w:rsid w:val="00B37564"/>
    <w:rsid w:val="00B37B6C"/>
    <w:rsid w:val="00B37BB4"/>
    <w:rsid w:val="00B409BB"/>
    <w:rsid w:val="00B41086"/>
    <w:rsid w:val="00B4169B"/>
    <w:rsid w:val="00B424C4"/>
    <w:rsid w:val="00B433AF"/>
    <w:rsid w:val="00B4349E"/>
    <w:rsid w:val="00B44849"/>
    <w:rsid w:val="00B448DC"/>
    <w:rsid w:val="00B45ACA"/>
    <w:rsid w:val="00B503AE"/>
    <w:rsid w:val="00B50A98"/>
    <w:rsid w:val="00B50ECA"/>
    <w:rsid w:val="00B5168C"/>
    <w:rsid w:val="00B52138"/>
    <w:rsid w:val="00B52753"/>
    <w:rsid w:val="00B52886"/>
    <w:rsid w:val="00B53A55"/>
    <w:rsid w:val="00B54CA5"/>
    <w:rsid w:val="00B5580E"/>
    <w:rsid w:val="00B5665D"/>
    <w:rsid w:val="00B57AB2"/>
    <w:rsid w:val="00B6121A"/>
    <w:rsid w:val="00B6159D"/>
    <w:rsid w:val="00B62DE0"/>
    <w:rsid w:val="00B642B1"/>
    <w:rsid w:val="00B64FA4"/>
    <w:rsid w:val="00B6693D"/>
    <w:rsid w:val="00B6780F"/>
    <w:rsid w:val="00B71356"/>
    <w:rsid w:val="00B73057"/>
    <w:rsid w:val="00B749E2"/>
    <w:rsid w:val="00B74E5F"/>
    <w:rsid w:val="00B758C7"/>
    <w:rsid w:val="00B761B1"/>
    <w:rsid w:val="00B76226"/>
    <w:rsid w:val="00B772CC"/>
    <w:rsid w:val="00B809C8"/>
    <w:rsid w:val="00B81180"/>
    <w:rsid w:val="00B8237F"/>
    <w:rsid w:val="00B82559"/>
    <w:rsid w:val="00B831CB"/>
    <w:rsid w:val="00B85278"/>
    <w:rsid w:val="00B86964"/>
    <w:rsid w:val="00B87A22"/>
    <w:rsid w:val="00B90B06"/>
    <w:rsid w:val="00B92738"/>
    <w:rsid w:val="00B92FCB"/>
    <w:rsid w:val="00B93720"/>
    <w:rsid w:val="00B9464B"/>
    <w:rsid w:val="00B94BEB"/>
    <w:rsid w:val="00B94CB9"/>
    <w:rsid w:val="00B94F0D"/>
    <w:rsid w:val="00B94F21"/>
    <w:rsid w:val="00B96250"/>
    <w:rsid w:val="00B9638D"/>
    <w:rsid w:val="00B97B17"/>
    <w:rsid w:val="00BA011A"/>
    <w:rsid w:val="00BA0272"/>
    <w:rsid w:val="00BA092B"/>
    <w:rsid w:val="00BA1E26"/>
    <w:rsid w:val="00BA21EC"/>
    <w:rsid w:val="00BA2436"/>
    <w:rsid w:val="00BA42A3"/>
    <w:rsid w:val="00BA47BF"/>
    <w:rsid w:val="00BB0108"/>
    <w:rsid w:val="00BB1629"/>
    <w:rsid w:val="00BB1BCF"/>
    <w:rsid w:val="00BB296C"/>
    <w:rsid w:val="00BB5217"/>
    <w:rsid w:val="00BB5465"/>
    <w:rsid w:val="00BB5E2E"/>
    <w:rsid w:val="00BB67A0"/>
    <w:rsid w:val="00BB6C6F"/>
    <w:rsid w:val="00BC0243"/>
    <w:rsid w:val="00BC07D6"/>
    <w:rsid w:val="00BC1A50"/>
    <w:rsid w:val="00BC1CE3"/>
    <w:rsid w:val="00BC5004"/>
    <w:rsid w:val="00BC6672"/>
    <w:rsid w:val="00BD02FB"/>
    <w:rsid w:val="00BD0626"/>
    <w:rsid w:val="00BD0DFA"/>
    <w:rsid w:val="00BD14BE"/>
    <w:rsid w:val="00BD15D0"/>
    <w:rsid w:val="00BD1F9A"/>
    <w:rsid w:val="00BD47D0"/>
    <w:rsid w:val="00BD7045"/>
    <w:rsid w:val="00BE10E8"/>
    <w:rsid w:val="00BE150A"/>
    <w:rsid w:val="00BE1869"/>
    <w:rsid w:val="00BE1B24"/>
    <w:rsid w:val="00BE1E32"/>
    <w:rsid w:val="00BE224C"/>
    <w:rsid w:val="00BE3DA6"/>
    <w:rsid w:val="00BE4053"/>
    <w:rsid w:val="00BE41E5"/>
    <w:rsid w:val="00BE4624"/>
    <w:rsid w:val="00BE67F1"/>
    <w:rsid w:val="00BE6A91"/>
    <w:rsid w:val="00BE7110"/>
    <w:rsid w:val="00BE778E"/>
    <w:rsid w:val="00BF10DB"/>
    <w:rsid w:val="00BF1508"/>
    <w:rsid w:val="00BF2D36"/>
    <w:rsid w:val="00BF363C"/>
    <w:rsid w:val="00BF390C"/>
    <w:rsid w:val="00BF4940"/>
    <w:rsid w:val="00BF568E"/>
    <w:rsid w:val="00C00DE6"/>
    <w:rsid w:val="00C00ECB"/>
    <w:rsid w:val="00C01771"/>
    <w:rsid w:val="00C01DF2"/>
    <w:rsid w:val="00C03A63"/>
    <w:rsid w:val="00C03AD5"/>
    <w:rsid w:val="00C05E74"/>
    <w:rsid w:val="00C06B01"/>
    <w:rsid w:val="00C070B6"/>
    <w:rsid w:val="00C1001D"/>
    <w:rsid w:val="00C10452"/>
    <w:rsid w:val="00C1078F"/>
    <w:rsid w:val="00C10981"/>
    <w:rsid w:val="00C11BA1"/>
    <w:rsid w:val="00C13550"/>
    <w:rsid w:val="00C13970"/>
    <w:rsid w:val="00C13C9E"/>
    <w:rsid w:val="00C13D3A"/>
    <w:rsid w:val="00C14C0B"/>
    <w:rsid w:val="00C1539B"/>
    <w:rsid w:val="00C16368"/>
    <w:rsid w:val="00C1683E"/>
    <w:rsid w:val="00C16BEA"/>
    <w:rsid w:val="00C17220"/>
    <w:rsid w:val="00C176C1"/>
    <w:rsid w:val="00C219A7"/>
    <w:rsid w:val="00C2263E"/>
    <w:rsid w:val="00C239BC"/>
    <w:rsid w:val="00C23CA0"/>
    <w:rsid w:val="00C2438F"/>
    <w:rsid w:val="00C253AF"/>
    <w:rsid w:val="00C257C7"/>
    <w:rsid w:val="00C266BF"/>
    <w:rsid w:val="00C27BBF"/>
    <w:rsid w:val="00C27D3D"/>
    <w:rsid w:val="00C30DCF"/>
    <w:rsid w:val="00C32A88"/>
    <w:rsid w:val="00C33D98"/>
    <w:rsid w:val="00C34319"/>
    <w:rsid w:val="00C3660B"/>
    <w:rsid w:val="00C3664F"/>
    <w:rsid w:val="00C375A2"/>
    <w:rsid w:val="00C40287"/>
    <w:rsid w:val="00C40AC2"/>
    <w:rsid w:val="00C40BFA"/>
    <w:rsid w:val="00C40D29"/>
    <w:rsid w:val="00C4127C"/>
    <w:rsid w:val="00C41B3B"/>
    <w:rsid w:val="00C42240"/>
    <w:rsid w:val="00C42C2C"/>
    <w:rsid w:val="00C434D1"/>
    <w:rsid w:val="00C44362"/>
    <w:rsid w:val="00C4445A"/>
    <w:rsid w:val="00C4708B"/>
    <w:rsid w:val="00C47CFB"/>
    <w:rsid w:val="00C51FEB"/>
    <w:rsid w:val="00C53210"/>
    <w:rsid w:val="00C5385B"/>
    <w:rsid w:val="00C53881"/>
    <w:rsid w:val="00C53E81"/>
    <w:rsid w:val="00C54DE7"/>
    <w:rsid w:val="00C5505A"/>
    <w:rsid w:val="00C56061"/>
    <w:rsid w:val="00C56F1E"/>
    <w:rsid w:val="00C56F95"/>
    <w:rsid w:val="00C570C3"/>
    <w:rsid w:val="00C575AE"/>
    <w:rsid w:val="00C57DD2"/>
    <w:rsid w:val="00C607B7"/>
    <w:rsid w:val="00C61B6C"/>
    <w:rsid w:val="00C62BDE"/>
    <w:rsid w:val="00C6443A"/>
    <w:rsid w:val="00C6461D"/>
    <w:rsid w:val="00C6482D"/>
    <w:rsid w:val="00C65061"/>
    <w:rsid w:val="00C651CD"/>
    <w:rsid w:val="00C6529F"/>
    <w:rsid w:val="00C65492"/>
    <w:rsid w:val="00C65654"/>
    <w:rsid w:val="00C659DA"/>
    <w:rsid w:val="00C6676D"/>
    <w:rsid w:val="00C6781C"/>
    <w:rsid w:val="00C67E52"/>
    <w:rsid w:val="00C70EB7"/>
    <w:rsid w:val="00C71A6D"/>
    <w:rsid w:val="00C71F73"/>
    <w:rsid w:val="00C72F8B"/>
    <w:rsid w:val="00C73F00"/>
    <w:rsid w:val="00C74632"/>
    <w:rsid w:val="00C751D6"/>
    <w:rsid w:val="00C75651"/>
    <w:rsid w:val="00C75D33"/>
    <w:rsid w:val="00C76034"/>
    <w:rsid w:val="00C762D8"/>
    <w:rsid w:val="00C77F3C"/>
    <w:rsid w:val="00C77F9C"/>
    <w:rsid w:val="00C807B3"/>
    <w:rsid w:val="00C807BB"/>
    <w:rsid w:val="00C8125C"/>
    <w:rsid w:val="00C829BC"/>
    <w:rsid w:val="00C83B07"/>
    <w:rsid w:val="00C83E88"/>
    <w:rsid w:val="00C8419B"/>
    <w:rsid w:val="00C841BB"/>
    <w:rsid w:val="00C8572A"/>
    <w:rsid w:val="00C85900"/>
    <w:rsid w:val="00C86459"/>
    <w:rsid w:val="00C902D3"/>
    <w:rsid w:val="00C90FBB"/>
    <w:rsid w:val="00C91849"/>
    <w:rsid w:val="00C92617"/>
    <w:rsid w:val="00C92B44"/>
    <w:rsid w:val="00C959A0"/>
    <w:rsid w:val="00C96071"/>
    <w:rsid w:val="00C968B9"/>
    <w:rsid w:val="00C96964"/>
    <w:rsid w:val="00C96C91"/>
    <w:rsid w:val="00C96F0E"/>
    <w:rsid w:val="00C977B2"/>
    <w:rsid w:val="00C97875"/>
    <w:rsid w:val="00C97FF5"/>
    <w:rsid w:val="00CA0BDE"/>
    <w:rsid w:val="00CA12C7"/>
    <w:rsid w:val="00CA1DB6"/>
    <w:rsid w:val="00CA1E31"/>
    <w:rsid w:val="00CA3C02"/>
    <w:rsid w:val="00CA608F"/>
    <w:rsid w:val="00CA63D7"/>
    <w:rsid w:val="00CA6D40"/>
    <w:rsid w:val="00CB0555"/>
    <w:rsid w:val="00CB231B"/>
    <w:rsid w:val="00CB2E1E"/>
    <w:rsid w:val="00CB4231"/>
    <w:rsid w:val="00CB5B70"/>
    <w:rsid w:val="00CB5C06"/>
    <w:rsid w:val="00CC0FFE"/>
    <w:rsid w:val="00CC29D5"/>
    <w:rsid w:val="00CC35CD"/>
    <w:rsid w:val="00CC4E75"/>
    <w:rsid w:val="00CC631E"/>
    <w:rsid w:val="00CC731E"/>
    <w:rsid w:val="00CD095C"/>
    <w:rsid w:val="00CD09AD"/>
    <w:rsid w:val="00CD0DAF"/>
    <w:rsid w:val="00CD1F30"/>
    <w:rsid w:val="00CD2699"/>
    <w:rsid w:val="00CD2F9C"/>
    <w:rsid w:val="00CD3183"/>
    <w:rsid w:val="00CD3328"/>
    <w:rsid w:val="00CD397D"/>
    <w:rsid w:val="00CD52B9"/>
    <w:rsid w:val="00CD5336"/>
    <w:rsid w:val="00CD57BC"/>
    <w:rsid w:val="00CD57E8"/>
    <w:rsid w:val="00CD6C19"/>
    <w:rsid w:val="00CE0A2E"/>
    <w:rsid w:val="00CE0ADC"/>
    <w:rsid w:val="00CE10A8"/>
    <w:rsid w:val="00CE2A2E"/>
    <w:rsid w:val="00CE3564"/>
    <w:rsid w:val="00CE460D"/>
    <w:rsid w:val="00CE4714"/>
    <w:rsid w:val="00CE4F94"/>
    <w:rsid w:val="00CE5C20"/>
    <w:rsid w:val="00CE6120"/>
    <w:rsid w:val="00CF113C"/>
    <w:rsid w:val="00CF3381"/>
    <w:rsid w:val="00CF382C"/>
    <w:rsid w:val="00CF462C"/>
    <w:rsid w:val="00CF4DA9"/>
    <w:rsid w:val="00CF5142"/>
    <w:rsid w:val="00CF604A"/>
    <w:rsid w:val="00CF7516"/>
    <w:rsid w:val="00D014D2"/>
    <w:rsid w:val="00D01994"/>
    <w:rsid w:val="00D01A73"/>
    <w:rsid w:val="00D02600"/>
    <w:rsid w:val="00D02749"/>
    <w:rsid w:val="00D02B02"/>
    <w:rsid w:val="00D0365B"/>
    <w:rsid w:val="00D03FFC"/>
    <w:rsid w:val="00D04776"/>
    <w:rsid w:val="00D05949"/>
    <w:rsid w:val="00D06466"/>
    <w:rsid w:val="00D06D46"/>
    <w:rsid w:val="00D06F9A"/>
    <w:rsid w:val="00D07239"/>
    <w:rsid w:val="00D102D1"/>
    <w:rsid w:val="00D1039F"/>
    <w:rsid w:val="00D11E57"/>
    <w:rsid w:val="00D12105"/>
    <w:rsid w:val="00D12987"/>
    <w:rsid w:val="00D13135"/>
    <w:rsid w:val="00D14857"/>
    <w:rsid w:val="00D14AEF"/>
    <w:rsid w:val="00D15683"/>
    <w:rsid w:val="00D167C9"/>
    <w:rsid w:val="00D205BB"/>
    <w:rsid w:val="00D20AAF"/>
    <w:rsid w:val="00D21706"/>
    <w:rsid w:val="00D22A57"/>
    <w:rsid w:val="00D2374B"/>
    <w:rsid w:val="00D2481D"/>
    <w:rsid w:val="00D24E81"/>
    <w:rsid w:val="00D25363"/>
    <w:rsid w:val="00D31168"/>
    <w:rsid w:val="00D327BA"/>
    <w:rsid w:val="00D3326D"/>
    <w:rsid w:val="00D33996"/>
    <w:rsid w:val="00D35E01"/>
    <w:rsid w:val="00D3609B"/>
    <w:rsid w:val="00D3699D"/>
    <w:rsid w:val="00D36BB4"/>
    <w:rsid w:val="00D36C1B"/>
    <w:rsid w:val="00D3720B"/>
    <w:rsid w:val="00D3763E"/>
    <w:rsid w:val="00D40BC5"/>
    <w:rsid w:val="00D412C1"/>
    <w:rsid w:val="00D42D6C"/>
    <w:rsid w:val="00D430AE"/>
    <w:rsid w:val="00D43F34"/>
    <w:rsid w:val="00D44EEC"/>
    <w:rsid w:val="00D4562B"/>
    <w:rsid w:val="00D45852"/>
    <w:rsid w:val="00D45B40"/>
    <w:rsid w:val="00D4749B"/>
    <w:rsid w:val="00D4772B"/>
    <w:rsid w:val="00D516FA"/>
    <w:rsid w:val="00D51B12"/>
    <w:rsid w:val="00D529AF"/>
    <w:rsid w:val="00D54A63"/>
    <w:rsid w:val="00D5534B"/>
    <w:rsid w:val="00D55FB4"/>
    <w:rsid w:val="00D621FE"/>
    <w:rsid w:val="00D62887"/>
    <w:rsid w:val="00D62C1F"/>
    <w:rsid w:val="00D63172"/>
    <w:rsid w:val="00D64393"/>
    <w:rsid w:val="00D648D1"/>
    <w:rsid w:val="00D64D4D"/>
    <w:rsid w:val="00D650D2"/>
    <w:rsid w:val="00D656E1"/>
    <w:rsid w:val="00D6650C"/>
    <w:rsid w:val="00D67340"/>
    <w:rsid w:val="00D674AD"/>
    <w:rsid w:val="00D67A7A"/>
    <w:rsid w:val="00D67AFC"/>
    <w:rsid w:val="00D67D2D"/>
    <w:rsid w:val="00D71233"/>
    <w:rsid w:val="00D71B0C"/>
    <w:rsid w:val="00D7210C"/>
    <w:rsid w:val="00D73583"/>
    <w:rsid w:val="00D7360A"/>
    <w:rsid w:val="00D7371D"/>
    <w:rsid w:val="00D7394C"/>
    <w:rsid w:val="00D7740F"/>
    <w:rsid w:val="00D8020A"/>
    <w:rsid w:val="00D82B64"/>
    <w:rsid w:val="00D83C8A"/>
    <w:rsid w:val="00D83F2F"/>
    <w:rsid w:val="00D85765"/>
    <w:rsid w:val="00D859C5"/>
    <w:rsid w:val="00D85B23"/>
    <w:rsid w:val="00D86AB4"/>
    <w:rsid w:val="00D87B97"/>
    <w:rsid w:val="00D90BC7"/>
    <w:rsid w:val="00D9201D"/>
    <w:rsid w:val="00D92B2E"/>
    <w:rsid w:val="00D9377E"/>
    <w:rsid w:val="00D93E5B"/>
    <w:rsid w:val="00D947EC"/>
    <w:rsid w:val="00D95966"/>
    <w:rsid w:val="00D95AA8"/>
    <w:rsid w:val="00D95D08"/>
    <w:rsid w:val="00DA094F"/>
    <w:rsid w:val="00DA0A05"/>
    <w:rsid w:val="00DA3DE4"/>
    <w:rsid w:val="00DA423A"/>
    <w:rsid w:val="00DA4423"/>
    <w:rsid w:val="00DA4ACD"/>
    <w:rsid w:val="00DA62B9"/>
    <w:rsid w:val="00DB069F"/>
    <w:rsid w:val="00DB0798"/>
    <w:rsid w:val="00DB1D3F"/>
    <w:rsid w:val="00DB1F7A"/>
    <w:rsid w:val="00DB452B"/>
    <w:rsid w:val="00DB56FC"/>
    <w:rsid w:val="00DB5718"/>
    <w:rsid w:val="00DB6318"/>
    <w:rsid w:val="00DC03B2"/>
    <w:rsid w:val="00DC042F"/>
    <w:rsid w:val="00DC13C3"/>
    <w:rsid w:val="00DC15D3"/>
    <w:rsid w:val="00DC1C12"/>
    <w:rsid w:val="00DC5E8C"/>
    <w:rsid w:val="00DC5EDE"/>
    <w:rsid w:val="00DC70A4"/>
    <w:rsid w:val="00DC7AD5"/>
    <w:rsid w:val="00DD0CD2"/>
    <w:rsid w:val="00DD1281"/>
    <w:rsid w:val="00DD1F50"/>
    <w:rsid w:val="00DD28FD"/>
    <w:rsid w:val="00DD2ED3"/>
    <w:rsid w:val="00DD3900"/>
    <w:rsid w:val="00DD3A19"/>
    <w:rsid w:val="00DD3FFC"/>
    <w:rsid w:val="00DD538E"/>
    <w:rsid w:val="00DD5878"/>
    <w:rsid w:val="00DD7D4E"/>
    <w:rsid w:val="00DD7E70"/>
    <w:rsid w:val="00DE0F2C"/>
    <w:rsid w:val="00DE1314"/>
    <w:rsid w:val="00DE311B"/>
    <w:rsid w:val="00DE323E"/>
    <w:rsid w:val="00DE3633"/>
    <w:rsid w:val="00DE3EB1"/>
    <w:rsid w:val="00DE41B9"/>
    <w:rsid w:val="00DE5615"/>
    <w:rsid w:val="00DE5B34"/>
    <w:rsid w:val="00DE6996"/>
    <w:rsid w:val="00DE6A79"/>
    <w:rsid w:val="00DE7010"/>
    <w:rsid w:val="00DE7A27"/>
    <w:rsid w:val="00DF02AD"/>
    <w:rsid w:val="00DF15BE"/>
    <w:rsid w:val="00DF3E8A"/>
    <w:rsid w:val="00DF4120"/>
    <w:rsid w:val="00DF45BA"/>
    <w:rsid w:val="00DF4D34"/>
    <w:rsid w:val="00DF54AD"/>
    <w:rsid w:val="00DF6BD7"/>
    <w:rsid w:val="00DF797D"/>
    <w:rsid w:val="00DF7F15"/>
    <w:rsid w:val="00E019A6"/>
    <w:rsid w:val="00E03783"/>
    <w:rsid w:val="00E04B00"/>
    <w:rsid w:val="00E0581E"/>
    <w:rsid w:val="00E1055D"/>
    <w:rsid w:val="00E1188A"/>
    <w:rsid w:val="00E12EAE"/>
    <w:rsid w:val="00E1320B"/>
    <w:rsid w:val="00E137E8"/>
    <w:rsid w:val="00E139B4"/>
    <w:rsid w:val="00E14D44"/>
    <w:rsid w:val="00E1549D"/>
    <w:rsid w:val="00E17FE1"/>
    <w:rsid w:val="00E20088"/>
    <w:rsid w:val="00E219F3"/>
    <w:rsid w:val="00E238CB"/>
    <w:rsid w:val="00E25411"/>
    <w:rsid w:val="00E2595C"/>
    <w:rsid w:val="00E300BA"/>
    <w:rsid w:val="00E33AAE"/>
    <w:rsid w:val="00E3473E"/>
    <w:rsid w:val="00E35916"/>
    <w:rsid w:val="00E36E53"/>
    <w:rsid w:val="00E37A60"/>
    <w:rsid w:val="00E37D96"/>
    <w:rsid w:val="00E4061A"/>
    <w:rsid w:val="00E40997"/>
    <w:rsid w:val="00E41AA5"/>
    <w:rsid w:val="00E42495"/>
    <w:rsid w:val="00E42563"/>
    <w:rsid w:val="00E4386B"/>
    <w:rsid w:val="00E43AFD"/>
    <w:rsid w:val="00E4462F"/>
    <w:rsid w:val="00E452ED"/>
    <w:rsid w:val="00E468F7"/>
    <w:rsid w:val="00E508C4"/>
    <w:rsid w:val="00E513FE"/>
    <w:rsid w:val="00E52238"/>
    <w:rsid w:val="00E53B05"/>
    <w:rsid w:val="00E54257"/>
    <w:rsid w:val="00E54CD7"/>
    <w:rsid w:val="00E55B0B"/>
    <w:rsid w:val="00E56570"/>
    <w:rsid w:val="00E60170"/>
    <w:rsid w:val="00E604E4"/>
    <w:rsid w:val="00E61436"/>
    <w:rsid w:val="00E62573"/>
    <w:rsid w:val="00E645EE"/>
    <w:rsid w:val="00E64AA8"/>
    <w:rsid w:val="00E67CA9"/>
    <w:rsid w:val="00E71712"/>
    <w:rsid w:val="00E73282"/>
    <w:rsid w:val="00E73565"/>
    <w:rsid w:val="00E7751B"/>
    <w:rsid w:val="00E77619"/>
    <w:rsid w:val="00E8049B"/>
    <w:rsid w:val="00E8156A"/>
    <w:rsid w:val="00E82AB7"/>
    <w:rsid w:val="00E8420B"/>
    <w:rsid w:val="00E8544F"/>
    <w:rsid w:val="00E86034"/>
    <w:rsid w:val="00E8652A"/>
    <w:rsid w:val="00E873BD"/>
    <w:rsid w:val="00E90DE7"/>
    <w:rsid w:val="00E92F13"/>
    <w:rsid w:val="00E93A42"/>
    <w:rsid w:val="00E93B2F"/>
    <w:rsid w:val="00E97A8A"/>
    <w:rsid w:val="00EA1669"/>
    <w:rsid w:val="00EA1D8B"/>
    <w:rsid w:val="00EA1EF9"/>
    <w:rsid w:val="00EA3543"/>
    <w:rsid w:val="00EA4B47"/>
    <w:rsid w:val="00EA4D86"/>
    <w:rsid w:val="00EA6859"/>
    <w:rsid w:val="00EA6B4F"/>
    <w:rsid w:val="00EB0AB7"/>
    <w:rsid w:val="00EB55A3"/>
    <w:rsid w:val="00EB5608"/>
    <w:rsid w:val="00EB64B0"/>
    <w:rsid w:val="00EB6738"/>
    <w:rsid w:val="00EB6968"/>
    <w:rsid w:val="00EB7E14"/>
    <w:rsid w:val="00EB7F44"/>
    <w:rsid w:val="00EC1554"/>
    <w:rsid w:val="00EC1987"/>
    <w:rsid w:val="00EC228A"/>
    <w:rsid w:val="00EC238F"/>
    <w:rsid w:val="00EC24BC"/>
    <w:rsid w:val="00EC2AFC"/>
    <w:rsid w:val="00EC3017"/>
    <w:rsid w:val="00EC3336"/>
    <w:rsid w:val="00EC3C4F"/>
    <w:rsid w:val="00EC3CA2"/>
    <w:rsid w:val="00EC4183"/>
    <w:rsid w:val="00EC4332"/>
    <w:rsid w:val="00EC4AA8"/>
    <w:rsid w:val="00EC4C7F"/>
    <w:rsid w:val="00EC5AA2"/>
    <w:rsid w:val="00EC61C1"/>
    <w:rsid w:val="00EC6D84"/>
    <w:rsid w:val="00EC75A6"/>
    <w:rsid w:val="00ED01B4"/>
    <w:rsid w:val="00ED0293"/>
    <w:rsid w:val="00ED0904"/>
    <w:rsid w:val="00ED0CE9"/>
    <w:rsid w:val="00ED148F"/>
    <w:rsid w:val="00ED3833"/>
    <w:rsid w:val="00ED582D"/>
    <w:rsid w:val="00ED6A89"/>
    <w:rsid w:val="00ED7500"/>
    <w:rsid w:val="00EE06E0"/>
    <w:rsid w:val="00EE2986"/>
    <w:rsid w:val="00EE2DDF"/>
    <w:rsid w:val="00EE319B"/>
    <w:rsid w:val="00EE3587"/>
    <w:rsid w:val="00EE3606"/>
    <w:rsid w:val="00EE38A3"/>
    <w:rsid w:val="00EE4ACB"/>
    <w:rsid w:val="00EE6C20"/>
    <w:rsid w:val="00EE6EC4"/>
    <w:rsid w:val="00EF1A3B"/>
    <w:rsid w:val="00EF2294"/>
    <w:rsid w:val="00EF2442"/>
    <w:rsid w:val="00EF3DF9"/>
    <w:rsid w:val="00EF4DD7"/>
    <w:rsid w:val="00EF52A5"/>
    <w:rsid w:val="00EF6362"/>
    <w:rsid w:val="00EF647E"/>
    <w:rsid w:val="00EF68E4"/>
    <w:rsid w:val="00EF77AE"/>
    <w:rsid w:val="00F015C8"/>
    <w:rsid w:val="00F02047"/>
    <w:rsid w:val="00F02EEB"/>
    <w:rsid w:val="00F03874"/>
    <w:rsid w:val="00F04BC0"/>
    <w:rsid w:val="00F04DF0"/>
    <w:rsid w:val="00F04FC7"/>
    <w:rsid w:val="00F05A6B"/>
    <w:rsid w:val="00F0605C"/>
    <w:rsid w:val="00F060F0"/>
    <w:rsid w:val="00F06511"/>
    <w:rsid w:val="00F110C7"/>
    <w:rsid w:val="00F1120D"/>
    <w:rsid w:val="00F11D72"/>
    <w:rsid w:val="00F13196"/>
    <w:rsid w:val="00F15B8F"/>
    <w:rsid w:val="00F16846"/>
    <w:rsid w:val="00F17945"/>
    <w:rsid w:val="00F17C0E"/>
    <w:rsid w:val="00F20B32"/>
    <w:rsid w:val="00F20E26"/>
    <w:rsid w:val="00F20F15"/>
    <w:rsid w:val="00F21FE0"/>
    <w:rsid w:val="00F228A6"/>
    <w:rsid w:val="00F22AC7"/>
    <w:rsid w:val="00F237B5"/>
    <w:rsid w:val="00F23BC0"/>
    <w:rsid w:val="00F251D5"/>
    <w:rsid w:val="00F27716"/>
    <w:rsid w:val="00F27F56"/>
    <w:rsid w:val="00F301B9"/>
    <w:rsid w:val="00F3131B"/>
    <w:rsid w:val="00F3331B"/>
    <w:rsid w:val="00F34057"/>
    <w:rsid w:val="00F3433F"/>
    <w:rsid w:val="00F35172"/>
    <w:rsid w:val="00F351CA"/>
    <w:rsid w:val="00F37701"/>
    <w:rsid w:val="00F379B1"/>
    <w:rsid w:val="00F37D37"/>
    <w:rsid w:val="00F37F50"/>
    <w:rsid w:val="00F41DCE"/>
    <w:rsid w:val="00F42ADE"/>
    <w:rsid w:val="00F437D3"/>
    <w:rsid w:val="00F441B9"/>
    <w:rsid w:val="00F459A7"/>
    <w:rsid w:val="00F45A66"/>
    <w:rsid w:val="00F51D23"/>
    <w:rsid w:val="00F5321B"/>
    <w:rsid w:val="00F544BA"/>
    <w:rsid w:val="00F547B7"/>
    <w:rsid w:val="00F54E44"/>
    <w:rsid w:val="00F559AF"/>
    <w:rsid w:val="00F55A2B"/>
    <w:rsid w:val="00F55A5A"/>
    <w:rsid w:val="00F56085"/>
    <w:rsid w:val="00F600EE"/>
    <w:rsid w:val="00F60DFD"/>
    <w:rsid w:val="00F60F0B"/>
    <w:rsid w:val="00F6114E"/>
    <w:rsid w:val="00F625AB"/>
    <w:rsid w:val="00F62DFD"/>
    <w:rsid w:val="00F63942"/>
    <w:rsid w:val="00F641EF"/>
    <w:rsid w:val="00F648B7"/>
    <w:rsid w:val="00F66241"/>
    <w:rsid w:val="00F664E2"/>
    <w:rsid w:val="00F666E9"/>
    <w:rsid w:val="00F67258"/>
    <w:rsid w:val="00F710D7"/>
    <w:rsid w:val="00F71942"/>
    <w:rsid w:val="00F72BAE"/>
    <w:rsid w:val="00F7340E"/>
    <w:rsid w:val="00F73CA7"/>
    <w:rsid w:val="00F74EAB"/>
    <w:rsid w:val="00F75266"/>
    <w:rsid w:val="00F75B83"/>
    <w:rsid w:val="00F77FA4"/>
    <w:rsid w:val="00F801B1"/>
    <w:rsid w:val="00F80B9C"/>
    <w:rsid w:val="00F80F2D"/>
    <w:rsid w:val="00F81285"/>
    <w:rsid w:val="00F8129D"/>
    <w:rsid w:val="00F82428"/>
    <w:rsid w:val="00F85472"/>
    <w:rsid w:val="00F85FED"/>
    <w:rsid w:val="00F90214"/>
    <w:rsid w:val="00F91B78"/>
    <w:rsid w:val="00F9491E"/>
    <w:rsid w:val="00F95577"/>
    <w:rsid w:val="00F96104"/>
    <w:rsid w:val="00F96681"/>
    <w:rsid w:val="00F96D38"/>
    <w:rsid w:val="00F97E07"/>
    <w:rsid w:val="00FA01D3"/>
    <w:rsid w:val="00FA148F"/>
    <w:rsid w:val="00FA1A5F"/>
    <w:rsid w:val="00FA50D7"/>
    <w:rsid w:val="00FA5141"/>
    <w:rsid w:val="00FA575D"/>
    <w:rsid w:val="00FA6FDF"/>
    <w:rsid w:val="00FA7AB9"/>
    <w:rsid w:val="00FA7D3F"/>
    <w:rsid w:val="00FB0336"/>
    <w:rsid w:val="00FB0DF7"/>
    <w:rsid w:val="00FB2D1A"/>
    <w:rsid w:val="00FB3375"/>
    <w:rsid w:val="00FB3D5D"/>
    <w:rsid w:val="00FB4884"/>
    <w:rsid w:val="00FB577C"/>
    <w:rsid w:val="00FC18F9"/>
    <w:rsid w:val="00FC1CA7"/>
    <w:rsid w:val="00FC3274"/>
    <w:rsid w:val="00FC4315"/>
    <w:rsid w:val="00FC4464"/>
    <w:rsid w:val="00FC60AE"/>
    <w:rsid w:val="00FC6C63"/>
    <w:rsid w:val="00FC7E1A"/>
    <w:rsid w:val="00FD0084"/>
    <w:rsid w:val="00FD0129"/>
    <w:rsid w:val="00FD0ACE"/>
    <w:rsid w:val="00FD2636"/>
    <w:rsid w:val="00FD3CE3"/>
    <w:rsid w:val="00FD4E63"/>
    <w:rsid w:val="00FD5F04"/>
    <w:rsid w:val="00FD64CE"/>
    <w:rsid w:val="00FE3609"/>
    <w:rsid w:val="00FE42A6"/>
    <w:rsid w:val="00FE5120"/>
    <w:rsid w:val="00FE6217"/>
    <w:rsid w:val="00FE6BDC"/>
    <w:rsid w:val="00FE7196"/>
    <w:rsid w:val="00FF1220"/>
    <w:rsid w:val="00FF2341"/>
    <w:rsid w:val="00FF421C"/>
    <w:rsid w:val="00FF5488"/>
    <w:rsid w:val="00FF6A57"/>
    <w:rsid w:val="00FF7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E4BFBC"/>
  <w15:chartTrackingRefBased/>
  <w15:docId w15:val="{E8EDC117-65CD-455A-A54F-9D878D8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E5"/>
    <w:rPr>
      <w:rFonts w:ascii="Arial" w:hAnsi="Arial"/>
    </w:rPr>
  </w:style>
  <w:style w:type="paragraph" w:styleId="Heading1">
    <w:name w:val="heading 1"/>
    <w:basedOn w:val="Normal"/>
    <w:next w:val="Normal"/>
    <w:link w:val="Heading1Char"/>
    <w:uiPriority w:val="9"/>
    <w:qFormat/>
    <w:rsid w:val="00B37564"/>
    <w:pPr>
      <w:keepNext/>
      <w:keepLines/>
      <w:numPr>
        <w:numId w:val="13"/>
      </w:numPr>
      <w:spacing w:before="240" w:after="0"/>
      <w:outlineLvl w:val="0"/>
    </w:pPr>
    <w:rPr>
      <w:rFonts w:eastAsiaTheme="majorEastAsia" w:cstheme="majorBidi"/>
      <w:b/>
      <w:caps/>
      <w:color w:val="C00000"/>
      <w:sz w:val="44"/>
      <w:szCs w:val="32"/>
    </w:rPr>
  </w:style>
  <w:style w:type="paragraph" w:styleId="Heading2">
    <w:name w:val="heading 2"/>
    <w:basedOn w:val="Normal"/>
    <w:next w:val="Normal"/>
    <w:link w:val="Heading2Char"/>
    <w:uiPriority w:val="9"/>
    <w:unhideWhenUsed/>
    <w:qFormat/>
    <w:rsid w:val="004E0282"/>
    <w:pPr>
      <w:keepNext/>
      <w:keepLines/>
      <w:spacing w:before="80" w:after="8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4E0282"/>
    <w:pPr>
      <w:keepNext/>
      <w:keepLines/>
      <w:spacing w:before="40" w:after="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4E02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559"/>
    <w:rPr>
      <w:rFonts w:ascii="Arial" w:eastAsiaTheme="majorEastAsia" w:hAnsi="Arial" w:cstheme="majorBidi"/>
      <w:b/>
      <w:caps/>
      <w:color w:val="C00000"/>
      <w:sz w:val="44"/>
      <w:szCs w:val="32"/>
    </w:rPr>
  </w:style>
  <w:style w:type="character" w:customStyle="1" w:styleId="Heading2Char">
    <w:name w:val="Heading 2 Char"/>
    <w:basedOn w:val="DefaultParagraphFont"/>
    <w:link w:val="Heading2"/>
    <w:uiPriority w:val="9"/>
    <w:rsid w:val="004E0282"/>
    <w:rPr>
      <w:rFonts w:ascii="Arial" w:eastAsiaTheme="majorEastAsia" w:hAnsi="Arial" w:cstheme="majorBidi"/>
      <w:b/>
      <w:sz w:val="26"/>
      <w:szCs w:val="26"/>
    </w:rPr>
  </w:style>
  <w:style w:type="paragraph" w:styleId="ListParagraph">
    <w:name w:val="List Paragraph"/>
    <w:basedOn w:val="Normal"/>
    <w:uiPriority w:val="34"/>
    <w:rsid w:val="00A45DE5"/>
    <w:pPr>
      <w:ind w:left="720"/>
      <w:contextualSpacing/>
    </w:pPr>
  </w:style>
  <w:style w:type="table" w:styleId="TableGrid">
    <w:name w:val="Table Grid"/>
    <w:basedOn w:val="TableNormal"/>
    <w:uiPriority w:val="39"/>
    <w:rsid w:val="00562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BC7"/>
    <w:rPr>
      <w:rFonts w:ascii="Arial" w:hAnsi="Arial"/>
    </w:rPr>
  </w:style>
  <w:style w:type="paragraph" w:styleId="Footer">
    <w:name w:val="footer"/>
    <w:basedOn w:val="Normal"/>
    <w:link w:val="FooterChar"/>
    <w:uiPriority w:val="99"/>
    <w:unhideWhenUsed/>
    <w:rsid w:val="00D90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BC7"/>
    <w:rPr>
      <w:rFonts w:ascii="Arial" w:hAnsi="Arial"/>
    </w:rPr>
  </w:style>
  <w:style w:type="paragraph" w:customStyle="1" w:styleId="Default">
    <w:name w:val="Default"/>
    <w:rsid w:val="006272B8"/>
    <w:pPr>
      <w:autoSpaceDE w:val="0"/>
      <w:autoSpaceDN w:val="0"/>
      <w:adjustRightInd w:val="0"/>
      <w:spacing w:after="0" w:line="240" w:lineRule="auto"/>
    </w:pPr>
    <w:rPr>
      <w:rFonts w:ascii="Arial" w:hAnsi="Arial" w:cs="Arial"/>
      <w:color w:val="000000"/>
      <w:sz w:val="24"/>
      <w:szCs w:val="24"/>
    </w:rPr>
  </w:style>
  <w:style w:type="paragraph" w:customStyle="1" w:styleId="Bullets">
    <w:name w:val="Bullets"/>
    <w:basedOn w:val="Normal"/>
    <w:link w:val="BulletsChar"/>
    <w:rsid w:val="00DD538E"/>
    <w:pPr>
      <w:numPr>
        <w:numId w:val="3"/>
      </w:numPr>
      <w:spacing w:after="40" w:line="240" w:lineRule="auto"/>
      <w:ind w:left="714" w:hanging="357"/>
    </w:pPr>
  </w:style>
  <w:style w:type="paragraph" w:customStyle="1" w:styleId="NormalHeading">
    <w:name w:val="Normal Heading"/>
    <w:basedOn w:val="Normal"/>
    <w:link w:val="NormalHeadingChar"/>
    <w:qFormat/>
    <w:rsid w:val="001B64B4"/>
    <w:pPr>
      <w:spacing w:after="0" w:line="240" w:lineRule="auto"/>
    </w:pPr>
    <w:rPr>
      <w:b/>
    </w:rPr>
  </w:style>
  <w:style w:type="character" w:customStyle="1" w:styleId="BulletsChar">
    <w:name w:val="Bullets Char"/>
    <w:basedOn w:val="DefaultParagraphFont"/>
    <w:link w:val="Bullets"/>
    <w:rsid w:val="00DD538E"/>
    <w:rPr>
      <w:rFonts w:ascii="Arial" w:hAnsi="Arial"/>
    </w:rPr>
  </w:style>
  <w:style w:type="paragraph" w:customStyle="1" w:styleId="TableHeading-Normal">
    <w:name w:val="Table Heading - Normal"/>
    <w:basedOn w:val="NormalHeading"/>
    <w:next w:val="TableofAuthorities"/>
    <w:link w:val="TableHeading-NormalChar"/>
    <w:qFormat/>
    <w:rsid w:val="009A5A9B"/>
    <w:pPr>
      <w:shd w:val="clear" w:color="auto" w:fill="FFFFFF" w:themeFill="background1"/>
      <w:textboxTightWrap w:val="allLines"/>
    </w:pPr>
    <w:rPr>
      <w:color w:val="000000" w:themeColor="text1"/>
    </w:rPr>
  </w:style>
  <w:style w:type="character" w:customStyle="1" w:styleId="NormalHeadingChar">
    <w:name w:val="Normal Heading Char"/>
    <w:basedOn w:val="DefaultParagraphFont"/>
    <w:link w:val="NormalHeading"/>
    <w:rsid w:val="001B64B4"/>
    <w:rPr>
      <w:rFonts w:ascii="Arial" w:hAnsi="Arial"/>
      <w:b/>
    </w:rPr>
  </w:style>
  <w:style w:type="character" w:customStyle="1" w:styleId="TableHeading-NormalChar">
    <w:name w:val="Table Heading - Normal Char"/>
    <w:basedOn w:val="NormalHeadingChar"/>
    <w:link w:val="TableHeading-Normal"/>
    <w:rsid w:val="009A5A9B"/>
    <w:rPr>
      <w:rFonts w:ascii="Arial" w:hAnsi="Arial"/>
      <w:b/>
      <w:color w:val="000000" w:themeColor="text1"/>
      <w:shd w:val="clear" w:color="auto" w:fill="FFFFFF" w:themeFill="background1"/>
    </w:rPr>
  </w:style>
  <w:style w:type="character" w:customStyle="1" w:styleId="Heading3Char">
    <w:name w:val="Heading 3 Char"/>
    <w:basedOn w:val="DefaultParagraphFont"/>
    <w:link w:val="Heading3"/>
    <w:uiPriority w:val="9"/>
    <w:rsid w:val="004E0282"/>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4E0282"/>
    <w:rPr>
      <w:rFonts w:ascii="Arial" w:eastAsiaTheme="majorEastAsia" w:hAnsi="Arial" w:cstheme="majorBidi"/>
      <w:i/>
      <w:iCs/>
    </w:rPr>
  </w:style>
  <w:style w:type="paragraph" w:customStyle="1" w:styleId="Normalitalics">
    <w:name w:val="Normal italics"/>
    <w:basedOn w:val="Normal"/>
    <w:link w:val="NormalitalicsChar"/>
    <w:qFormat/>
    <w:rsid w:val="00E37D96"/>
    <w:rPr>
      <w:i/>
    </w:rPr>
  </w:style>
  <w:style w:type="character" w:customStyle="1" w:styleId="NormalitalicsChar">
    <w:name w:val="Normal italics Char"/>
    <w:basedOn w:val="DefaultParagraphFont"/>
    <w:link w:val="Normalitalics"/>
    <w:rsid w:val="00E37D96"/>
    <w:rPr>
      <w:rFonts w:ascii="Arial" w:hAnsi="Arial"/>
      <w:i/>
    </w:rPr>
  </w:style>
  <w:style w:type="paragraph" w:styleId="TOCHeading">
    <w:name w:val="TOC Heading"/>
    <w:basedOn w:val="Heading1"/>
    <w:next w:val="Normal"/>
    <w:uiPriority w:val="39"/>
    <w:unhideWhenUsed/>
    <w:rsid w:val="00250BD2"/>
    <w:pPr>
      <w:numPr>
        <w:numId w:val="0"/>
      </w:numPr>
      <w:outlineLvl w:val="9"/>
    </w:pPr>
    <w:rPr>
      <w:rFonts w:asciiTheme="majorHAnsi" w:hAnsiTheme="majorHAnsi"/>
      <w:b w:val="0"/>
      <w:caps w:val="0"/>
      <w:lang w:val="en-US"/>
    </w:rPr>
  </w:style>
  <w:style w:type="paragraph" w:styleId="TOC1">
    <w:name w:val="toc 1"/>
    <w:basedOn w:val="Normal"/>
    <w:next w:val="Normal"/>
    <w:autoRedefine/>
    <w:uiPriority w:val="39"/>
    <w:unhideWhenUsed/>
    <w:rsid w:val="00885A9D"/>
    <w:pPr>
      <w:tabs>
        <w:tab w:val="left" w:pos="440"/>
        <w:tab w:val="right" w:leader="dot" w:pos="9622"/>
      </w:tabs>
      <w:spacing w:after="100"/>
    </w:pPr>
  </w:style>
  <w:style w:type="paragraph" w:styleId="TOC2">
    <w:name w:val="toc 2"/>
    <w:basedOn w:val="Normal"/>
    <w:next w:val="Normal"/>
    <w:autoRedefine/>
    <w:uiPriority w:val="39"/>
    <w:unhideWhenUsed/>
    <w:rsid w:val="00EC5AA2"/>
    <w:pPr>
      <w:tabs>
        <w:tab w:val="right" w:leader="dot" w:pos="9622"/>
      </w:tabs>
      <w:spacing w:after="100"/>
      <w:ind w:left="220"/>
    </w:pPr>
  </w:style>
  <w:style w:type="paragraph" w:styleId="TOC3">
    <w:name w:val="toc 3"/>
    <w:basedOn w:val="Normal"/>
    <w:next w:val="Normal"/>
    <w:autoRedefine/>
    <w:uiPriority w:val="39"/>
    <w:unhideWhenUsed/>
    <w:rsid w:val="00250BD2"/>
    <w:pPr>
      <w:spacing w:after="100"/>
      <w:ind w:left="440"/>
    </w:pPr>
  </w:style>
  <w:style w:type="character" w:styleId="Hyperlink">
    <w:name w:val="Hyperlink"/>
    <w:basedOn w:val="DefaultParagraphFont"/>
    <w:uiPriority w:val="99"/>
    <w:unhideWhenUsed/>
    <w:rsid w:val="00250BD2"/>
    <w:rPr>
      <w:color w:val="0563C1" w:themeColor="hyperlink"/>
      <w:u w:val="single"/>
    </w:rPr>
  </w:style>
  <w:style w:type="paragraph" w:customStyle="1" w:styleId="Source">
    <w:name w:val="Source"/>
    <w:basedOn w:val="Normal"/>
    <w:link w:val="SourceChar"/>
    <w:qFormat/>
    <w:rsid w:val="00924D19"/>
    <w:rPr>
      <w:sz w:val="16"/>
    </w:rPr>
  </w:style>
  <w:style w:type="character" w:customStyle="1" w:styleId="SourceChar">
    <w:name w:val="Source Char"/>
    <w:basedOn w:val="DefaultParagraphFont"/>
    <w:link w:val="Source"/>
    <w:rsid w:val="00924D19"/>
    <w:rPr>
      <w:rFonts w:ascii="Arial" w:hAnsi="Arial"/>
      <w:sz w:val="16"/>
    </w:rPr>
  </w:style>
  <w:style w:type="paragraph" w:customStyle="1" w:styleId="Intro">
    <w:name w:val="Intro"/>
    <w:basedOn w:val="Normal"/>
    <w:qFormat/>
    <w:rsid w:val="00E513FE"/>
    <w:pPr>
      <w:pBdr>
        <w:top w:val="single" w:sz="4" w:space="1" w:color="000000" w:themeColor="text1"/>
      </w:pBdr>
      <w:spacing w:after="120" w:line="240" w:lineRule="auto"/>
    </w:pPr>
    <w:rPr>
      <w:color w:val="000000" w:themeColor="text1"/>
      <w:szCs w:val="24"/>
    </w:rPr>
  </w:style>
  <w:style w:type="paragraph" w:styleId="Quote">
    <w:name w:val="Quote"/>
    <w:basedOn w:val="Normal"/>
    <w:next w:val="Normal"/>
    <w:link w:val="QuoteChar"/>
    <w:uiPriority w:val="29"/>
    <w:qFormat/>
    <w:rsid w:val="00E513FE"/>
    <w:pPr>
      <w:spacing w:before="120" w:after="120" w:line="240" w:lineRule="auto"/>
      <w:ind w:left="284" w:right="284"/>
    </w:pPr>
    <w:rPr>
      <w:i/>
      <w:iCs/>
      <w:color w:val="44546A" w:themeColor="text2"/>
      <w:szCs w:val="24"/>
      <w:lang w:val="en-GB"/>
    </w:rPr>
  </w:style>
  <w:style w:type="character" w:customStyle="1" w:styleId="QuoteChar">
    <w:name w:val="Quote Char"/>
    <w:basedOn w:val="DefaultParagraphFont"/>
    <w:link w:val="Quote"/>
    <w:uiPriority w:val="29"/>
    <w:rsid w:val="00E513FE"/>
    <w:rPr>
      <w:rFonts w:ascii="Arial" w:hAnsi="Arial"/>
      <w:i/>
      <w:iCs/>
      <w:color w:val="44546A" w:themeColor="text2"/>
      <w:szCs w:val="24"/>
      <w:lang w:val="en-GB"/>
    </w:rPr>
  </w:style>
  <w:style w:type="paragraph" w:customStyle="1" w:styleId="Bullet1">
    <w:name w:val="Bullet 1"/>
    <w:basedOn w:val="Normal"/>
    <w:next w:val="Normal"/>
    <w:link w:val="Bullet1Char"/>
    <w:qFormat/>
    <w:rsid w:val="00B96250"/>
    <w:pPr>
      <w:numPr>
        <w:numId w:val="7"/>
      </w:numPr>
      <w:spacing w:after="120" w:line="240" w:lineRule="auto"/>
    </w:pPr>
    <w:rPr>
      <w:szCs w:val="24"/>
    </w:rPr>
  </w:style>
  <w:style w:type="paragraph" w:customStyle="1" w:styleId="Bullet2">
    <w:name w:val="Bullet 2"/>
    <w:basedOn w:val="Bullet1"/>
    <w:qFormat/>
    <w:rsid w:val="00C65492"/>
    <w:pPr>
      <w:numPr>
        <w:numId w:val="6"/>
      </w:numPr>
      <w:ind w:left="1080"/>
    </w:pPr>
  </w:style>
  <w:style w:type="paragraph" w:customStyle="1" w:styleId="Numberlist">
    <w:name w:val="Number list"/>
    <w:basedOn w:val="Normal"/>
    <w:next w:val="Normal"/>
    <w:qFormat/>
    <w:rsid w:val="00B82559"/>
    <w:pPr>
      <w:numPr>
        <w:numId w:val="8"/>
      </w:numPr>
      <w:spacing w:after="120" w:line="240" w:lineRule="auto"/>
      <w:ind w:left="284" w:hanging="284"/>
    </w:pPr>
    <w:rPr>
      <w:rFonts w:asciiTheme="minorHAnsi" w:hAnsiTheme="minorHAnsi"/>
      <w:szCs w:val="24"/>
    </w:rPr>
  </w:style>
  <w:style w:type="character" w:styleId="PageNumber">
    <w:name w:val="page number"/>
    <w:basedOn w:val="DefaultParagraphFont"/>
    <w:uiPriority w:val="99"/>
    <w:semiHidden/>
    <w:unhideWhenUsed/>
    <w:rsid w:val="00B82559"/>
  </w:style>
  <w:style w:type="paragraph" w:styleId="FootnoteText">
    <w:name w:val="footnote text"/>
    <w:basedOn w:val="Normal"/>
    <w:link w:val="FootnoteTextChar"/>
    <w:uiPriority w:val="99"/>
    <w:unhideWhenUsed/>
    <w:rsid w:val="00B82559"/>
    <w:pPr>
      <w:spacing w:after="40" w:line="240" w:lineRule="auto"/>
    </w:pPr>
    <w:rPr>
      <w:rFonts w:eastAsiaTheme="minorEastAsia" w:cs="Arial"/>
      <w:sz w:val="11"/>
      <w:szCs w:val="11"/>
      <w:lang w:val="en-US"/>
    </w:rPr>
  </w:style>
  <w:style w:type="character" w:customStyle="1" w:styleId="FootnoteTextChar">
    <w:name w:val="Footnote Text Char"/>
    <w:basedOn w:val="DefaultParagraphFont"/>
    <w:link w:val="FootnoteText"/>
    <w:uiPriority w:val="99"/>
    <w:rsid w:val="00B82559"/>
    <w:rPr>
      <w:rFonts w:ascii="Arial" w:eastAsiaTheme="minorEastAsia" w:hAnsi="Arial" w:cs="Arial"/>
      <w:sz w:val="11"/>
      <w:szCs w:val="11"/>
      <w:lang w:val="en-US"/>
    </w:rPr>
  </w:style>
  <w:style w:type="paragraph" w:customStyle="1" w:styleId="Covertitle">
    <w:name w:val="Cover title"/>
    <w:basedOn w:val="Normal"/>
    <w:qFormat/>
    <w:rsid w:val="00E513FE"/>
    <w:pPr>
      <w:spacing w:after="180" w:line="240" w:lineRule="auto"/>
    </w:pPr>
    <w:rPr>
      <w:b/>
      <w:color w:val="000000" w:themeColor="text1"/>
      <w:sz w:val="44"/>
      <w:szCs w:val="24"/>
    </w:rPr>
  </w:style>
  <w:style w:type="paragraph" w:customStyle="1" w:styleId="Coversubtitle">
    <w:name w:val="Cover subtitle"/>
    <w:basedOn w:val="Covertitle"/>
    <w:qFormat/>
    <w:rsid w:val="00B96250"/>
    <w:rPr>
      <w:b w:val="0"/>
      <w:color w:val="44546A" w:themeColor="text2"/>
      <w:sz w:val="36"/>
    </w:rPr>
  </w:style>
  <w:style w:type="paragraph" w:customStyle="1" w:styleId="Alphabetlist">
    <w:name w:val="Alphabet list"/>
    <w:basedOn w:val="Normal"/>
    <w:qFormat/>
    <w:rsid w:val="00B96250"/>
    <w:pPr>
      <w:numPr>
        <w:numId w:val="9"/>
      </w:numPr>
      <w:spacing w:after="120" w:line="240" w:lineRule="auto"/>
      <w:ind w:left="568" w:hanging="284"/>
    </w:pPr>
    <w:rPr>
      <w:szCs w:val="24"/>
    </w:rPr>
  </w:style>
  <w:style w:type="character" w:customStyle="1" w:styleId="apple-converted-space">
    <w:name w:val="apple-converted-space"/>
    <w:basedOn w:val="DefaultParagraphFont"/>
    <w:rsid w:val="00B82559"/>
  </w:style>
  <w:style w:type="paragraph" w:styleId="BalloonText">
    <w:name w:val="Balloon Text"/>
    <w:basedOn w:val="Normal"/>
    <w:link w:val="BalloonTextChar"/>
    <w:uiPriority w:val="99"/>
    <w:semiHidden/>
    <w:unhideWhenUsed/>
    <w:rsid w:val="00B82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59"/>
    <w:rPr>
      <w:rFonts w:ascii="Segoe UI" w:hAnsi="Segoe UI" w:cs="Segoe UI"/>
      <w:sz w:val="18"/>
      <w:szCs w:val="18"/>
    </w:rPr>
  </w:style>
  <w:style w:type="paragraph" w:customStyle="1" w:styleId="TableText">
    <w:name w:val="Table Text"/>
    <w:basedOn w:val="Normal"/>
    <w:link w:val="TableTextChar"/>
    <w:qFormat/>
    <w:rsid w:val="00386210"/>
    <w:pPr>
      <w:spacing w:after="0" w:line="240" w:lineRule="auto"/>
    </w:pPr>
    <w:rPr>
      <w:sz w:val="18"/>
    </w:rPr>
  </w:style>
  <w:style w:type="paragraph" w:customStyle="1" w:styleId="TableBullets">
    <w:name w:val="Table Bullets"/>
    <w:basedOn w:val="Bullet1"/>
    <w:link w:val="TableBulletsChar"/>
    <w:qFormat/>
    <w:rsid w:val="005419FE"/>
    <w:pPr>
      <w:ind w:left="360"/>
    </w:pPr>
    <w:rPr>
      <w:sz w:val="18"/>
    </w:rPr>
  </w:style>
  <w:style w:type="character" w:customStyle="1" w:styleId="TableTextChar">
    <w:name w:val="Table Text Char"/>
    <w:basedOn w:val="DefaultParagraphFont"/>
    <w:link w:val="TableText"/>
    <w:rsid w:val="00386210"/>
    <w:rPr>
      <w:rFonts w:ascii="Arial" w:hAnsi="Arial"/>
      <w:sz w:val="18"/>
    </w:rPr>
  </w:style>
  <w:style w:type="paragraph" w:customStyle="1" w:styleId="Footnote">
    <w:name w:val="Footnote"/>
    <w:basedOn w:val="TableBullets"/>
    <w:link w:val="FootnoteChar"/>
    <w:qFormat/>
    <w:rsid w:val="00570996"/>
    <w:pPr>
      <w:numPr>
        <w:numId w:val="0"/>
      </w:numPr>
    </w:pPr>
    <w:rPr>
      <w:sz w:val="16"/>
    </w:rPr>
  </w:style>
  <w:style w:type="character" w:customStyle="1" w:styleId="Bullet1Char">
    <w:name w:val="Bullet 1 Char"/>
    <w:basedOn w:val="DefaultParagraphFont"/>
    <w:link w:val="Bullet1"/>
    <w:rsid w:val="00386210"/>
    <w:rPr>
      <w:rFonts w:ascii="Arial" w:hAnsi="Arial"/>
      <w:szCs w:val="24"/>
    </w:rPr>
  </w:style>
  <w:style w:type="character" w:customStyle="1" w:styleId="TableBulletsChar">
    <w:name w:val="Table Bullets Char"/>
    <w:basedOn w:val="Bullet1Char"/>
    <w:link w:val="TableBullets"/>
    <w:rsid w:val="005419FE"/>
    <w:rPr>
      <w:rFonts w:ascii="Arial" w:hAnsi="Arial"/>
      <w:sz w:val="18"/>
      <w:szCs w:val="24"/>
    </w:rPr>
  </w:style>
  <w:style w:type="paragraph" w:styleId="TableofAuthorities">
    <w:name w:val="table of authorities"/>
    <w:basedOn w:val="Normal"/>
    <w:next w:val="Normal"/>
    <w:uiPriority w:val="99"/>
    <w:semiHidden/>
    <w:unhideWhenUsed/>
    <w:rsid w:val="00327934"/>
    <w:pPr>
      <w:spacing w:after="0"/>
      <w:ind w:left="220" w:hanging="220"/>
    </w:pPr>
  </w:style>
  <w:style w:type="character" w:styleId="FootnoteReference">
    <w:name w:val="footnote reference"/>
    <w:basedOn w:val="DefaultParagraphFont"/>
    <w:uiPriority w:val="99"/>
    <w:semiHidden/>
    <w:unhideWhenUsed/>
    <w:rsid w:val="000D3D42"/>
    <w:rPr>
      <w:vertAlign w:val="superscript"/>
    </w:rPr>
  </w:style>
  <w:style w:type="character" w:customStyle="1" w:styleId="FootnoteChar">
    <w:name w:val="Footnote Char"/>
    <w:basedOn w:val="TableBulletsChar"/>
    <w:link w:val="Footnote"/>
    <w:rsid w:val="00570996"/>
    <w:rPr>
      <w:rFonts w:ascii="Arial" w:hAnsi="Arial"/>
      <w:sz w:val="16"/>
      <w:szCs w:val="24"/>
    </w:rPr>
  </w:style>
  <w:style w:type="character" w:styleId="CommentReference">
    <w:name w:val="annotation reference"/>
    <w:basedOn w:val="DefaultParagraphFont"/>
    <w:uiPriority w:val="99"/>
    <w:semiHidden/>
    <w:unhideWhenUsed/>
    <w:rsid w:val="00CF7516"/>
    <w:rPr>
      <w:sz w:val="16"/>
      <w:szCs w:val="16"/>
    </w:rPr>
  </w:style>
  <w:style w:type="paragraph" w:styleId="CommentText">
    <w:name w:val="annotation text"/>
    <w:basedOn w:val="Normal"/>
    <w:link w:val="CommentTextChar"/>
    <w:uiPriority w:val="99"/>
    <w:unhideWhenUsed/>
    <w:rsid w:val="00CF7516"/>
    <w:pPr>
      <w:spacing w:line="240" w:lineRule="auto"/>
    </w:pPr>
    <w:rPr>
      <w:sz w:val="20"/>
      <w:szCs w:val="20"/>
    </w:rPr>
  </w:style>
  <w:style w:type="character" w:customStyle="1" w:styleId="CommentTextChar">
    <w:name w:val="Comment Text Char"/>
    <w:basedOn w:val="DefaultParagraphFont"/>
    <w:link w:val="CommentText"/>
    <w:uiPriority w:val="99"/>
    <w:rsid w:val="00CF75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7516"/>
    <w:rPr>
      <w:b/>
      <w:bCs/>
    </w:rPr>
  </w:style>
  <w:style w:type="character" w:customStyle="1" w:styleId="CommentSubjectChar">
    <w:name w:val="Comment Subject Char"/>
    <w:basedOn w:val="CommentTextChar"/>
    <w:link w:val="CommentSubject"/>
    <w:uiPriority w:val="99"/>
    <w:semiHidden/>
    <w:rsid w:val="00CF7516"/>
    <w:rPr>
      <w:rFonts w:ascii="Arial" w:hAnsi="Arial"/>
      <w:b/>
      <w:bCs/>
      <w:sz w:val="20"/>
      <w:szCs w:val="20"/>
    </w:rPr>
  </w:style>
  <w:style w:type="paragraph" w:styleId="Revision">
    <w:name w:val="Revision"/>
    <w:hidden/>
    <w:uiPriority w:val="99"/>
    <w:semiHidden/>
    <w:rsid w:val="00082EA5"/>
    <w:pPr>
      <w:spacing w:after="0" w:line="240" w:lineRule="auto"/>
    </w:pPr>
    <w:rPr>
      <w:rFonts w:ascii="Arial" w:hAnsi="Arial"/>
    </w:rPr>
  </w:style>
  <w:style w:type="character" w:styleId="FollowedHyperlink">
    <w:name w:val="FollowedHyperlink"/>
    <w:basedOn w:val="DefaultParagraphFont"/>
    <w:uiPriority w:val="99"/>
    <w:semiHidden/>
    <w:unhideWhenUsed/>
    <w:rsid w:val="00763317"/>
    <w:rPr>
      <w:color w:val="954F72" w:themeColor="followedHyperlink"/>
      <w:u w:val="single"/>
    </w:rPr>
  </w:style>
  <w:style w:type="character" w:styleId="UnresolvedMention">
    <w:name w:val="Unresolved Mention"/>
    <w:basedOn w:val="DefaultParagraphFont"/>
    <w:uiPriority w:val="99"/>
    <w:semiHidden/>
    <w:unhideWhenUsed/>
    <w:rsid w:val="001D0808"/>
    <w:rPr>
      <w:color w:val="605E5C"/>
      <w:shd w:val="clear" w:color="auto" w:fill="E1DFDD"/>
    </w:rPr>
  </w:style>
  <w:style w:type="paragraph" w:styleId="EndnoteText">
    <w:name w:val="endnote text"/>
    <w:basedOn w:val="Normal"/>
    <w:link w:val="EndnoteTextChar"/>
    <w:uiPriority w:val="99"/>
    <w:semiHidden/>
    <w:unhideWhenUsed/>
    <w:rsid w:val="005709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0996"/>
    <w:rPr>
      <w:rFonts w:ascii="Arial" w:hAnsi="Arial"/>
      <w:sz w:val="20"/>
      <w:szCs w:val="20"/>
    </w:rPr>
  </w:style>
  <w:style w:type="character" w:styleId="EndnoteReference">
    <w:name w:val="endnote reference"/>
    <w:basedOn w:val="DefaultParagraphFont"/>
    <w:uiPriority w:val="99"/>
    <w:semiHidden/>
    <w:unhideWhenUsed/>
    <w:rsid w:val="005709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t.vic.edu.au/__data/assets/pdf_file/0018/77121/VIT-SOE-Response-to-Minister-August-2018_Attachment.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legislation.vic.gov.au" TargetMode="External"/><Relationship Id="rId20" Type="http://schemas.openxmlformats.org/officeDocument/2006/relationships/hyperlink" Target="https://www.vit.vic.edu.au/__data/assets/pdf_file/0017/77120/VIT-SOE-Response-to-Minister-August-2018.pdf" TargetMode="External"/><Relationship Id="rId16" Type="http://schemas.openxmlformats.org/officeDocument/2006/relationships/header" Target="header2.xml"/><Relationship Id="rId24" Type="http://schemas.openxmlformats.org/officeDocument/2006/relationships/hyperlink" Target="http://www.legislation.vic.gov.au" TargetMode="Externa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itsl.edu.au" TargetMode="External"/><Relationship Id="rId10" Type="http://schemas.openxmlformats.org/officeDocument/2006/relationships/webSettings" Target="webSettings.xml"/><Relationship Id="rId19" Type="http://schemas.openxmlformats.org/officeDocument/2006/relationships/hyperlink" Target="https://www.vit.vic.edu.au/__data/assets/pdf_file/0007/77119/Merlino-MP-VIT-SoE-1.07.2018-to-30.06.2020.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vit.vic.edu.au/"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https://edugate.eduweb.vic.gov.au/edrms/collaboration/PSD/Policy and Strategy Documents Library</xsnScope>
</customXsn>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VIT SOE Evaluation Report 2018-20_Accessible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D1F7F-13AE-448E-80FB-DB956E9E231D}">
  <ds:schemaRefs>
    <ds:schemaRef ds:uri="http://schemas.microsoft.com/sharepoint/events"/>
  </ds:schemaRefs>
</ds:datastoreItem>
</file>

<file path=customXml/itemProps2.xml><?xml version="1.0" encoding="utf-8"?>
<ds:datastoreItem xmlns:ds="http://schemas.openxmlformats.org/officeDocument/2006/customXml" ds:itemID="{411C45CF-4DEF-45DE-97A4-D6BC90F39B0D}">
  <ds:schemaRefs>
    <ds:schemaRef ds:uri="http://schemas.microsoft.com/office/2006/metadata/customXsn"/>
  </ds:schemaRefs>
</ds:datastoreItem>
</file>

<file path=customXml/itemProps3.xml><?xml version="1.0" encoding="utf-8"?>
<ds:datastoreItem xmlns:ds="http://schemas.openxmlformats.org/officeDocument/2006/customXml" ds:itemID="{A51823FC-167B-4E1E-9A9B-C0577AB99616}"/>
</file>

<file path=customXml/itemProps4.xml><?xml version="1.0" encoding="utf-8"?>
<ds:datastoreItem xmlns:ds="http://schemas.openxmlformats.org/officeDocument/2006/customXml" ds:itemID="{EEF46F23-B765-453C-97FB-0755B1C943ED}">
  <ds:schemaRefs>
    <ds:schemaRef ds:uri="http://schemas.microsoft.com/sharepoint/v3/contenttype/forms"/>
  </ds:schemaRefs>
</ds:datastoreItem>
</file>

<file path=customXml/itemProps5.xml><?xml version="1.0" encoding="utf-8"?>
<ds:datastoreItem xmlns:ds="http://schemas.openxmlformats.org/officeDocument/2006/customXml" ds:itemID="{9767CF55-03FC-4284-B4B5-12630BF575BD}">
  <ds:schemaRefs>
    <ds:schemaRef ds:uri="http://schemas.microsoft.com/office/2006/metadata/properties"/>
    <ds:schemaRef ds:uri="http://schemas.microsoft.com/sharepoint/v3"/>
    <ds:schemaRef ds:uri="http://schemas.microsoft.com/sharepoint/v4"/>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0c36ff92-d041-4586-a8be-cc68f7f52222"/>
    <ds:schemaRef ds:uri="http://schemas.microsoft.com/Sharepoint/v3"/>
    <ds:schemaRef ds:uri="416d1f11-4961-47c1-9881-91d3d2a7bec7"/>
  </ds:schemaRefs>
</ds:datastoreItem>
</file>

<file path=customXml/itemProps6.xml><?xml version="1.0" encoding="utf-8"?>
<ds:datastoreItem xmlns:ds="http://schemas.openxmlformats.org/officeDocument/2006/customXml" ds:itemID="{ACCB5304-F500-44F5-9C43-A129B0E2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9273</Words>
  <Characters>52857</Characters>
  <Application>Microsoft Office Word</Application>
  <DocSecurity>4</DocSecurity>
  <Lines>440</Lines>
  <Paragraphs>124</Paragraphs>
  <ScaleCrop>false</ScaleCrop>
  <HeadingPairs>
    <vt:vector size="2" baseType="variant">
      <vt:variant>
        <vt:lpstr>Title</vt:lpstr>
      </vt:variant>
      <vt:variant>
        <vt:i4>1</vt:i4>
      </vt:variant>
    </vt:vector>
  </HeadingPairs>
  <TitlesOfParts>
    <vt:vector size="1" baseType="lpstr">
      <vt:lpstr>VIT Statement of Expectations Evaluation 2018-20</vt:lpstr>
    </vt:vector>
  </TitlesOfParts>
  <Company>DET</Company>
  <LinksUpToDate>false</LinksUpToDate>
  <CharactersWithSpaces>62006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 Statement of Expectations Evaluation 2018-20</dc:title>
  <dc:subject>An evaluation of the VIT Statement of Expectations 2018-20</dc:subject>
  <dc:creator>Harrison-Grace, Aleesha C</dc:creator>
  <cp:keywords/>
  <dc:description/>
  <cp:lastModifiedBy>Reid, Melinda J</cp:lastModifiedBy>
  <cp:revision>2</cp:revision>
  <cp:lastPrinted>2020-01-14T23:22:00Z</cp:lastPrinted>
  <dcterms:created xsi:type="dcterms:W3CDTF">2020-12-21T00:52:00Z</dcterms:created>
  <dcterms:modified xsi:type="dcterms:W3CDTF">2020-12-21T00:52:00Z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
  </property>
  <property fmtid="{D5CDD505-2E9C-101B-9397-08002B2CF9AE}" pid="5" name="RecordPoint_WorkflowType">
    <vt:lpwstr>ActiveSubmitStub</vt:lpwstr>
  </property>
  <property fmtid="{D5CDD505-2E9C-101B-9397-08002B2CF9AE}" pid="6" name="RecordPoint_ActiveItemListId">
    <vt:lpwstr>{416d1f11-4961-47c1-9881-91d3d2a7bec7}</vt:lpwstr>
  </property>
  <property fmtid="{D5CDD505-2E9C-101B-9397-08002B2CF9AE}" pid="7" name="RecordPoint_ActiveItemUniqueId">
    <vt:lpwstr>{f00c7f9e-7c73-4a74-b02e-cd9fe835e48d}</vt:lpwstr>
  </property>
  <property fmtid="{D5CDD505-2E9C-101B-9397-08002B2CF9AE}" pid="8" name="RecordPoint_ActiveItemWebId">
    <vt:lpwstr>{0c36ff92-d041-4586-a8be-cc68f7f52222}</vt:lpwstr>
  </property>
  <property fmtid="{D5CDD505-2E9C-101B-9397-08002B2CF9AE}" pid="9" name="RecordPoint_ActiveItemSiteId">
    <vt:lpwstr>{f3c7ef82-ce41-4649-80f4-f8b2e164f5c8}</vt:lpwstr>
  </property>
  <property fmtid="{D5CDD505-2E9C-101B-9397-08002B2CF9AE}" pid="10" name="RecordPoint_RecordNumberSubmitted">
    <vt:lpwstr>R20200756729</vt:lpwstr>
  </property>
  <property fmtid="{D5CDD505-2E9C-101B-9397-08002B2CF9AE}" pid="11" name="RecordPoint_SubmissionDate">
    <vt:lpwstr/>
  </property>
  <property fmtid="{D5CDD505-2E9C-101B-9397-08002B2CF9AE}" pid="12" name="RecordPoint_ActiveItemMoved">
    <vt:lpwstr>DB46147C166D36A5214BCAEDA08BD650</vt:lpwstr>
  </property>
  <property fmtid="{D5CDD505-2E9C-101B-9397-08002B2CF9AE}" pid="13" name="RecordPoint_RecordFormat">
    <vt:lpwstr/>
  </property>
  <property fmtid="{D5CDD505-2E9C-101B-9397-08002B2CF9AE}" pid="14" name="RecordPoint_SubmissionCompleted">
    <vt:lpwstr>2020-10-22T12:45:18.3399334+11:00</vt:lpwstr>
  </property>
  <property fmtid="{D5CDD505-2E9C-101B-9397-08002B2CF9AE}" pid="15" name="Order">
    <vt:r8>1708000</vt:r8>
  </property>
  <property fmtid="{D5CDD505-2E9C-101B-9397-08002B2CF9AE}" pid="16" name="URL">
    <vt:lpwstr/>
  </property>
  <property fmtid="{D5CDD505-2E9C-101B-9397-08002B2CF9AE}" pid="17" name="DocumentSetDescription">
    <vt:lpwstr/>
  </property>
  <property fmtid="{D5CDD505-2E9C-101B-9397-08002B2CF9AE}" pid="18" name="xd_ProgID">
    <vt:lpwstr/>
  </property>
  <property fmtid="{D5CDD505-2E9C-101B-9397-08002B2CF9AE}" pid="19" name="Attachment">
    <vt:bool>false</vt:bool>
  </property>
  <property fmtid="{D5CDD505-2E9C-101B-9397-08002B2CF9AE}" pid="20" name="TemplateUrl">
    <vt:lpwstr/>
  </property>
  <property fmtid="{D5CDD505-2E9C-101B-9397-08002B2CF9AE}" pid="21" name="DET_EDRMS_Category">
    <vt:lpwstr/>
  </property>
  <property fmtid="{D5CDD505-2E9C-101B-9397-08002B2CF9AE}" pid="22" name="DET_EDRMS_SecClass">
    <vt:lpwstr/>
  </property>
  <property fmtid="{D5CDD505-2E9C-101B-9397-08002B2CF9AE}" pid="23" name="DEECD_Author">
    <vt:lpwstr>94;#Education|5232e41c-5101-41fe-b638-7d41d1371531</vt:lpwstr>
  </property>
  <property fmtid="{D5CDD505-2E9C-101B-9397-08002B2CF9AE}" pid="24" name="DEECD_ItemType">
    <vt:lpwstr>101;#Page|eb523acf-a821-456c-a76b-7607578309d7</vt:lpwstr>
  </property>
  <property fmtid="{D5CDD505-2E9C-101B-9397-08002B2CF9AE}" pid="25" name="DEECD_SubjectCategory">
    <vt:lpwstr/>
  </property>
  <property fmtid="{D5CDD505-2E9C-101B-9397-08002B2CF9AE}" pid="26" name="DEECD_Audience">
    <vt:lpwstr/>
  </property>
</Properties>
</file>