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9D729" w14:textId="77777777" w:rsidR="00416C3F" w:rsidRDefault="00416C3F" w:rsidP="00416C3F">
      <w:pPr>
        <w:pStyle w:val="Covertitle"/>
      </w:pPr>
      <w:r>
        <w:t xml:space="preserve">STATEMENT OF EXPECTATIONS </w:t>
      </w:r>
    </w:p>
    <w:p w14:paraId="2BCFEECD" w14:textId="77777777" w:rsidR="00416C3F" w:rsidRDefault="00416C3F" w:rsidP="00416C3F">
      <w:pPr>
        <w:pStyle w:val="Covertitle"/>
      </w:pPr>
      <w:r>
        <w:t xml:space="preserve">EVALUATION REPORT: </w:t>
      </w:r>
    </w:p>
    <w:p w14:paraId="6308FD12" w14:textId="77777777" w:rsidR="00416C3F" w:rsidRPr="00A63D55" w:rsidRDefault="00416C3F" w:rsidP="00416C3F">
      <w:pPr>
        <w:pStyle w:val="Covertitle"/>
      </w:pPr>
      <w:r>
        <w:t xml:space="preserve">QUALITY ASSESSMENT AND REGULATION DIVISION 2018-20 </w:t>
      </w:r>
      <w:r>
        <w:br/>
      </w:r>
    </w:p>
    <w:p w14:paraId="6AE19884" w14:textId="77777777" w:rsidR="00416C3F" w:rsidRDefault="00416C3F" w:rsidP="00416C3F">
      <w:pPr>
        <w:pStyle w:val="Heading1"/>
        <w:sectPr w:rsidR="00416C3F" w:rsidSect="006206A3">
          <w:headerReference w:type="default" r:id="rId13"/>
          <w:footerReference w:type="even" r:id="rId14"/>
          <w:footerReference w:type="default" r:id="rId15"/>
          <w:pgSz w:w="11900" w:h="16840"/>
          <w:pgMar w:top="992" w:right="1134" w:bottom="1701" w:left="1134" w:header="709" w:footer="709" w:gutter="0"/>
          <w:cols w:space="708"/>
          <w:docGrid w:linePitch="360"/>
        </w:sectPr>
      </w:pPr>
    </w:p>
    <w:p w14:paraId="6BA4FF41" w14:textId="77777777" w:rsidR="00416C3F" w:rsidRPr="00895870" w:rsidRDefault="00416C3F" w:rsidP="00416C3F">
      <w:pPr>
        <w:spacing w:after="40"/>
        <w:rPr>
          <w:rFonts w:cstheme="minorHAnsi"/>
          <w:b/>
          <w:color w:val="AF272F"/>
          <w:sz w:val="44"/>
          <w:szCs w:val="44"/>
        </w:rPr>
      </w:pPr>
      <w:r w:rsidRPr="00895870">
        <w:rPr>
          <w:rFonts w:cstheme="minorHAnsi"/>
          <w:b/>
          <w:color w:val="AF272F"/>
          <w:sz w:val="44"/>
          <w:szCs w:val="44"/>
        </w:rPr>
        <w:lastRenderedPageBreak/>
        <w:t>CONTENTS</w:t>
      </w:r>
    </w:p>
    <w:p w14:paraId="33E151D5" w14:textId="3E496226" w:rsidR="00416C3F" w:rsidRDefault="00416C3F" w:rsidP="00416C3F">
      <w:pPr>
        <w:spacing w:after="40"/>
        <w:rPr>
          <w:rFonts w:cstheme="minorHAnsi"/>
          <w:color w:val="7F7F7F" w:themeColor="text1" w:themeTint="80"/>
          <w:sz w:val="13"/>
          <w:szCs w:val="13"/>
        </w:rPr>
      </w:pPr>
    </w:p>
    <w:p w14:paraId="204714DD" w14:textId="77777777" w:rsidR="00445F83" w:rsidRDefault="00445F83" w:rsidP="00416C3F">
      <w:pPr>
        <w:spacing w:after="40"/>
        <w:rPr>
          <w:rFonts w:cstheme="minorHAnsi"/>
          <w:color w:val="7F7F7F" w:themeColor="text1" w:themeTint="80"/>
          <w:sz w:val="13"/>
          <w:szCs w:val="13"/>
        </w:rPr>
      </w:pPr>
    </w:p>
    <w:p w14:paraId="4FF7B8A9" w14:textId="1EEBFF6D" w:rsidR="0090149D" w:rsidRDefault="00445F83">
      <w:pPr>
        <w:pStyle w:val="TOC1"/>
        <w:tabs>
          <w:tab w:val="left" w:pos="440"/>
          <w:tab w:val="right" w:leader="dot" w:pos="9622"/>
        </w:tabs>
        <w:rPr>
          <w:rFonts w:asciiTheme="minorHAnsi" w:eastAsiaTheme="minorEastAsia" w:hAnsiTheme="minorHAnsi"/>
          <w:noProof/>
          <w:lang w:eastAsia="en-AU"/>
        </w:rPr>
      </w:pPr>
      <w:r>
        <w:rPr>
          <w:rFonts w:cstheme="minorHAnsi"/>
          <w:color w:val="7F7F7F" w:themeColor="text1" w:themeTint="80"/>
          <w:sz w:val="13"/>
          <w:szCs w:val="13"/>
        </w:rPr>
        <w:fldChar w:fldCharType="begin"/>
      </w:r>
      <w:r>
        <w:rPr>
          <w:rFonts w:cstheme="minorHAnsi"/>
          <w:color w:val="7F7F7F" w:themeColor="text1" w:themeTint="80"/>
          <w:sz w:val="13"/>
          <w:szCs w:val="13"/>
        </w:rPr>
        <w:instrText xml:space="preserve"> TOC \o "1-2" \h \z \u </w:instrText>
      </w:r>
      <w:r>
        <w:rPr>
          <w:rFonts w:cstheme="minorHAnsi"/>
          <w:color w:val="7F7F7F" w:themeColor="text1" w:themeTint="80"/>
          <w:sz w:val="13"/>
          <w:szCs w:val="13"/>
        </w:rPr>
        <w:fldChar w:fldCharType="separate"/>
      </w:r>
      <w:hyperlink w:anchor="_Toc65051571" w:history="1">
        <w:r w:rsidR="0090149D" w:rsidRPr="0013736D">
          <w:rPr>
            <w:rStyle w:val="Hyperlink"/>
            <w:noProof/>
          </w:rPr>
          <w:t>1.</w:t>
        </w:r>
        <w:r w:rsidR="0090149D">
          <w:rPr>
            <w:rFonts w:asciiTheme="minorHAnsi" w:eastAsiaTheme="minorEastAsia" w:hAnsiTheme="minorHAnsi"/>
            <w:noProof/>
            <w:lang w:eastAsia="en-AU"/>
          </w:rPr>
          <w:tab/>
        </w:r>
        <w:r w:rsidR="0090149D" w:rsidRPr="0013736D">
          <w:rPr>
            <w:rStyle w:val="Hyperlink"/>
            <w:noProof/>
          </w:rPr>
          <w:t>GLOSSARY</w:t>
        </w:r>
        <w:r w:rsidR="0090149D">
          <w:rPr>
            <w:noProof/>
            <w:webHidden/>
          </w:rPr>
          <w:tab/>
        </w:r>
        <w:r w:rsidR="0090149D">
          <w:rPr>
            <w:noProof/>
            <w:webHidden/>
          </w:rPr>
          <w:fldChar w:fldCharType="begin"/>
        </w:r>
        <w:r w:rsidR="0090149D">
          <w:rPr>
            <w:noProof/>
            <w:webHidden/>
          </w:rPr>
          <w:instrText xml:space="preserve"> PAGEREF _Toc65051571 \h </w:instrText>
        </w:r>
        <w:r w:rsidR="0090149D">
          <w:rPr>
            <w:noProof/>
            <w:webHidden/>
          </w:rPr>
        </w:r>
        <w:r w:rsidR="0090149D">
          <w:rPr>
            <w:noProof/>
            <w:webHidden/>
          </w:rPr>
          <w:fldChar w:fldCharType="separate"/>
        </w:r>
        <w:r w:rsidR="0090149D">
          <w:rPr>
            <w:noProof/>
            <w:webHidden/>
          </w:rPr>
          <w:t>4</w:t>
        </w:r>
        <w:r w:rsidR="0090149D">
          <w:rPr>
            <w:noProof/>
            <w:webHidden/>
          </w:rPr>
          <w:fldChar w:fldCharType="end"/>
        </w:r>
      </w:hyperlink>
    </w:p>
    <w:p w14:paraId="6D73FB0A" w14:textId="755D4411" w:rsidR="0090149D" w:rsidRDefault="00BC38BB">
      <w:pPr>
        <w:pStyle w:val="TOC1"/>
        <w:tabs>
          <w:tab w:val="left" w:pos="440"/>
          <w:tab w:val="right" w:leader="dot" w:pos="9622"/>
        </w:tabs>
        <w:rPr>
          <w:rFonts w:asciiTheme="minorHAnsi" w:eastAsiaTheme="minorEastAsia" w:hAnsiTheme="minorHAnsi"/>
          <w:noProof/>
          <w:lang w:eastAsia="en-AU"/>
        </w:rPr>
      </w:pPr>
      <w:hyperlink w:anchor="_Toc65051572" w:history="1">
        <w:r w:rsidR="0090149D" w:rsidRPr="0013736D">
          <w:rPr>
            <w:rStyle w:val="Hyperlink"/>
            <w:noProof/>
          </w:rPr>
          <w:t>2.</w:t>
        </w:r>
        <w:r w:rsidR="0090149D">
          <w:rPr>
            <w:rFonts w:asciiTheme="minorHAnsi" w:eastAsiaTheme="minorEastAsia" w:hAnsiTheme="minorHAnsi"/>
            <w:noProof/>
            <w:lang w:eastAsia="en-AU"/>
          </w:rPr>
          <w:tab/>
        </w:r>
        <w:r w:rsidR="0090149D" w:rsidRPr="0013736D">
          <w:rPr>
            <w:rStyle w:val="Hyperlink"/>
            <w:noProof/>
          </w:rPr>
          <w:t>EXECUTIVE SUMMARY</w:t>
        </w:r>
        <w:r w:rsidR="0090149D">
          <w:rPr>
            <w:noProof/>
            <w:webHidden/>
          </w:rPr>
          <w:tab/>
        </w:r>
        <w:r w:rsidR="0090149D">
          <w:rPr>
            <w:noProof/>
            <w:webHidden/>
          </w:rPr>
          <w:fldChar w:fldCharType="begin"/>
        </w:r>
        <w:r w:rsidR="0090149D">
          <w:rPr>
            <w:noProof/>
            <w:webHidden/>
          </w:rPr>
          <w:instrText xml:space="preserve"> PAGEREF _Toc65051572 \h </w:instrText>
        </w:r>
        <w:r w:rsidR="0090149D">
          <w:rPr>
            <w:noProof/>
            <w:webHidden/>
          </w:rPr>
        </w:r>
        <w:r w:rsidR="0090149D">
          <w:rPr>
            <w:noProof/>
            <w:webHidden/>
          </w:rPr>
          <w:fldChar w:fldCharType="separate"/>
        </w:r>
        <w:r w:rsidR="0090149D">
          <w:rPr>
            <w:noProof/>
            <w:webHidden/>
          </w:rPr>
          <w:t>8</w:t>
        </w:r>
        <w:r w:rsidR="0090149D">
          <w:rPr>
            <w:noProof/>
            <w:webHidden/>
          </w:rPr>
          <w:fldChar w:fldCharType="end"/>
        </w:r>
      </w:hyperlink>
    </w:p>
    <w:p w14:paraId="1572B20F" w14:textId="6F5646E8" w:rsidR="0090149D" w:rsidRDefault="00BC38BB">
      <w:pPr>
        <w:pStyle w:val="TOC1"/>
        <w:tabs>
          <w:tab w:val="left" w:pos="440"/>
          <w:tab w:val="right" w:leader="dot" w:pos="9622"/>
        </w:tabs>
        <w:rPr>
          <w:rFonts w:asciiTheme="minorHAnsi" w:eastAsiaTheme="minorEastAsia" w:hAnsiTheme="minorHAnsi"/>
          <w:noProof/>
          <w:lang w:eastAsia="en-AU"/>
        </w:rPr>
      </w:pPr>
      <w:hyperlink w:anchor="_Toc65051573" w:history="1">
        <w:r w:rsidR="0090149D" w:rsidRPr="0013736D">
          <w:rPr>
            <w:rStyle w:val="Hyperlink"/>
            <w:noProof/>
          </w:rPr>
          <w:t>3.</w:t>
        </w:r>
        <w:r w:rsidR="0090149D">
          <w:rPr>
            <w:rFonts w:asciiTheme="minorHAnsi" w:eastAsiaTheme="minorEastAsia" w:hAnsiTheme="minorHAnsi"/>
            <w:noProof/>
            <w:lang w:eastAsia="en-AU"/>
          </w:rPr>
          <w:tab/>
        </w:r>
        <w:r w:rsidR="0090149D" w:rsidRPr="0013736D">
          <w:rPr>
            <w:rStyle w:val="Hyperlink"/>
            <w:noProof/>
          </w:rPr>
          <w:t>EVALUATION CONTEXT</w:t>
        </w:r>
        <w:r w:rsidR="0090149D">
          <w:rPr>
            <w:noProof/>
            <w:webHidden/>
          </w:rPr>
          <w:tab/>
        </w:r>
        <w:r w:rsidR="0090149D">
          <w:rPr>
            <w:noProof/>
            <w:webHidden/>
          </w:rPr>
          <w:fldChar w:fldCharType="begin"/>
        </w:r>
        <w:r w:rsidR="0090149D">
          <w:rPr>
            <w:noProof/>
            <w:webHidden/>
          </w:rPr>
          <w:instrText xml:space="preserve"> PAGEREF _Toc65051573 \h </w:instrText>
        </w:r>
        <w:r w:rsidR="0090149D">
          <w:rPr>
            <w:noProof/>
            <w:webHidden/>
          </w:rPr>
        </w:r>
        <w:r w:rsidR="0090149D">
          <w:rPr>
            <w:noProof/>
            <w:webHidden/>
          </w:rPr>
          <w:fldChar w:fldCharType="separate"/>
        </w:r>
        <w:r w:rsidR="0090149D">
          <w:rPr>
            <w:noProof/>
            <w:webHidden/>
          </w:rPr>
          <w:t>10</w:t>
        </w:r>
        <w:r w:rsidR="0090149D">
          <w:rPr>
            <w:noProof/>
            <w:webHidden/>
          </w:rPr>
          <w:fldChar w:fldCharType="end"/>
        </w:r>
      </w:hyperlink>
    </w:p>
    <w:p w14:paraId="6C25B400" w14:textId="2BB6A8B3" w:rsidR="0090149D" w:rsidRDefault="00BC38BB">
      <w:pPr>
        <w:pStyle w:val="TOC2"/>
        <w:rPr>
          <w:rFonts w:asciiTheme="minorHAnsi" w:eastAsiaTheme="minorEastAsia" w:hAnsiTheme="minorHAnsi"/>
          <w:noProof/>
          <w:lang w:eastAsia="en-AU"/>
        </w:rPr>
      </w:pPr>
      <w:hyperlink w:anchor="_Toc65051574" w:history="1">
        <w:r w:rsidR="0090149D" w:rsidRPr="0013736D">
          <w:rPr>
            <w:rStyle w:val="Hyperlink"/>
            <w:noProof/>
          </w:rPr>
          <w:t>STATEMENT OF EXPECTATIONS FRAMEWORK</w:t>
        </w:r>
        <w:r w:rsidR="0090149D">
          <w:rPr>
            <w:noProof/>
            <w:webHidden/>
          </w:rPr>
          <w:tab/>
        </w:r>
        <w:r w:rsidR="0090149D">
          <w:rPr>
            <w:noProof/>
            <w:webHidden/>
          </w:rPr>
          <w:fldChar w:fldCharType="begin"/>
        </w:r>
        <w:r w:rsidR="0090149D">
          <w:rPr>
            <w:noProof/>
            <w:webHidden/>
          </w:rPr>
          <w:instrText xml:space="preserve"> PAGEREF _Toc65051574 \h </w:instrText>
        </w:r>
        <w:r w:rsidR="0090149D">
          <w:rPr>
            <w:noProof/>
            <w:webHidden/>
          </w:rPr>
        </w:r>
        <w:r w:rsidR="0090149D">
          <w:rPr>
            <w:noProof/>
            <w:webHidden/>
          </w:rPr>
          <w:fldChar w:fldCharType="separate"/>
        </w:r>
        <w:r w:rsidR="0090149D">
          <w:rPr>
            <w:noProof/>
            <w:webHidden/>
          </w:rPr>
          <w:t>10</w:t>
        </w:r>
        <w:r w:rsidR="0090149D">
          <w:rPr>
            <w:noProof/>
            <w:webHidden/>
          </w:rPr>
          <w:fldChar w:fldCharType="end"/>
        </w:r>
      </w:hyperlink>
    </w:p>
    <w:p w14:paraId="7D7759EF" w14:textId="25554973" w:rsidR="0090149D" w:rsidRDefault="00BC38BB">
      <w:pPr>
        <w:pStyle w:val="TOC2"/>
        <w:rPr>
          <w:rFonts w:asciiTheme="minorHAnsi" w:eastAsiaTheme="minorEastAsia" w:hAnsiTheme="minorHAnsi"/>
          <w:noProof/>
          <w:lang w:eastAsia="en-AU"/>
        </w:rPr>
      </w:pPr>
      <w:hyperlink w:anchor="_Toc65051575" w:history="1">
        <w:r w:rsidR="0090149D" w:rsidRPr="0013736D">
          <w:rPr>
            <w:rStyle w:val="Hyperlink"/>
            <w:noProof/>
          </w:rPr>
          <w:t>OVERVIEW - THE QUALITY ASSESSMENT AND REGULATION DIVISION</w:t>
        </w:r>
        <w:r w:rsidR="0090149D">
          <w:rPr>
            <w:noProof/>
            <w:webHidden/>
          </w:rPr>
          <w:tab/>
        </w:r>
        <w:r w:rsidR="0090149D">
          <w:rPr>
            <w:noProof/>
            <w:webHidden/>
          </w:rPr>
          <w:fldChar w:fldCharType="begin"/>
        </w:r>
        <w:r w:rsidR="0090149D">
          <w:rPr>
            <w:noProof/>
            <w:webHidden/>
          </w:rPr>
          <w:instrText xml:space="preserve"> PAGEREF _Toc65051575 \h </w:instrText>
        </w:r>
        <w:r w:rsidR="0090149D">
          <w:rPr>
            <w:noProof/>
            <w:webHidden/>
          </w:rPr>
        </w:r>
        <w:r w:rsidR="0090149D">
          <w:rPr>
            <w:noProof/>
            <w:webHidden/>
          </w:rPr>
          <w:fldChar w:fldCharType="separate"/>
        </w:r>
        <w:r w:rsidR="0090149D">
          <w:rPr>
            <w:noProof/>
            <w:webHidden/>
          </w:rPr>
          <w:t>10</w:t>
        </w:r>
        <w:r w:rsidR="0090149D">
          <w:rPr>
            <w:noProof/>
            <w:webHidden/>
          </w:rPr>
          <w:fldChar w:fldCharType="end"/>
        </w:r>
      </w:hyperlink>
    </w:p>
    <w:p w14:paraId="66C2226E" w14:textId="608088A1" w:rsidR="0090149D" w:rsidRDefault="00BC38BB">
      <w:pPr>
        <w:pStyle w:val="TOC2"/>
        <w:rPr>
          <w:rFonts w:asciiTheme="minorHAnsi" w:eastAsiaTheme="minorEastAsia" w:hAnsiTheme="minorHAnsi"/>
          <w:noProof/>
          <w:lang w:eastAsia="en-AU"/>
        </w:rPr>
      </w:pPr>
      <w:hyperlink w:anchor="_Toc65051576" w:history="1">
        <w:r w:rsidR="0090149D" w:rsidRPr="0013736D">
          <w:rPr>
            <w:rStyle w:val="Hyperlink"/>
            <w:noProof/>
          </w:rPr>
          <w:t>PURPOSE OF THE EVALUATION</w:t>
        </w:r>
        <w:r w:rsidR="0090149D">
          <w:rPr>
            <w:noProof/>
            <w:webHidden/>
          </w:rPr>
          <w:tab/>
        </w:r>
        <w:r w:rsidR="0090149D">
          <w:rPr>
            <w:noProof/>
            <w:webHidden/>
          </w:rPr>
          <w:fldChar w:fldCharType="begin"/>
        </w:r>
        <w:r w:rsidR="0090149D">
          <w:rPr>
            <w:noProof/>
            <w:webHidden/>
          </w:rPr>
          <w:instrText xml:space="preserve"> PAGEREF _Toc65051576 \h </w:instrText>
        </w:r>
        <w:r w:rsidR="0090149D">
          <w:rPr>
            <w:noProof/>
            <w:webHidden/>
          </w:rPr>
        </w:r>
        <w:r w:rsidR="0090149D">
          <w:rPr>
            <w:noProof/>
            <w:webHidden/>
          </w:rPr>
          <w:fldChar w:fldCharType="separate"/>
        </w:r>
        <w:r w:rsidR="0090149D">
          <w:rPr>
            <w:noProof/>
            <w:webHidden/>
          </w:rPr>
          <w:t>11</w:t>
        </w:r>
        <w:r w:rsidR="0090149D">
          <w:rPr>
            <w:noProof/>
            <w:webHidden/>
          </w:rPr>
          <w:fldChar w:fldCharType="end"/>
        </w:r>
      </w:hyperlink>
    </w:p>
    <w:p w14:paraId="40AFB27F" w14:textId="01D55511" w:rsidR="0090149D" w:rsidRDefault="00BC38BB">
      <w:pPr>
        <w:pStyle w:val="TOC2"/>
        <w:rPr>
          <w:rFonts w:asciiTheme="minorHAnsi" w:eastAsiaTheme="minorEastAsia" w:hAnsiTheme="minorHAnsi"/>
          <w:noProof/>
          <w:lang w:eastAsia="en-AU"/>
        </w:rPr>
      </w:pPr>
      <w:hyperlink w:anchor="_Toc65051577" w:history="1">
        <w:r w:rsidR="0090149D" w:rsidRPr="0013736D">
          <w:rPr>
            <w:rStyle w:val="Hyperlink"/>
            <w:noProof/>
          </w:rPr>
          <w:t>APPROACH TO THE OUTCOME EVALUATION</w:t>
        </w:r>
        <w:r w:rsidR="0090149D">
          <w:rPr>
            <w:noProof/>
            <w:webHidden/>
          </w:rPr>
          <w:tab/>
        </w:r>
        <w:r w:rsidR="0090149D">
          <w:rPr>
            <w:noProof/>
            <w:webHidden/>
          </w:rPr>
          <w:fldChar w:fldCharType="begin"/>
        </w:r>
        <w:r w:rsidR="0090149D">
          <w:rPr>
            <w:noProof/>
            <w:webHidden/>
          </w:rPr>
          <w:instrText xml:space="preserve"> PAGEREF _Toc65051577 \h </w:instrText>
        </w:r>
        <w:r w:rsidR="0090149D">
          <w:rPr>
            <w:noProof/>
            <w:webHidden/>
          </w:rPr>
        </w:r>
        <w:r w:rsidR="0090149D">
          <w:rPr>
            <w:noProof/>
            <w:webHidden/>
          </w:rPr>
          <w:fldChar w:fldCharType="separate"/>
        </w:r>
        <w:r w:rsidR="0090149D">
          <w:rPr>
            <w:noProof/>
            <w:webHidden/>
          </w:rPr>
          <w:t>11</w:t>
        </w:r>
        <w:r w:rsidR="0090149D">
          <w:rPr>
            <w:noProof/>
            <w:webHidden/>
          </w:rPr>
          <w:fldChar w:fldCharType="end"/>
        </w:r>
      </w:hyperlink>
    </w:p>
    <w:p w14:paraId="2F5F987D" w14:textId="4A6BAA88" w:rsidR="0090149D" w:rsidRDefault="00BC38BB">
      <w:pPr>
        <w:pStyle w:val="TOC2"/>
        <w:rPr>
          <w:rFonts w:asciiTheme="minorHAnsi" w:eastAsiaTheme="minorEastAsia" w:hAnsiTheme="minorHAnsi"/>
          <w:noProof/>
          <w:lang w:eastAsia="en-AU"/>
        </w:rPr>
      </w:pPr>
      <w:hyperlink w:anchor="_Toc65051578" w:history="1">
        <w:r w:rsidR="0090149D" w:rsidRPr="0013736D">
          <w:rPr>
            <w:rStyle w:val="Hyperlink"/>
            <w:noProof/>
          </w:rPr>
          <w:t>APPROACH TO THE PROCESS EVALUATION</w:t>
        </w:r>
        <w:r w:rsidR="0090149D">
          <w:rPr>
            <w:noProof/>
            <w:webHidden/>
          </w:rPr>
          <w:tab/>
        </w:r>
        <w:r w:rsidR="0090149D">
          <w:rPr>
            <w:noProof/>
            <w:webHidden/>
          </w:rPr>
          <w:fldChar w:fldCharType="begin"/>
        </w:r>
        <w:r w:rsidR="0090149D">
          <w:rPr>
            <w:noProof/>
            <w:webHidden/>
          </w:rPr>
          <w:instrText xml:space="preserve"> PAGEREF _Toc65051578 \h </w:instrText>
        </w:r>
        <w:r w:rsidR="0090149D">
          <w:rPr>
            <w:noProof/>
            <w:webHidden/>
          </w:rPr>
        </w:r>
        <w:r w:rsidR="0090149D">
          <w:rPr>
            <w:noProof/>
            <w:webHidden/>
          </w:rPr>
          <w:fldChar w:fldCharType="separate"/>
        </w:r>
        <w:r w:rsidR="0090149D">
          <w:rPr>
            <w:noProof/>
            <w:webHidden/>
          </w:rPr>
          <w:t>12</w:t>
        </w:r>
        <w:r w:rsidR="0090149D">
          <w:rPr>
            <w:noProof/>
            <w:webHidden/>
          </w:rPr>
          <w:fldChar w:fldCharType="end"/>
        </w:r>
      </w:hyperlink>
    </w:p>
    <w:p w14:paraId="0169D1E6" w14:textId="53B99141" w:rsidR="0090149D" w:rsidRDefault="00BC38BB">
      <w:pPr>
        <w:pStyle w:val="TOC1"/>
        <w:tabs>
          <w:tab w:val="left" w:pos="440"/>
          <w:tab w:val="right" w:leader="dot" w:pos="9622"/>
        </w:tabs>
        <w:rPr>
          <w:rFonts w:asciiTheme="minorHAnsi" w:eastAsiaTheme="minorEastAsia" w:hAnsiTheme="minorHAnsi"/>
          <w:noProof/>
          <w:lang w:eastAsia="en-AU"/>
        </w:rPr>
      </w:pPr>
      <w:hyperlink w:anchor="_Toc65051579" w:history="1">
        <w:r w:rsidR="0090149D" w:rsidRPr="0013736D">
          <w:rPr>
            <w:rStyle w:val="Hyperlink"/>
            <w:noProof/>
          </w:rPr>
          <w:t>4.</w:t>
        </w:r>
        <w:r w:rsidR="0090149D">
          <w:rPr>
            <w:rFonts w:asciiTheme="minorHAnsi" w:eastAsiaTheme="minorEastAsia" w:hAnsiTheme="minorHAnsi"/>
            <w:noProof/>
            <w:lang w:eastAsia="en-AU"/>
          </w:rPr>
          <w:tab/>
        </w:r>
        <w:r w:rsidR="0090149D" w:rsidRPr="0013736D">
          <w:rPr>
            <w:rStyle w:val="Hyperlink"/>
            <w:noProof/>
          </w:rPr>
          <w:t>OUTCOME EVALUATION</w:t>
        </w:r>
        <w:r w:rsidR="0090149D">
          <w:rPr>
            <w:noProof/>
            <w:webHidden/>
          </w:rPr>
          <w:tab/>
        </w:r>
        <w:r w:rsidR="0090149D">
          <w:rPr>
            <w:noProof/>
            <w:webHidden/>
          </w:rPr>
          <w:fldChar w:fldCharType="begin"/>
        </w:r>
        <w:r w:rsidR="0090149D">
          <w:rPr>
            <w:noProof/>
            <w:webHidden/>
          </w:rPr>
          <w:instrText xml:space="preserve"> PAGEREF _Toc65051579 \h </w:instrText>
        </w:r>
        <w:r w:rsidR="0090149D">
          <w:rPr>
            <w:noProof/>
            <w:webHidden/>
          </w:rPr>
        </w:r>
        <w:r w:rsidR="0090149D">
          <w:rPr>
            <w:noProof/>
            <w:webHidden/>
          </w:rPr>
          <w:fldChar w:fldCharType="separate"/>
        </w:r>
        <w:r w:rsidR="0090149D">
          <w:rPr>
            <w:noProof/>
            <w:webHidden/>
          </w:rPr>
          <w:t>13</w:t>
        </w:r>
        <w:r w:rsidR="0090149D">
          <w:rPr>
            <w:noProof/>
            <w:webHidden/>
          </w:rPr>
          <w:fldChar w:fldCharType="end"/>
        </w:r>
      </w:hyperlink>
    </w:p>
    <w:p w14:paraId="53A619E7" w14:textId="55543BDD" w:rsidR="0090149D" w:rsidRDefault="00BC38BB">
      <w:pPr>
        <w:pStyle w:val="TOC2"/>
        <w:rPr>
          <w:rFonts w:asciiTheme="minorHAnsi" w:eastAsiaTheme="minorEastAsia" w:hAnsiTheme="minorHAnsi"/>
          <w:noProof/>
          <w:lang w:eastAsia="en-AU"/>
        </w:rPr>
      </w:pPr>
      <w:hyperlink w:anchor="_Toc65051580" w:history="1">
        <w:r w:rsidR="0090149D" w:rsidRPr="0013736D">
          <w:rPr>
            <w:rStyle w:val="Hyperlink"/>
            <w:noProof/>
          </w:rPr>
          <w:t>NQF MONITORING AND QUALITY ASSESSMENT – RISK-BASED STRATEGIES DATA</w:t>
        </w:r>
        <w:r w:rsidR="0090149D">
          <w:rPr>
            <w:noProof/>
            <w:webHidden/>
          </w:rPr>
          <w:tab/>
        </w:r>
        <w:r w:rsidR="0090149D">
          <w:rPr>
            <w:noProof/>
            <w:webHidden/>
          </w:rPr>
          <w:fldChar w:fldCharType="begin"/>
        </w:r>
        <w:r w:rsidR="0090149D">
          <w:rPr>
            <w:noProof/>
            <w:webHidden/>
          </w:rPr>
          <w:instrText xml:space="preserve"> PAGEREF _Toc65051580 \h </w:instrText>
        </w:r>
        <w:r w:rsidR="0090149D">
          <w:rPr>
            <w:noProof/>
            <w:webHidden/>
          </w:rPr>
        </w:r>
        <w:r w:rsidR="0090149D">
          <w:rPr>
            <w:noProof/>
            <w:webHidden/>
          </w:rPr>
          <w:fldChar w:fldCharType="separate"/>
        </w:r>
        <w:r w:rsidR="0090149D">
          <w:rPr>
            <w:noProof/>
            <w:webHidden/>
          </w:rPr>
          <w:t>13</w:t>
        </w:r>
        <w:r w:rsidR="0090149D">
          <w:rPr>
            <w:noProof/>
            <w:webHidden/>
          </w:rPr>
          <w:fldChar w:fldCharType="end"/>
        </w:r>
      </w:hyperlink>
    </w:p>
    <w:p w14:paraId="263C9959" w14:textId="2E9B3204" w:rsidR="0090149D" w:rsidRDefault="00BC38BB">
      <w:pPr>
        <w:pStyle w:val="TOC2"/>
        <w:rPr>
          <w:rFonts w:asciiTheme="minorHAnsi" w:eastAsiaTheme="minorEastAsia" w:hAnsiTheme="minorHAnsi"/>
          <w:noProof/>
          <w:lang w:eastAsia="en-AU"/>
        </w:rPr>
      </w:pPr>
      <w:hyperlink w:anchor="_Toc65051581" w:history="1">
        <w:r w:rsidR="0090149D" w:rsidRPr="0013736D">
          <w:rPr>
            <w:rStyle w:val="Hyperlink"/>
            <w:noProof/>
          </w:rPr>
          <w:t>KEY FINDINGS FOR RISK-BASED STRATEGIES OF NQF MONITORING AND QUALITY ASSESSMENT</w:t>
        </w:r>
        <w:r w:rsidR="0090149D">
          <w:rPr>
            <w:noProof/>
            <w:webHidden/>
          </w:rPr>
          <w:tab/>
        </w:r>
        <w:r w:rsidR="0090149D">
          <w:rPr>
            <w:noProof/>
            <w:webHidden/>
          </w:rPr>
          <w:fldChar w:fldCharType="begin"/>
        </w:r>
        <w:r w:rsidR="0090149D">
          <w:rPr>
            <w:noProof/>
            <w:webHidden/>
          </w:rPr>
          <w:instrText xml:space="preserve"> PAGEREF _Toc65051581 \h </w:instrText>
        </w:r>
        <w:r w:rsidR="0090149D">
          <w:rPr>
            <w:noProof/>
            <w:webHidden/>
          </w:rPr>
        </w:r>
        <w:r w:rsidR="0090149D">
          <w:rPr>
            <w:noProof/>
            <w:webHidden/>
          </w:rPr>
          <w:fldChar w:fldCharType="separate"/>
        </w:r>
        <w:r w:rsidR="0090149D">
          <w:rPr>
            <w:noProof/>
            <w:webHidden/>
          </w:rPr>
          <w:t>15</w:t>
        </w:r>
        <w:r w:rsidR="0090149D">
          <w:rPr>
            <w:noProof/>
            <w:webHidden/>
          </w:rPr>
          <w:fldChar w:fldCharType="end"/>
        </w:r>
      </w:hyperlink>
    </w:p>
    <w:p w14:paraId="7DD3B5E2" w14:textId="183163D4" w:rsidR="0090149D" w:rsidRDefault="00BC38BB">
      <w:pPr>
        <w:pStyle w:val="TOC2"/>
        <w:rPr>
          <w:rFonts w:asciiTheme="minorHAnsi" w:eastAsiaTheme="minorEastAsia" w:hAnsiTheme="minorHAnsi"/>
          <w:noProof/>
          <w:lang w:eastAsia="en-AU"/>
        </w:rPr>
      </w:pPr>
      <w:hyperlink w:anchor="_Toc65051582" w:history="1">
        <w:r w:rsidR="0090149D" w:rsidRPr="0013736D">
          <w:rPr>
            <w:rStyle w:val="Hyperlink"/>
            <w:noProof/>
          </w:rPr>
          <w:t>ENFORCEMENT – RISK-BASED STRATEGIES DATA</w:t>
        </w:r>
        <w:r w:rsidR="0090149D">
          <w:rPr>
            <w:noProof/>
            <w:webHidden/>
          </w:rPr>
          <w:tab/>
        </w:r>
        <w:r w:rsidR="0090149D">
          <w:rPr>
            <w:noProof/>
            <w:webHidden/>
          </w:rPr>
          <w:fldChar w:fldCharType="begin"/>
        </w:r>
        <w:r w:rsidR="0090149D">
          <w:rPr>
            <w:noProof/>
            <w:webHidden/>
          </w:rPr>
          <w:instrText xml:space="preserve"> PAGEREF _Toc65051582 \h </w:instrText>
        </w:r>
        <w:r w:rsidR="0090149D">
          <w:rPr>
            <w:noProof/>
            <w:webHidden/>
          </w:rPr>
        </w:r>
        <w:r w:rsidR="0090149D">
          <w:rPr>
            <w:noProof/>
            <w:webHidden/>
          </w:rPr>
          <w:fldChar w:fldCharType="separate"/>
        </w:r>
        <w:r w:rsidR="0090149D">
          <w:rPr>
            <w:noProof/>
            <w:webHidden/>
          </w:rPr>
          <w:t>16</w:t>
        </w:r>
        <w:r w:rsidR="0090149D">
          <w:rPr>
            <w:noProof/>
            <w:webHidden/>
          </w:rPr>
          <w:fldChar w:fldCharType="end"/>
        </w:r>
      </w:hyperlink>
    </w:p>
    <w:p w14:paraId="3DF5950A" w14:textId="4AAC6CC2" w:rsidR="0090149D" w:rsidRDefault="00BC38BB">
      <w:pPr>
        <w:pStyle w:val="TOC2"/>
        <w:rPr>
          <w:rFonts w:asciiTheme="minorHAnsi" w:eastAsiaTheme="minorEastAsia" w:hAnsiTheme="minorHAnsi"/>
          <w:noProof/>
          <w:lang w:eastAsia="en-AU"/>
        </w:rPr>
      </w:pPr>
      <w:hyperlink w:anchor="_Toc65051583" w:history="1">
        <w:r w:rsidR="0090149D" w:rsidRPr="0013736D">
          <w:rPr>
            <w:rStyle w:val="Hyperlink"/>
            <w:noProof/>
          </w:rPr>
          <w:t>KEY FINDINGS FOR RISK-BASED STRATEGIES OF ENFORCEMENT</w:t>
        </w:r>
        <w:r w:rsidR="0090149D">
          <w:rPr>
            <w:noProof/>
            <w:webHidden/>
          </w:rPr>
          <w:tab/>
        </w:r>
        <w:r w:rsidR="0090149D">
          <w:rPr>
            <w:noProof/>
            <w:webHidden/>
          </w:rPr>
          <w:fldChar w:fldCharType="begin"/>
        </w:r>
        <w:r w:rsidR="0090149D">
          <w:rPr>
            <w:noProof/>
            <w:webHidden/>
          </w:rPr>
          <w:instrText xml:space="preserve"> PAGEREF _Toc65051583 \h </w:instrText>
        </w:r>
        <w:r w:rsidR="0090149D">
          <w:rPr>
            <w:noProof/>
            <w:webHidden/>
          </w:rPr>
        </w:r>
        <w:r w:rsidR="0090149D">
          <w:rPr>
            <w:noProof/>
            <w:webHidden/>
          </w:rPr>
          <w:fldChar w:fldCharType="separate"/>
        </w:r>
        <w:r w:rsidR="0090149D">
          <w:rPr>
            <w:noProof/>
            <w:webHidden/>
          </w:rPr>
          <w:t>17</w:t>
        </w:r>
        <w:r w:rsidR="0090149D">
          <w:rPr>
            <w:noProof/>
            <w:webHidden/>
          </w:rPr>
          <w:fldChar w:fldCharType="end"/>
        </w:r>
      </w:hyperlink>
    </w:p>
    <w:p w14:paraId="116376E1" w14:textId="3F99630A" w:rsidR="0090149D" w:rsidRDefault="00BC38BB">
      <w:pPr>
        <w:pStyle w:val="TOC2"/>
        <w:rPr>
          <w:rFonts w:asciiTheme="minorHAnsi" w:eastAsiaTheme="minorEastAsia" w:hAnsiTheme="minorHAnsi"/>
          <w:noProof/>
          <w:lang w:eastAsia="en-AU"/>
        </w:rPr>
      </w:pPr>
      <w:hyperlink w:anchor="_Toc65051584" w:history="1">
        <w:r w:rsidR="0090149D" w:rsidRPr="0013736D">
          <w:rPr>
            <w:rStyle w:val="Hyperlink"/>
            <w:noProof/>
          </w:rPr>
          <w:t>ENFORCEMENT – ACCOUNTABILITY AND TRANSPARENCY DATA</w:t>
        </w:r>
        <w:r w:rsidR="0090149D">
          <w:rPr>
            <w:noProof/>
            <w:webHidden/>
          </w:rPr>
          <w:tab/>
        </w:r>
        <w:r w:rsidR="0090149D">
          <w:rPr>
            <w:noProof/>
            <w:webHidden/>
          </w:rPr>
          <w:fldChar w:fldCharType="begin"/>
        </w:r>
        <w:r w:rsidR="0090149D">
          <w:rPr>
            <w:noProof/>
            <w:webHidden/>
          </w:rPr>
          <w:instrText xml:space="preserve"> PAGEREF _Toc65051584 \h </w:instrText>
        </w:r>
        <w:r w:rsidR="0090149D">
          <w:rPr>
            <w:noProof/>
            <w:webHidden/>
          </w:rPr>
        </w:r>
        <w:r w:rsidR="0090149D">
          <w:rPr>
            <w:noProof/>
            <w:webHidden/>
          </w:rPr>
          <w:fldChar w:fldCharType="separate"/>
        </w:r>
        <w:r w:rsidR="0090149D">
          <w:rPr>
            <w:noProof/>
            <w:webHidden/>
          </w:rPr>
          <w:t>18</w:t>
        </w:r>
        <w:r w:rsidR="0090149D">
          <w:rPr>
            <w:noProof/>
            <w:webHidden/>
          </w:rPr>
          <w:fldChar w:fldCharType="end"/>
        </w:r>
      </w:hyperlink>
    </w:p>
    <w:p w14:paraId="2FD44BD6" w14:textId="6971320F" w:rsidR="0090149D" w:rsidRDefault="00BC38BB">
      <w:pPr>
        <w:pStyle w:val="TOC2"/>
        <w:rPr>
          <w:rFonts w:asciiTheme="minorHAnsi" w:eastAsiaTheme="minorEastAsia" w:hAnsiTheme="minorHAnsi"/>
          <w:noProof/>
          <w:lang w:eastAsia="en-AU"/>
        </w:rPr>
      </w:pPr>
      <w:hyperlink w:anchor="_Toc65051585" w:history="1">
        <w:r w:rsidR="0090149D" w:rsidRPr="0013736D">
          <w:rPr>
            <w:rStyle w:val="Hyperlink"/>
            <w:noProof/>
          </w:rPr>
          <w:t>KEY FINDINGS FOR ACCOUNTABILITY AND TRANSPARENCY OF ENFORCEMENT</w:t>
        </w:r>
        <w:r w:rsidR="0090149D">
          <w:rPr>
            <w:noProof/>
            <w:webHidden/>
          </w:rPr>
          <w:tab/>
        </w:r>
        <w:r w:rsidR="0090149D">
          <w:rPr>
            <w:noProof/>
            <w:webHidden/>
          </w:rPr>
          <w:fldChar w:fldCharType="begin"/>
        </w:r>
        <w:r w:rsidR="0090149D">
          <w:rPr>
            <w:noProof/>
            <w:webHidden/>
          </w:rPr>
          <w:instrText xml:space="preserve"> PAGEREF _Toc65051585 \h </w:instrText>
        </w:r>
        <w:r w:rsidR="0090149D">
          <w:rPr>
            <w:noProof/>
            <w:webHidden/>
          </w:rPr>
        </w:r>
        <w:r w:rsidR="0090149D">
          <w:rPr>
            <w:noProof/>
            <w:webHidden/>
          </w:rPr>
          <w:fldChar w:fldCharType="separate"/>
        </w:r>
        <w:r w:rsidR="0090149D">
          <w:rPr>
            <w:noProof/>
            <w:webHidden/>
          </w:rPr>
          <w:t>19</w:t>
        </w:r>
        <w:r w:rsidR="0090149D">
          <w:rPr>
            <w:noProof/>
            <w:webHidden/>
          </w:rPr>
          <w:fldChar w:fldCharType="end"/>
        </w:r>
      </w:hyperlink>
    </w:p>
    <w:p w14:paraId="7E6E301F" w14:textId="442CC489" w:rsidR="0090149D" w:rsidRDefault="00BC38BB">
      <w:pPr>
        <w:pStyle w:val="TOC2"/>
        <w:rPr>
          <w:rFonts w:asciiTheme="minorHAnsi" w:eastAsiaTheme="minorEastAsia" w:hAnsiTheme="minorHAnsi"/>
          <w:noProof/>
          <w:lang w:eastAsia="en-AU"/>
        </w:rPr>
      </w:pPr>
      <w:hyperlink w:anchor="_Toc65051586" w:history="1">
        <w:r w:rsidR="0090149D" w:rsidRPr="0013736D">
          <w:rPr>
            <w:rStyle w:val="Hyperlink"/>
            <w:noProof/>
          </w:rPr>
          <w:t>GOVERNANCE – TIMELINESS DATA</w:t>
        </w:r>
        <w:r w:rsidR="0090149D">
          <w:rPr>
            <w:noProof/>
            <w:webHidden/>
          </w:rPr>
          <w:tab/>
        </w:r>
        <w:r w:rsidR="0090149D">
          <w:rPr>
            <w:noProof/>
            <w:webHidden/>
          </w:rPr>
          <w:fldChar w:fldCharType="begin"/>
        </w:r>
        <w:r w:rsidR="0090149D">
          <w:rPr>
            <w:noProof/>
            <w:webHidden/>
          </w:rPr>
          <w:instrText xml:space="preserve"> PAGEREF _Toc65051586 \h </w:instrText>
        </w:r>
        <w:r w:rsidR="0090149D">
          <w:rPr>
            <w:noProof/>
            <w:webHidden/>
          </w:rPr>
        </w:r>
        <w:r w:rsidR="0090149D">
          <w:rPr>
            <w:noProof/>
            <w:webHidden/>
          </w:rPr>
          <w:fldChar w:fldCharType="separate"/>
        </w:r>
        <w:r w:rsidR="0090149D">
          <w:rPr>
            <w:noProof/>
            <w:webHidden/>
          </w:rPr>
          <w:t>20</w:t>
        </w:r>
        <w:r w:rsidR="0090149D">
          <w:rPr>
            <w:noProof/>
            <w:webHidden/>
          </w:rPr>
          <w:fldChar w:fldCharType="end"/>
        </w:r>
      </w:hyperlink>
    </w:p>
    <w:p w14:paraId="64391E3B" w14:textId="2D2D4249" w:rsidR="0090149D" w:rsidRDefault="00BC38BB">
      <w:pPr>
        <w:pStyle w:val="TOC2"/>
        <w:rPr>
          <w:rFonts w:asciiTheme="minorHAnsi" w:eastAsiaTheme="minorEastAsia" w:hAnsiTheme="minorHAnsi"/>
          <w:noProof/>
          <w:lang w:eastAsia="en-AU"/>
        </w:rPr>
      </w:pPr>
      <w:hyperlink w:anchor="_Toc65051587" w:history="1">
        <w:r w:rsidR="0090149D" w:rsidRPr="0013736D">
          <w:rPr>
            <w:rStyle w:val="Hyperlink"/>
            <w:noProof/>
          </w:rPr>
          <w:t>KEY FINDINGS FOR TIMELINESS OF GOVERNANCE</w:t>
        </w:r>
        <w:r w:rsidR="0090149D">
          <w:rPr>
            <w:noProof/>
            <w:webHidden/>
          </w:rPr>
          <w:tab/>
        </w:r>
        <w:r w:rsidR="0090149D">
          <w:rPr>
            <w:noProof/>
            <w:webHidden/>
          </w:rPr>
          <w:fldChar w:fldCharType="begin"/>
        </w:r>
        <w:r w:rsidR="0090149D">
          <w:rPr>
            <w:noProof/>
            <w:webHidden/>
          </w:rPr>
          <w:instrText xml:space="preserve"> PAGEREF _Toc65051587 \h </w:instrText>
        </w:r>
        <w:r w:rsidR="0090149D">
          <w:rPr>
            <w:noProof/>
            <w:webHidden/>
          </w:rPr>
        </w:r>
        <w:r w:rsidR="0090149D">
          <w:rPr>
            <w:noProof/>
            <w:webHidden/>
          </w:rPr>
          <w:fldChar w:fldCharType="separate"/>
        </w:r>
        <w:r w:rsidR="0090149D">
          <w:rPr>
            <w:noProof/>
            <w:webHidden/>
          </w:rPr>
          <w:t>22</w:t>
        </w:r>
        <w:r w:rsidR="0090149D">
          <w:rPr>
            <w:noProof/>
            <w:webHidden/>
          </w:rPr>
          <w:fldChar w:fldCharType="end"/>
        </w:r>
      </w:hyperlink>
    </w:p>
    <w:p w14:paraId="7E4998C5" w14:textId="414584E6" w:rsidR="0090149D" w:rsidRDefault="00BC38BB">
      <w:pPr>
        <w:pStyle w:val="TOC2"/>
        <w:rPr>
          <w:rFonts w:asciiTheme="minorHAnsi" w:eastAsiaTheme="minorEastAsia" w:hAnsiTheme="minorHAnsi"/>
          <w:noProof/>
          <w:lang w:eastAsia="en-AU"/>
        </w:rPr>
      </w:pPr>
      <w:hyperlink w:anchor="_Toc65051588" w:history="1">
        <w:r w:rsidR="0090149D" w:rsidRPr="0013736D">
          <w:rPr>
            <w:rStyle w:val="Hyperlink"/>
            <w:noProof/>
          </w:rPr>
          <w:t>GOVERNANCE – RISK-BASED STRATEGIES DATA</w:t>
        </w:r>
        <w:r w:rsidR="0090149D">
          <w:rPr>
            <w:noProof/>
            <w:webHidden/>
          </w:rPr>
          <w:tab/>
        </w:r>
        <w:r w:rsidR="0090149D">
          <w:rPr>
            <w:noProof/>
            <w:webHidden/>
          </w:rPr>
          <w:fldChar w:fldCharType="begin"/>
        </w:r>
        <w:r w:rsidR="0090149D">
          <w:rPr>
            <w:noProof/>
            <w:webHidden/>
          </w:rPr>
          <w:instrText xml:space="preserve"> PAGEREF _Toc65051588 \h </w:instrText>
        </w:r>
        <w:r w:rsidR="0090149D">
          <w:rPr>
            <w:noProof/>
            <w:webHidden/>
          </w:rPr>
        </w:r>
        <w:r w:rsidR="0090149D">
          <w:rPr>
            <w:noProof/>
            <w:webHidden/>
          </w:rPr>
          <w:fldChar w:fldCharType="separate"/>
        </w:r>
        <w:r w:rsidR="0090149D">
          <w:rPr>
            <w:noProof/>
            <w:webHidden/>
          </w:rPr>
          <w:t>23</w:t>
        </w:r>
        <w:r w:rsidR="0090149D">
          <w:rPr>
            <w:noProof/>
            <w:webHidden/>
          </w:rPr>
          <w:fldChar w:fldCharType="end"/>
        </w:r>
      </w:hyperlink>
    </w:p>
    <w:p w14:paraId="6876A783" w14:textId="7DE0C905" w:rsidR="0090149D" w:rsidRDefault="00BC38BB">
      <w:pPr>
        <w:pStyle w:val="TOC2"/>
        <w:rPr>
          <w:rFonts w:asciiTheme="minorHAnsi" w:eastAsiaTheme="minorEastAsia" w:hAnsiTheme="minorHAnsi"/>
          <w:noProof/>
          <w:lang w:eastAsia="en-AU"/>
        </w:rPr>
      </w:pPr>
      <w:hyperlink w:anchor="_Toc65051589" w:history="1">
        <w:r w:rsidR="0090149D" w:rsidRPr="0013736D">
          <w:rPr>
            <w:rStyle w:val="Hyperlink"/>
            <w:noProof/>
          </w:rPr>
          <w:t>KEY FINDINGS FOR RISK-BASED STRATEGIES OF GOVERNANCE</w:t>
        </w:r>
        <w:r w:rsidR="0090149D">
          <w:rPr>
            <w:noProof/>
            <w:webHidden/>
          </w:rPr>
          <w:tab/>
        </w:r>
        <w:r w:rsidR="0090149D">
          <w:rPr>
            <w:noProof/>
            <w:webHidden/>
          </w:rPr>
          <w:fldChar w:fldCharType="begin"/>
        </w:r>
        <w:r w:rsidR="0090149D">
          <w:rPr>
            <w:noProof/>
            <w:webHidden/>
          </w:rPr>
          <w:instrText xml:space="preserve"> PAGEREF _Toc65051589 \h </w:instrText>
        </w:r>
        <w:r w:rsidR="0090149D">
          <w:rPr>
            <w:noProof/>
            <w:webHidden/>
          </w:rPr>
        </w:r>
        <w:r w:rsidR="0090149D">
          <w:rPr>
            <w:noProof/>
            <w:webHidden/>
          </w:rPr>
          <w:fldChar w:fldCharType="separate"/>
        </w:r>
        <w:r w:rsidR="0090149D">
          <w:rPr>
            <w:noProof/>
            <w:webHidden/>
          </w:rPr>
          <w:t>24</w:t>
        </w:r>
        <w:r w:rsidR="0090149D">
          <w:rPr>
            <w:noProof/>
            <w:webHidden/>
          </w:rPr>
          <w:fldChar w:fldCharType="end"/>
        </w:r>
      </w:hyperlink>
    </w:p>
    <w:p w14:paraId="2B0546CD" w14:textId="509E3A2B" w:rsidR="0090149D" w:rsidRDefault="00BC38BB">
      <w:pPr>
        <w:pStyle w:val="TOC2"/>
        <w:rPr>
          <w:rFonts w:asciiTheme="minorHAnsi" w:eastAsiaTheme="minorEastAsia" w:hAnsiTheme="minorHAnsi"/>
          <w:noProof/>
          <w:lang w:eastAsia="en-AU"/>
        </w:rPr>
      </w:pPr>
      <w:hyperlink w:anchor="_Toc65051590" w:history="1">
        <w:r w:rsidR="0090149D" w:rsidRPr="0013736D">
          <w:rPr>
            <w:rStyle w:val="Hyperlink"/>
            <w:noProof/>
          </w:rPr>
          <w:t>GOVERNANCE – ACCOUNTABILITY AND TRANSPARENCY DATA</w:t>
        </w:r>
        <w:r w:rsidR="0090149D">
          <w:rPr>
            <w:noProof/>
            <w:webHidden/>
          </w:rPr>
          <w:tab/>
        </w:r>
        <w:r w:rsidR="0090149D">
          <w:rPr>
            <w:noProof/>
            <w:webHidden/>
          </w:rPr>
          <w:fldChar w:fldCharType="begin"/>
        </w:r>
        <w:r w:rsidR="0090149D">
          <w:rPr>
            <w:noProof/>
            <w:webHidden/>
          </w:rPr>
          <w:instrText xml:space="preserve"> PAGEREF _Toc65051590 \h </w:instrText>
        </w:r>
        <w:r w:rsidR="0090149D">
          <w:rPr>
            <w:noProof/>
            <w:webHidden/>
          </w:rPr>
        </w:r>
        <w:r w:rsidR="0090149D">
          <w:rPr>
            <w:noProof/>
            <w:webHidden/>
          </w:rPr>
          <w:fldChar w:fldCharType="separate"/>
        </w:r>
        <w:r w:rsidR="0090149D">
          <w:rPr>
            <w:noProof/>
            <w:webHidden/>
          </w:rPr>
          <w:t>25</w:t>
        </w:r>
        <w:r w:rsidR="0090149D">
          <w:rPr>
            <w:noProof/>
            <w:webHidden/>
          </w:rPr>
          <w:fldChar w:fldCharType="end"/>
        </w:r>
      </w:hyperlink>
    </w:p>
    <w:p w14:paraId="0479E3C5" w14:textId="27CEEEA3" w:rsidR="0090149D" w:rsidRDefault="00BC38BB">
      <w:pPr>
        <w:pStyle w:val="TOC2"/>
        <w:rPr>
          <w:rFonts w:asciiTheme="minorHAnsi" w:eastAsiaTheme="minorEastAsia" w:hAnsiTheme="minorHAnsi"/>
          <w:noProof/>
          <w:lang w:eastAsia="en-AU"/>
        </w:rPr>
      </w:pPr>
      <w:hyperlink w:anchor="_Toc65051591" w:history="1">
        <w:r w:rsidR="0090149D" w:rsidRPr="0013736D">
          <w:rPr>
            <w:rStyle w:val="Hyperlink"/>
            <w:noProof/>
          </w:rPr>
          <w:t>KEY FINDINGS FOR ACCOUNTABILITY AND TRANSPARENCY OF GOVERNANCE</w:t>
        </w:r>
        <w:r w:rsidR="0090149D">
          <w:rPr>
            <w:noProof/>
            <w:webHidden/>
          </w:rPr>
          <w:tab/>
        </w:r>
        <w:r w:rsidR="0090149D">
          <w:rPr>
            <w:noProof/>
            <w:webHidden/>
          </w:rPr>
          <w:fldChar w:fldCharType="begin"/>
        </w:r>
        <w:r w:rsidR="0090149D">
          <w:rPr>
            <w:noProof/>
            <w:webHidden/>
          </w:rPr>
          <w:instrText xml:space="preserve"> PAGEREF _Toc65051591 \h </w:instrText>
        </w:r>
        <w:r w:rsidR="0090149D">
          <w:rPr>
            <w:noProof/>
            <w:webHidden/>
          </w:rPr>
        </w:r>
        <w:r w:rsidR="0090149D">
          <w:rPr>
            <w:noProof/>
            <w:webHidden/>
          </w:rPr>
          <w:fldChar w:fldCharType="separate"/>
        </w:r>
        <w:r w:rsidR="0090149D">
          <w:rPr>
            <w:noProof/>
            <w:webHidden/>
          </w:rPr>
          <w:t>26</w:t>
        </w:r>
        <w:r w:rsidR="0090149D">
          <w:rPr>
            <w:noProof/>
            <w:webHidden/>
          </w:rPr>
          <w:fldChar w:fldCharType="end"/>
        </w:r>
      </w:hyperlink>
    </w:p>
    <w:p w14:paraId="5323A002" w14:textId="73CF44E4" w:rsidR="0090149D" w:rsidRDefault="00BC38BB">
      <w:pPr>
        <w:pStyle w:val="TOC2"/>
        <w:rPr>
          <w:rFonts w:asciiTheme="minorHAnsi" w:eastAsiaTheme="minorEastAsia" w:hAnsiTheme="minorHAnsi"/>
          <w:noProof/>
          <w:lang w:eastAsia="en-AU"/>
        </w:rPr>
      </w:pPr>
      <w:hyperlink w:anchor="_Toc65051592" w:history="1">
        <w:r w:rsidR="0090149D" w:rsidRPr="0013736D">
          <w:rPr>
            <w:rStyle w:val="Hyperlink"/>
            <w:noProof/>
          </w:rPr>
          <w:t>COMMUNICATIONS AND ENGAGEMENT – COMPLIANCE-RELATED ASSISTANCE AND ADVICE DATA</w:t>
        </w:r>
        <w:r w:rsidR="0090149D">
          <w:rPr>
            <w:noProof/>
            <w:webHidden/>
          </w:rPr>
          <w:tab/>
        </w:r>
        <w:r w:rsidR="0090149D">
          <w:rPr>
            <w:noProof/>
            <w:webHidden/>
          </w:rPr>
          <w:fldChar w:fldCharType="begin"/>
        </w:r>
        <w:r w:rsidR="0090149D">
          <w:rPr>
            <w:noProof/>
            <w:webHidden/>
          </w:rPr>
          <w:instrText xml:space="preserve"> PAGEREF _Toc65051592 \h </w:instrText>
        </w:r>
        <w:r w:rsidR="0090149D">
          <w:rPr>
            <w:noProof/>
            <w:webHidden/>
          </w:rPr>
        </w:r>
        <w:r w:rsidR="0090149D">
          <w:rPr>
            <w:noProof/>
            <w:webHidden/>
          </w:rPr>
          <w:fldChar w:fldCharType="separate"/>
        </w:r>
        <w:r w:rsidR="0090149D">
          <w:rPr>
            <w:noProof/>
            <w:webHidden/>
          </w:rPr>
          <w:t>27</w:t>
        </w:r>
        <w:r w:rsidR="0090149D">
          <w:rPr>
            <w:noProof/>
            <w:webHidden/>
          </w:rPr>
          <w:fldChar w:fldCharType="end"/>
        </w:r>
      </w:hyperlink>
    </w:p>
    <w:p w14:paraId="18BE4359" w14:textId="627DD9E3" w:rsidR="0090149D" w:rsidRDefault="00BC38BB">
      <w:pPr>
        <w:pStyle w:val="TOC2"/>
        <w:rPr>
          <w:rFonts w:asciiTheme="minorHAnsi" w:eastAsiaTheme="minorEastAsia" w:hAnsiTheme="minorHAnsi"/>
          <w:noProof/>
          <w:lang w:eastAsia="en-AU"/>
        </w:rPr>
      </w:pPr>
      <w:hyperlink w:anchor="_Toc65051593" w:history="1">
        <w:r w:rsidR="0090149D" w:rsidRPr="0013736D">
          <w:rPr>
            <w:rStyle w:val="Hyperlink"/>
            <w:noProof/>
          </w:rPr>
          <w:t>KEY FINDINGS FOR COMPLIANCE-RELATED ASSISTANCE AND ADVICE OF COMMUNICATIONS AND ENGAGEMENT</w:t>
        </w:r>
        <w:r w:rsidR="0090149D">
          <w:rPr>
            <w:noProof/>
            <w:webHidden/>
          </w:rPr>
          <w:tab/>
        </w:r>
        <w:r w:rsidR="0090149D">
          <w:rPr>
            <w:noProof/>
            <w:webHidden/>
          </w:rPr>
          <w:fldChar w:fldCharType="begin"/>
        </w:r>
        <w:r w:rsidR="0090149D">
          <w:rPr>
            <w:noProof/>
            <w:webHidden/>
          </w:rPr>
          <w:instrText xml:space="preserve"> PAGEREF _Toc65051593 \h </w:instrText>
        </w:r>
        <w:r w:rsidR="0090149D">
          <w:rPr>
            <w:noProof/>
            <w:webHidden/>
          </w:rPr>
        </w:r>
        <w:r w:rsidR="0090149D">
          <w:rPr>
            <w:noProof/>
            <w:webHidden/>
          </w:rPr>
          <w:fldChar w:fldCharType="separate"/>
        </w:r>
        <w:r w:rsidR="0090149D">
          <w:rPr>
            <w:noProof/>
            <w:webHidden/>
          </w:rPr>
          <w:t>29</w:t>
        </w:r>
        <w:r w:rsidR="0090149D">
          <w:rPr>
            <w:noProof/>
            <w:webHidden/>
          </w:rPr>
          <w:fldChar w:fldCharType="end"/>
        </w:r>
      </w:hyperlink>
    </w:p>
    <w:p w14:paraId="562A5FE8" w14:textId="372286C6" w:rsidR="0090149D" w:rsidRDefault="00BC38BB">
      <w:pPr>
        <w:pStyle w:val="TOC2"/>
        <w:rPr>
          <w:rFonts w:asciiTheme="minorHAnsi" w:eastAsiaTheme="minorEastAsia" w:hAnsiTheme="minorHAnsi"/>
          <w:noProof/>
          <w:lang w:eastAsia="en-AU"/>
        </w:rPr>
      </w:pPr>
      <w:hyperlink w:anchor="_Toc65051594" w:history="1">
        <w:r w:rsidR="0090149D" w:rsidRPr="0013736D">
          <w:rPr>
            <w:rStyle w:val="Hyperlink"/>
            <w:noProof/>
          </w:rPr>
          <w:t>COMMUNICATIONS AND ENGAGEMENT – ACCOUNTABILITY AND TRANSPARENCY DATA</w:t>
        </w:r>
        <w:r w:rsidR="0090149D">
          <w:rPr>
            <w:noProof/>
            <w:webHidden/>
          </w:rPr>
          <w:tab/>
        </w:r>
        <w:r w:rsidR="0090149D">
          <w:rPr>
            <w:noProof/>
            <w:webHidden/>
          </w:rPr>
          <w:fldChar w:fldCharType="begin"/>
        </w:r>
        <w:r w:rsidR="0090149D">
          <w:rPr>
            <w:noProof/>
            <w:webHidden/>
          </w:rPr>
          <w:instrText xml:space="preserve"> PAGEREF _Toc65051594 \h </w:instrText>
        </w:r>
        <w:r w:rsidR="0090149D">
          <w:rPr>
            <w:noProof/>
            <w:webHidden/>
          </w:rPr>
        </w:r>
        <w:r w:rsidR="0090149D">
          <w:rPr>
            <w:noProof/>
            <w:webHidden/>
          </w:rPr>
          <w:fldChar w:fldCharType="separate"/>
        </w:r>
        <w:r w:rsidR="0090149D">
          <w:rPr>
            <w:noProof/>
            <w:webHidden/>
          </w:rPr>
          <w:t>30</w:t>
        </w:r>
        <w:r w:rsidR="0090149D">
          <w:rPr>
            <w:noProof/>
            <w:webHidden/>
          </w:rPr>
          <w:fldChar w:fldCharType="end"/>
        </w:r>
      </w:hyperlink>
    </w:p>
    <w:p w14:paraId="32AE386D" w14:textId="7A0B121A" w:rsidR="0090149D" w:rsidRDefault="00BC38BB">
      <w:pPr>
        <w:pStyle w:val="TOC2"/>
        <w:rPr>
          <w:rFonts w:asciiTheme="minorHAnsi" w:eastAsiaTheme="minorEastAsia" w:hAnsiTheme="minorHAnsi"/>
          <w:noProof/>
          <w:lang w:eastAsia="en-AU"/>
        </w:rPr>
      </w:pPr>
      <w:hyperlink w:anchor="_Toc65051595" w:history="1">
        <w:r w:rsidR="0090149D" w:rsidRPr="0013736D">
          <w:rPr>
            <w:rStyle w:val="Hyperlink"/>
            <w:noProof/>
          </w:rPr>
          <w:t>KEY FINDINGS FOR ACCOUNTABILITY AND TRANSPARENCY OF COMMUNICATIONS AND ENGAGEMENT</w:t>
        </w:r>
        <w:r w:rsidR="0090149D">
          <w:rPr>
            <w:noProof/>
            <w:webHidden/>
          </w:rPr>
          <w:tab/>
        </w:r>
        <w:r w:rsidR="0090149D">
          <w:rPr>
            <w:noProof/>
            <w:webHidden/>
          </w:rPr>
          <w:fldChar w:fldCharType="begin"/>
        </w:r>
        <w:r w:rsidR="0090149D">
          <w:rPr>
            <w:noProof/>
            <w:webHidden/>
          </w:rPr>
          <w:instrText xml:space="preserve"> PAGEREF _Toc65051595 \h </w:instrText>
        </w:r>
        <w:r w:rsidR="0090149D">
          <w:rPr>
            <w:noProof/>
            <w:webHidden/>
          </w:rPr>
        </w:r>
        <w:r w:rsidR="0090149D">
          <w:rPr>
            <w:noProof/>
            <w:webHidden/>
          </w:rPr>
          <w:fldChar w:fldCharType="separate"/>
        </w:r>
        <w:r w:rsidR="0090149D">
          <w:rPr>
            <w:noProof/>
            <w:webHidden/>
          </w:rPr>
          <w:t>31</w:t>
        </w:r>
        <w:r w:rsidR="0090149D">
          <w:rPr>
            <w:noProof/>
            <w:webHidden/>
          </w:rPr>
          <w:fldChar w:fldCharType="end"/>
        </w:r>
      </w:hyperlink>
    </w:p>
    <w:p w14:paraId="60B76BB6" w14:textId="2B610DCD" w:rsidR="0090149D" w:rsidRDefault="00BC38BB">
      <w:pPr>
        <w:pStyle w:val="TOC2"/>
        <w:rPr>
          <w:rFonts w:asciiTheme="minorHAnsi" w:eastAsiaTheme="minorEastAsia" w:hAnsiTheme="minorHAnsi"/>
          <w:noProof/>
          <w:lang w:eastAsia="en-AU"/>
        </w:rPr>
      </w:pPr>
      <w:hyperlink w:anchor="_Toc65051596" w:history="1">
        <w:r w:rsidR="0090149D" w:rsidRPr="0013736D">
          <w:rPr>
            <w:rStyle w:val="Hyperlink"/>
            <w:noProof/>
          </w:rPr>
          <w:t>COMMUNICATIONS AND ENGAGEMENT – STAKEHOLDER CONSULTATION AND ENGAGEMENT DATA</w:t>
        </w:r>
        <w:r w:rsidR="0090149D">
          <w:rPr>
            <w:noProof/>
            <w:webHidden/>
          </w:rPr>
          <w:tab/>
        </w:r>
        <w:r w:rsidR="0090149D">
          <w:rPr>
            <w:noProof/>
            <w:webHidden/>
          </w:rPr>
          <w:fldChar w:fldCharType="begin"/>
        </w:r>
        <w:r w:rsidR="0090149D">
          <w:rPr>
            <w:noProof/>
            <w:webHidden/>
          </w:rPr>
          <w:instrText xml:space="preserve"> PAGEREF _Toc65051596 \h </w:instrText>
        </w:r>
        <w:r w:rsidR="0090149D">
          <w:rPr>
            <w:noProof/>
            <w:webHidden/>
          </w:rPr>
        </w:r>
        <w:r w:rsidR="0090149D">
          <w:rPr>
            <w:noProof/>
            <w:webHidden/>
          </w:rPr>
          <w:fldChar w:fldCharType="separate"/>
        </w:r>
        <w:r w:rsidR="0090149D">
          <w:rPr>
            <w:noProof/>
            <w:webHidden/>
          </w:rPr>
          <w:t>32</w:t>
        </w:r>
        <w:r w:rsidR="0090149D">
          <w:rPr>
            <w:noProof/>
            <w:webHidden/>
          </w:rPr>
          <w:fldChar w:fldCharType="end"/>
        </w:r>
      </w:hyperlink>
    </w:p>
    <w:p w14:paraId="77AC1535" w14:textId="68A35FF8" w:rsidR="0090149D" w:rsidRDefault="00BC38BB">
      <w:pPr>
        <w:pStyle w:val="TOC2"/>
        <w:rPr>
          <w:rFonts w:asciiTheme="minorHAnsi" w:eastAsiaTheme="minorEastAsia" w:hAnsiTheme="minorHAnsi"/>
          <w:noProof/>
          <w:lang w:eastAsia="en-AU"/>
        </w:rPr>
      </w:pPr>
      <w:hyperlink w:anchor="_Toc65051597" w:history="1">
        <w:r w:rsidR="0090149D" w:rsidRPr="0013736D">
          <w:rPr>
            <w:rStyle w:val="Hyperlink"/>
            <w:noProof/>
          </w:rPr>
          <w:t>KEY FINDINGS FOR STAKEHOLDER CONSULTATION AND ENGAGEMENT OF COMMUNICATIONS AND ENGAGEMENT</w:t>
        </w:r>
        <w:r w:rsidR="0090149D">
          <w:rPr>
            <w:noProof/>
            <w:webHidden/>
          </w:rPr>
          <w:tab/>
        </w:r>
        <w:r w:rsidR="0090149D">
          <w:rPr>
            <w:noProof/>
            <w:webHidden/>
          </w:rPr>
          <w:fldChar w:fldCharType="begin"/>
        </w:r>
        <w:r w:rsidR="0090149D">
          <w:rPr>
            <w:noProof/>
            <w:webHidden/>
          </w:rPr>
          <w:instrText xml:space="preserve"> PAGEREF _Toc65051597 \h </w:instrText>
        </w:r>
        <w:r w:rsidR="0090149D">
          <w:rPr>
            <w:noProof/>
            <w:webHidden/>
          </w:rPr>
        </w:r>
        <w:r w:rsidR="0090149D">
          <w:rPr>
            <w:noProof/>
            <w:webHidden/>
          </w:rPr>
          <w:fldChar w:fldCharType="separate"/>
        </w:r>
        <w:r w:rsidR="0090149D">
          <w:rPr>
            <w:noProof/>
            <w:webHidden/>
          </w:rPr>
          <w:t>36</w:t>
        </w:r>
        <w:r w:rsidR="0090149D">
          <w:rPr>
            <w:noProof/>
            <w:webHidden/>
          </w:rPr>
          <w:fldChar w:fldCharType="end"/>
        </w:r>
      </w:hyperlink>
    </w:p>
    <w:p w14:paraId="1FB68845" w14:textId="5F79CEAC" w:rsidR="0090149D" w:rsidRDefault="00BC38BB">
      <w:pPr>
        <w:pStyle w:val="TOC1"/>
        <w:tabs>
          <w:tab w:val="left" w:pos="440"/>
          <w:tab w:val="right" w:leader="dot" w:pos="9622"/>
        </w:tabs>
        <w:rPr>
          <w:rFonts w:asciiTheme="minorHAnsi" w:eastAsiaTheme="minorEastAsia" w:hAnsiTheme="minorHAnsi"/>
          <w:noProof/>
          <w:lang w:eastAsia="en-AU"/>
        </w:rPr>
      </w:pPr>
      <w:hyperlink w:anchor="_Toc65051598" w:history="1">
        <w:r w:rsidR="0090149D" w:rsidRPr="0013736D">
          <w:rPr>
            <w:rStyle w:val="Hyperlink"/>
            <w:noProof/>
          </w:rPr>
          <w:t>5.</w:t>
        </w:r>
        <w:r w:rsidR="0090149D">
          <w:rPr>
            <w:rFonts w:asciiTheme="minorHAnsi" w:eastAsiaTheme="minorEastAsia" w:hAnsiTheme="minorHAnsi"/>
            <w:noProof/>
            <w:lang w:eastAsia="en-AU"/>
          </w:rPr>
          <w:tab/>
        </w:r>
        <w:r w:rsidR="0090149D" w:rsidRPr="0013736D">
          <w:rPr>
            <w:rStyle w:val="Hyperlink"/>
            <w:noProof/>
          </w:rPr>
          <w:t>PROCESS EVALUATION</w:t>
        </w:r>
        <w:r w:rsidR="0090149D">
          <w:rPr>
            <w:noProof/>
            <w:webHidden/>
          </w:rPr>
          <w:tab/>
        </w:r>
        <w:r w:rsidR="0090149D">
          <w:rPr>
            <w:noProof/>
            <w:webHidden/>
          </w:rPr>
          <w:fldChar w:fldCharType="begin"/>
        </w:r>
        <w:r w:rsidR="0090149D">
          <w:rPr>
            <w:noProof/>
            <w:webHidden/>
          </w:rPr>
          <w:instrText xml:space="preserve"> PAGEREF _Toc65051598 \h </w:instrText>
        </w:r>
        <w:r w:rsidR="0090149D">
          <w:rPr>
            <w:noProof/>
            <w:webHidden/>
          </w:rPr>
        </w:r>
        <w:r w:rsidR="0090149D">
          <w:rPr>
            <w:noProof/>
            <w:webHidden/>
          </w:rPr>
          <w:fldChar w:fldCharType="separate"/>
        </w:r>
        <w:r w:rsidR="0090149D">
          <w:rPr>
            <w:noProof/>
            <w:webHidden/>
          </w:rPr>
          <w:t>37</w:t>
        </w:r>
        <w:r w:rsidR="0090149D">
          <w:rPr>
            <w:noProof/>
            <w:webHidden/>
          </w:rPr>
          <w:fldChar w:fldCharType="end"/>
        </w:r>
      </w:hyperlink>
    </w:p>
    <w:p w14:paraId="389675D7" w14:textId="35DCBFC6" w:rsidR="0090149D" w:rsidRDefault="00BC38BB">
      <w:pPr>
        <w:pStyle w:val="TOC2"/>
        <w:rPr>
          <w:rFonts w:asciiTheme="minorHAnsi" w:eastAsiaTheme="minorEastAsia" w:hAnsiTheme="minorHAnsi"/>
          <w:noProof/>
          <w:lang w:eastAsia="en-AU"/>
        </w:rPr>
      </w:pPr>
      <w:hyperlink w:anchor="_Toc65051599" w:history="1">
        <w:r w:rsidR="0090149D" w:rsidRPr="0013736D">
          <w:rPr>
            <w:rStyle w:val="Hyperlink"/>
            <w:noProof/>
          </w:rPr>
          <w:t>SOE DEVELOPMENT – SUMMARY OF FINDINGS</w:t>
        </w:r>
        <w:r w:rsidR="0090149D">
          <w:rPr>
            <w:noProof/>
            <w:webHidden/>
          </w:rPr>
          <w:tab/>
        </w:r>
        <w:r w:rsidR="0090149D">
          <w:rPr>
            <w:noProof/>
            <w:webHidden/>
          </w:rPr>
          <w:fldChar w:fldCharType="begin"/>
        </w:r>
        <w:r w:rsidR="0090149D">
          <w:rPr>
            <w:noProof/>
            <w:webHidden/>
          </w:rPr>
          <w:instrText xml:space="preserve"> PAGEREF _Toc65051599 \h </w:instrText>
        </w:r>
        <w:r w:rsidR="0090149D">
          <w:rPr>
            <w:noProof/>
            <w:webHidden/>
          </w:rPr>
        </w:r>
        <w:r w:rsidR="0090149D">
          <w:rPr>
            <w:noProof/>
            <w:webHidden/>
          </w:rPr>
          <w:fldChar w:fldCharType="separate"/>
        </w:r>
        <w:r w:rsidR="0090149D">
          <w:rPr>
            <w:noProof/>
            <w:webHidden/>
          </w:rPr>
          <w:t>37</w:t>
        </w:r>
        <w:r w:rsidR="0090149D">
          <w:rPr>
            <w:noProof/>
            <w:webHidden/>
          </w:rPr>
          <w:fldChar w:fldCharType="end"/>
        </w:r>
      </w:hyperlink>
    </w:p>
    <w:p w14:paraId="7F338A79" w14:textId="4CB3997F" w:rsidR="0090149D" w:rsidRDefault="00BC38BB">
      <w:pPr>
        <w:pStyle w:val="TOC2"/>
        <w:rPr>
          <w:rFonts w:asciiTheme="minorHAnsi" w:eastAsiaTheme="minorEastAsia" w:hAnsiTheme="minorHAnsi"/>
          <w:noProof/>
          <w:lang w:eastAsia="en-AU"/>
        </w:rPr>
      </w:pPr>
      <w:hyperlink w:anchor="_Toc65051600" w:history="1">
        <w:r w:rsidR="0090149D" w:rsidRPr="0013736D">
          <w:rPr>
            <w:rStyle w:val="Hyperlink"/>
            <w:noProof/>
          </w:rPr>
          <w:t>SOE IMPLEMENTATION – SUMMARY OF FINDINGS</w:t>
        </w:r>
        <w:r w:rsidR="0090149D">
          <w:rPr>
            <w:noProof/>
            <w:webHidden/>
          </w:rPr>
          <w:tab/>
        </w:r>
        <w:r w:rsidR="0090149D">
          <w:rPr>
            <w:noProof/>
            <w:webHidden/>
          </w:rPr>
          <w:fldChar w:fldCharType="begin"/>
        </w:r>
        <w:r w:rsidR="0090149D">
          <w:rPr>
            <w:noProof/>
            <w:webHidden/>
          </w:rPr>
          <w:instrText xml:space="preserve"> PAGEREF _Toc65051600 \h </w:instrText>
        </w:r>
        <w:r w:rsidR="0090149D">
          <w:rPr>
            <w:noProof/>
            <w:webHidden/>
          </w:rPr>
        </w:r>
        <w:r w:rsidR="0090149D">
          <w:rPr>
            <w:noProof/>
            <w:webHidden/>
          </w:rPr>
          <w:fldChar w:fldCharType="separate"/>
        </w:r>
        <w:r w:rsidR="0090149D">
          <w:rPr>
            <w:noProof/>
            <w:webHidden/>
          </w:rPr>
          <w:t>38</w:t>
        </w:r>
        <w:r w:rsidR="0090149D">
          <w:rPr>
            <w:noProof/>
            <w:webHidden/>
          </w:rPr>
          <w:fldChar w:fldCharType="end"/>
        </w:r>
      </w:hyperlink>
    </w:p>
    <w:p w14:paraId="77544E32" w14:textId="6F620B48" w:rsidR="0090149D" w:rsidRDefault="00BC38BB">
      <w:pPr>
        <w:pStyle w:val="TOC1"/>
        <w:tabs>
          <w:tab w:val="left" w:pos="440"/>
          <w:tab w:val="right" w:leader="dot" w:pos="9622"/>
        </w:tabs>
        <w:rPr>
          <w:rFonts w:asciiTheme="minorHAnsi" w:eastAsiaTheme="minorEastAsia" w:hAnsiTheme="minorHAnsi"/>
          <w:noProof/>
          <w:lang w:eastAsia="en-AU"/>
        </w:rPr>
      </w:pPr>
      <w:hyperlink w:anchor="_Toc65051601" w:history="1">
        <w:r w:rsidR="0090149D" w:rsidRPr="0013736D">
          <w:rPr>
            <w:rStyle w:val="Hyperlink"/>
            <w:noProof/>
          </w:rPr>
          <w:t>6.</w:t>
        </w:r>
        <w:r w:rsidR="0090149D">
          <w:rPr>
            <w:rFonts w:asciiTheme="minorHAnsi" w:eastAsiaTheme="minorEastAsia" w:hAnsiTheme="minorHAnsi"/>
            <w:noProof/>
            <w:lang w:eastAsia="en-AU"/>
          </w:rPr>
          <w:tab/>
        </w:r>
        <w:r w:rsidR="0090149D" w:rsidRPr="0013736D">
          <w:rPr>
            <w:rStyle w:val="Hyperlink"/>
            <w:noProof/>
          </w:rPr>
          <w:t>REFERENCES</w:t>
        </w:r>
        <w:r w:rsidR="0090149D">
          <w:rPr>
            <w:noProof/>
            <w:webHidden/>
          </w:rPr>
          <w:tab/>
        </w:r>
        <w:r w:rsidR="0090149D">
          <w:rPr>
            <w:noProof/>
            <w:webHidden/>
          </w:rPr>
          <w:fldChar w:fldCharType="begin"/>
        </w:r>
        <w:r w:rsidR="0090149D">
          <w:rPr>
            <w:noProof/>
            <w:webHidden/>
          </w:rPr>
          <w:instrText xml:space="preserve"> PAGEREF _Toc65051601 \h </w:instrText>
        </w:r>
        <w:r w:rsidR="0090149D">
          <w:rPr>
            <w:noProof/>
            <w:webHidden/>
          </w:rPr>
        </w:r>
        <w:r w:rsidR="0090149D">
          <w:rPr>
            <w:noProof/>
            <w:webHidden/>
          </w:rPr>
          <w:fldChar w:fldCharType="separate"/>
        </w:r>
        <w:r w:rsidR="0090149D">
          <w:rPr>
            <w:noProof/>
            <w:webHidden/>
          </w:rPr>
          <w:t>39</w:t>
        </w:r>
        <w:r w:rsidR="0090149D">
          <w:rPr>
            <w:noProof/>
            <w:webHidden/>
          </w:rPr>
          <w:fldChar w:fldCharType="end"/>
        </w:r>
      </w:hyperlink>
    </w:p>
    <w:p w14:paraId="544470AB" w14:textId="7848D94F" w:rsidR="00416C3F" w:rsidRDefault="00445F83" w:rsidP="00D97A40">
      <w:pPr>
        <w:pStyle w:val="TOC3"/>
      </w:pPr>
      <w:r>
        <w:rPr>
          <w:rFonts w:cstheme="minorHAnsi"/>
          <w:color w:val="7F7F7F" w:themeColor="text1" w:themeTint="80"/>
          <w:sz w:val="13"/>
          <w:szCs w:val="13"/>
        </w:rPr>
        <w:fldChar w:fldCharType="end"/>
      </w:r>
    </w:p>
    <w:p w14:paraId="7FCA3582" w14:textId="77777777" w:rsidR="00445F83" w:rsidRDefault="00445F83" w:rsidP="00416C3F">
      <w:pPr>
        <w:sectPr w:rsidR="00445F83" w:rsidSect="006206A3">
          <w:headerReference w:type="default" r:id="rId16"/>
          <w:footerReference w:type="default" r:id="rId17"/>
          <w:pgSz w:w="11900" w:h="16840"/>
          <w:pgMar w:top="1985" w:right="1134" w:bottom="1701" w:left="1134" w:header="709" w:footer="709" w:gutter="0"/>
          <w:cols w:space="708"/>
          <w:docGrid w:linePitch="360"/>
        </w:sectPr>
      </w:pPr>
    </w:p>
    <w:p w14:paraId="49CA1045" w14:textId="3B6B6D21" w:rsidR="00445F83" w:rsidRDefault="00445F83" w:rsidP="00445F83">
      <w:pPr>
        <w:pStyle w:val="Heading1"/>
        <w:numPr>
          <w:ilvl w:val="0"/>
          <w:numId w:val="1"/>
        </w:numPr>
        <w:rPr>
          <w:caps w:val="0"/>
        </w:rPr>
      </w:pPr>
      <w:bookmarkStart w:id="0" w:name="_Toc43913609"/>
      <w:bookmarkStart w:id="1" w:name="_Toc65051571"/>
      <w:r>
        <w:rPr>
          <w:caps w:val="0"/>
        </w:rPr>
        <w:lastRenderedPageBreak/>
        <w:t>GLOSSARY</w:t>
      </w:r>
      <w:bookmarkEnd w:id="0"/>
      <w:bookmarkEnd w:id="1"/>
      <w:r>
        <w:rPr>
          <w:caps w:val="0"/>
        </w:rPr>
        <w:t xml:space="preserve"> </w:t>
      </w:r>
    </w:p>
    <w:p w14:paraId="114691F8" w14:textId="77777777" w:rsidR="00837BC9" w:rsidRDefault="00837BC9" w:rsidP="009346D6">
      <w:pPr>
        <w:pStyle w:val="Heading3"/>
      </w:pPr>
      <w:r>
        <w:t xml:space="preserve">Acronym/Abbreviation </w:t>
      </w:r>
    </w:p>
    <w:p w14:paraId="11BDFACC" w14:textId="77777777" w:rsidR="00837BC9" w:rsidRDefault="00837BC9" w:rsidP="00837BC9">
      <w:r>
        <w:t>ACECQA</w:t>
      </w:r>
    </w:p>
    <w:p w14:paraId="3DABEA54" w14:textId="77777777" w:rsidR="00837BC9" w:rsidRDefault="00837BC9" w:rsidP="009346D6">
      <w:pPr>
        <w:pStyle w:val="Heading3"/>
      </w:pPr>
      <w:r>
        <w:t>Full Name</w:t>
      </w:r>
    </w:p>
    <w:p w14:paraId="78057F65" w14:textId="6422BBC3" w:rsidR="00837BC9" w:rsidRDefault="00837BC9" w:rsidP="00837BC9">
      <w:r w:rsidRPr="002D7F9F">
        <w:t xml:space="preserve">Australian Children’s Education </w:t>
      </w:r>
      <w:r>
        <w:t>and</w:t>
      </w:r>
      <w:r w:rsidRPr="002D7F9F">
        <w:t xml:space="preserve"> Care Quality Authority</w:t>
      </w:r>
    </w:p>
    <w:p w14:paraId="449FC6C1" w14:textId="77777777" w:rsidR="009346D6" w:rsidRDefault="009346D6" w:rsidP="009346D6">
      <w:pPr>
        <w:pStyle w:val="Heading3"/>
      </w:pPr>
      <w:r>
        <w:t xml:space="preserve">Acronym/Abbreviation </w:t>
      </w:r>
    </w:p>
    <w:p w14:paraId="3CC3F751" w14:textId="44F3B8F0" w:rsidR="009346D6" w:rsidRDefault="009346D6" w:rsidP="00837BC9">
      <w:r>
        <w:t>CCYP</w:t>
      </w:r>
    </w:p>
    <w:p w14:paraId="61585B4A" w14:textId="77777777" w:rsidR="009346D6" w:rsidRDefault="009346D6" w:rsidP="009346D6">
      <w:pPr>
        <w:pStyle w:val="Heading3"/>
      </w:pPr>
      <w:r>
        <w:t>Full Name</w:t>
      </w:r>
    </w:p>
    <w:p w14:paraId="2CC3BCBC" w14:textId="132DDE29" w:rsidR="00837BC9" w:rsidRDefault="009346D6" w:rsidP="00837BC9">
      <w:r w:rsidRPr="005A46EB">
        <w:t>Commission for Children and Young People</w:t>
      </w:r>
    </w:p>
    <w:p w14:paraId="0EEEBF68" w14:textId="77777777" w:rsidR="00A51B59" w:rsidRDefault="00A51B59" w:rsidP="00A51B59">
      <w:pPr>
        <w:pStyle w:val="Heading3"/>
      </w:pPr>
      <w:r>
        <w:t xml:space="preserve">Acronym/Abbreviation </w:t>
      </w:r>
    </w:p>
    <w:p w14:paraId="78529D2C" w14:textId="5D736198" w:rsidR="00837BC9" w:rsidRDefault="00A51B59" w:rsidP="00837BC9">
      <w:r>
        <w:t>CSS</w:t>
      </w:r>
    </w:p>
    <w:p w14:paraId="7C1230D7" w14:textId="77777777" w:rsidR="00A51B59" w:rsidRDefault="00A51B59" w:rsidP="00A51B59">
      <w:pPr>
        <w:pStyle w:val="Heading3"/>
      </w:pPr>
      <w:r>
        <w:t>Full Name</w:t>
      </w:r>
    </w:p>
    <w:p w14:paraId="2E73F25D" w14:textId="431DC8F5" w:rsidR="00A51B59" w:rsidRDefault="00A51B59" w:rsidP="00837BC9">
      <w:r>
        <w:t>Child Safe Standards</w:t>
      </w:r>
    </w:p>
    <w:p w14:paraId="23AE609A" w14:textId="77777777" w:rsidR="00A51B59" w:rsidRDefault="00A51B59" w:rsidP="00A51B59">
      <w:pPr>
        <w:pStyle w:val="Heading3"/>
      </w:pPr>
      <w:r>
        <w:t xml:space="preserve">Acronym/Abbreviation </w:t>
      </w:r>
    </w:p>
    <w:p w14:paraId="72E1C7AF" w14:textId="73BA7A55" w:rsidR="00837BC9" w:rsidRDefault="00A51B59" w:rsidP="00837BC9">
      <w:r>
        <w:t>Department</w:t>
      </w:r>
    </w:p>
    <w:p w14:paraId="75B55BC6" w14:textId="77777777" w:rsidR="00A51B59" w:rsidRDefault="00A51B59" w:rsidP="00A51B59">
      <w:pPr>
        <w:pStyle w:val="Heading3"/>
      </w:pPr>
      <w:r>
        <w:t>Full Name</w:t>
      </w:r>
    </w:p>
    <w:p w14:paraId="239E1FAB" w14:textId="55A9657E" w:rsidR="00837BC9" w:rsidRDefault="00A51B59" w:rsidP="00837BC9">
      <w:r>
        <w:t>Department of Education and Training</w:t>
      </w:r>
    </w:p>
    <w:p w14:paraId="07C996BA" w14:textId="77777777" w:rsidR="00A51B59" w:rsidRDefault="00A51B59" w:rsidP="00A51B59">
      <w:pPr>
        <w:pStyle w:val="Heading3"/>
      </w:pPr>
      <w:r>
        <w:t xml:space="preserve">Acronym/Abbreviation </w:t>
      </w:r>
    </w:p>
    <w:p w14:paraId="02FA1D3E" w14:textId="6896EE25" w:rsidR="00837BC9" w:rsidRDefault="00A51B59" w:rsidP="00837BC9">
      <w:r>
        <w:t>DET</w:t>
      </w:r>
    </w:p>
    <w:p w14:paraId="19E76BE8" w14:textId="77777777" w:rsidR="00A51B59" w:rsidRDefault="00A51B59" w:rsidP="00A51B59">
      <w:pPr>
        <w:pStyle w:val="Heading3"/>
      </w:pPr>
      <w:r>
        <w:t>Full Name</w:t>
      </w:r>
    </w:p>
    <w:p w14:paraId="600893A2" w14:textId="2CF72168" w:rsidR="00837BC9" w:rsidRDefault="00A51B59" w:rsidP="00837BC9">
      <w:r>
        <w:t>Commonwealth Department of Education and Training</w:t>
      </w:r>
    </w:p>
    <w:p w14:paraId="38EBDA92" w14:textId="77777777" w:rsidR="00A51B59" w:rsidRDefault="00A51B59" w:rsidP="00A51B59">
      <w:pPr>
        <w:pStyle w:val="Heading3"/>
      </w:pPr>
      <w:r>
        <w:t xml:space="preserve">Acronym/Abbreviation </w:t>
      </w:r>
    </w:p>
    <w:p w14:paraId="64CE4A24" w14:textId="7C971151" w:rsidR="00837BC9" w:rsidRDefault="00A51B59" w:rsidP="00837BC9">
      <w:r>
        <w:t>ECECRRG</w:t>
      </w:r>
    </w:p>
    <w:p w14:paraId="2953431B" w14:textId="77777777" w:rsidR="00A51B59" w:rsidRDefault="00A51B59" w:rsidP="00A51B59">
      <w:pPr>
        <w:pStyle w:val="Heading3"/>
      </w:pPr>
      <w:r>
        <w:t>Full Name</w:t>
      </w:r>
    </w:p>
    <w:p w14:paraId="4A805D5E" w14:textId="7C58EE90" w:rsidR="00A51B59" w:rsidRDefault="00A51B59" w:rsidP="00837BC9">
      <w:r>
        <w:t>Early Childhood Education and Care Regulatory Reference Group</w:t>
      </w:r>
    </w:p>
    <w:p w14:paraId="03EFC34F" w14:textId="77777777" w:rsidR="00A51B59" w:rsidRDefault="00A51B59" w:rsidP="00A51B59">
      <w:pPr>
        <w:pStyle w:val="Heading3"/>
      </w:pPr>
      <w:r>
        <w:t xml:space="preserve">Acronym/Abbreviation </w:t>
      </w:r>
    </w:p>
    <w:p w14:paraId="7AC5021F" w14:textId="0796B4C3" w:rsidR="00A51B59" w:rsidRDefault="00A51B59" w:rsidP="00837BC9">
      <w:r>
        <w:t>Evaluation Plan</w:t>
      </w:r>
    </w:p>
    <w:p w14:paraId="375C3C0C" w14:textId="77777777" w:rsidR="00A51B59" w:rsidRDefault="00A51B59" w:rsidP="00A51B59">
      <w:pPr>
        <w:pStyle w:val="Heading3"/>
      </w:pPr>
      <w:r>
        <w:t>Full Name</w:t>
      </w:r>
    </w:p>
    <w:p w14:paraId="3BA15590" w14:textId="7CB31784" w:rsidR="00A51B59" w:rsidRDefault="00A51B59" w:rsidP="00837BC9">
      <w:r>
        <w:t>Statement of Expectations Evaluation Plan</w:t>
      </w:r>
    </w:p>
    <w:p w14:paraId="218B44BF" w14:textId="77777777" w:rsidR="00A51B59" w:rsidRDefault="00A51B59" w:rsidP="00A51B59">
      <w:pPr>
        <w:pStyle w:val="Heading3"/>
      </w:pPr>
      <w:r>
        <w:t xml:space="preserve">Acronym/Abbreviation </w:t>
      </w:r>
    </w:p>
    <w:p w14:paraId="7D9A1AD6" w14:textId="5235384C" w:rsidR="00A51B59" w:rsidRDefault="00A51B59" w:rsidP="00837BC9">
      <w:r>
        <w:t>Evaluation Report</w:t>
      </w:r>
    </w:p>
    <w:p w14:paraId="5341880D" w14:textId="77777777" w:rsidR="00A51B59" w:rsidRDefault="00A51B59" w:rsidP="00A51B59">
      <w:pPr>
        <w:pStyle w:val="Heading3"/>
      </w:pPr>
      <w:r>
        <w:lastRenderedPageBreak/>
        <w:t>Full Name</w:t>
      </w:r>
    </w:p>
    <w:p w14:paraId="11BDDF61" w14:textId="65F3364D" w:rsidR="00837BC9" w:rsidRDefault="00A51B59" w:rsidP="00837BC9">
      <w:r>
        <w:t>Statement of Expectations Evaluation Report</w:t>
      </w:r>
    </w:p>
    <w:p w14:paraId="50147CC2" w14:textId="77777777" w:rsidR="00A51B59" w:rsidRDefault="00A51B59" w:rsidP="00A51B59">
      <w:pPr>
        <w:pStyle w:val="Heading3"/>
      </w:pPr>
      <w:r>
        <w:t xml:space="preserve">Acronym/Abbreviation </w:t>
      </w:r>
    </w:p>
    <w:p w14:paraId="3E771093" w14:textId="258B9134" w:rsidR="00A51B59" w:rsidRDefault="00A51B59" w:rsidP="00837BC9">
      <w:r>
        <w:t>FDC</w:t>
      </w:r>
    </w:p>
    <w:p w14:paraId="358E2583" w14:textId="77777777" w:rsidR="00A51B59" w:rsidRDefault="00A51B59" w:rsidP="00A51B59">
      <w:pPr>
        <w:pStyle w:val="Heading3"/>
      </w:pPr>
      <w:r>
        <w:t>Full Name</w:t>
      </w:r>
    </w:p>
    <w:p w14:paraId="764E5134" w14:textId="787D6EFB" w:rsidR="00A51B59" w:rsidRDefault="00A51B59" w:rsidP="00837BC9">
      <w:r>
        <w:t>Family Day Care</w:t>
      </w:r>
    </w:p>
    <w:p w14:paraId="3A1CA306" w14:textId="77777777" w:rsidR="00A51B59" w:rsidRDefault="00A51B59" w:rsidP="00A51B59">
      <w:pPr>
        <w:pStyle w:val="Heading3"/>
      </w:pPr>
      <w:r>
        <w:t xml:space="preserve">Acronym/Abbreviation </w:t>
      </w:r>
    </w:p>
    <w:p w14:paraId="7F1789CB" w14:textId="6A148E70" w:rsidR="00A51B59" w:rsidRDefault="00A51B59" w:rsidP="00837BC9">
      <w:r>
        <w:t>GRPP</w:t>
      </w:r>
    </w:p>
    <w:p w14:paraId="6479DCDF" w14:textId="77777777" w:rsidR="00A51B59" w:rsidRDefault="00A51B59" w:rsidP="00A51B59">
      <w:pPr>
        <w:pStyle w:val="Heading3"/>
      </w:pPr>
      <w:r>
        <w:t>Full Name</w:t>
      </w:r>
    </w:p>
    <w:p w14:paraId="31A949C3" w14:textId="77D8D5CA" w:rsidR="00A51B59" w:rsidRDefault="00A51B59" w:rsidP="00837BC9">
      <w:r>
        <w:t>Good Regulatory Practice Plan</w:t>
      </w:r>
    </w:p>
    <w:p w14:paraId="5C9D6734" w14:textId="77777777" w:rsidR="00A51B59" w:rsidRDefault="00A51B59" w:rsidP="00A51B59">
      <w:pPr>
        <w:pStyle w:val="Heading3"/>
      </w:pPr>
      <w:r>
        <w:t xml:space="preserve">Acronym/Abbreviation </w:t>
      </w:r>
    </w:p>
    <w:p w14:paraId="5C012919" w14:textId="0BA58CD2" w:rsidR="00A51B59" w:rsidRDefault="00A51B59" w:rsidP="00837BC9">
      <w:r>
        <w:t>KPI</w:t>
      </w:r>
    </w:p>
    <w:p w14:paraId="59172593" w14:textId="77777777" w:rsidR="00A51B59" w:rsidRDefault="00A51B59" w:rsidP="00A51B59">
      <w:pPr>
        <w:pStyle w:val="Heading3"/>
      </w:pPr>
      <w:r>
        <w:t>Full Name</w:t>
      </w:r>
    </w:p>
    <w:p w14:paraId="69180225" w14:textId="2BB6A341" w:rsidR="00A51B59" w:rsidRDefault="00A51B59" w:rsidP="00837BC9">
      <w:r>
        <w:t>Key Performance Indicator</w:t>
      </w:r>
    </w:p>
    <w:p w14:paraId="0E7D97BA" w14:textId="77777777" w:rsidR="00A51B59" w:rsidRDefault="00A51B59" w:rsidP="00A51B59">
      <w:pPr>
        <w:pStyle w:val="Heading3"/>
      </w:pPr>
      <w:r>
        <w:t xml:space="preserve">Acronym/Abbreviation </w:t>
      </w:r>
    </w:p>
    <w:p w14:paraId="18A1B3DB" w14:textId="7004FF65" w:rsidR="00A51B59" w:rsidRDefault="00A51B59" w:rsidP="00837BC9">
      <w:r>
        <w:t>National Law</w:t>
      </w:r>
    </w:p>
    <w:p w14:paraId="69FD1ECE" w14:textId="77777777" w:rsidR="00A51B59" w:rsidRDefault="00A51B59" w:rsidP="00A51B59">
      <w:pPr>
        <w:pStyle w:val="Heading3"/>
      </w:pPr>
      <w:r>
        <w:t>Full Name</w:t>
      </w:r>
    </w:p>
    <w:p w14:paraId="0B98B1A6" w14:textId="700E3356" w:rsidR="00A51B59" w:rsidRDefault="00A51B59" w:rsidP="00837BC9">
      <w:pPr>
        <w:rPr>
          <w:iCs/>
        </w:rPr>
      </w:pPr>
      <w:r w:rsidRPr="0039238C">
        <w:rPr>
          <w:iCs/>
        </w:rPr>
        <w:t>Education and Care Services National Law</w:t>
      </w:r>
    </w:p>
    <w:p w14:paraId="4DBF97D9" w14:textId="77777777" w:rsidR="00A51B59" w:rsidRDefault="00A51B59" w:rsidP="00A51B59">
      <w:pPr>
        <w:pStyle w:val="Heading3"/>
      </w:pPr>
      <w:r>
        <w:t xml:space="preserve">Acronym/Abbreviation </w:t>
      </w:r>
    </w:p>
    <w:p w14:paraId="6BD461FA" w14:textId="1614AF0F" w:rsidR="00A51B59" w:rsidRDefault="00A51B59" w:rsidP="00837BC9">
      <w:r>
        <w:t>National Regulations</w:t>
      </w:r>
    </w:p>
    <w:p w14:paraId="66343523" w14:textId="77777777" w:rsidR="00A51B59" w:rsidRDefault="00A51B59" w:rsidP="00A51B59">
      <w:pPr>
        <w:pStyle w:val="Heading3"/>
      </w:pPr>
      <w:r>
        <w:t>Full Name</w:t>
      </w:r>
    </w:p>
    <w:p w14:paraId="328C991C" w14:textId="57FDF8FA" w:rsidR="00A51B59" w:rsidRDefault="00A51B59" w:rsidP="00837BC9">
      <w:pPr>
        <w:rPr>
          <w:i/>
        </w:rPr>
      </w:pPr>
      <w:r w:rsidRPr="006B3959">
        <w:rPr>
          <w:i/>
        </w:rPr>
        <w:t>Education and Care Services National Regulations 2011</w:t>
      </w:r>
    </w:p>
    <w:p w14:paraId="7524A401" w14:textId="77777777" w:rsidR="00A51B59" w:rsidRDefault="00A51B59" w:rsidP="00A51B59">
      <w:pPr>
        <w:pStyle w:val="Heading3"/>
      </w:pPr>
      <w:r>
        <w:t xml:space="preserve">Acronym/Abbreviation </w:t>
      </w:r>
    </w:p>
    <w:p w14:paraId="4545765F" w14:textId="5E2F5AFA" w:rsidR="00A51B59" w:rsidRDefault="00A51B59" w:rsidP="00837BC9">
      <w:r>
        <w:t>NQA</w:t>
      </w:r>
    </w:p>
    <w:p w14:paraId="0CDD6CAA" w14:textId="77777777" w:rsidR="00A51B59" w:rsidRDefault="00A51B59" w:rsidP="00A51B59">
      <w:pPr>
        <w:pStyle w:val="Heading3"/>
      </w:pPr>
      <w:r>
        <w:t>Full Name</w:t>
      </w:r>
    </w:p>
    <w:p w14:paraId="59C2141E" w14:textId="7C9BFC48" w:rsidR="00A51B59" w:rsidRDefault="005432B6" w:rsidP="00837BC9">
      <w:r>
        <w:t>National Quality Agenda</w:t>
      </w:r>
    </w:p>
    <w:p w14:paraId="5E1B7CA9" w14:textId="77777777" w:rsidR="005432B6" w:rsidRDefault="005432B6" w:rsidP="005432B6">
      <w:pPr>
        <w:pStyle w:val="Heading3"/>
      </w:pPr>
      <w:r>
        <w:t xml:space="preserve">Acronym/Abbreviation </w:t>
      </w:r>
    </w:p>
    <w:p w14:paraId="072A4162" w14:textId="5A40F360" w:rsidR="005432B6" w:rsidRDefault="005432B6" w:rsidP="00837BC9">
      <w:r>
        <w:t>NQA IT System</w:t>
      </w:r>
    </w:p>
    <w:p w14:paraId="16CEE584" w14:textId="77777777" w:rsidR="005432B6" w:rsidRDefault="005432B6" w:rsidP="005432B6">
      <w:pPr>
        <w:pStyle w:val="Heading3"/>
      </w:pPr>
      <w:r>
        <w:t>Full Name</w:t>
      </w:r>
    </w:p>
    <w:p w14:paraId="08C58FA2" w14:textId="6F86B717" w:rsidR="005432B6" w:rsidRDefault="005432B6" w:rsidP="00837BC9">
      <w:r>
        <w:t>National Quality Agenda IT System</w:t>
      </w:r>
    </w:p>
    <w:p w14:paraId="69AB898B" w14:textId="77777777" w:rsidR="005432B6" w:rsidRDefault="005432B6" w:rsidP="005432B6">
      <w:pPr>
        <w:pStyle w:val="Heading3"/>
      </w:pPr>
      <w:r>
        <w:t xml:space="preserve">Acronym/Abbreviation </w:t>
      </w:r>
    </w:p>
    <w:p w14:paraId="1E2AF08F" w14:textId="156377F0" w:rsidR="005432B6" w:rsidRDefault="005432B6" w:rsidP="00837BC9">
      <w:r>
        <w:t>NQF</w:t>
      </w:r>
    </w:p>
    <w:p w14:paraId="3A4DE20C" w14:textId="77777777" w:rsidR="005432B6" w:rsidRDefault="005432B6" w:rsidP="005432B6">
      <w:pPr>
        <w:pStyle w:val="Heading3"/>
      </w:pPr>
      <w:r>
        <w:lastRenderedPageBreak/>
        <w:t>Full Name</w:t>
      </w:r>
    </w:p>
    <w:p w14:paraId="23FCF4F3" w14:textId="22BADD74" w:rsidR="005432B6" w:rsidRDefault="005432B6" w:rsidP="00837BC9">
      <w:r>
        <w:t>National Quality Framework</w:t>
      </w:r>
    </w:p>
    <w:p w14:paraId="0E12AB65" w14:textId="77777777" w:rsidR="005432B6" w:rsidRDefault="005432B6" w:rsidP="005432B6">
      <w:pPr>
        <w:pStyle w:val="Heading3"/>
      </w:pPr>
      <w:r>
        <w:t xml:space="preserve">Acronym/Abbreviation </w:t>
      </w:r>
    </w:p>
    <w:p w14:paraId="75CE8008" w14:textId="34A44CBB" w:rsidR="005432B6" w:rsidRDefault="005432B6" w:rsidP="00837BC9">
      <w:r>
        <w:t>NQS</w:t>
      </w:r>
    </w:p>
    <w:p w14:paraId="74514099" w14:textId="77777777" w:rsidR="005432B6" w:rsidRDefault="005432B6" w:rsidP="005432B6">
      <w:pPr>
        <w:pStyle w:val="Heading3"/>
      </w:pPr>
      <w:r>
        <w:t>Full Name</w:t>
      </w:r>
    </w:p>
    <w:p w14:paraId="48652699" w14:textId="6EACEA5D" w:rsidR="005432B6" w:rsidRDefault="005432B6" w:rsidP="00837BC9">
      <w:r>
        <w:t>National Quality Standard</w:t>
      </w:r>
    </w:p>
    <w:p w14:paraId="14B3EE6C" w14:textId="77777777" w:rsidR="005432B6" w:rsidRDefault="005432B6" w:rsidP="005432B6">
      <w:pPr>
        <w:pStyle w:val="Heading3"/>
      </w:pPr>
      <w:r>
        <w:t xml:space="preserve">Acronym/Abbreviation </w:t>
      </w:r>
    </w:p>
    <w:p w14:paraId="7AA7DC1B" w14:textId="77A755EC" w:rsidR="005432B6" w:rsidRDefault="005432B6" w:rsidP="00837BC9">
      <w:r>
        <w:t>RCS</w:t>
      </w:r>
    </w:p>
    <w:p w14:paraId="1AEAE8EA" w14:textId="77777777" w:rsidR="005432B6" w:rsidRDefault="005432B6" w:rsidP="005432B6">
      <w:pPr>
        <w:pStyle w:val="Heading3"/>
      </w:pPr>
      <w:r>
        <w:t>Full Name</w:t>
      </w:r>
    </w:p>
    <w:p w14:paraId="07FAC0DB" w14:textId="7EA0CDBB" w:rsidR="005432B6" w:rsidRDefault="005432B6" w:rsidP="00837BC9">
      <w:r>
        <w:t>Reportable Conduct Scheme</w:t>
      </w:r>
    </w:p>
    <w:p w14:paraId="5B788325" w14:textId="77777777" w:rsidR="005432B6" w:rsidRDefault="005432B6" w:rsidP="005432B6">
      <w:pPr>
        <w:pStyle w:val="Heading3"/>
      </w:pPr>
      <w:r>
        <w:t xml:space="preserve">Acronym/Abbreviation </w:t>
      </w:r>
    </w:p>
    <w:p w14:paraId="7A01770A" w14:textId="17A977A5" w:rsidR="005432B6" w:rsidRDefault="005432B6" w:rsidP="00837BC9">
      <w:r>
        <w:t>Regulatory Framework</w:t>
      </w:r>
    </w:p>
    <w:p w14:paraId="1C1B73A1" w14:textId="1465E2AD" w:rsidR="005432B6" w:rsidRDefault="005432B6" w:rsidP="005432B6">
      <w:pPr>
        <w:pStyle w:val="Heading3"/>
      </w:pPr>
      <w:r>
        <w:t>Full Name</w:t>
      </w:r>
    </w:p>
    <w:p w14:paraId="23B5D467" w14:textId="11A226D2" w:rsidR="005432B6" w:rsidRPr="005432B6" w:rsidRDefault="005432B6" w:rsidP="005432B6">
      <w:r w:rsidRPr="00570C0D">
        <w:rPr>
          <w:iCs/>
        </w:rPr>
        <w:t xml:space="preserve">Regulatory Framework in relation to Education and Care </w:t>
      </w:r>
      <w:r>
        <w:rPr>
          <w:iCs/>
        </w:rPr>
        <w:t>S</w:t>
      </w:r>
      <w:r w:rsidRPr="00570C0D">
        <w:rPr>
          <w:iCs/>
        </w:rPr>
        <w:t>ervices in Victoria</w:t>
      </w:r>
    </w:p>
    <w:p w14:paraId="242D95DF" w14:textId="77777777" w:rsidR="005432B6" w:rsidRDefault="005432B6" w:rsidP="005432B6">
      <w:pPr>
        <w:pStyle w:val="Heading3"/>
      </w:pPr>
      <w:r>
        <w:t xml:space="preserve">Acronym/Abbreviation </w:t>
      </w:r>
    </w:p>
    <w:p w14:paraId="5B5FBC59" w14:textId="0A84C0ED" w:rsidR="005432B6" w:rsidRDefault="005432B6" w:rsidP="00837BC9">
      <w:r>
        <w:t>RIS</w:t>
      </w:r>
    </w:p>
    <w:p w14:paraId="29CB3D0E" w14:textId="77777777" w:rsidR="005432B6" w:rsidRDefault="005432B6" w:rsidP="005432B6">
      <w:pPr>
        <w:pStyle w:val="Heading3"/>
      </w:pPr>
      <w:r>
        <w:t>Full Name</w:t>
      </w:r>
    </w:p>
    <w:p w14:paraId="21EA04EA" w14:textId="6186B62E" w:rsidR="005432B6" w:rsidRDefault="005432B6" w:rsidP="00837BC9">
      <w:r w:rsidRPr="000A0692">
        <w:t>Regulatory Impact Statement</w:t>
      </w:r>
    </w:p>
    <w:p w14:paraId="348D31E4" w14:textId="77777777" w:rsidR="005432B6" w:rsidRDefault="005432B6" w:rsidP="005432B6">
      <w:pPr>
        <w:pStyle w:val="Heading3"/>
      </w:pPr>
      <w:r>
        <w:t xml:space="preserve">Acronym/Abbreviation </w:t>
      </w:r>
    </w:p>
    <w:p w14:paraId="0807F6A1" w14:textId="28183912" w:rsidR="005432B6" w:rsidRDefault="005432B6" w:rsidP="00837BC9">
      <w:r>
        <w:t>RPC</w:t>
      </w:r>
    </w:p>
    <w:p w14:paraId="081B59E6" w14:textId="77777777" w:rsidR="005432B6" w:rsidRDefault="005432B6" w:rsidP="005432B6">
      <w:pPr>
        <w:pStyle w:val="Heading3"/>
      </w:pPr>
      <w:r>
        <w:t>Full Name</w:t>
      </w:r>
    </w:p>
    <w:p w14:paraId="20776453" w14:textId="07EEF7D6" w:rsidR="005432B6" w:rsidRDefault="005432B6" w:rsidP="00837BC9">
      <w:r>
        <w:t>Regulatory Practice Committee</w:t>
      </w:r>
    </w:p>
    <w:p w14:paraId="10103054" w14:textId="77777777" w:rsidR="005432B6" w:rsidRDefault="005432B6" w:rsidP="005432B6">
      <w:pPr>
        <w:pStyle w:val="Heading3"/>
      </w:pPr>
      <w:r>
        <w:t xml:space="preserve">Acronym/Abbreviation </w:t>
      </w:r>
    </w:p>
    <w:p w14:paraId="75A68383" w14:textId="60E13EE2" w:rsidR="005432B6" w:rsidRDefault="005432B6" w:rsidP="00837BC9">
      <w:r>
        <w:t>SOE</w:t>
      </w:r>
    </w:p>
    <w:p w14:paraId="64E5E923" w14:textId="77777777" w:rsidR="005432B6" w:rsidRDefault="005432B6" w:rsidP="005432B6">
      <w:pPr>
        <w:pStyle w:val="Heading3"/>
      </w:pPr>
      <w:r>
        <w:t>Full Name</w:t>
      </w:r>
    </w:p>
    <w:p w14:paraId="0E0B5C70" w14:textId="053265DD" w:rsidR="005432B6" w:rsidRDefault="005432B6" w:rsidP="00837BC9">
      <w:r>
        <w:t>Statement of Expectations</w:t>
      </w:r>
    </w:p>
    <w:p w14:paraId="3589470E" w14:textId="77777777" w:rsidR="005432B6" w:rsidRDefault="005432B6" w:rsidP="005432B6">
      <w:pPr>
        <w:pStyle w:val="Heading3"/>
      </w:pPr>
      <w:r>
        <w:t xml:space="preserve">Acronym/Abbreviation </w:t>
      </w:r>
    </w:p>
    <w:p w14:paraId="6E77B994" w14:textId="1CF9056E" w:rsidR="005432B6" w:rsidRDefault="005432B6" w:rsidP="005432B6">
      <w:r>
        <w:t>SOE Guidelines</w:t>
      </w:r>
    </w:p>
    <w:p w14:paraId="02174646" w14:textId="77777777" w:rsidR="005432B6" w:rsidRDefault="005432B6" w:rsidP="005432B6">
      <w:pPr>
        <w:pStyle w:val="Heading3"/>
      </w:pPr>
      <w:r>
        <w:t>Full Name</w:t>
      </w:r>
    </w:p>
    <w:p w14:paraId="51EFA74C" w14:textId="11EE0E11" w:rsidR="005432B6" w:rsidRPr="00837BC9" w:rsidRDefault="005432B6" w:rsidP="005432B6">
      <w:r>
        <w:rPr>
          <w:rFonts w:cs="Arial"/>
          <w:color w:val="000000"/>
        </w:rPr>
        <w:t>Guidelines for Evaluation of Statement of Expectations for Regulators</w:t>
      </w:r>
    </w:p>
    <w:p w14:paraId="71F1ED78" w14:textId="77777777" w:rsidR="005432B6" w:rsidRDefault="005432B6" w:rsidP="005432B6">
      <w:pPr>
        <w:pStyle w:val="Heading3"/>
      </w:pPr>
      <w:r>
        <w:t xml:space="preserve">Acronym/Abbreviation </w:t>
      </w:r>
    </w:p>
    <w:p w14:paraId="693003C9" w14:textId="4138C72A" w:rsidR="005432B6" w:rsidRDefault="005432B6" w:rsidP="005432B6">
      <w:r>
        <w:t>SOE Framework</w:t>
      </w:r>
    </w:p>
    <w:p w14:paraId="720E2523" w14:textId="77777777" w:rsidR="005432B6" w:rsidRDefault="005432B6" w:rsidP="005432B6">
      <w:pPr>
        <w:pStyle w:val="Heading3"/>
      </w:pPr>
      <w:r>
        <w:lastRenderedPageBreak/>
        <w:t>Full Name</w:t>
      </w:r>
    </w:p>
    <w:p w14:paraId="23B397DE" w14:textId="349A3F64" w:rsidR="005432B6" w:rsidRPr="00837BC9" w:rsidRDefault="005432B6" w:rsidP="005432B6">
      <w:r w:rsidRPr="00A45DE5">
        <w:t>S</w:t>
      </w:r>
      <w:r>
        <w:t>tatement of Expectations</w:t>
      </w:r>
      <w:r w:rsidRPr="00A45DE5">
        <w:t xml:space="preserve"> Framework</w:t>
      </w:r>
      <w:r>
        <w:t xml:space="preserve"> for Regulators</w:t>
      </w:r>
    </w:p>
    <w:p w14:paraId="3BD5E5B5" w14:textId="77777777" w:rsidR="005432B6" w:rsidRDefault="005432B6" w:rsidP="005432B6">
      <w:pPr>
        <w:pStyle w:val="Heading3"/>
      </w:pPr>
      <w:r>
        <w:t xml:space="preserve">Acronym/Abbreviation </w:t>
      </w:r>
    </w:p>
    <w:p w14:paraId="17DA243A" w14:textId="11FCD361" w:rsidR="005432B6" w:rsidRDefault="005432B6" w:rsidP="005432B6">
      <w:r>
        <w:t>SOE Letter</w:t>
      </w:r>
    </w:p>
    <w:p w14:paraId="26AC85E3" w14:textId="77777777" w:rsidR="005432B6" w:rsidRDefault="005432B6" w:rsidP="005432B6">
      <w:pPr>
        <w:pStyle w:val="Heading3"/>
      </w:pPr>
      <w:r>
        <w:t>Full Name</w:t>
      </w:r>
    </w:p>
    <w:p w14:paraId="43990D83" w14:textId="61669389" w:rsidR="005432B6" w:rsidRPr="00837BC9" w:rsidRDefault="005432B6" w:rsidP="005432B6">
      <w:r>
        <w:t>Ministerial Statement of Expectations Letter</w:t>
      </w:r>
    </w:p>
    <w:p w14:paraId="61A82F55" w14:textId="77777777" w:rsidR="005432B6" w:rsidRDefault="005432B6" w:rsidP="005432B6">
      <w:pPr>
        <w:pStyle w:val="Heading3"/>
      </w:pPr>
      <w:r>
        <w:t xml:space="preserve">Acronym/Abbreviation </w:t>
      </w:r>
    </w:p>
    <w:p w14:paraId="0C2CBA6E" w14:textId="52A58C6B" w:rsidR="005432B6" w:rsidRDefault="005432B6" w:rsidP="005432B6">
      <w:r>
        <w:t>SOE Response</w:t>
      </w:r>
    </w:p>
    <w:p w14:paraId="2AF8CCAD" w14:textId="77777777" w:rsidR="005432B6" w:rsidRDefault="005432B6" w:rsidP="005432B6">
      <w:pPr>
        <w:pStyle w:val="Heading3"/>
      </w:pPr>
      <w:r>
        <w:t>Full Name</w:t>
      </w:r>
    </w:p>
    <w:p w14:paraId="25D0E3F6" w14:textId="1A3D80AE" w:rsidR="005432B6" w:rsidRPr="00837BC9" w:rsidRDefault="005432B6" w:rsidP="005432B6">
      <w:r>
        <w:t>Regulator Response to the Ministerial Statement of Expectations Letter</w:t>
      </w:r>
    </w:p>
    <w:p w14:paraId="59C62969" w14:textId="77777777" w:rsidR="005432B6" w:rsidRDefault="005432B6" w:rsidP="005432B6">
      <w:pPr>
        <w:pStyle w:val="Heading3"/>
      </w:pPr>
      <w:r>
        <w:t xml:space="preserve">Acronym/Abbreviation </w:t>
      </w:r>
    </w:p>
    <w:p w14:paraId="222F8134" w14:textId="389F134E" w:rsidR="005432B6" w:rsidRDefault="005432B6" w:rsidP="005432B6">
      <w:r>
        <w:t>QARD</w:t>
      </w:r>
    </w:p>
    <w:p w14:paraId="137C7C7D" w14:textId="77777777" w:rsidR="005432B6" w:rsidRDefault="005432B6" w:rsidP="005432B6">
      <w:pPr>
        <w:pStyle w:val="Heading3"/>
      </w:pPr>
      <w:r>
        <w:t>Full Name</w:t>
      </w:r>
    </w:p>
    <w:p w14:paraId="29C07DA9" w14:textId="652BDD88" w:rsidR="005432B6" w:rsidRPr="00837BC9" w:rsidRDefault="005432B6" w:rsidP="005432B6">
      <w:r>
        <w:t>Quality Assessment and Regulation Division of the Department of Education and Training</w:t>
      </w:r>
    </w:p>
    <w:p w14:paraId="58A1835A" w14:textId="77777777" w:rsidR="005432B6" w:rsidRDefault="005432B6" w:rsidP="005432B6">
      <w:pPr>
        <w:pStyle w:val="Heading3"/>
      </w:pPr>
      <w:r>
        <w:t xml:space="preserve">Acronym/Abbreviation </w:t>
      </w:r>
    </w:p>
    <w:p w14:paraId="4738EE0F" w14:textId="3D63DB8F" w:rsidR="005432B6" w:rsidRDefault="005432B6" w:rsidP="005432B6">
      <w:r>
        <w:t>Victorian Law</w:t>
      </w:r>
    </w:p>
    <w:p w14:paraId="6E119189" w14:textId="77777777" w:rsidR="005432B6" w:rsidRDefault="005432B6" w:rsidP="005432B6">
      <w:pPr>
        <w:pStyle w:val="Heading3"/>
      </w:pPr>
      <w:r>
        <w:t>Full Name</w:t>
      </w:r>
    </w:p>
    <w:p w14:paraId="330917AD" w14:textId="247C1034" w:rsidR="005432B6" w:rsidRPr="00837BC9" w:rsidRDefault="005432B6" w:rsidP="005432B6">
      <w:r w:rsidRPr="000E21AB">
        <w:rPr>
          <w:i/>
          <w:iCs/>
        </w:rPr>
        <w:t>Children’s Services Act 1996</w:t>
      </w:r>
    </w:p>
    <w:p w14:paraId="7EDE18B1" w14:textId="77777777" w:rsidR="005432B6" w:rsidRDefault="005432B6" w:rsidP="005432B6">
      <w:pPr>
        <w:pStyle w:val="Heading3"/>
      </w:pPr>
      <w:r>
        <w:t xml:space="preserve">Acronym/Abbreviation </w:t>
      </w:r>
    </w:p>
    <w:p w14:paraId="29663E21" w14:textId="601E46E6" w:rsidR="005432B6" w:rsidRDefault="005432B6" w:rsidP="005432B6">
      <w:r>
        <w:t>VBA</w:t>
      </w:r>
    </w:p>
    <w:p w14:paraId="526A4D55" w14:textId="77777777" w:rsidR="005432B6" w:rsidRDefault="005432B6" w:rsidP="005432B6">
      <w:pPr>
        <w:pStyle w:val="Heading3"/>
      </w:pPr>
      <w:r>
        <w:t>Full Name</w:t>
      </w:r>
    </w:p>
    <w:p w14:paraId="53258B72" w14:textId="780475BB" w:rsidR="005432B6" w:rsidRPr="00837BC9" w:rsidRDefault="005432B6" w:rsidP="005432B6">
      <w:r w:rsidRPr="00D621FE">
        <w:t>Victorian Building Authority</w:t>
      </w:r>
    </w:p>
    <w:p w14:paraId="62637EE3" w14:textId="77777777" w:rsidR="005432B6" w:rsidRDefault="005432B6" w:rsidP="005432B6">
      <w:pPr>
        <w:pStyle w:val="Heading3"/>
      </w:pPr>
      <w:r>
        <w:t xml:space="preserve">Acronym/Abbreviation </w:t>
      </w:r>
    </w:p>
    <w:p w14:paraId="1E07A894" w14:textId="76882948" w:rsidR="005432B6" w:rsidRDefault="005432B6" w:rsidP="005432B6">
      <w:r>
        <w:t>VRQA</w:t>
      </w:r>
    </w:p>
    <w:p w14:paraId="26DAEEA3" w14:textId="77777777" w:rsidR="005432B6" w:rsidRDefault="005432B6" w:rsidP="005432B6">
      <w:pPr>
        <w:pStyle w:val="Heading3"/>
      </w:pPr>
      <w:r>
        <w:t>Full Name</w:t>
      </w:r>
    </w:p>
    <w:p w14:paraId="3801B7E2" w14:textId="09BFD55C" w:rsidR="005432B6" w:rsidRPr="00837BC9" w:rsidRDefault="005432B6" w:rsidP="005432B6">
      <w:r w:rsidRPr="009E5898">
        <w:t>Victorian Registration and Qualifications Authority</w:t>
      </w:r>
    </w:p>
    <w:p w14:paraId="7A8DAC61" w14:textId="77777777" w:rsidR="005432B6" w:rsidRDefault="005432B6" w:rsidP="005432B6">
      <w:pPr>
        <w:pStyle w:val="Heading3"/>
      </w:pPr>
      <w:r>
        <w:t xml:space="preserve">Acronym/Abbreviation </w:t>
      </w:r>
    </w:p>
    <w:p w14:paraId="2F2B37B2" w14:textId="1886FBC1" w:rsidR="005432B6" w:rsidRDefault="005432B6" w:rsidP="005432B6">
      <w:r>
        <w:t>VIT</w:t>
      </w:r>
    </w:p>
    <w:p w14:paraId="40868540" w14:textId="281B0212" w:rsidR="005432B6" w:rsidRDefault="005432B6" w:rsidP="005432B6">
      <w:pPr>
        <w:pStyle w:val="Heading3"/>
      </w:pPr>
      <w:r>
        <w:t>Full Name</w:t>
      </w:r>
    </w:p>
    <w:p w14:paraId="170F0040" w14:textId="54B47D6F" w:rsidR="005432B6" w:rsidRPr="00837BC9" w:rsidRDefault="005432B6" w:rsidP="00837BC9">
      <w:r w:rsidRPr="002512B2">
        <w:t>Victorian Institute of Teaching</w:t>
      </w:r>
    </w:p>
    <w:p w14:paraId="60A34515" w14:textId="77777777" w:rsidR="00416C3F" w:rsidRPr="007F2207" w:rsidRDefault="00416C3F" w:rsidP="00416C3F">
      <w:pPr>
        <w:sectPr w:rsidR="00416C3F" w:rsidRPr="007F2207" w:rsidSect="006206A3">
          <w:pgSz w:w="11900" w:h="16840"/>
          <w:pgMar w:top="1985" w:right="1134" w:bottom="1701" w:left="1134" w:header="709" w:footer="709" w:gutter="0"/>
          <w:cols w:space="708"/>
          <w:docGrid w:linePitch="360"/>
        </w:sectPr>
      </w:pPr>
    </w:p>
    <w:p w14:paraId="729E2538" w14:textId="455FED10" w:rsidR="00416C3F" w:rsidRDefault="0024528F" w:rsidP="00416C3F">
      <w:pPr>
        <w:pStyle w:val="Heading1"/>
        <w:numPr>
          <w:ilvl w:val="0"/>
          <w:numId w:val="1"/>
        </w:numPr>
      </w:pPr>
      <w:bookmarkStart w:id="2" w:name="_Toc43913610"/>
      <w:bookmarkStart w:id="3" w:name="_Toc65051572"/>
      <w:bookmarkStart w:id="4" w:name="_Hlk48138754"/>
      <w:r>
        <w:rPr>
          <w:caps w:val="0"/>
        </w:rPr>
        <w:lastRenderedPageBreak/>
        <w:t>EXECUTIVE SUMMARY</w:t>
      </w:r>
      <w:bookmarkEnd w:id="2"/>
      <w:bookmarkEnd w:id="3"/>
      <w:r>
        <w:rPr>
          <w:caps w:val="0"/>
        </w:rPr>
        <w:t xml:space="preserve">  </w:t>
      </w:r>
    </w:p>
    <w:p w14:paraId="155EC021" w14:textId="77777777" w:rsidR="003E0BE2" w:rsidRDefault="004E1750" w:rsidP="009679C3">
      <w:pPr>
        <w:pBdr>
          <w:top w:val="single" w:sz="4" w:space="1" w:color="auto"/>
        </w:pBdr>
      </w:pPr>
      <w:r>
        <w:t xml:space="preserve">The </w:t>
      </w:r>
      <w:r w:rsidRPr="008663DF">
        <w:t xml:space="preserve">Quality Assessment and Regulation Division </w:t>
      </w:r>
      <w:r>
        <w:t xml:space="preserve">(QARD) of the Department of Education and Training (the Department) regulates </w:t>
      </w:r>
      <w:r w:rsidRPr="00D76D36">
        <w:t>early childhood services</w:t>
      </w:r>
      <w:r>
        <w:t xml:space="preserve"> in Victoria.</w:t>
      </w:r>
      <w:r w:rsidR="002E0294">
        <w:t xml:space="preserve"> </w:t>
      </w:r>
      <w:r w:rsidR="00416C3F">
        <w:t xml:space="preserve">The </w:t>
      </w:r>
      <w:r w:rsidR="00B8068E">
        <w:t xml:space="preserve">Department has evaluated the performance of the QARD in implementing </w:t>
      </w:r>
      <w:r w:rsidR="00416C3F">
        <w:t xml:space="preserve">its </w:t>
      </w:r>
      <w:r>
        <w:t>Statement of Expectations (</w:t>
      </w:r>
      <w:r w:rsidR="00416C3F">
        <w:t>SOE</w:t>
      </w:r>
      <w:r>
        <w:t>)</w:t>
      </w:r>
      <w:r w:rsidR="00416C3F">
        <w:t xml:space="preserve"> 2018-</w:t>
      </w:r>
      <w:r w:rsidR="00176777">
        <w:t>19 and 2019-20</w:t>
      </w:r>
      <w:r w:rsidR="00416C3F">
        <w:t xml:space="preserve">. </w:t>
      </w:r>
    </w:p>
    <w:p w14:paraId="0E1051A6" w14:textId="102FD082" w:rsidR="00B8068E" w:rsidRDefault="00B8068E" w:rsidP="009679C3">
      <w:pPr>
        <w:pBdr>
          <w:top w:val="single" w:sz="4" w:space="1" w:color="auto"/>
        </w:pBdr>
      </w:pPr>
      <w:r>
        <w:t>A summary of the outcome evaluation is provided below.</w:t>
      </w:r>
    </w:p>
    <w:p w14:paraId="79D0A6E1" w14:textId="3F7B5E54" w:rsidR="00416C3F" w:rsidRPr="00CF2D89" w:rsidRDefault="00416C3F" w:rsidP="00416C3F">
      <w:r w:rsidRPr="00CF2D89">
        <w:t xml:space="preserve">The QARD performed </w:t>
      </w:r>
      <w:r w:rsidR="00B8068E">
        <w:t>strongly in</w:t>
      </w:r>
      <w:r w:rsidR="00D72CAC">
        <w:t xml:space="preserve"> the following expectations</w:t>
      </w:r>
      <w:r w:rsidRPr="00CF2D89">
        <w:t>:</w:t>
      </w:r>
    </w:p>
    <w:p w14:paraId="1D1E11F7" w14:textId="085F0C8E" w:rsidR="00A60A3C" w:rsidRPr="00A6077E" w:rsidRDefault="005D3360" w:rsidP="00A60A3C">
      <w:pPr>
        <w:pStyle w:val="Bullet1"/>
      </w:pPr>
      <w:r w:rsidRPr="00BC5F9A">
        <w:rPr>
          <w:b/>
          <w:bCs/>
        </w:rPr>
        <w:t>T</w:t>
      </w:r>
      <w:r w:rsidR="00D72CAC" w:rsidRPr="00BC5F9A">
        <w:rPr>
          <w:b/>
          <w:bCs/>
        </w:rPr>
        <w:t>argeting resources to the area of greatest need</w:t>
      </w:r>
      <w:r w:rsidR="00D72CAC" w:rsidRPr="00BC5F9A">
        <w:t xml:space="preserve"> - </w:t>
      </w:r>
      <w:r w:rsidR="00A60A3C" w:rsidRPr="00BC5F9A">
        <w:t>provid</w:t>
      </w:r>
      <w:r w:rsidR="007A23BB" w:rsidRPr="00BC5F9A">
        <w:t>ing</w:t>
      </w:r>
      <w:r w:rsidR="00A60A3C" w:rsidRPr="00BC5F9A">
        <w:t xml:space="preserve"> </w:t>
      </w:r>
      <w:r w:rsidR="00420613" w:rsidRPr="00BC5F9A">
        <w:t xml:space="preserve">tailored </w:t>
      </w:r>
      <w:r w:rsidR="005470A5" w:rsidRPr="00BC5F9A">
        <w:t xml:space="preserve">compliance </w:t>
      </w:r>
      <w:r w:rsidR="00420613" w:rsidRPr="00BC5F9A">
        <w:t>guidance and support to</w:t>
      </w:r>
      <w:r w:rsidR="00A60A3C" w:rsidRPr="00BC5F9A">
        <w:t xml:space="preserve"> </w:t>
      </w:r>
      <w:r w:rsidR="00715DD2" w:rsidRPr="00BC5F9A">
        <w:t>100%</w:t>
      </w:r>
      <w:r w:rsidR="00715DD2" w:rsidRPr="00A6077E">
        <w:t xml:space="preserve"> of </w:t>
      </w:r>
      <w:r w:rsidR="00BE3236" w:rsidRPr="00A6077E">
        <w:t xml:space="preserve">National Quality Framework (NQF) </w:t>
      </w:r>
      <w:r w:rsidR="00A60A3C" w:rsidRPr="00A6077E">
        <w:t>services</w:t>
      </w:r>
      <w:r w:rsidR="00715DD2" w:rsidRPr="00A6077E">
        <w:t xml:space="preserve"> </w:t>
      </w:r>
      <w:r w:rsidR="009525AC" w:rsidRPr="00A6077E">
        <w:t>rated as ‘Working towards National Quality Standard</w:t>
      </w:r>
      <w:r w:rsidR="00715DD2" w:rsidRPr="00A6077E">
        <w:t>’</w:t>
      </w:r>
      <w:r w:rsidR="009525AC" w:rsidRPr="00A6077E">
        <w:t xml:space="preserve"> (NQS) </w:t>
      </w:r>
      <w:r w:rsidR="005123F7" w:rsidRPr="00A6077E">
        <w:t>to improve performance</w:t>
      </w:r>
      <w:r w:rsidR="009525AC" w:rsidRPr="00A6077E">
        <w:t xml:space="preserve">. Of these services, </w:t>
      </w:r>
      <w:r w:rsidR="00C6778E" w:rsidRPr="00A6077E">
        <w:t xml:space="preserve">approximately 70% </w:t>
      </w:r>
      <w:r w:rsidR="009525AC" w:rsidRPr="00A6077E">
        <w:t>received a</w:t>
      </w:r>
      <w:r w:rsidR="00731958" w:rsidRPr="00A6077E">
        <w:t xml:space="preserve"> higher </w:t>
      </w:r>
      <w:r w:rsidR="009525AC" w:rsidRPr="00A6077E">
        <w:t xml:space="preserve">NQS rating </w:t>
      </w:r>
      <w:r w:rsidR="00A60A3C" w:rsidRPr="00A6077E">
        <w:t>upon reassessment</w:t>
      </w:r>
      <w:r w:rsidRPr="00A6077E">
        <w:t>.</w:t>
      </w:r>
    </w:p>
    <w:p w14:paraId="549EF5FB" w14:textId="1C3C0790" w:rsidR="00416C3F" w:rsidRDefault="005D3360" w:rsidP="00416C3F">
      <w:pPr>
        <w:pStyle w:val="Bullet1"/>
      </w:pPr>
      <w:r>
        <w:rPr>
          <w:b/>
          <w:bCs/>
        </w:rPr>
        <w:t>A</w:t>
      </w:r>
      <w:r w:rsidR="00D72CAC" w:rsidRPr="00D05710">
        <w:rPr>
          <w:b/>
          <w:bCs/>
        </w:rPr>
        <w:t>ssessing and rating all services</w:t>
      </w:r>
      <w:r w:rsidR="00D72CAC">
        <w:t xml:space="preserve"> - </w:t>
      </w:r>
      <w:r w:rsidR="00F317D5">
        <w:t>a</w:t>
      </w:r>
      <w:r w:rsidR="00416C3F">
        <w:t>ppl</w:t>
      </w:r>
      <w:r w:rsidR="00006977">
        <w:t>ying</w:t>
      </w:r>
      <w:r w:rsidR="00416C3F">
        <w:t xml:space="preserve"> a </w:t>
      </w:r>
      <w:r w:rsidR="00504E95">
        <w:t xml:space="preserve">transparent </w:t>
      </w:r>
      <w:r w:rsidR="00416C3F">
        <w:t xml:space="preserve">risk-based approach to </w:t>
      </w:r>
      <w:r w:rsidR="00416C3F" w:rsidRPr="00CF2D89">
        <w:t xml:space="preserve">assessing </w:t>
      </w:r>
      <w:r w:rsidR="00416C3F">
        <w:t xml:space="preserve">and rating </w:t>
      </w:r>
      <w:r w:rsidR="00416C3F" w:rsidRPr="00CF2D89">
        <w:t>services</w:t>
      </w:r>
      <w:r w:rsidR="00BE3236">
        <w:t xml:space="preserve"> in line with the NQS</w:t>
      </w:r>
      <w:r w:rsidR="00416C3F">
        <w:t xml:space="preserve">. </w:t>
      </w:r>
      <w:r w:rsidR="00420613">
        <w:t>Most</w:t>
      </w:r>
      <w:r w:rsidR="00064E4B">
        <w:t xml:space="preserve"> </w:t>
      </w:r>
      <w:r w:rsidR="00420613">
        <w:t xml:space="preserve">Victorian </w:t>
      </w:r>
      <w:r w:rsidR="00416C3F">
        <w:t xml:space="preserve">services </w:t>
      </w:r>
      <w:r w:rsidR="0025539A">
        <w:t xml:space="preserve">(85%) </w:t>
      </w:r>
      <w:r w:rsidR="00416C3F">
        <w:t>receiv</w:t>
      </w:r>
      <w:r w:rsidR="00BE3236">
        <w:t>ed</w:t>
      </w:r>
      <w:r w:rsidR="00416C3F">
        <w:t xml:space="preserve"> a</w:t>
      </w:r>
      <w:r w:rsidR="00416C3F" w:rsidRPr="00CF2D89">
        <w:t xml:space="preserve"> </w:t>
      </w:r>
      <w:r w:rsidR="00416C3F">
        <w:t>rating</w:t>
      </w:r>
      <w:r w:rsidR="0025539A">
        <w:t xml:space="preserve"> of Meeting NQS or above</w:t>
      </w:r>
      <w:r w:rsidR="00416C3F">
        <w:t xml:space="preserve">, indicating </w:t>
      </w:r>
      <w:r w:rsidR="00731958">
        <w:t xml:space="preserve">high </w:t>
      </w:r>
      <w:r w:rsidR="00416C3F">
        <w:t>quality of service</w:t>
      </w:r>
      <w:r>
        <w:t>.</w:t>
      </w:r>
    </w:p>
    <w:p w14:paraId="53B4E520" w14:textId="7B44A417" w:rsidR="00504E95" w:rsidRPr="00F969FF" w:rsidRDefault="005D3360" w:rsidP="00B969E0">
      <w:pPr>
        <w:pStyle w:val="Bullet1"/>
      </w:pPr>
      <w:r>
        <w:rPr>
          <w:b/>
          <w:bCs/>
        </w:rPr>
        <w:t>T</w:t>
      </w:r>
      <w:r w:rsidR="00D05710" w:rsidRPr="008A2ABE">
        <w:rPr>
          <w:b/>
          <w:bCs/>
        </w:rPr>
        <w:t>ransparent and accountable</w:t>
      </w:r>
      <w:r w:rsidR="00D72CAC" w:rsidRPr="008A2ABE">
        <w:rPr>
          <w:b/>
          <w:bCs/>
        </w:rPr>
        <w:t xml:space="preserve"> decisions</w:t>
      </w:r>
      <w:r w:rsidR="00D72CAC">
        <w:t xml:space="preserve"> - </w:t>
      </w:r>
      <w:r w:rsidR="00F317D5">
        <w:t>p</w:t>
      </w:r>
      <w:r w:rsidR="00BE3236">
        <w:t>rovid</w:t>
      </w:r>
      <w:r w:rsidR="00006977">
        <w:t>ing</w:t>
      </w:r>
      <w:r w:rsidR="00BE3236">
        <w:t xml:space="preserve"> quality assurance to the public by reporting </w:t>
      </w:r>
      <w:r w:rsidR="0011611D">
        <w:t xml:space="preserve">100% </w:t>
      </w:r>
      <w:r w:rsidR="003D0C2C">
        <w:t>(</w:t>
      </w:r>
      <w:r w:rsidR="0011611D">
        <w:t>178</w:t>
      </w:r>
      <w:r w:rsidR="003D0C2C">
        <w:t>) of</w:t>
      </w:r>
      <w:r w:rsidR="0011611D">
        <w:t xml:space="preserve"> </w:t>
      </w:r>
      <w:r w:rsidR="00CC2283">
        <w:t>high</w:t>
      </w:r>
      <w:r w:rsidR="003D0C2C">
        <w:t>-</w:t>
      </w:r>
      <w:r w:rsidR="00CC2283">
        <w:t>risk enforcement action</w:t>
      </w:r>
      <w:r w:rsidR="0011611D">
        <w:t>s</w:t>
      </w:r>
      <w:r w:rsidR="00504E95">
        <w:t xml:space="preserve"> and triaging high risk issues of non-compliance, incidents or complaints </w:t>
      </w:r>
      <w:r w:rsidR="0011611D">
        <w:t xml:space="preserve">within seven days </w:t>
      </w:r>
      <w:r w:rsidR="00504E95">
        <w:t>to prioritise the resolution of urgent risks</w:t>
      </w:r>
      <w:r>
        <w:t>.</w:t>
      </w:r>
    </w:p>
    <w:p w14:paraId="02F74E02" w14:textId="2C32AA25" w:rsidR="00416C3F" w:rsidRDefault="005D3360" w:rsidP="00416C3F">
      <w:pPr>
        <w:pStyle w:val="Bullet1"/>
      </w:pPr>
      <w:r>
        <w:rPr>
          <w:b/>
          <w:bCs/>
        </w:rPr>
        <w:t>T</w:t>
      </w:r>
      <w:r w:rsidR="00D72CAC" w:rsidRPr="008A2ABE">
        <w:rPr>
          <w:b/>
          <w:bCs/>
        </w:rPr>
        <w:t xml:space="preserve">imeliness </w:t>
      </w:r>
      <w:r w:rsidR="007A23BB">
        <w:rPr>
          <w:b/>
          <w:bCs/>
        </w:rPr>
        <w:t xml:space="preserve">of decisions </w:t>
      </w:r>
      <w:r w:rsidR="007E2DCC">
        <w:t>–</w:t>
      </w:r>
      <w:r w:rsidR="00D72CAC">
        <w:t xml:space="preserve"> </w:t>
      </w:r>
      <w:r w:rsidR="007E2DCC">
        <w:t>faster decision-making processes</w:t>
      </w:r>
      <w:r w:rsidR="00416C3F">
        <w:t xml:space="preserve"> </w:t>
      </w:r>
      <w:r w:rsidR="007A23BB">
        <w:t xml:space="preserve">were implemented </w:t>
      </w:r>
      <w:r w:rsidR="007E2DCC">
        <w:t xml:space="preserve">to avoid </w:t>
      </w:r>
      <w:r w:rsidR="00416C3F">
        <w:t xml:space="preserve">costly delays for </w:t>
      </w:r>
      <w:r w:rsidR="00BE3236">
        <w:t>services</w:t>
      </w:r>
      <w:r w:rsidR="007E2DCC">
        <w:t xml:space="preserve">, with 90% of </w:t>
      </w:r>
      <w:r w:rsidR="0057086C">
        <w:t xml:space="preserve">NQF </w:t>
      </w:r>
      <w:r w:rsidR="007E2DCC">
        <w:t>providers utilising the NQA ITS portal</w:t>
      </w:r>
      <w:r w:rsidR="00317BE8">
        <w:t xml:space="preserve"> </w:t>
      </w:r>
      <w:r w:rsidR="007E2DCC">
        <w:t>and reducing the time taken to assign ratings to NQF services by approximately</w:t>
      </w:r>
      <w:r w:rsidR="007A239E">
        <w:t xml:space="preserve"> two</w:t>
      </w:r>
      <w:r w:rsidR="007E2DCC">
        <w:t xml:space="preserve"> weeks</w:t>
      </w:r>
      <w:r>
        <w:t>.</w:t>
      </w:r>
    </w:p>
    <w:p w14:paraId="7BC17E8D" w14:textId="32E8E28E" w:rsidR="00504E95" w:rsidRDefault="005D3360" w:rsidP="00780747">
      <w:pPr>
        <w:pStyle w:val="Bullet1"/>
      </w:pPr>
      <w:r>
        <w:rPr>
          <w:b/>
          <w:bCs/>
        </w:rPr>
        <w:t>C</w:t>
      </w:r>
      <w:r w:rsidR="00D72CAC" w:rsidRPr="008A2ABE">
        <w:rPr>
          <w:b/>
          <w:bCs/>
        </w:rPr>
        <w:t>onsultation with regulated parties</w:t>
      </w:r>
      <w:r w:rsidR="00D72CAC">
        <w:t xml:space="preserve"> - </w:t>
      </w:r>
      <w:r w:rsidR="002E0294">
        <w:t>consulting</w:t>
      </w:r>
      <w:r w:rsidR="00A457F0">
        <w:t xml:space="preserve"> with </w:t>
      </w:r>
      <w:r w:rsidR="00416C3F">
        <w:t>the sector</w:t>
      </w:r>
      <w:r w:rsidR="00A457F0">
        <w:t>,</w:t>
      </w:r>
      <w:r w:rsidR="00416C3F">
        <w:t xml:space="preserve"> </w:t>
      </w:r>
      <w:r w:rsidR="00215274">
        <w:t xml:space="preserve">including </w:t>
      </w:r>
      <w:r w:rsidR="007A239E">
        <w:t xml:space="preserve">11 sessions </w:t>
      </w:r>
      <w:r w:rsidR="00215274">
        <w:t xml:space="preserve">on the regulatory reforms to the </w:t>
      </w:r>
      <w:r w:rsidR="00215274" w:rsidRPr="009B1BFB">
        <w:rPr>
          <w:i/>
          <w:iCs/>
        </w:rPr>
        <w:t>Children’s Services Act 1996</w:t>
      </w:r>
      <w:r w:rsidR="00215274">
        <w:t xml:space="preserve"> (</w:t>
      </w:r>
      <w:r w:rsidR="00625C9C">
        <w:t>Vic</w:t>
      </w:r>
      <w:r w:rsidR="00FB7F74">
        <w:t>torian</w:t>
      </w:r>
      <w:r w:rsidR="00625C9C">
        <w:t xml:space="preserve"> Law</w:t>
      </w:r>
      <w:r w:rsidR="00215274">
        <w:t>)</w:t>
      </w:r>
      <w:r w:rsidR="00504E95">
        <w:t xml:space="preserve"> </w:t>
      </w:r>
      <w:r w:rsidR="007A239E">
        <w:t>and 13 sessions on the NQF review</w:t>
      </w:r>
      <w:r>
        <w:t>.</w:t>
      </w:r>
    </w:p>
    <w:p w14:paraId="7584B219" w14:textId="0D8CB13B" w:rsidR="00416C3F" w:rsidRPr="00C61977" w:rsidRDefault="005D3360" w:rsidP="00780747">
      <w:pPr>
        <w:pStyle w:val="Bullet1"/>
      </w:pPr>
      <w:r>
        <w:rPr>
          <w:b/>
          <w:bCs/>
        </w:rPr>
        <w:t>E</w:t>
      </w:r>
      <w:r w:rsidR="00D72CAC" w:rsidRPr="008A2ABE">
        <w:rPr>
          <w:b/>
          <w:bCs/>
        </w:rPr>
        <w:t>ngagement with co-regulators</w:t>
      </w:r>
      <w:r w:rsidR="00D72CAC">
        <w:t xml:space="preserve"> - </w:t>
      </w:r>
      <w:r w:rsidR="00340274">
        <w:t>e</w:t>
      </w:r>
      <w:r w:rsidR="00504E95">
        <w:t xml:space="preserve">ngaging </w:t>
      </w:r>
      <w:r w:rsidR="00416C3F">
        <w:t xml:space="preserve">with co-regulators to </w:t>
      </w:r>
      <w:r w:rsidR="00420613">
        <w:t>promote child safety</w:t>
      </w:r>
      <w:r w:rsidR="00416C3F">
        <w:t xml:space="preserve">, including </w:t>
      </w:r>
      <w:r w:rsidR="007A239E">
        <w:t xml:space="preserve">regular meetings on </w:t>
      </w:r>
      <w:r w:rsidR="00A457F0">
        <w:t>oversight of</w:t>
      </w:r>
      <w:r w:rsidR="00416C3F">
        <w:t xml:space="preserve"> family day care</w:t>
      </w:r>
      <w:r w:rsidR="00A457F0">
        <w:t>, the Reportable Conduct Scheme</w:t>
      </w:r>
      <w:r w:rsidR="008F6FD2">
        <w:t xml:space="preserve"> (RCS)</w:t>
      </w:r>
      <w:r w:rsidR="00A457F0">
        <w:t xml:space="preserve"> and Child Safe Standards</w:t>
      </w:r>
      <w:r w:rsidR="00DE4A18">
        <w:t xml:space="preserve"> (CSS)</w:t>
      </w:r>
      <w:r w:rsidR="00416C3F">
        <w:t>.</w:t>
      </w:r>
    </w:p>
    <w:p w14:paraId="7EB16E9A" w14:textId="3A1F21C9" w:rsidR="00416C3F" w:rsidRPr="008A7B40" w:rsidRDefault="00416C3F" w:rsidP="00416C3F">
      <w:r w:rsidRPr="008A7B40">
        <w:t xml:space="preserve">The QARD </w:t>
      </w:r>
      <w:r w:rsidR="00B8068E" w:rsidRPr="008A7B40">
        <w:t>c</w:t>
      </w:r>
      <w:r w:rsidR="00B8068E">
        <w:t>ould</w:t>
      </w:r>
      <w:r w:rsidR="00B8068E" w:rsidRPr="008A7B40">
        <w:t xml:space="preserve"> </w:t>
      </w:r>
      <w:r w:rsidRPr="008A7B40">
        <w:t>improve in:</w:t>
      </w:r>
    </w:p>
    <w:p w14:paraId="2081A545" w14:textId="64D67D13" w:rsidR="0089467C" w:rsidRPr="0089467C" w:rsidRDefault="005D3360" w:rsidP="00CF183A">
      <w:pPr>
        <w:pStyle w:val="Bullet1"/>
      </w:pPr>
      <w:r>
        <w:rPr>
          <w:b/>
          <w:bCs/>
        </w:rPr>
        <w:t>B</w:t>
      </w:r>
      <w:r w:rsidR="00876429" w:rsidRPr="008A2ABE">
        <w:rPr>
          <w:b/>
          <w:bCs/>
        </w:rPr>
        <w:t>etter use of technologies</w:t>
      </w:r>
      <w:r w:rsidR="0081373C">
        <w:t xml:space="preserve"> – investing in more sophisticated IT systems and processes</w:t>
      </w:r>
      <w:r w:rsidR="0089467C">
        <w:t xml:space="preserve"> to save time for regulated parties and support the QARD to analyse data</w:t>
      </w:r>
      <w:r w:rsidR="0081373C">
        <w:t xml:space="preserve">. </w:t>
      </w:r>
      <w:r w:rsidR="00CF183A">
        <w:t>The SOE Response outlined t</w:t>
      </w:r>
      <w:r w:rsidR="0089467C">
        <w:t xml:space="preserve">wo activities </w:t>
      </w:r>
      <w:r w:rsidR="00CF183A">
        <w:t>that</w:t>
      </w:r>
      <w:r w:rsidR="0089467C">
        <w:t xml:space="preserve"> could not be completed in 2018-19</w:t>
      </w:r>
      <w:r w:rsidR="00CF183A">
        <w:t xml:space="preserve">, including investing in mobile </w:t>
      </w:r>
      <w:r w:rsidR="0081373C">
        <w:t xml:space="preserve">devices for ratings and assessment audits </w:t>
      </w:r>
      <w:r w:rsidR="00CF183A">
        <w:t>and</w:t>
      </w:r>
      <w:r w:rsidR="0089467C">
        <w:t xml:space="preserve"> collect</w:t>
      </w:r>
      <w:r w:rsidR="00CF183A">
        <w:t>ing new</w:t>
      </w:r>
      <w:r w:rsidR="0089467C">
        <w:t xml:space="preserve"> data</w:t>
      </w:r>
      <w:r w:rsidR="00CF183A">
        <w:t xml:space="preserve"> in </w:t>
      </w:r>
      <w:r w:rsidR="006B126D">
        <w:t xml:space="preserve">the </w:t>
      </w:r>
      <w:r w:rsidR="00CF183A">
        <w:t>NQA IT System</w:t>
      </w:r>
      <w:r w:rsidR="0089467C">
        <w:t xml:space="preserve"> on the number of incidents and complaints that were triaged within seven days</w:t>
      </w:r>
      <w:r>
        <w:t>.</w:t>
      </w:r>
    </w:p>
    <w:p w14:paraId="4D1998BA" w14:textId="7FC34DD8" w:rsidR="00416C3F" w:rsidRDefault="00B8068E" w:rsidP="00416C3F">
      <w:r>
        <w:t xml:space="preserve">The Department and the QARD could consider </w:t>
      </w:r>
      <w:r w:rsidR="00E27889">
        <w:t>improving</w:t>
      </w:r>
      <w:r>
        <w:t xml:space="preserve"> processes in future SOEs, such as: </w:t>
      </w:r>
    </w:p>
    <w:p w14:paraId="6A04E784" w14:textId="5C141CB1" w:rsidR="00416C3F" w:rsidRPr="005E206A" w:rsidRDefault="005D3360" w:rsidP="00416C3F">
      <w:pPr>
        <w:pStyle w:val="Bullet1"/>
      </w:pPr>
      <w:r>
        <w:rPr>
          <w:b/>
          <w:bCs/>
        </w:rPr>
        <w:t>S</w:t>
      </w:r>
      <w:r w:rsidR="00787667" w:rsidRPr="00787667">
        <w:rPr>
          <w:b/>
          <w:bCs/>
        </w:rPr>
        <w:t>trategic alignment</w:t>
      </w:r>
      <w:r w:rsidR="00787667">
        <w:t xml:space="preserve"> - </w:t>
      </w:r>
      <w:r w:rsidR="00176777">
        <w:t xml:space="preserve">clearly aligning </w:t>
      </w:r>
      <w:r w:rsidR="00F317D5">
        <w:t>t</w:t>
      </w:r>
      <w:r w:rsidR="00416C3F">
        <w:t xml:space="preserve">he Evaluation Plan </w:t>
      </w:r>
      <w:r w:rsidR="00F317D5">
        <w:t xml:space="preserve">to </w:t>
      </w:r>
      <w:r w:rsidR="00416C3F">
        <w:t xml:space="preserve">the SOE Letter and SOE </w:t>
      </w:r>
      <w:r w:rsidR="00283416">
        <w:t>Response and</w:t>
      </w:r>
      <w:r w:rsidR="00416C3F">
        <w:t xml:space="preserve"> </w:t>
      </w:r>
      <w:r w:rsidR="00176777">
        <w:t>developing outcome performance measures</w:t>
      </w:r>
      <w:r w:rsidR="00283416">
        <w:t xml:space="preserve">. The three documents were developed independently, and closer linkages between expectations, activities and </w:t>
      </w:r>
      <w:r w:rsidR="00283416" w:rsidRPr="005E206A">
        <w:t xml:space="preserve">performance measures would have improved the coherence of the </w:t>
      </w:r>
      <w:r w:rsidR="00792BAD" w:rsidRPr="005E206A">
        <w:t xml:space="preserve">SOE and the </w:t>
      </w:r>
      <w:r w:rsidR="00283416" w:rsidRPr="005E206A">
        <w:t>evaluation. Many of the performance measures were based on outputs, rather than outcomes, and in these cases the result of the QARD action was not demonstrated</w:t>
      </w:r>
      <w:r w:rsidRPr="005E206A">
        <w:t>.</w:t>
      </w:r>
    </w:p>
    <w:p w14:paraId="5932ABE3" w14:textId="33D256E7" w:rsidR="00416C3F" w:rsidRPr="005E206A" w:rsidRDefault="005D3360" w:rsidP="00416C3F">
      <w:pPr>
        <w:pStyle w:val="Bullet1"/>
      </w:pPr>
      <w:r w:rsidRPr="005E206A">
        <w:rPr>
          <w:b/>
          <w:bCs/>
        </w:rPr>
        <w:lastRenderedPageBreak/>
        <w:t>F</w:t>
      </w:r>
      <w:r w:rsidR="00787667" w:rsidRPr="005E206A">
        <w:rPr>
          <w:b/>
          <w:bCs/>
        </w:rPr>
        <w:t>unded, realistic activities</w:t>
      </w:r>
      <w:r w:rsidR="00787667" w:rsidRPr="005E206A">
        <w:t xml:space="preserve"> - </w:t>
      </w:r>
      <w:r w:rsidR="00283416" w:rsidRPr="005E206A">
        <w:t xml:space="preserve">only activities that have been funded, </w:t>
      </w:r>
      <w:r w:rsidR="00E02385" w:rsidRPr="005E206A">
        <w:t xml:space="preserve">are </w:t>
      </w:r>
      <w:r w:rsidR="00283416" w:rsidRPr="005E206A">
        <w:t>likely to be completed and can be reported within the evaluation timeframe should be included</w:t>
      </w:r>
      <w:r w:rsidR="00416C3F" w:rsidRPr="005E206A">
        <w:t xml:space="preserve"> </w:t>
      </w:r>
      <w:r w:rsidR="00E02385" w:rsidRPr="005E206A">
        <w:t xml:space="preserve">to enable the QARD to fully achieve the SOE. The QARD was </w:t>
      </w:r>
      <w:r w:rsidR="00983C42" w:rsidRPr="005E206A">
        <w:t xml:space="preserve">mostly successful, </w:t>
      </w:r>
      <w:r w:rsidR="00E02385" w:rsidRPr="005E206A">
        <w:t>able to implement all but t</w:t>
      </w:r>
      <w:r w:rsidR="005C4F44">
        <w:t>wo</w:t>
      </w:r>
      <w:r w:rsidR="00E02385" w:rsidRPr="005E206A">
        <w:t xml:space="preserve"> activities, due to the resourcing and budget constraints</w:t>
      </w:r>
      <w:r w:rsidRPr="005E206A">
        <w:t>.</w:t>
      </w:r>
      <w:r w:rsidR="00AF4D03" w:rsidRPr="005E206A">
        <w:t xml:space="preserve"> One of these activities was </w:t>
      </w:r>
      <w:r w:rsidR="00397F1C" w:rsidRPr="005E206A">
        <w:t>achieved</w:t>
      </w:r>
      <w:r w:rsidR="00AF4D03" w:rsidRPr="005E206A">
        <w:t xml:space="preserve"> in an alternative way. </w:t>
      </w:r>
    </w:p>
    <w:p w14:paraId="77119FE2" w14:textId="624BF62E" w:rsidR="00416C3F" w:rsidRDefault="005D3360" w:rsidP="00416C3F">
      <w:pPr>
        <w:pStyle w:val="Bullet1"/>
      </w:pPr>
      <w:r w:rsidRPr="005E206A">
        <w:rPr>
          <w:b/>
          <w:bCs/>
        </w:rPr>
        <w:t>C</w:t>
      </w:r>
      <w:r w:rsidR="00787667" w:rsidRPr="005E206A">
        <w:rPr>
          <w:b/>
          <w:bCs/>
        </w:rPr>
        <w:t>omparable data</w:t>
      </w:r>
      <w:r w:rsidR="00787667" w:rsidRPr="005E206A">
        <w:t xml:space="preserve"> - </w:t>
      </w:r>
      <w:r w:rsidR="00176777" w:rsidRPr="005E206A">
        <w:t xml:space="preserve">comparing </w:t>
      </w:r>
      <w:r w:rsidR="00006977" w:rsidRPr="005E206A">
        <w:t>a</w:t>
      </w:r>
      <w:r w:rsidR="00416C3F" w:rsidRPr="005E206A">
        <w:t>ll data across the same</w:t>
      </w:r>
      <w:r w:rsidR="00416C3F" w:rsidRPr="007D44E2">
        <w:t xml:space="preserve"> timeframe</w:t>
      </w:r>
      <w:r w:rsidR="00416C3F">
        <w:t xml:space="preserve">, </w:t>
      </w:r>
      <w:r w:rsidR="00E02385">
        <w:t xml:space="preserve">as the evaluation has a mix of financial year and calendar year data. The SOE is framed in the financial year, however </w:t>
      </w:r>
      <w:r w:rsidR="00416C3F">
        <w:t xml:space="preserve">calendar year data </w:t>
      </w:r>
      <w:r w:rsidR="00E02385">
        <w:t xml:space="preserve">(in line with the school year) </w:t>
      </w:r>
      <w:r w:rsidR="00416C3F">
        <w:t xml:space="preserve">is most appropriate for </w:t>
      </w:r>
      <w:r w:rsidR="00E02385">
        <w:t xml:space="preserve">performance reporting in </w:t>
      </w:r>
      <w:r w:rsidR="00416C3F">
        <w:t>the early childhood sector</w:t>
      </w:r>
      <w:r>
        <w:t>.</w:t>
      </w:r>
    </w:p>
    <w:bookmarkEnd w:id="4"/>
    <w:p w14:paraId="02B10F2A" w14:textId="63121883" w:rsidR="003817EE" w:rsidRDefault="003817EE" w:rsidP="00A6077E">
      <w:pPr>
        <w:pStyle w:val="Bullet1"/>
        <w:numPr>
          <w:ilvl w:val="0"/>
          <w:numId w:val="0"/>
        </w:numPr>
        <w:ind w:left="360"/>
      </w:pPr>
    </w:p>
    <w:p w14:paraId="12E7AF6C" w14:textId="77777777" w:rsidR="003817EE" w:rsidRPr="003817EE" w:rsidRDefault="003817EE" w:rsidP="00A6077E"/>
    <w:p w14:paraId="65058763" w14:textId="77777777" w:rsidR="00DD781F" w:rsidRDefault="00DD781F" w:rsidP="00DD781F"/>
    <w:p w14:paraId="0EDC0FA4" w14:textId="6FB3EFDB" w:rsidR="00DD781F" w:rsidRPr="00DD781F" w:rsidRDefault="00DD781F" w:rsidP="00DD781F">
      <w:pPr>
        <w:sectPr w:rsidR="00DD781F" w:rsidRPr="00DD781F">
          <w:footerReference w:type="default" r:id="rId18"/>
          <w:pgSz w:w="11906" w:h="16838"/>
          <w:pgMar w:top="1440" w:right="1440" w:bottom="1440" w:left="1440" w:header="708" w:footer="708" w:gutter="0"/>
          <w:cols w:space="708"/>
          <w:docGrid w:linePitch="360"/>
        </w:sectPr>
      </w:pPr>
    </w:p>
    <w:p w14:paraId="2B50B70F" w14:textId="77777777" w:rsidR="00416C3F" w:rsidRDefault="00416C3F" w:rsidP="00416C3F">
      <w:pPr>
        <w:pStyle w:val="Heading1"/>
        <w:numPr>
          <w:ilvl w:val="0"/>
          <w:numId w:val="1"/>
        </w:numPr>
      </w:pPr>
      <w:bookmarkStart w:id="5" w:name="_Toc43913611"/>
      <w:bookmarkStart w:id="6" w:name="_Toc65051573"/>
      <w:r>
        <w:lastRenderedPageBreak/>
        <w:t xml:space="preserve">EVALUATION </w:t>
      </w:r>
      <w:r>
        <w:rPr>
          <w:caps w:val="0"/>
        </w:rPr>
        <w:t>CONTEXT</w:t>
      </w:r>
      <w:bookmarkEnd w:id="5"/>
      <w:bookmarkEnd w:id="6"/>
    </w:p>
    <w:p w14:paraId="4D046C3D" w14:textId="168C7FD7" w:rsidR="00416C3F" w:rsidRDefault="00836EEF" w:rsidP="00B969E0">
      <w:pPr>
        <w:pStyle w:val="Heading2"/>
        <w:pBdr>
          <w:top w:val="single" w:sz="4" w:space="1" w:color="auto"/>
        </w:pBdr>
      </w:pPr>
      <w:bookmarkStart w:id="7" w:name="_Toc65051574"/>
      <w:r>
        <w:rPr>
          <w:caps w:val="0"/>
        </w:rPr>
        <w:t>STATEMENT OF EXPECTATIONS FRAMEWORK</w:t>
      </w:r>
      <w:bookmarkEnd w:id="7"/>
    </w:p>
    <w:p w14:paraId="3DB945C3" w14:textId="1A58BBBE" w:rsidR="00416C3F" w:rsidRDefault="00416C3F" w:rsidP="00416C3F">
      <w:pPr>
        <w:pStyle w:val="Intro"/>
        <w:pBdr>
          <w:top w:val="none" w:sz="0" w:space="0" w:color="auto"/>
        </w:pBdr>
      </w:pPr>
      <w:r>
        <w:t xml:space="preserve">The </w:t>
      </w:r>
      <w:r w:rsidR="00CC34CA">
        <w:t xml:space="preserve">Minister outlined expectations for the QARD to promote greater </w:t>
      </w:r>
      <w:r>
        <w:t>efficiency in regulation</w:t>
      </w:r>
      <w:r w:rsidR="00CC34CA">
        <w:t xml:space="preserve"> in the SOE</w:t>
      </w:r>
      <w:r w:rsidRPr="009942EE">
        <w:t xml:space="preserve"> </w:t>
      </w:r>
      <w:r w:rsidR="0038047B">
        <w:t>over</w:t>
      </w:r>
      <w:r w:rsidRPr="009942EE">
        <w:t xml:space="preserve"> two years. </w:t>
      </w:r>
    </w:p>
    <w:p w14:paraId="07B62F5F" w14:textId="50226376" w:rsidR="00416C3F" w:rsidRDefault="00416C3F" w:rsidP="00416C3F">
      <w:pPr>
        <w:pStyle w:val="Intro"/>
        <w:pBdr>
          <w:top w:val="none" w:sz="0" w:space="0" w:color="auto"/>
        </w:pBdr>
      </w:pPr>
      <w:r w:rsidRPr="00A45DE5">
        <w:t>The SOE Framework</w:t>
      </w:r>
      <w:r>
        <w:t xml:space="preserve"> for Regulators (SOE Framework) </w:t>
      </w:r>
      <w:r w:rsidR="00CC34CA">
        <w:t>process was followed, including</w:t>
      </w:r>
      <w:r>
        <w:t>:</w:t>
      </w:r>
    </w:p>
    <w:p w14:paraId="5E6E982E" w14:textId="77777777" w:rsidR="00CC34CA" w:rsidRDefault="00CC34CA" w:rsidP="00CC34CA">
      <w:pPr>
        <w:pStyle w:val="Bullet1"/>
        <w:spacing w:before="0"/>
      </w:pPr>
      <w:r>
        <w:t>the Minister set priorities within an SOE Letter that was published on the regulator’s website</w:t>
      </w:r>
    </w:p>
    <w:p w14:paraId="53D0F62D" w14:textId="59DB22E7" w:rsidR="00CC34CA" w:rsidRDefault="00CC34CA" w:rsidP="00CC34CA">
      <w:pPr>
        <w:pStyle w:val="Bullet1"/>
        <w:spacing w:before="0"/>
      </w:pPr>
      <w:r>
        <w:t xml:space="preserve">the </w:t>
      </w:r>
      <w:r w:rsidR="00A521D5">
        <w:t>QARD</w:t>
      </w:r>
      <w:r>
        <w:t xml:space="preserve"> set activities to deliver the SOE (the SOE Response) that was published on the regulator’s website </w:t>
      </w:r>
    </w:p>
    <w:p w14:paraId="1280F18B" w14:textId="0758BD7A" w:rsidR="00CC34CA" w:rsidRPr="007D0DCB" w:rsidRDefault="00CC34CA" w:rsidP="00CC34CA">
      <w:pPr>
        <w:pStyle w:val="Bullet1"/>
        <w:spacing w:before="0"/>
      </w:pPr>
      <w:r>
        <w:t xml:space="preserve">The Department developed an SOE Evaluation Plan in consultation with the </w:t>
      </w:r>
      <w:r w:rsidR="00A521D5">
        <w:t>QARD</w:t>
      </w:r>
    </w:p>
    <w:p w14:paraId="77BF2920" w14:textId="070F4B38" w:rsidR="00CC34CA" w:rsidRPr="00993E4C" w:rsidRDefault="00CC34CA" w:rsidP="00CC34CA">
      <w:pPr>
        <w:pStyle w:val="Bullet1"/>
        <w:spacing w:before="0"/>
      </w:pPr>
      <w:r>
        <w:t xml:space="preserve">the </w:t>
      </w:r>
      <w:r w:rsidR="00A521D5">
        <w:t>QARD</w:t>
      </w:r>
      <w:r>
        <w:t xml:space="preserve"> reported publicly against the improvements and targets included in the SOE Letter and SOE Response in its annual report</w:t>
      </w:r>
    </w:p>
    <w:p w14:paraId="7B99A356" w14:textId="52AAAB73" w:rsidR="00CC34CA" w:rsidRDefault="00CC34CA" w:rsidP="00CC34CA">
      <w:pPr>
        <w:pStyle w:val="Bullet1"/>
        <w:spacing w:before="0"/>
      </w:pPr>
      <w:r>
        <w:t xml:space="preserve">the Department evaluated the </w:t>
      </w:r>
      <w:r w:rsidR="00A521D5">
        <w:t>QARD</w:t>
      </w:r>
      <w:r>
        <w:t>’s performance in implementing the SOE and published this report on the evaluation findings on the Department’s website</w:t>
      </w:r>
    </w:p>
    <w:p w14:paraId="501C1E0A" w14:textId="77777777" w:rsidR="00CC34CA" w:rsidRPr="00A369C2" w:rsidRDefault="00CC34CA" w:rsidP="00CC34CA">
      <w:pPr>
        <w:pStyle w:val="Bullet1"/>
        <w:spacing w:before="0"/>
      </w:pPr>
      <w:r>
        <w:t>Better Regulation Victoria will review this evaluation report to identify areas of best practice across the regulation sector.</w:t>
      </w:r>
    </w:p>
    <w:p w14:paraId="5B288F2F" w14:textId="48E70D30" w:rsidR="00416C3F" w:rsidRDefault="00836EEF" w:rsidP="00416C3F">
      <w:pPr>
        <w:pStyle w:val="Heading2"/>
      </w:pPr>
      <w:bookmarkStart w:id="8" w:name="_Toc65051575"/>
      <w:r>
        <w:rPr>
          <w:caps w:val="0"/>
        </w:rPr>
        <w:t>OVERVIEW - THE QUALITY ASSESSMENT AND REGULATION DIVISION</w:t>
      </w:r>
      <w:bookmarkEnd w:id="8"/>
    </w:p>
    <w:p w14:paraId="1EF14C8A" w14:textId="140A0660" w:rsidR="00416C3F" w:rsidRDefault="00416C3F" w:rsidP="00416C3F">
      <w:r>
        <w:t>The QARD is responsible for the approval, licensing and regulation of approximately 4,500 early childhood services in Victoria. The QARD regulates early childhood services under two schemes:</w:t>
      </w:r>
    </w:p>
    <w:p w14:paraId="2A12040E" w14:textId="52E1266C" w:rsidR="00416C3F" w:rsidRDefault="00A03E87" w:rsidP="00416C3F">
      <w:pPr>
        <w:pStyle w:val="Bullet1"/>
      </w:pPr>
      <w:r>
        <w:t>t</w:t>
      </w:r>
      <w:r w:rsidR="00416C3F">
        <w:t xml:space="preserve">he </w:t>
      </w:r>
      <w:r w:rsidR="00416C3F" w:rsidRPr="00E13E72">
        <w:rPr>
          <w:i/>
        </w:rPr>
        <w:t xml:space="preserve">Education and Care Services National Law Act </w:t>
      </w:r>
      <w:r w:rsidR="00E13E72" w:rsidRPr="00E13E72">
        <w:rPr>
          <w:i/>
        </w:rPr>
        <w:t>2010</w:t>
      </w:r>
      <w:r w:rsidR="00E13E72">
        <w:rPr>
          <w:iCs/>
        </w:rPr>
        <w:t xml:space="preserve"> </w:t>
      </w:r>
      <w:r w:rsidR="00416C3F" w:rsidRPr="00C61EB2">
        <w:rPr>
          <w:iCs/>
        </w:rPr>
        <w:t>(National Law)</w:t>
      </w:r>
      <w:r w:rsidR="00416C3F">
        <w:t xml:space="preserve">, comprising </w:t>
      </w:r>
      <w:r>
        <w:t>most</w:t>
      </w:r>
      <w:r w:rsidR="00416C3F">
        <w:t xml:space="preserve"> services (93%), including long day care, </w:t>
      </w:r>
      <w:r w:rsidR="00C50687">
        <w:t>kindergarten</w:t>
      </w:r>
      <w:r w:rsidR="00416C3F">
        <w:t>, outside school hours care and family day care</w:t>
      </w:r>
    </w:p>
    <w:p w14:paraId="1032503A" w14:textId="617398C1" w:rsidR="00416C3F" w:rsidRDefault="00A03E87" w:rsidP="00416C3F">
      <w:pPr>
        <w:pStyle w:val="Bullet1"/>
      </w:pPr>
      <w:r>
        <w:t>t</w:t>
      </w:r>
      <w:r w:rsidR="00416C3F">
        <w:t xml:space="preserve">he </w:t>
      </w:r>
      <w:r w:rsidR="00416C3F" w:rsidRPr="00924319">
        <w:rPr>
          <w:i/>
          <w:iCs/>
        </w:rPr>
        <w:t>Children’s Services Act 1996</w:t>
      </w:r>
      <w:r w:rsidR="00416C3F" w:rsidRPr="00924319">
        <w:t xml:space="preserve"> (Vic</w:t>
      </w:r>
      <w:r w:rsidR="00625C9C">
        <w:t>torian</w:t>
      </w:r>
      <w:r w:rsidR="00924319" w:rsidRPr="00924319">
        <w:t xml:space="preserve"> Law</w:t>
      </w:r>
      <w:r w:rsidR="00416C3F" w:rsidRPr="00924319">
        <w:t>),</w:t>
      </w:r>
      <w:r w:rsidR="00416C3F">
        <w:t xml:space="preserve"> comprising a small number of services (7%), including all limited hours and short-term licensed services, occasional care, early childhood intervention, mobile services and some school holiday care programs. </w:t>
      </w:r>
    </w:p>
    <w:p w14:paraId="753C6AF4" w14:textId="3D87F72D" w:rsidR="00416C3F" w:rsidRDefault="00CC34CA" w:rsidP="00416C3F">
      <w:r>
        <w:t>The QARD’s k</w:t>
      </w:r>
      <w:r w:rsidR="00416C3F">
        <w:t>ey regulatory functions include</w:t>
      </w:r>
      <w:r w:rsidR="003953D4">
        <w:t>d</w:t>
      </w:r>
      <w:r w:rsidR="00416C3F">
        <w:t>:</w:t>
      </w:r>
    </w:p>
    <w:p w14:paraId="29E00116" w14:textId="057C8DAB" w:rsidR="00416C3F" w:rsidRDefault="0038047B" w:rsidP="00416C3F">
      <w:pPr>
        <w:pStyle w:val="Bullet1"/>
      </w:pPr>
      <w:r>
        <w:t>a</w:t>
      </w:r>
      <w:r w:rsidR="00416C3F">
        <w:t xml:space="preserve">pproving early childhood </w:t>
      </w:r>
      <w:r w:rsidR="008153AB">
        <w:t xml:space="preserve">providers and </w:t>
      </w:r>
      <w:r w:rsidR="00416C3F">
        <w:t>services to operate in Victoria</w:t>
      </w:r>
    </w:p>
    <w:p w14:paraId="119678F2" w14:textId="34417DC0" w:rsidR="00416C3F" w:rsidRDefault="0038047B" w:rsidP="00416C3F">
      <w:pPr>
        <w:pStyle w:val="Bullet1"/>
      </w:pPr>
      <w:r>
        <w:t>a</w:t>
      </w:r>
      <w:r w:rsidR="00416C3F">
        <w:t xml:space="preserve">ssessing and rating services under the </w:t>
      </w:r>
      <w:r w:rsidR="00D13DC0">
        <w:t>NQS</w:t>
      </w:r>
    </w:p>
    <w:p w14:paraId="326EF00C" w14:textId="12273C1A" w:rsidR="0038047B" w:rsidRDefault="0038047B" w:rsidP="00775FC5">
      <w:pPr>
        <w:pStyle w:val="Bullet1"/>
      </w:pPr>
      <w:r>
        <w:t>c</w:t>
      </w:r>
      <w:r w:rsidR="00416C3F">
        <w:t>onducting inspections of services to monitor regulatory compliance</w:t>
      </w:r>
      <w:r>
        <w:t>, undertaking enforcement action and applying sanctions for non-compliance</w:t>
      </w:r>
    </w:p>
    <w:p w14:paraId="6BC8CAA8" w14:textId="77777777" w:rsidR="00416C3F" w:rsidRDefault="00416C3F" w:rsidP="00B969E0">
      <w:pPr>
        <w:pStyle w:val="Heading3"/>
      </w:pPr>
      <w:r>
        <w:t>THE QARD SOE 2018-19</w:t>
      </w:r>
    </w:p>
    <w:p w14:paraId="11137A08" w14:textId="1B388BD1" w:rsidR="00416C3F" w:rsidRDefault="00416C3F" w:rsidP="00416C3F">
      <w:r w:rsidRPr="00042E94">
        <w:t xml:space="preserve">The </w:t>
      </w:r>
      <w:r w:rsidR="002D41C3" w:rsidRPr="009329C4">
        <w:t>Hon</w:t>
      </w:r>
      <w:r w:rsidR="002D41C3">
        <w:t>.</w:t>
      </w:r>
      <w:r w:rsidR="002D41C3" w:rsidRPr="009329C4">
        <w:t xml:space="preserve"> Jenny Mikakos MP, Minister for Families and Children, M</w:t>
      </w:r>
      <w:r w:rsidR="002D41C3">
        <w:t xml:space="preserve">inister for Early Childhood Education and Minister for Youth Affairs issued the </w:t>
      </w:r>
      <w:hyperlink r:id="rId19" w:history="1">
        <w:r w:rsidR="006A6EF5" w:rsidRPr="006A6EF5">
          <w:rPr>
            <w:rStyle w:val="Hyperlink"/>
          </w:rPr>
          <w:t>QARD SOE letter for 2018-19</w:t>
        </w:r>
      </w:hyperlink>
      <w:r w:rsidRPr="00042E94">
        <w:t xml:space="preserve"> </w:t>
      </w:r>
      <w:r w:rsidR="002D41C3">
        <w:t>on</w:t>
      </w:r>
      <w:r w:rsidRPr="009329C4">
        <w:t xml:space="preserve"> 28 June 2018</w:t>
      </w:r>
      <w:r>
        <w:t xml:space="preserve">. </w:t>
      </w:r>
      <w:r w:rsidRPr="00042E94">
        <w:t xml:space="preserve">The </w:t>
      </w:r>
      <w:r w:rsidR="008153AB">
        <w:t>Secretary</w:t>
      </w:r>
      <w:r w:rsidR="00C16B85">
        <w:t xml:space="preserve"> of the Department</w:t>
      </w:r>
      <w:r w:rsidR="008153AB">
        <w:t xml:space="preserve">, in their role as the Regulatory Authority, </w:t>
      </w:r>
      <w:r>
        <w:t xml:space="preserve">issued </w:t>
      </w:r>
      <w:r w:rsidR="008153AB">
        <w:t xml:space="preserve">the </w:t>
      </w:r>
      <w:hyperlink r:id="rId20" w:history="1">
        <w:r w:rsidR="008153AB" w:rsidRPr="006A6EF5">
          <w:rPr>
            <w:rStyle w:val="Hyperlink"/>
          </w:rPr>
          <w:t xml:space="preserve">QARD </w:t>
        </w:r>
        <w:r w:rsidR="00C61EB2" w:rsidRPr="006A6EF5">
          <w:rPr>
            <w:rStyle w:val="Hyperlink"/>
          </w:rPr>
          <w:t>SOE</w:t>
        </w:r>
        <w:r w:rsidRPr="006A6EF5">
          <w:rPr>
            <w:rStyle w:val="Hyperlink"/>
          </w:rPr>
          <w:t xml:space="preserve"> </w:t>
        </w:r>
        <w:r w:rsidR="00C61EB2" w:rsidRPr="006A6EF5">
          <w:rPr>
            <w:rStyle w:val="Hyperlink"/>
          </w:rPr>
          <w:t>Response</w:t>
        </w:r>
      </w:hyperlink>
      <w:r w:rsidR="00C61EB2">
        <w:t xml:space="preserve"> </w:t>
      </w:r>
      <w:r>
        <w:t xml:space="preserve">to the SOE letter 2018-19 on 16 July 2018 and published it on the QARD website. </w:t>
      </w:r>
      <w:r w:rsidRPr="00042E94">
        <w:t>The SOE letter expire</w:t>
      </w:r>
      <w:r>
        <w:t>d</w:t>
      </w:r>
      <w:r w:rsidRPr="00042E94">
        <w:t xml:space="preserve"> on </w:t>
      </w:r>
      <w:r>
        <w:t>30 June 2019</w:t>
      </w:r>
      <w:r w:rsidRPr="00042E94">
        <w:t xml:space="preserve">. </w:t>
      </w:r>
    </w:p>
    <w:p w14:paraId="333D4712" w14:textId="77777777" w:rsidR="00416C3F" w:rsidRDefault="00416C3F" w:rsidP="00B969E0">
      <w:pPr>
        <w:pStyle w:val="Heading3"/>
      </w:pPr>
      <w:r>
        <w:t>THE QARD SOE 2019-20</w:t>
      </w:r>
    </w:p>
    <w:p w14:paraId="50DC3FED" w14:textId="6D19B777" w:rsidR="00416C3F" w:rsidRDefault="00416C3F" w:rsidP="00416C3F">
      <w:r w:rsidRPr="00042E94">
        <w:t xml:space="preserve">The </w:t>
      </w:r>
      <w:r w:rsidR="00ED29F9" w:rsidRPr="0064536C">
        <w:t>Hon</w:t>
      </w:r>
      <w:r w:rsidR="00ED29F9">
        <w:t>.</w:t>
      </w:r>
      <w:r w:rsidR="00ED29F9" w:rsidRPr="0064536C">
        <w:t xml:space="preserve"> James Merlino MP, Deputy Premier and Minister of Education</w:t>
      </w:r>
      <w:r w:rsidR="00ED29F9">
        <w:t xml:space="preserve"> issued the </w:t>
      </w:r>
      <w:hyperlink r:id="rId21" w:history="1">
        <w:r w:rsidR="009679C3" w:rsidRPr="006A6EF5">
          <w:rPr>
            <w:rStyle w:val="Hyperlink"/>
          </w:rPr>
          <w:t xml:space="preserve">QARD </w:t>
        </w:r>
        <w:r w:rsidRPr="006A6EF5">
          <w:rPr>
            <w:rStyle w:val="Hyperlink"/>
          </w:rPr>
          <w:t>SOE letter for 2019-20</w:t>
        </w:r>
      </w:hyperlink>
      <w:r w:rsidRPr="00042E94">
        <w:t xml:space="preserve"> </w:t>
      </w:r>
      <w:r w:rsidRPr="0064536C">
        <w:t>on 13 August 2019.</w:t>
      </w:r>
      <w:r>
        <w:t xml:space="preserve"> </w:t>
      </w:r>
      <w:r w:rsidR="008153AB" w:rsidRPr="00042E94">
        <w:t xml:space="preserve">The </w:t>
      </w:r>
      <w:r w:rsidR="008153AB">
        <w:t>Secretary</w:t>
      </w:r>
      <w:r w:rsidR="00C16B85">
        <w:t xml:space="preserve"> of the Department</w:t>
      </w:r>
      <w:r w:rsidR="008153AB">
        <w:t xml:space="preserve">, in their role as the Regulatory Authority, issued the </w:t>
      </w:r>
      <w:hyperlink r:id="rId22" w:history="1">
        <w:r w:rsidR="008153AB" w:rsidRPr="006A6EF5">
          <w:rPr>
            <w:rStyle w:val="Hyperlink"/>
          </w:rPr>
          <w:t>QARD SOE</w:t>
        </w:r>
        <w:r w:rsidR="00B961FA" w:rsidRPr="006A6EF5">
          <w:rPr>
            <w:rStyle w:val="Hyperlink"/>
          </w:rPr>
          <w:t xml:space="preserve"> Response</w:t>
        </w:r>
      </w:hyperlink>
      <w:r w:rsidR="00B961FA">
        <w:t xml:space="preserve"> to the </w:t>
      </w:r>
      <w:r>
        <w:t xml:space="preserve"> SOE letter 2019-20 on </w:t>
      </w:r>
      <w:r w:rsidR="00E13E72">
        <w:br/>
      </w:r>
      <w:r>
        <w:lastRenderedPageBreak/>
        <w:t xml:space="preserve">26 September 2019 and published it on the QARD website. </w:t>
      </w:r>
      <w:r w:rsidRPr="00042E94">
        <w:t xml:space="preserve">The </w:t>
      </w:r>
      <w:r w:rsidR="0019592B">
        <w:t xml:space="preserve">nominal expiry date of the </w:t>
      </w:r>
      <w:r>
        <w:t xml:space="preserve">current </w:t>
      </w:r>
      <w:r w:rsidRPr="00042E94">
        <w:t xml:space="preserve">SOE letter </w:t>
      </w:r>
      <w:r>
        <w:t>is 30 June 2020</w:t>
      </w:r>
      <w:r w:rsidRPr="00042E94">
        <w:t>.</w:t>
      </w:r>
    </w:p>
    <w:p w14:paraId="2C8D3E64" w14:textId="0C0DB024" w:rsidR="00416C3F" w:rsidRPr="00AE4FC6" w:rsidRDefault="00836EEF" w:rsidP="00416C3F">
      <w:pPr>
        <w:pStyle w:val="Heading2"/>
      </w:pPr>
      <w:bookmarkStart w:id="9" w:name="_Toc65051576"/>
      <w:r w:rsidRPr="00AE4FC6">
        <w:rPr>
          <w:caps w:val="0"/>
        </w:rPr>
        <w:t xml:space="preserve">PURPOSE OF </w:t>
      </w:r>
      <w:r>
        <w:rPr>
          <w:caps w:val="0"/>
        </w:rPr>
        <w:t>THE EVALUATION</w:t>
      </w:r>
      <w:bookmarkEnd w:id="9"/>
      <w:r>
        <w:rPr>
          <w:caps w:val="0"/>
        </w:rPr>
        <w:t xml:space="preserve"> </w:t>
      </w:r>
    </w:p>
    <w:p w14:paraId="02819116" w14:textId="643F3341" w:rsidR="000D2DAF" w:rsidRDefault="000D2DAF" w:rsidP="000D2DAF">
      <w:r>
        <w:t xml:space="preserve">The evaluation </w:t>
      </w:r>
      <w:r w:rsidR="004553A7">
        <w:t xml:space="preserve">was </w:t>
      </w:r>
      <w:r>
        <w:t xml:space="preserve">designed to assist the regulator to improve performance and reduce costs on regulated parties. </w:t>
      </w:r>
    </w:p>
    <w:p w14:paraId="1763A908" w14:textId="660AE952" w:rsidR="00416C3F" w:rsidRDefault="00836EEF" w:rsidP="00B969E0">
      <w:pPr>
        <w:pStyle w:val="Heading3"/>
      </w:pPr>
      <w:r>
        <w:t>Scope of the evaluation</w:t>
      </w:r>
    </w:p>
    <w:p w14:paraId="7D71BED8" w14:textId="679E3ED2" w:rsidR="00416C3F" w:rsidRDefault="00416C3F" w:rsidP="00416C3F">
      <w:r>
        <w:t xml:space="preserve">The </w:t>
      </w:r>
      <w:r w:rsidR="0032092E">
        <w:t xml:space="preserve">evaluation considered the QARD’s progress in </w:t>
      </w:r>
      <w:r w:rsidR="00D77149">
        <w:t xml:space="preserve">implementing the SOE, including around </w:t>
      </w:r>
      <w:r w:rsidR="0032092E">
        <w:t>timeliness of business processes, targeting compliance activity to high risk services, providing clear compliance guidance, decision-making processes and strengthening engagement</w:t>
      </w:r>
      <w:r>
        <w:t xml:space="preserve">. </w:t>
      </w:r>
      <w:r w:rsidR="00D77149">
        <w:t xml:space="preserve">The performance of the QARD was analysed against the SOE Evaluation Plan and the </w:t>
      </w:r>
      <w:hyperlink r:id="rId23" w:history="1">
        <w:r w:rsidR="00E2108B" w:rsidRPr="00E2108B">
          <w:rPr>
            <w:rStyle w:val="Hyperlink"/>
          </w:rPr>
          <w:t>SOE Framework</w:t>
        </w:r>
      </w:hyperlink>
      <w:r w:rsidR="00D77149">
        <w:t xml:space="preserve">. </w:t>
      </w:r>
      <w:r>
        <w:t xml:space="preserve">Other elements of the QARD’s operations were out of scope, such as the Education State targets and incident and complaint management. </w:t>
      </w:r>
    </w:p>
    <w:p w14:paraId="2E936A2B" w14:textId="77777777" w:rsidR="008B6305" w:rsidRDefault="008B6305" w:rsidP="008B6305">
      <w:r>
        <w:t>The SOE letter had a stronger focus on process improvements, and measured activity rather than outcomes in some areas.</w:t>
      </w:r>
    </w:p>
    <w:p w14:paraId="5702B4DA" w14:textId="3FCB3CF5" w:rsidR="004F7699" w:rsidRDefault="00D93D00" w:rsidP="00416C3F">
      <w:r>
        <w:t xml:space="preserve">The Department has evaluated </w:t>
      </w:r>
      <w:r w:rsidR="00416C3F" w:rsidRPr="008663DF">
        <w:t xml:space="preserve">two </w:t>
      </w:r>
      <w:r w:rsidR="00416C3F">
        <w:t>SOE</w:t>
      </w:r>
      <w:r w:rsidR="0032092E">
        <w:t>’</w:t>
      </w:r>
      <w:r w:rsidR="00416C3F">
        <w:t>s</w:t>
      </w:r>
      <w:r>
        <w:t xml:space="preserve"> in this report</w:t>
      </w:r>
      <w:r w:rsidR="004F7699">
        <w:t xml:space="preserve"> (2018-19 and 2019-20)</w:t>
      </w:r>
      <w:r w:rsidR="00416C3F">
        <w:t xml:space="preserve">. </w:t>
      </w:r>
      <w:r w:rsidR="004F7699">
        <w:t>The Minister issued shorter term SOEs</w:t>
      </w:r>
      <w:r w:rsidR="009B1689">
        <w:t xml:space="preserve"> in</w:t>
      </w:r>
      <w:r w:rsidR="004F7699">
        <w:t xml:space="preserve"> response to the Commonwealth Government’s decision </w:t>
      </w:r>
      <w:r w:rsidR="004F7699" w:rsidRPr="00074647">
        <w:t xml:space="preserve">to </w:t>
      </w:r>
      <w:r w:rsidR="009B1689">
        <w:t xml:space="preserve">reduce its funding to the QARD. The Commonwealth Government </w:t>
      </w:r>
      <w:r w:rsidR="004F7699" w:rsidRPr="00074647">
        <w:t>discontinu</w:t>
      </w:r>
      <w:r w:rsidR="009B1689">
        <w:t>ed</w:t>
      </w:r>
      <w:r w:rsidR="004F7699" w:rsidRPr="00074647">
        <w:t xml:space="preserve"> the National Partnership on the National Quality Agenda </w:t>
      </w:r>
      <w:r w:rsidR="004F7699">
        <w:t xml:space="preserve">(NQA) </w:t>
      </w:r>
      <w:r w:rsidR="004F7699" w:rsidRPr="00074647">
        <w:t>for Early Childhood Education and Care</w:t>
      </w:r>
      <w:r w:rsidR="009B1689">
        <w:t xml:space="preserve"> in its Budget 2018-19. </w:t>
      </w:r>
      <w:r w:rsidR="009B1689" w:rsidRPr="00042E94">
        <w:t xml:space="preserve">Future SOE cycles will cover the full </w:t>
      </w:r>
      <w:r w:rsidR="009B1689">
        <w:t>two-</w:t>
      </w:r>
      <w:r w:rsidR="009B1689" w:rsidRPr="00042E94">
        <w:t>year period.</w:t>
      </w:r>
    </w:p>
    <w:p w14:paraId="2F300FC2" w14:textId="09AF7F5D" w:rsidR="00416C3F" w:rsidRDefault="00836EEF" w:rsidP="00B969E0">
      <w:pPr>
        <w:pStyle w:val="Heading3"/>
      </w:pPr>
      <w:r>
        <w:t>E</w:t>
      </w:r>
      <w:r w:rsidR="00416C3F">
        <w:t>valuation team</w:t>
      </w:r>
    </w:p>
    <w:p w14:paraId="3F3AFD8E" w14:textId="77777777" w:rsidR="001E556D" w:rsidRDefault="001E556D" w:rsidP="001E556D">
      <w:pPr>
        <w:pStyle w:val="Heading3"/>
      </w:pPr>
      <w:r w:rsidRPr="006825FB">
        <w:t>Contact</w:t>
      </w:r>
    </w:p>
    <w:p w14:paraId="551DF4B2" w14:textId="77777777" w:rsidR="001E556D" w:rsidRDefault="001E556D" w:rsidP="001E556D">
      <w:r w:rsidRPr="006825FB">
        <w:t>Strategic Projects Team, Secondary Schooling, Pathways and Tertiary Education Reform Division, Policy, Strategy and Performance Group, Department of Education and Training (the Department)</w:t>
      </w:r>
    </w:p>
    <w:p w14:paraId="79412EC5" w14:textId="77777777" w:rsidR="001E556D" w:rsidRDefault="001E556D" w:rsidP="001E556D">
      <w:pPr>
        <w:pStyle w:val="Heading3"/>
      </w:pPr>
      <w:r w:rsidRPr="006825FB">
        <w:t>Area of involvement</w:t>
      </w:r>
    </w:p>
    <w:p w14:paraId="54AC412A" w14:textId="77777777" w:rsidR="001E556D" w:rsidRDefault="001E556D" w:rsidP="001E556D">
      <w:r w:rsidRPr="006825FB">
        <w:t>The team within the Department that conducted the evaluation.</w:t>
      </w:r>
    </w:p>
    <w:p w14:paraId="6F4CBD00" w14:textId="77777777" w:rsidR="001E556D" w:rsidRDefault="001E556D" w:rsidP="001E556D">
      <w:pPr>
        <w:pStyle w:val="Heading3"/>
      </w:pPr>
      <w:r w:rsidRPr="006825FB">
        <w:t>Contact</w:t>
      </w:r>
    </w:p>
    <w:p w14:paraId="65082FA4" w14:textId="77777777" w:rsidR="001E556D" w:rsidRDefault="001E556D" w:rsidP="001E556D">
      <w:r w:rsidRPr="00BF363C">
        <w:t>Business Systems and Review Unit, Systems, Administration and Performance, Quality Assessment and Regulation Division, Early Childhood Education Group, D</w:t>
      </w:r>
      <w:r>
        <w:t>epartment of Education and Training</w:t>
      </w:r>
      <w:r w:rsidRPr="006825FB">
        <w:t xml:space="preserve"> </w:t>
      </w:r>
    </w:p>
    <w:p w14:paraId="67584716" w14:textId="42878BBA" w:rsidR="001E556D" w:rsidRDefault="001E556D" w:rsidP="001E556D">
      <w:pPr>
        <w:pStyle w:val="Heading3"/>
      </w:pPr>
      <w:r w:rsidRPr="006825FB">
        <w:t>Area of involvement</w:t>
      </w:r>
    </w:p>
    <w:p w14:paraId="40AC001E" w14:textId="5FCD7278" w:rsidR="001E556D" w:rsidRDefault="001E556D" w:rsidP="001E556D">
      <w:r w:rsidRPr="00BF363C">
        <w:t xml:space="preserve">The team within the regulator </w:t>
      </w:r>
      <w:r>
        <w:t>that collected</w:t>
      </w:r>
      <w:r w:rsidRPr="00BF363C">
        <w:t xml:space="preserve"> the data and information on each improvement</w:t>
      </w:r>
      <w:r>
        <w:t xml:space="preserve"> and </w:t>
      </w:r>
      <w:r w:rsidRPr="00BF363C">
        <w:t>target to inform the evaluation.</w:t>
      </w:r>
    </w:p>
    <w:p w14:paraId="79E69943" w14:textId="3B4E8024" w:rsidR="00416C3F" w:rsidRPr="005E53E0" w:rsidRDefault="00836EEF">
      <w:pPr>
        <w:pStyle w:val="Heading2"/>
      </w:pPr>
      <w:bookmarkStart w:id="10" w:name="_Toc65051577"/>
      <w:r w:rsidRPr="00B969E0">
        <w:t>APPROACH TO THE OUTCOME EVALUATION</w:t>
      </w:r>
      <w:bookmarkEnd w:id="10"/>
    </w:p>
    <w:p w14:paraId="2BDEE8E5" w14:textId="77777777" w:rsidR="0032092E" w:rsidRDefault="0032092E" w:rsidP="00B969E0">
      <w:r>
        <w:t xml:space="preserve">The outcome evaluation assessed the impact of the SOE in improving regulation. </w:t>
      </w:r>
    </w:p>
    <w:p w14:paraId="7BCB548C" w14:textId="4CA9ABA5" w:rsidR="00416C3F" w:rsidRPr="00836EEF" w:rsidRDefault="00836EEF">
      <w:pPr>
        <w:pStyle w:val="Heading3"/>
      </w:pPr>
      <w:r w:rsidRPr="00836EEF">
        <w:t>Method</w:t>
      </w:r>
      <w:r w:rsidR="0032092E">
        <w:t>ology</w:t>
      </w:r>
    </w:p>
    <w:p w14:paraId="42777E63" w14:textId="5C442C30" w:rsidR="00416C3F" w:rsidRDefault="00416C3F" w:rsidP="00416C3F">
      <w:pPr>
        <w:rPr>
          <w:iCs/>
        </w:rPr>
      </w:pPr>
      <w:r>
        <w:rPr>
          <w:iCs/>
        </w:rPr>
        <w:t xml:space="preserve">The </w:t>
      </w:r>
      <w:r w:rsidR="009A3C7C">
        <w:rPr>
          <w:iCs/>
        </w:rPr>
        <w:t xml:space="preserve">QARD’s performance was assessed in the </w:t>
      </w:r>
      <w:r>
        <w:rPr>
          <w:iCs/>
        </w:rPr>
        <w:t>outcome evaluation, including</w:t>
      </w:r>
      <w:r w:rsidR="0032092E">
        <w:rPr>
          <w:iCs/>
        </w:rPr>
        <w:t xml:space="preserve"> the</w:t>
      </w:r>
      <w:r>
        <w:rPr>
          <w:iCs/>
        </w:rPr>
        <w:t>:</w:t>
      </w:r>
    </w:p>
    <w:p w14:paraId="7D387BCB" w14:textId="5BCB8AE8" w:rsidR="00416C3F" w:rsidRDefault="0032092E" w:rsidP="00416C3F">
      <w:pPr>
        <w:pStyle w:val="Bullet1"/>
      </w:pPr>
      <w:r>
        <w:t xml:space="preserve">activities that delivered on the Minister’s expectations, </w:t>
      </w:r>
      <w:r w:rsidR="00416C3F">
        <w:t>including NQF monitoring and quality assessment, enforcement of legislative non-compliance, governance, communications and engagement</w:t>
      </w:r>
    </w:p>
    <w:p w14:paraId="7AF22729" w14:textId="58C47757" w:rsidR="00416C3F" w:rsidRDefault="0032092E" w:rsidP="00416C3F">
      <w:pPr>
        <w:pStyle w:val="Bullet1"/>
      </w:pPr>
      <w:r>
        <w:t>extent to which the</w:t>
      </w:r>
      <w:r w:rsidR="00416C3F">
        <w:t xml:space="preserve"> selected elements of good regulatory practice from the SOE Framework</w:t>
      </w:r>
      <w:r>
        <w:t xml:space="preserve"> were delivered</w:t>
      </w:r>
      <w:r w:rsidR="00416C3F">
        <w:t xml:space="preserve">, </w:t>
      </w:r>
      <w:r w:rsidR="00416C3F" w:rsidRPr="002610D9">
        <w:t>including risk-based strategies, accountability and transparency, timeliness, compliance-related assistance and advice, and stakeholder consultation and engagement.</w:t>
      </w:r>
      <w:r w:rsidR="00416C3F">
        <w:t xml:space="preserve"> </w:t>
      </w:r>
    </w:p>
    <w:p w14:paraId="47672695" w14:textId="1ED16A1C" w:rsidR="00416C3F" w:rsidRDefault="00416C3F" w:rsidP="00416C3F">
      <w:pPr>
        <w:pStyle w:val="Heading3"/>
      </w:pPr>
      <w:r>
        <w:lastRenderedPageBreak/>
        <w:t xml:space="preserve">Data collection </w:t>
      </w:r>
    </w:p>
    <w:p w14:paraId="5B3FF00E" w14:textId="6D69BDAD" w:rsidR="00416C3F" w:rsidRPr="00A73DDC" w:rsidRDefault="00416C3F" w:rsidP="00416C3F">
      <w:r w:rsidRPr="003C2A5C">
        <w:t xml:space="preserve">The </w:t>
      </w:r>
      <w:r w:rsidR="009A3C7C">
        <w:t xml:space="preserve">Department </w:t>
      </w:r>
      <w:r w:rsidR="00A00209">
        <w:t xml:space="preserve">reviewed </w:t>
      </w:r>
      <w:r>
        <w:t>i</w:t>
      </w:r>
      <w:r w:rsidRPr="00B94F0D">
        <w:t xml:space="preserve">nternal </w:t>
      </w:r>
      <w:r w:rsidR="0036027E">
        <w:t xml:space="preserve">and publicly available </w:t>
      </w:r>
      <w:r w:rsidRPr="00B94F0D">
        <w:t>data</w:t>
      </w:r>
      <w:r w:rsidR="00A00209">
        <w:t xml:space="preserve"> to develop the evaluation report.</w:t>
      </w:r>
      <w:r>
        <w:t xml:space="preserve"> </w:t>
      </w:r>
      <w:r w:rsidRPr="00B94F0D">
        <w:t xml:space="preserve">A full list of references is provided </w:t>
      </w:r>
      <w:r w:rsidR="001732F3">
        <w:t>in</w:t>
      </w:r>
      <w:r w:rsidRPr="00B94F0D">
        <w:t xml:space="preserve"> </w:t>
      </w:r>
      <w:r>
        <w:t xml:space="preserve">Chapter </w:t>
      </w:r>
      <w:r w:rsidR="001732F3">
        <w:t>6</w:t>
      </w:r>
      <w:r w:rsidRPr="00B94F0D">
        <w:t>.</w:t>
      </w:r>
      <w:r>
        <w:t xml:space="preserve"> </w:t>
      </w:r>
      <w:r w:rsidR="00A00209">
        <w:t>The data and data sources for performance measures follows the SOE Evaluation Plan and was mapped back to the SOE Letter and SOE Response.</w:t>
      </w:r>
    </w:p>
    <w:p w14:paraId="3EE91F54" w14:textId="77777777" w:rsidR="00416C3F" w:rsidRDefault="00416C3F" w:rsidP="00416C3F">
      <w:pPr>
        <w:pStyle w:val="Heading3"/>
      </w:pPr>
      <w:r w:rsidRPr="00B4349E">
        <w:t>Limitations</w:t>
      </w:r>
    </w:p>
    <w:p w14:paraId="1063B5FB" w14:textId="0C9E8160" w:rsidR="00416C3F" w:rsidRDefault="00416C3F" w:rsidP="00416C3F">
      <w:pPr>
        <w:rPr>
          <w:rFonts w:cs="Arial"/>
          <w:color w:val="000000"/>
        </w:rPr>
      </w:pPr>
      <w:r w:rsidRPr="007D24F4">
        <w:rPr>
          <w:rFonts w:cs="Arial"/>
          <w:color w:val="000000"/>
        </w:rPr>
        <w:t xml:space="preserve">This evaluation </w:t>
      </w:r>
      <w:r w:rsidR="00A00209">
        <w:rPr>
          <w:rFonts w:cs="Arial"/>
          <w:color w:val="000000"/>
        </w:rPr>
        <w:t xml:space="preserve">covered </w:t>
      </w:r>
      <w:r>
        <w:rPr>
          <w:rFonts w:cs="Arial"/>
          <w:color w:val="000000"/>
        </w:rPr>
        <w:t>the full timeframe for SOE 2018-19 (</w:t>
      </w:r>
      <w:r w:rsidRPr="007D24F4">
        <w:rPr>
          <w:rFonts w:cs="Arial"/>
          <w:color w:val="000000"/>
        </w:rPr>
        <w:t>J</w:t>
      </w:r>
      <w:r>
        <w:rPr>
          <w:rFonts w:cs="Arial"/>
          <w:color w:val="000000"/>
        </w:rPr>
        <w:t>uly</w:t>
      </w:r>
      <w:r w:rsidRPr="007D24F4">
        <w:rPr>
          <w:rFonts w:cs="Arial"/>
          <w:color w:val="000000"/>
        </w:rPr>
        <w:t xml:space="preserve"> </w:t>
      </w:r>
      <w:r>
        <w:rPr>
          <w:rFonts w:cs="Arial"/>
          <w:color w:val="000000"/>
        </w:rPr>
        <w:t>2018 t</w:t>
      </w:r>
      <w:r w:rsidRPr="007D24F4">
        <w:rPr>
          <w:rFonts w:cs="Arial"/>
          <w:color w:val="000000"/>
        </w:rPr>
        <w:t xml:space="preserve">o </w:t>
      </w:r>
      <w:r>
        <w:rPr>
          <w:rFonts w:cs="Arial"/>
          <w:color w:val="000000"/>
        </w:rPr>
        <w:t xml:space="preserve">June 2019), and half of the timeframe for the SOE 2019-20 </w:t>
      </w:r>
      <w:r w:rsidRPr="007D24F4">
        <w:rPr>
          <w:rFonts w:cs="Arial"/>
          <w:color w:val="000000"/>
        </w:rPr>
        <w:t>(</w:t>
      </w:r>
      <w:r>
        <w:rPr>
          <w:rFonts w:cs="Arial"/>
          <w:color w:val="000000"/>
        </w:rPr>
        <w:t xml:space="preserve">July 2019 to </w:t>
      </w:r>
      <w:r w:rsidRPr="007D24F4">
        <w:rPr>
          <w:rFonts w:cs="Arial"/>
          <w:color w:val="000000"/>
        </w:rPr>
        <w:t>December 201</w:t>
      </w:r>
      <w:r>
        <w:rPr>
          <w:rFonts w:cs="Arial"/>
          <w:color w:val="000000"/>
        </w:rPr>
        <w:t xml:space="preserve">9), </w:t>
      </w:r>
      <w:r w:rsidRPr="007D24F4">
        <w:rPr>
          <w:rFonts w:cs="Arial"/>
          <w:color w:val="000000"/>
        </w:rPr>
        <w:t>in order to inform the next iteration of the SOE</w:t>
      </w:r>
      <w:r w:rsidR="000E5787">
        <w:rPr>
          <w:rFonts w:cs="Arial"/>
          <w:color w:val="000000"/>
        </w:rPr>
        <w:t xml:space="preserve">. </w:t>
      </w:r>
      <w:r w:rsidR="00665010">
        <w:rPr>
          <w:rFonts w:cs="Arial"/>
          <w:color w:val="000000"/>
        </w:rPr>
        <w:t xml:space="preserve">This </w:t>
      </w:r>
      <w:r w:rsidR="003953D4">
        <w:rPr>
          <w:rFonts w:cs="Arial"/>
          <w:color w:val="000000"/>
        </w:rPr>
        <w:t>wa</w:t>
      </w:r>
      <w:r w:rsidR="00665010">
        <w:rPr>
          <w:rFonts w:cs="Arial"/>
          <w:color w:val="000000"/>
        </w:rPr>
        <w:t>s in line with the SOE Framework.</w:t>
      </w:r>
    </w:p>
    <w:p w14:paraId="149F537B" w14:textId="37D586A9" w:rsidR="000E5787" w:rsidRDefault="000E5787" w:rsidP="000E5787">
      <w:r>
        <w:t xml:space="preserve">Quantitative data </w:t>
      </w:r>
      <w:r w:rsidR="00A00209">
        <w:t>wa</w:t>
      </w:r>
      <w:r>
        <w:t xml:space="preserve">s provided where available. </w:t>
      </w:r>
      <w:r w:rsidR="0014346D">
        <w:t>The early childhood sector operate</w:t>
      </w:r>
      <w:r w:rsidR="008B6305">
        <w:t>d</w:t>
      </w:r>
      <w:r w:rsidR="0014346D">
        <w:t xml:space="preserve"> on the school year, and performance monitoring and reporting covered a calendar year period rather than a financial year. </w:t>
      </w:r>
      <w:r w:rsidR="008B6305">
        <w:t>It was a limitation to frame the SOE on the financial year, as the data did not cover the full reporting period as expected.</w:t>
      </w:r>
    </w:p>
    <w:p w14:paraId="17AECB7A" w14:textId="7D6B290D" w:rsidR="00416C3F" w:rsidRDefault="00836EEF" w:rsidP="00416C3F">
      <w:pPr>
        <w:pStyle w:val="Heading2"/>
      </w:pPr>
      <w:bookmarkStart w:id="11" w:name="_Toc65051578"/>
      <w:r>
        <w:rPr>
          <w:caps w:val="0"/>
        </w:rPr>
        <w:t>APPROACH TO</w:t>
      </w:r>
      <w:r w:rsidR="002A6E47">
        <w:rPr>
          <w:caps w:val="0"/>
        </w:rPr>
        <w:t xml:space="preserve"> THE</w:t>
      </w:r>
      <w:r>
        <w:rPr>
          <w:caps w:val="0"/>
        </w:rPr>
        <w:t xml:space="preserve"> PROCESS EVALUATION</w:t>
      </w:r>
      <w:bookmarkEnd w:id="11"/>
    </w:p>
    <w:p w14:paraId="04AA0DC6" w14:textId="77777777" w:rsidR="0019434A" w:rsidRDefault="0019434A" w:rsidP="0019434A">
      <w:r>
        <w:t xml:space="preserve">The process evaluation assessed the effectiveness of the SOE process.  </w:t>
      </w:r>
    </w:p>
    <w:p w14:paraId="2A37D9D9" w14:textId="68353B18" w:rsidR="00416C3F" w:rsidRDefault="00836EEF" w:rsidP="00B969E0">
      <w:pPr>
        <w:pStyle w:val="Heading3"/>
      </w:pPr>
      <w:r>
        <w:t>Method</w:t>
      </w:r>
      <w:r w:rsidR="0032092E">
        <w:t>ology</w:t>
      </w:r>
      <w:r>
        <w:t xml:space="preserve"> </w:t>
      </w:r>
    </w:p>
    <w:p w14:paraId="3BAD2B6E" w14:textId="1EEE14FD" w:rsidR="00416C3F" w:rsidRDefault="00416C3F" w:rsidP="00416C3F">
      <w:r>
        <w:t xml:space="preserve">The </w:t>
      </w:r>
      <w:r w:rsidR="00A00209">
        <w:t>QARD’s process of implementing the SOE was considered in the p</w:t>
      </w:r>
      <w:r>
        <w:t xml:space="preserve">rocess </w:t>
      </w:r>
      <w:r w:rsidR="00A00209">
        <w:t>evaluation, including the</w:t>
      </w:r>
      <w:r>
        <w:t>:</w:t>
      </w:r>
    </w:p>
    <w:p w14:paraId="7D67ED61" w14:textId="2EA7E702" w:rsidR="00416C3F" w:rsidRDefault="00416C3F" w:rsidP="00416C3F">
      <w:pPr>
        <w:pStyle w:val="Bullet1"/>
      </w:pPr>
      <w:r>
        <w:t xml:space="preserve">SOE </w:t>
      </w:r>
      <w:r w:rsidR="009968DA">
        <w:t>d</w:t>
      </w:r>
      <w:r>
        <w:t>evelopment</w:t>
      </w:r>
      <w:r w:rsidR="006D4756">
        <w:t>:</w:t>
      </w:r>
      <w:r>
        <w:t xml:space="preserve"> including the elements of good regulatory practice, self-assessment, Good Regulatory Practice Plan </w:t>
      </w:r>
      <w:r w:rsidR="002A6E47">
        <w:t xml:space="preserve">(GRPP) </w:t>
      </w:r>
      <w:r>
        <w:t>and SOE Letter</w:t>
      </w:r>
      <w:r w:rsidR="00294B11">
        <w:t>s</w:t>
      </w:r>
    </w:p>
    <w:p w14:paraId="170A9AF3" w14:textId="7A55FAEF" w:rsidR="00416C3F" w:rsidRPr="006557E3" w:rsidRDefault="00416C3F" w:rsidP="00416C3F">
      <w:pPr>
        <w:pStyle w:val="Bullet1"/>
      </w:pPr>
      <w:r>
        <w:t xml:space="preserve">SOE </w:t>
      </w:r>
      <w:r w:rsidR="009968DA">
        <w:t>i</w:t>
      </w:r>
      <w:r>
        <w:t>mplementation</w:t>
      </w:r>
      <w:r w:rsidR="006D4756">
        <w:t>:</w:t>
      </w:r>
      <w:r>
        <w:t xml:space="preserve"> including the SOE Response, Evaluation Plan and Evaluation Report.</w:t>
      </w:r>
    </w:p>
    <w:p w14:paraId="6BE4C56B" w14:textId="77777777" w:rsidR="00416C3F" w:rsidRDefault="00416C3F" w:rsidP="00416C3F">
      <w:pPr>
        <w:pStyle w:val="Heading3"/>
      </w:pPr>
      <w:r>
        <w:t xml:space="preserve">Data collection </w:t>
      </w:r>
    </w:p>
    <w:p w14:paraId="42769341" w14:textId="477E79BE" w:rsidR="00416C3F" w:rsidRDefault="00A00209" w:rsidP="00416C3F">
      <w:pPr>
        <w:rPr>
          <w:highlight w:val="yellow"/>
        </w:rPr>
      </w:pPr>
      <w:r>
        <w:t>The Department collected d</w:t>
      </w:r>
      <w:r w:rsidR="00416C3F">
        <w:t xml:space="preserve">ata to inform the process evaluation from officers within the QARD, a survey on the SOE process, the self-assessment and </w:t>
      </w:r>
      <w:r w:rsidR="002A6E47">
        <w:t>GRPP</w:t>
      </w:r>
      <w:r w:rsidR="00416C3F">
        <w:t>.</w:t>
      </w:r>
    </w:p>
    <w:p w14:paraId="59FC0857" w14:textId="77777777" w:rsidR="00416C3F" w:rsidRPr="004E525B" w:rsidRDefault="00416C3F" w:rsidP="00416C3F">
      <w:pPr>
        <w:pStyle w:val="Heading3"/>
      </w:pPr>
      <w:r w:rsidRPr="004E525B">
        <w:t>Limitations</w:t>
      </w:r>
    </w:p>
    <w:p w14:paraId="217A3C61" w14:textId="7EF1AE6E" w:rsidR="002A4AF5" w:rsidRDefault="002A4AF5" w:rsidP="00416C3F">
      <w:r>
        <w:t xml:space="preserve">The staggered advice from the Department of Treasury and Finance on the SOE Framework meant that the Evaluation Plan was developed after the SOE Letter and </w:t>
      </w:r>
      <w:r w:rsidR="00665010">
        <w:t xml:space="preserve">SOE </w:t>
      </w:r>
      <w:r>
        <w:t xml:space="preserve">Response. </w:t>
      </w:r>
    </w:p>
    <w:p w14:paraId="01B9BA4F" w14:textId="3A077785" w:rsidR="00A22C85" w:rsidRDefault="00416C3F" w:rsidP="00416C3F">
      <w:r w:rsidRPr="00767B1B">
        <w:t>The QARD was impacted by budget constraints</w:t>
      </w:r>
      <w:r w:rsidR="00665010">
        <w:t xml:space="preserve"> that </w:t>
      </w:r>
      <w:r w:rsidR="00A22C85">
        <w:t xml:space="preserve">limited the QARD’s capacity to undertake </w:t>
      </w:r>
      <w:r w:rsidRPr="00767B1B">
        <w:t xml:space="preserve">some new projects in the SOE, including investing in technology. For </w:t>
      </w:r>
      <w:r w:rsidR="00A22C85">
        <w:t>some</w:t>
      </w:r>
      <w:r w:rsidRPr="00767B1B">
        <w:t xml:space="preserve"> projects, data collection was not possible within the timeframe. </w:t>
      </w:r>
    </w:p>
    <w:p w14:paraId="53D92EA1" w14:textId="77777777" w:rsidR="00416C3F" w:rsidRDefault="00416C3F" w:rsidP="00416C3F"/>
    <w:p w14:paraId="4DDEC41C" w14:textId="77777777" w:rsidR="00416C3F" w:rsidRDefault="00416C3F" w:rsidP="00416C3F">
      <w:pPr>
        <w:sectPr w:rsidR="00416C3F">
          <w:pgSz w:w="11906" w:h="16838"/>
          <w:pgMar w:top="1440" w:right="1440" w:bottom="1440" w:left="1440" w:header="708" w:footer="708" w:gutter="0"/>
          <w:cols w:space="708"/>
          <w:docGrid w:linePitch="360"/>
        </w:sectPr>
      </w:pPr>
    </w:p>
    <w:p w14:paraId="7616446E" w14:textId="77777777" w:rsidR="00416C3F" w:rsidRDefault="00416C3F" w:rsidP="00416C3F">
      <w:pPr>
        <w:pStyle w:val="Heading1"/>
        <w:numPr>
          <w:ilvl w:val="0"/>
          <w:numId w:val="1"/>
        </w:numPr>
      </w:pPr>
      <w:bookmarkStart w:id="12" w:name="_Toc43913612"/>
      <w:bookmarkStart w:id="13" w:name="_Toc65051579"/>
      <w:r>
        <w:rPr>
          <w:caps w:val="0"/>
        </w:rPr>
        <w:lastRenderedPageBreak/>
        <w:t>OUTCOME EVALUATION</w:t>
      </w:r>
      <w:bookmarkEnd w:id="12"/>
      <w:bookmarkEnd w:id="13"/>
    </w:p>
    <w:p w14:paraId="4F4C1D21" w14:textId="5D75BFA0" w:rsidR="00416C3F" w:rsidRDefault="00836EEF" w:rsidP="00416C3F">
      <w:pPr>
        <w:pStyle w:val="Heading2"/>
        <w:pBdr>
          <w:top w:val="single" w:sz="4" w:space="1" w:color="auto"/>
        </w:pBdr>
      </w:pPr>
      <w:bookmarkStart w:id="14" w:name="_Toc65051580"/>
      <w:r>
        <w:rPr>
          <w:caps w:val="0"/>
        </w:rPr>
        <w:t>NQF MONITORING AND QUALITY ASSESSMENT – RISK-BASED STRATEGIES DATA</w:t>
      </w:r>
      <w:bookmarkEnd w:id="14"/>
    </w:p>
    <w:p w14:paraId="36066DDB" w14:textId="22D32F6D" w:rsidR="00416C3F" w:rsidRDefault="002A6E47" w:rsidP="00416C3F">
      <w:bookmarkStart w:id="15" w:name="_Hlk43842993"/>
      <w:r>
        <w:t xml:space="preserve">The </w:t>
      </w:r>
      <w:r w:rsidR="00582FB0">
        <w:t xml:space="preserve">data for the </w:t>
      </w:r>
      <w:r>
        <w:t>mandatory element of ‘risk-based strategies’ in the SOE Framework</w:t>
      </w:r>
      <w:r w:rsidR="00BD1C5E">
        <w:t xml:space="preserve"> is </w:t>
      </w:r>
      <w:r w:rsidR="00582FB0">
        <w:t>outlined</w:t>
      </w:r>
      <w:r w:rsidR="00BD1C5E">
        <w:t xml:space="preserve"> below</w:t>
      </w:r>
      <w:r>
        <w:t xml:space="preserve">. </w:t>
      </w:r>
      <w:bookmarkEnd w:id="15"/>
      <w:r w:rsidR="00416C3F">
        <w:t xml:space="preserve">Risk-based strategies </w:t>
      </w:r>
      <w:r w:rsidR="001A37B8">
        <w:t xml:space="preserve">in this context </w:t>
      </w:r>
      <w:r w:rsidR="00535424">
        <w:t xml:space="preserve">referred </w:t>
      </w:r>
      <w:r w:rsidR="001A37B8">
        <w:t xml:space="preserve">to </w:t>
      </w:r>
      <w:r w:rsidR="00416C3F">
        <w:t>improv</w:t>
      </w:r>
      <w:r w:rsidR="001A37B8">
        <w:t>ing</w:t>
      </w:r>
      <w:r w:rsidR="00416C3F">
        <w:t xml:space="preserve"> regulatory outcomes by strategically focusing on activities where the risks are greatest. </w:t>
      </w:r>
      <w:r w:rsidR="00665010">
        <w:t xml:space="preserve">The </w:t>
      </w:r>
      <w:r w:rsidR="001A37B8">
        <w:t xml:space="preserve">QARD committed to </w:t>
      </w:r>
      <w:r w:rsidR="00665010">
        <w:t xml:space="preserve">the following </w:t>
      </w:r>
      <w:r w:rsidR="001A37B8">
        <w:t xml:space="preserve">activities to </w:t>
      </w:r>
      <w:r w:rsidR="00665010">
        <w:t xml:space="preserve">meet the Minister’s expectation to </w:t>
      </w:r>
      <w:r w:rsidR="001A37B8">
        <w:t xml:space="preserve">improve NQF monitoring and quality assessment. </w:t>
      </w:r>
    </w:p>
    <w:p w14:paraId="7AA60954" w14:textId="77777777" w:rsidR="005C3951" w:rsidRDefault="005C3951" w:rsidP="005C3951">
      <w:pPr>
        <w:pStyle w:val="Heading3"/>
      </w:pPr>
      <w:r w:rsidRPr="00FD5F04">
        <w:t>Expectation</w:t>
      </w:r>
    </w:p>
    <w:p w14:paraId="1ACF2105" w14:textId="3EB087AB" w:rsidR="005C3951" w:rsidRDefault="005C3951" w:rsidP="00416C3F">
      <w:r w:rsidRPr="00386210">
        <w:t xml:space="preserve">Apply best endeavours to assess and rate all eligible Victorian education and care services regulated under the National Law, and report to </w:t>
      </w:r>
      <w:r>
        <w:t>the Minister</w:t>
      </w:r>
      <w:r w:rsidRPr="00386210">
        <w:t xml:space="preserve"> regularly on Victoria's performance against this expectation.</w:t>
      </w:r>
    </w:p>
    <w:p w14:paraId="29C9861B" w14:textId="77777777" w:rsidR="005C3951" w:rsidRDefault="005C3951" w:rsidP="005C3951">
      <w:pPr>
        <w:pStyle w:val="Heading3"/>
      </w:pPr>
      <w:r w:rsidRPr="00FD5F04">
        <w:t>Response Activity</w:t>
      </w:r>
    </w:p>
    <w:p w14:paraId="3506DA72" w14:textId="77777777" w:rsidR="005C3951" w:rsidRPr="005C3951" w:rsidRDefault="005C3951" w:rsidP="005C3951">
      <w:r w:rsidRPr="005C3951">
        <w:rPr>
          <w:rStyle w:val="TableTextChar"/>
          <w:sz w:val="22"/>
        </w:rPr>
        <w:t>For 2018-19 continue to meet the former National Quality Agenda performance benchmark of assessing and rating at least 15% of services per year and provide quarterly reports on progress against this expectation.</w:t>
      </w:r>
      <w:r w:rsidRPr="005C3951">
        <w:rPr>
          <w:rStyle w:val="FootnoteReference"/>
        </w:rPr>
        <w:footnoteReference w:id="2"/>
      </w:r>
      <w:r w:rsidRPr="005C3951">
        <w:t xml:space="preserve"> </w:t>
      </w:r>
    </w:p>
    <w:p w14:paraId="15518590" w14:textId="62F72021" w:rsidR="005C3951" w:rsidRDefault="005C3951" w:rsidP="005C3951">
      <w:r w:rsidRPr="009D2CFE">
        <w:t>For 2019-20 assess and rate 20</w:t>
      </w:r>
      <w:r>
        <w:t xml:space="preserve">% </w:t>
      </w:r>
      <w:r w:rsidRPr="009D2CFE">
        <w:t>of eligible services</w:t>
      </w:r>
      <w:r>
        <w:t xml:space="preserve"> </w:t>
      </w:r>
      <w:r w:rsidRPr="006A72B1">
        <w:t>and provide quarterly reports on progress against this expectation</w:t>
      </w:r>
      <w:r w:rsidRPr="009D2CFE">
        <w:t>.</w:t>
      </w:r>
    </w:p>
    <w:p w14:paraId="30AD0F69" w14:textId="77777777" w:rsidR="005C3951" w:rsidRDefault="005C3951" w:rsidP="005C3951">
      <w:pPr>
        <w:pStyle w:val="Heading3"/>
      </w:pPr>
      <w:r w:rsidRPr="00FD5F04">
        <w:t>Outcome</w:t>
      </w:r>
    </w:p>
    <w:p w14:paraId="610D6590" w14:textId="580F7191" w:rsidR="005C3951" w:rsidRDefault="005C3951" w:rsidP="00416C3F">
      <w:r w:rsidRPr="005C3951">
        <w:t>Meet internal KPIs for service visits and assessments to ensure sector compliance</w:t>
      </w:r>
    </w:p>
    <w:p w14:paraId="50A8D738" w14:textId="77777777" w:rsidR="005C3951" w:rsidRDefault="005C3951" w:rsidP="005C3951">
      <w:pPr>
        <w:pStyle w:val="Heading3"/>
      </w:pPr>
      <w:r>
        <w:t>Measure</w:t>
      </w:r>
    </w:p>
    <w:p w14:paraId="6384AB41" w14:textId="001CB564" w:rsidR="005C3951" w:rsidRDefault="005C3951" w:rsidP="00416C3F">
      <w:r w:rsidRPr="005C3951">
        <w:t>Percentage of services rated and their results of that rating for the NQA</w:t>
      </w:r>
    </w:p>
    <w:p w14:paraId="37AC32B8" w14:textId="685DF80D" w:rsidR="005C3951" w:rsidRDefault="005C3951" w:rsidP="005C3951">
      <w:pPr>
        <w:pStyle w:val="Heading3"/>
      </w:pPr>
      <w:r w:rsidRPr="00FD5F04">
        <w:t>Result 2018-</w:t>
      </w:r>
      <w:r>
        <w:t>19</w:t>
      </w:r>
    </w:p>
    <w:p w14:paraId="6C4CF4DA" w14:textId="77777777" w:rsidR="005C3951" w:rsidRDefault="005C3951" w:rsidP="005C3951">
      <w:r w:rsidRPr="00327934">
        <w:t>981 services (25</w:t>
      </w:r>
      <w:r>
        <w:t>%</w:t>
      </w:r>
      <w:r w:rsidRPr="00327934">
        <w:t>) were assessed and rated in 2018</w:t>
      </w:r>
      <w:r>
        <w:rPr>
          <w:rStyle w:val="FootnoteReference"/>
        </w:rPr>
        <w:footnoteReference w:id="3"/>
      </w:r>
      <w:r w:rsidRPr="00327934">
        <w:t xml:space="preserve">. </w:t>
      </w:r>
    </w:p>
    <w:p w14:paraId="5F5A34B9" w14:textId="77777777" w:rsidR="005C3951" w:rsidRDefault="005C3951" w:rsidP="005C3951">
      <w:r w:rsidRPr="00327934">
        <w:t>85% of Victorian services with a quality rating received an overall rating of Meeting NQS or above</w:t>
      </w:r>
      <w:r>
        <w:t xml:space="preserve"> (as at December 2018)</w:t>
      </w:r>
      <w:r w:rsidRPr="00327934">
        <w:t>.</w:t>
      </w:r>
    </w:p>
    <w:p w14:paraId="418CD0C1" w14:textId="77777777" w:rsidR="005C3951" w:rsidRDefault="005C3951" w:rsidP="005C3951">
      <w:r>
        <w:t xml:space="preserve">ACECQA snapshot report and briefing provided to Minister quarterly. </w:t>
      </w:r>
    </w:p>
    <w:p w14:paraId="68676E41" w14:textId="52315A4C" w:rsidR="005C3951" w:rsidRDefault="005C3951" w:rsidP="005C3951">
      <w:r>
        <w:t>Data provided in the QARD’s Annual Report.</w:t>
      </w:r>
    </w:p>
    <w:p w14:paraId="42F23608" w14:textId="4144A279" w:rsidR="005C3951" w:rsidRDefault="005C3951" w:rsidP="005C3951">
      <w:pPr>
        <w:pStyle w:val="Heading3"/>
      </w:pPr>
      <w:r w:rsidRPr="00FD5F04">
        <w:t>Result 201</w:t>
      </w:r>
      <w:r>
        <w:t>9</w:t>
      </w:r>
      <w:r w:rsidRPr="00FD5F04">
        <w:t>-20</w:t>
      </w:r>
    </w:p>
    <w:p w14:paraId="1C0509D3" w14:textId="77777777" w:rsidR="005C3951" w:rsidRDefault="005C3951" w:rsidP="005C3951">
      <w:r>
        <w:t xml:space="preserve">987 services (24%) were assessed and rated in 2019. </w:t>
      </w:r>
    </w:p>
    <w:p w14:paraId="0856B6AD" w14:textId="77777777" w:rsidR="005C3951" w:rsidRDefault="005C3951" w:rsidP="005C3951">
      <w:r>
        <w:t>85% of Victorian services with a quality rating received an overall rating of Meeting NQS or above (as at December 2019).</w:t>
      </w:r>
    </w:p>
    <w:p w14:paraId="0FCFB6C2" w14:textId="77777777" w:rsidR="005C3951" w:rsidRDefault="005C3951" w:rsidP="005C3951">
      <w:r>
        <w:t xml:space="preserve">ACECQA snapshot report and briefing provided to Minister quarterly. </w:t>
      </w:r>
    </w:p>
    <w:p w14:paraId="0614C04D" w14:textId="4924D758" w:rsidR="005C3951" w:rsidRDefault="005C3951" w:rsidP="005C3951">
      <w:r>
        <w:t>Data provided in the QARD’s Annual Report.</w:t>
      </w:r>
    </w:p>
    <w:p w14:paraId="26D5196F" w14:textId="77777777" w:rsidR="005C3951" w:rsidRDefault="005C3951" w:rsidP="005C3951">
      <w:pPr>
        <w:pStyle w:val="Heading3"/>
      </w:pPr>
      <w:r w:rsidRPr="00FD5F04">
        <w:t>Expectation</w:t>
      </w:r>
    </w:p>
    <w:p w14:paraId="245551C4" w14:textId="77777777" w:rsidR="005C3951" w:rsidRDefault="005C3951" w:rsidP="005C3951">
      <w:r>
        <w:t>Continue to review and embed risk-based approaches to its regulatory operations to ensure that risks to the health, safety and wellbeing of children are minimised by:</w:t>
      </w:r>
    </w:p>
    <w:p w14:paraId="782E9F85" w14:textId="7FB58376" w:rsidR="005C3951" w:rsidRDefault="005C3951" w:rsidP="005C3951">
      <w:pPr>
        <w:pStyle w:val="Bullet1"/>
      </w:pPr>
      <w:r>
        <w:t>targeting regulatory effort towards the highest risk activities</w:t>
      </w:r>
    </w:p>
    <w:p w14:paraId="2FAAB0EC" w14:textId="0994B941" w:rsidR="005C3951" w:rsidRDefault="005C3951" w:rsidP="005C3951">
      <w:pPr>
        <w:pStyle w:val="Bullet1"/>
      </w:pPr>
      <w:r>
        <w:lastRenderedPageBreak/>
        <w:t>managing serious and emerging sectoral compliance risks and responding effectively</w:t>
      </w:r>
    </w:p>
    <w:p w14:paraId="25663838" w14:textId="2993AFFB" w:rsidR="005C3951" w:rsidRDefault="005C3951" w:rsidP="005C3951">
      <w:pPr>
        <w:pStyle w:val="Bullet1"/>
      </w:pPr>
      <w:r>
        <w:t>ensuring services are adequately monitored.</w:t>
      </w:r>
    </w:p>
    <w:p w14:paraId="5B01352E" w14:textId="77777777" w:rsidR="005C3951" w:rsidRDefault="005C3951" w:rsidP="005C3951">
      <w:pPr>
        <w:pStyle w:val="Heading3"/>
      </w:pPr>
      <w:r w:rsidRPr="00FD5F04">
        <w:t>Response Activity</w:t>
      </w:r>
    </w:p>
    <w:p w14:paraId="55FC2414" w14:textId="77777777" w:rsidR="005C3951" w:rsidRDefault="005C3951" w:rsidP="005C3951">
      <w:r>
        <w:t>S</w:t>
      </w:r>
      <w:r w:rsidRPr="00FE5120">
        <w:t>ervices are monitored according to a risk</w:t>
      </w:r>
      <w:r>
        <w:t>-</w:t>
      </w:r>
      <w:r w:rsidRPr="00FE5120">
        <w:t>based framework.</w:t>
      </w:r>
    </w:p>
    <w:p w14:paraId="0E19CFE2" w14:textId="77777777" w:rsidR="001E2936" w:rsidRDefault="001E2936" w:rsidP="001E2936">
      <w:pPr>
        <w:pStyle w:val="Heading3"/>
      </w:pPr>
      <w:r w:rsidRPr="00FD5F04">
        <w:t>Outcome</w:t>
      </w:r>
    </w:p>
    <w:p w14:paraId="21D300F5" w14:textId="43500DBD" w:rsidR="005C3951" w:rsidRDefault="001E2936" w:rsidP="005C3951">
      <w:r w:rsidRPr="001E2936">
        <w:t>Increase in number of services found compliant on review through targeted monitoring</w:t>
      </w:r>
    </w:p>
    <w:p w14:paraId="2B573DE5" w14:textId="77777777" w:rsidR="001E2936" w:rsidRDefault="001E2936" w:rsidP="001E2936">
      <w:pPr>
        <w:pStyle w:val="Heading3"/>
      </w:pPr>
      <w:r>
        <w:t>Measure</w:t>
      </w:r>
    </w:p>
    <w:p w14:paraId="712BF53B" w14:textId="09A9DA29" w:rsidR="001E2936" w:rsidRDefault="001E2936" w:rsidP="005C3951">
      <w:r w:rsidRPr="001E2936">
        <w:t>Percentage of services with a ‘Working Towards’ rating improving on reassessment</w:t>
      </w:r>
    </w:p>
    <w:p w14:paraId="28FF83D8" w14:textId="4260514C" w:rsidR="001E2936" w:rsidRDefault="001E2936" w:rsidP="001E2936">
      <w:pPr>
        <w:pStyle w:val="Heading3"/>
      </w:pPr>
      <w:r w:rsidRPr="00FD5F04">
        <w:t>Result 2018-</w:t>
      </w:r>
      <w:r>
        <w:t>19</w:t>
      </w:r>
    </w:p>
    <w:p w14:paraId="5283AC6F" w14:textId="77777777" w:rsidR="001E2936" w:rsidRDefault="001E2936" w:rsidP="001E2936">
      <w:r>
        <w:t>71% of services with a ‘Working Towards NQS’ rating improved on reassessment (noting that this data is rated services that recorded an improvement at any time from 2012 to 2018).</w:t>
      </w:r>
    </w:p>
    <w:p w14:paraId="041BA92E" w14:textId="2A470125" w:rsidR="001E2936" w:rsidRPr="001E2936" w:rsidRDefault="001E2936" w:rsidP="001E2936">
      <w:r>
        <w:t>15% of services with an NQS rating were rated as ‘Working Towards NQS’, and 1 service was rated as Significant Improvement Required.</w:t>
      </w:r>
    </w:p>
    <w:p w14:paraId="38694A1F" w14:textId="045AC351" w:rsidR="001E2936" w:rsidRDefault="001E2936" w:rsidP="001E2936">
      <w:pPr>
        <w:pStyle w:val="Heading3"/>
      </w:pPr>
      <w:r w:rsidRPr="00FD5F04">
        <w:t>Result 201</w:t>
      </w:r>
      <w:r>
        <w:t>9</w:t>
      </w:r>
      <w:r w:rsidRPr="00FD5F04">
        <w:t>-</w:t>
      </w:r>
      <w:r>
        <w:t>20</w:t>
      </w:r>
    </w:p>
    <w:p w14:paraId="61AD28C8" w14:textId="77777777" w:rsidR="001E2936" w:rsidRDefault="001E2936" w:rsidP="001E2936">
      <w:r>
        <w:t>72% of services with a ‘Working Towards NQS’ rating improved on reassessment (noting that this data is rated services that recorded an improvement at any time from 2012 to 2019).</w:t>
      </w:r>
    </w:p>
    <w:p w14:paraId="598E9A76" w14:textId="1F683244" w:rsidR="005C3951" w:rsidRDefault="001E2936" w:rsidP="001E2936">
      <w:r>
        <w:t>15% of services with an NQS rating were rated as ‘Working Towards NQS’, and 0 services were rated as Significant Improvement Required.</w:t>
      </w:r>
    </w:p>
    <w:p w14:paraId="7B5D1119" w14:textId="4A9F8A47" w:rsidR="001E2936" w:rsidRDefault="001E2936" w:rsidP="001E2936">
      <w:pPr>
        <w:pStyle w:val="Heading3"/>
      </w:pPr>
      <w:r>
        <w:t>Response Activity</w:t>
      </w:r>
    </w:p>
    <w:p w14:paraId="15EC2586" w14:textId="7798AEB9" w:rsidR="001E2936" w:rsidRDefault="001E2936" w:rsidP="001E2936">
      <w:r w:rsidRPr="001E2936">
        <w:t>Conduct at least 3,000 site visits per annum</w:t>
      </w:r>
    </w:p>
    <w:p w14:paraId="3773F76D" w14:textId="6CB21FAB" w:rsidR="001E2936" w:rsidRDefault="001E2936" w:rsidP="001E2936">
      <w:pPr>
        <w:pStyle w:val="Heading3"/>
      </w:pPr>
      <w:r w:rsidRPr="001E2936">
        <w:t>Outcome</w:t>
      </w:r>
    </w:p>
    <w:p w14:paraId="71F54343" w14:textId="5DBB506E" w:rsidR="001E2936" w:rsidRDefault="001E2936" w:rsidP="001E2936">
      <w:r w:rsidRPr="001E2936">
        <w:t>Meet internal KPIs for service visits and assessments to ensure sector compliance</w:t>
      </w:r>
    </w:p>
    <w:p w14:paraId="760973BC" w14:textId="63745C63" w:rsidR="001E2936" w:rsidRDefault="001E2936" w:rsidP="001E2936">
      <w:pPr>
        <w:pStyle w:val="Heading3"/>
      </w:pPr>
      <w:r>
        <w:t>Measure</w:t>
      </w:r>
    </w:p>
    <w:p w14:paraId="2D98C65D" w14:textId="77777777" w:rsidR="001E2936" w:rsidRDefault="001E2936" w:rsidP="001E2936">
      <w:r>
        <w:t>Number</w:t>
      </w:r>
      <w:r w:rsidRPr="00CA608F">
        <w:t xml:space="preserve"> of service visits undertaken</w:t>
      </w:r>
    </w:p>
    <w:p w14:paraId="0779C37F" w14:textId="3BD4EA70" w:rsidR="001E2936" w:rsidRDefault="001E2936" w:rsidP="001E2936">
      <w:pPr>
        <w:pStyle w:val="Heading3"/>
      </w:pPr>
      <w:r>
        <w:t>Result 2018-19</w:t>
      </w:r>
    </w:p>
    <w:p w14:paraId="72328D12" w14:textId="0BDE0950" w:rsidR="001E2936" w:rsidRDefault="001E2936" w:rsidP="001E2936">
      <w:r>
        <w:t>3,966 visits in 2018</w:t>
      </w:r>
    </w:p>
    <w:p w14:paraId="6017EC78" w14:textId="6371AB84" w:rsidR="001E2936" w:rsidRDefault="001E2936" w:rsidP="001E2936">
      <w:pPr>
        <w:pStyle w:val="Heading3"/>
      </w:pPr>
      <w:r>
        <w:t>Result 2019-20</w:t>
      </w:r>
    </w:p>
    <w:p w14:paraId="1ACDE3B6" w14:textId="498B37F1" w:rsidR="001E2936" w:rsidRDefault="001E2936" w:rsidP="001E2936">
      <w:r w:rsidRPr="00F4591D">
        <w:t>3,933 visits in</w:t>
      </w:r>
      <w:r>
        <w:t xml:space="preserve"> 2019</w:t>
      </w:r>
    </w:p>
    <w:p w14:paraId="69956F0C" w14:textId="77777777" w:rsidR="001E2936" w:rsidRDefault="001E2936" w:rsidP="001E2936">
      <w:pPr>
        <w:pStyle w:val="Heading3"/>
      </w:pPr>
      <w:r>
        <w:t>Response Activity</w:t>
      </w:r>
    </w:p>
    <w:p w14:paraId="259FBAFE" w14:textId="09B7F34D" w:rsidR="001E2936" w:rsidRDefault="001E2936" w:rsidP="001E2936">
      <w:r w:rsidRPr="001E2936">
        <w:t>All new services are visited at least once in the first 12 months of operation</w:t>
      </w:r>
    </w:p>
    <w:p w14:paraId="2900EC4B" w14:textId="588C9E3F" w:rsidR="001E2936" w:rsidRDefault="001E2936" w:rsidP="001E2936">
      <w:pPr>
        <w:pStyle w:val="Heading3"/>
      </w:pPr>
      <w:r w:rsidRPr="001E2936">
        <w:t>Outcome</w:t>
      </w:r>
    </w:p>
    <w:p w14:paraId="08276DD9" w14:textId="4A40447C" w:rsidR="001E2936" w:rsidRDefault="001E2936" w:rsidP="001E2936">
      <w:r w:rsidRPr="001E2936">
        <w:t>Meet internal KPIs for service visits and assessments to ensure sector compliance</w:t>
      </w:r>
    </w:p>
    <w:p w14:paraId="763ED20E" w14:textId="7981EB29" w:rsidR="001E2936" w:rsidRDefault="001E2936" w:rsidP="001E2936">
      <w:pPr>
        <w:pStyle w:val="Heading3"/>
      </w:pPr>
      <w:r>
        <w:t>Measure</w:t>
      </w:r>
    </w:p>
    <w:p w14:paraId="6C61B9A9" w14:textId="6186C950" w:rsidR="001E2936" w:rsidRDefault="001E2936" w:rsidP="001E2936">
      <w:r>
        <w:t>Percentage of new services visited within 12 months</w:t>
      </w:r>
    </w:p>
    <w:p w14:paraId="11E39403" w14:textId="73C51FCC" w:rsidR="001E2936" w:rsidRDefault="001E2936" w:rsidP="001E2936">
      <w:pPr>
        <w:pStyle w:val="Heading3"/>
      </w:pPr>
      <w:r>
        <w:t>Result 2018-19</w:t>
      </w:r>
    </w:p>
    <w:p w14:paraId="32122018" w14:textId="07650B56" w:rsidR="001E2936" w:rsidRDefault="001E2936" w:rsidP="001E2936">
      <w:r>
        <w:t>92% of services approved in 2017 were visited at least once in the first 12 months</w:t>
      </w:r>
    </w:p>
    <w:p w14:paraId="5FBF9FFE" w14:textId="692F6A3A" w:rsidR="001E2936" w:rsidRDefault="001E2936" w:rsidP="001E2936">
      <w:pPr>
        <w:pStyle w:val="Heading3"/>
      </w:pPr>
      <w:r>
        <w:t>Result 2019-20</w:t>
      </w:r>
    </w:p>
    <w:p w14:paraId="113A8D63" w14:textId="5A47433C" w:rsidR="001E2936" w:rsidRPr="001E2936" w:rsidRDefault="001E2936" w:rsidP="001E2936">
      <w:r>
        <w:t xml:space="preserve">93% of services approved in 2018 were visited at least once in the first 12 months </w:t>
      </w:r>
    </w:p>
    <w:p w14:paraId="7CEE032C" w14:textId="77777777" w:rsidR="001E2936" w:rsidRDefault="001E2936" w:rsidP="001E2936"/>
    <w:p w14:paraId="30CE5132" w14:textId="77777777" w:rsidR="00416C3F" w:rsidRDefault="00416C3F" w:rsidP="00416C3F">
      <w:pPr>
        <w:ind w:firstLine="720"/>
        <w:rPr>
          <w:rFonts w:eastAsiaTheme="majorEastAsia" w:cstheme="majorBidi"/>
          <w:b/>
          <w:caps/>
          <w:color w:val="C00000"/>
          <w:sz w:val="26"/>
          <w:szCs w:val="26"/>
        </w:rPr>
        <w:sectPr w:rsidR="00416C3F" w:rsidSect="00D0712C">
          <w:pgSz w:w="11906" w:h="16838"/>
          <w:pgMar w:top="1440" w:right="1440" w:bottom="1440" w:left="1440" w:header="709" w:footer="709" w:gutter="0"/>
          <w:cols w:space="708"/>
          <w:docGrid w:linePitch="360"/>
        </w:sectPr>
      </w:pPr>
    </w:p>
    <w:p w14:paraId="760DB4F7" w14:textId="6D71D276" w:rsidR="00416C3F" w:rsidRDefault="00836EEF" w:rsidP="00416C3F">
      <w:pPr>
        <w:pStyle w:val="Heading2"/>
      </w:pPr>
      <w:bookmarkStart w:id="16" w:name="_Toc65051581"/>
      <w:r>
        <w:rPr>
          <w:caps w:val="0"/>
        </w:rPr>
        <w:lastRenderedPageBreak/>
        <w:t>KEY FINDINGS FOR RISK-BASED STRATEGIES OF NQF MONITORING AND QUALITY ASSESSMENT</w:t>
      </w:r>
      <w:bookmarkEnd w:id="16"/>
    </w:p>
    <w:p w14:paraId="23192D05" w14:textId="77777777" w:rsidR="00836EEF" w:rsidRDefault="00836EEF" w:rsidP="00416C3F">
      <w:pPr>
        <w:pStyle w:val="Heading4"/>
      </w:pPr>
    </w:p>
    <w:p w14:paraId="06E464B7" w14:textId="42A3DB19" w:rsidR="00416C3F" w:rsidRPr="001C4F4C" w:rsidRDefault="00416C3F" w:rsidP="00B969E0">
      <w:pPr>
        <w:pStyle w:val="Heading3"/>
      </w:pPr>
      <w:r>
        <w:t>Achievement of Minister’s expectations</w:t>
      </w:r>
    </w:p>
    <w:p w14:paraId="02F87310" w14:textId="3F0002C0" w:rsidR="00416C3F" w:rsidRDefault="00416C3F" w:rsidP="00130BB9">
      <w:r>
        <w:t>The QARD applied best endeavours to meet the Minister’s expectation</w:t>
      </w:r>
      <w:r w:rsidR="00130BB9">
        <w:t>s</w:t>
      </w:r>
      <w:r>
        <w:t xml:space="preserve"> to assess and rate </w:t>
      </w:r>
      <w:r w:rsidR="00130BB9">
        <w:t xml:space="preserve">all </w:t>
      </w:r>
      <w:r>
        <w:t>education and care services</w:t>
      </w:r>
      <w:r w:rsidR="00130BB9">
        <w:t>, monitor services, target regulatory effort to high risk services, and manage serious risks effectively to ensure the health, safety and wellbeing of children</w:t>
      </w:r>
      <w:r>
        <w:t xml:space="preserve">. </w:t>
      </w:r>
    </w:p>
    <w:p w14:paraId="60445BB0" w14:textId="41CD5CCF" w:rsidR="00207082" w:rsidRDefault="00146105" w:rsidP="00146105">
      <w:r>
        <w:t xml:space="preserve">The QARD demonstrated excellence in improving regulatory outcomes, with </w:t>
      </w:r>
      <w:r w:rsidR="006D4756">
        <w:t xml:space="preserve">approximately </w:t>
      </w:r>
      <w:r>
        <w:t>three quarters of services with a Working Towards NQS rating improving their performance on reassessment.  The QARD promoted high standards of quality, with 85% of Victorian services achieving a quality rating of Meeting NQS or above.</w:t>
      </w:r>
    </w:p>
    <w:p w14:paraId="77B1257F" w14:textId="13C9CC56" w:rsidR="00130BB9" w:rsidRDefault="00130BB9" w:rsidP="00B969E0">
      <w:r>
        <w:t>The QARD exceeded the target</w:t>
      </w:r>
      <w:r w:rsidR="0048344A">
        <w:t>s</w:t>
      </w:r>
      <w:r>
        <w:t xml:space="preserve"> to assess and rate services </w:t>
      </w:r>
      <w:r w:rsidR="00146105">
        <w:t xml:space="preserve">and conduct site visits. </w:t>
      </w:r>
      <w:r w:rsidR="00D13DC0">
        <w:t xml:space="preserve">The QARD supported new services, providing advice and conducting site visits before assessment </w:t>
      </w:r>
      <w:r w:rsidR="0048344A">
        <w:t xml:space="preserve">and rating </w:t>
      </w:r>
      <w:r w:rsidR="00D13DC0">
        <w:t xml:space="preserve">audits </w:t>
      </w:r>
      <w:r w:rsidR="00D440B3">
        <w:t>were</w:t>
      </w:r>
      <w:r w:rsidR="00D13DC0">
        <w:t xml:space="preserve"> required.</w:t>
      </w:r>
    </w:p>
    <w:p w14:paraId="02BF068A" w14:textId="77777777" w:rsidR="00416C3F" w:rsidRDefault="00416C3F" w:rsidP="00B969E0">
      <w:pPr>
        <w:pStyle w:val="Heading3"/>
      </w:pPr>
      <w:r>
        <w:t>Achievement of standards set out in the SOE</w:t>
      </w:r>
      <w:r w:rsidRPr="000326FB">
        <w:t xml:space="preserve"> Framework</w:t>
      </w:r>
    </w:p>
    <w:p w14:paraId="3531E812" w14:textId="51C8B365" w:rsidR="001815CC" w:rsidRDefault="001815CC" w:rsidP="001815CC">
      <w:r>
        <w:t>The QARD fulfilled all minimum and best practice standards of the SOE Framework</w:t>
      </w:r>
      <w:r w:rsidR="00E0782E">
        <w:rPr>
          <w:rStyle w:val="FootnoteReference"/>
        </w:rPr>
        <w:footnoteReference w:id="4"/>
      </w:r>
      <w:r>
        <w:t xml:space="preserve">. </w:t>
      </w:r>
    </w:p>
    <w:p w14:paraId="1A3017F2" w14:textId="11F46DCE" w:rsidR="00566998" w:rsidRDefault="00F8075B" w:rsidP="001815CC">
      <w:r>
        <w:t>Risk assessment was informed by comprehensive data and tracking the s</w:t>
      </w:r>
      <w:r w:rsidR="00566998">
        <w:t>ervice and compliance</w:t>
      </w:r>
      <w:r w:rsidR="0075571E">
        <w:t xml:space="preserve"> history</w:t>
      </w:r>
      <w:r>
        <w:t xml:space="preserve"> of providers</w:t>
      </w:r>
      <w:r w:rsidR="0075571E">
        <w:t>.</w:t>
      </w:r>
    </w:p>
    <w:p w14:paraId="568D76E0" w14:textId="7D457527" w:rsidR="001815CC" w:rsidRDefault="00CA275A" w:rsidP="001815CC">
      <w:r>
        <w:t>The QARD had a documented, c</w:t>
      </w:r>
      <w:r w:rsidR="00775FC5">
        <w:t>onsistent a</w:t>
      </w:r>
      <w:r w:rsidR="001815CC">
        <w:t>pproach to assessment and rating</w:t>
      </w:r>
      <w:r w:rsidR="008F6463">
        <w:t xml:space="preserve"> in accordance with the National Law and National Regulations</w:t>
      </w:r>
      <w:r w:rsidR="004B38A2">
        <w:t>,</w:t>
      </w:r>
      <w:r w:rsidR="008F6463">
        <w:t xml:space="preserve"> </w:t>
      </w:r>
      <w:r w:rsidR="0075571E">
        <w:t xml:space="preserve">that enabled </w:t>
      </w:r>
      <w:r w:rsidR="008F6463">
        <w:t xml:space="preserve">stakeholders to </w:t>
      </w:r>
      <w:r w:rsidR="00F8075B">
        <w:t>achieve compliance</w:t>
      </w:r>
      <w:r w:rsidR="004B38A2">
        <w:t xml:space="preserve"> and </w:t>
      </w:r>
      <w:r w:rsidR="00F8075B">
        <w:t xml:space="preserve">guided the </w:t>
      </w:r>
      <w:r w:rsidR="004B38A2">
        <w:t>effective administration of regulation</w:t>
      </w:r>
      <w:r w:rsidR="008F6463">
        <w:t xml:space="preserve">. </w:t>
      </w:r>
    </w:p>
    <w:p w14:paraId="35F92084" w14:textId="3FB0CA8C" w:rsidR="00775FC5" w:rsidRDefault="00CF73C7" w:rsidP="001815CC">
      <w:r>
        <w:t>Comprehensive and t</w:t>
      </w:r>
      <w:r w:rsidR="00201D6D">
        <w:t xml:space="preserve">argeted monitoring, </w:t>
      </w:r>
      <w:r w:rsidR="00F8075B">
        <w:t xml:space="preserve">guidance and support </w:t>
      </w:r>
      <w:r w:rsidR="002E2F96">
        <w:t xml:space="preserve">was provided </w:t>
      </w:r>
      <w:r w:rsidR="009E34B8">
        <w:t xml:space="preserve">to </w:t>
      </w:r>
      <w:r w:rsidR="00201D6D">
        <w:t xml:space="preserve">support high-risk </w:t>
      </w:r>
      <w:r w:rsidR="009E34B8">
        <w:t xml:space="preserve">services </w:t>
      </w:r>
      <w:r w:rsidR="00566998">
        <w:t xml:space="preserve">improve performance and </w:t>
      </w:r>
      <w:r w:rsidR="00F8075B">
        <w:t>promote the safety of children</w:t>
      </w:r>
      <w:r w:rsidR="00201D6D">
        <w:t xml:space="preserve"> (</w:t>
      </w:r>
      <w:r w:rsidR="003A3C90">
        <w:t>that is</w:t>
      </w:r>
      <w:r w:rsidR="00201D6D">
        <w:t xml:space="preserve"> services with low </w:t>
      </w:r>
      <w:r w:rsidR="0048344A">
        <w:t xml:space="preserve">quality </w:t>
      </w:r>
      <w:r w:rsidR="00201D6D">
        <w:t>ratings, serious incidents or complaints)</w:t>
      </w:r>
      <w:r w:rsidR="00566998">
        <w:t>.</w:t>
      </w:r>
    </w:p>
    <w:p w14:paraId="738591E8" w14:textId="664CA620" w:rsidR="009E34B8" w:rsidRDefault="001D6594" w:rsidP="00B969E0">
      <w:r>
        <w:t>The QARD demonstrated a</w:t>
      </w:r>
      <w:r w:rsidR="009E34B8">
        <w:t xml:space="preserve"> transparent approach to regulation, including providing resources on </w:t>
      </w:r>
      <w:r>
        <w:t>its</w:t>
      </w:r>
      <w:r w:rsidR="009E34B8">
        <w:t xml:space="preserve"> website to guide services to comply with the assessment and rating process.</w:t>
      </w:r>
    </w:p>
    <w:p w14:paraId="57A592F8" w14:textId="77777777" w:rsidR="00416C3F" w:rsidRPr="0095632C" w:rsidRDefault="00416C3F" w:rsidP="00B969E0">
      <w:pPr>
        <w:pStyle w:val="Heading3"/>
      </w:pPr>
      <w:r w:rsidRPr="0095632C">
        <w:t>Overall comment</w:t>
      </w:r>
    </w:p>
    <w:p w14:paraId="060421A5" w14:textId="10444B1A" w:rsidR="00416C3F" w:rsidRDefault="00416C3F" w:rsidP="00B969E0">
      <w:pPr>
        <w:sectPr w:rsidR="00416C3F" w:rsidSect="00CA6324">
          <w:pgSz w:w="11906" w:h="16838"/>
          <w:pgMar w:top="1440" w:right="1440" w:bottom="1440" w:left="1440" w:header="708" w:footer="708" w:gutter="0"/>
          <w:cols w:space="708"/>
          <w:docGrid w:linePitch="360"/>
        </w:sectPr>
      </w:pPr>
      <w:r>
        <w:t xml:space="preserve">The QARD performed strongly in following a risk-based strategy, </w:t>
      </w:r>
      <w:r w:rsidR="009E34B8">
        <w:t xml:space="preserve">demonstrating a consistent regulatory approach to risk assessment. </w:t>
      </w:r>
      <w:r w:rsidR="009E34B8" w:rsidRPr="000079D9">
        <w:t xml:space="preserve">Manual </w:t>
      </w:r>
      <w:r w:rsidR="009E34B8">
        <w:t>data analysis affected the ability of the regulator to proactively identify risks. S</w:t>
      </w:r>
      <w:r w:rsidR="009E34B8" w:rsidRPr="001C2EFB">
        <w:t xml:space="preserve">ervices with low </w:t>
      </w:r>
      <w:r w:rsidR="0048344A">
        <w:t xml:space="preserve">quality </w:t>
      </w:r>
      <w:r w:rsidR="009E34B8" w:rsidRPr="001C2EFB">
        <w:t>ratings raised</w:t>
      </w:r>
      <w:r w:rsidR="009E34B8">
        <w:t xml:space="preserve"> their</w:t>
      </w:r>
      <w:r w:rsidR="009E34B8" w:rsidRPr="001C2EFB">
        <w:t xml:space="preserve"> performance significantly where they had access to </w:t>
      </w:r>
      <w:r w:rsidR="00201D6D">
        <w:t xml:space="preserve">in-depth </w:t>
      </w:r>
      <w:r w:rsidR="009E34B8" w:rsidRPr="001C2EFB">
        <w:t xml:space="preserve">support and guidance from </w:t>
      </w:r>
      <w:r w:rsidR="009E34B8">
        <w:t xml:space="preserve">the </w:t>
      </w:r>
      <w:r w:rsidR="009E34B8" w:rsidRPr="001C2EFB">
        <w:t xml:space="preserve">QARD.  </w:t>
      </w:r>
      <w:r>
        <w:t xml:space="preserve">This approach has increased </w:t>
      </w:r>
      <w:r w:rsidR="007E2B87">
        <w:t xml:space="preserve">the </w:t>
      </w:r>
      <w:r>
        <w:t>efficiency of regulation as it reduces the need for intervention over time.</w:t>
      </w:r>
    </w:p>
    <w:p w14:paraId="678B597B" w14:textId="3D270F76" w:rsidR="00416C3F" w:rsidRDefault="00836EEF" w:rsidP="00416C3F">
      <w:pPr>
        <w:pStyle w:val="Heading2"/>
      </w:pPr>
      <w:bookmarkStart w:id="18" w:name="_Toc65051582"/>
      <w:r>
        <w:rPr>
          <w:caps w:val="0"/>
        </w:rPr>
        <w:lastRenderedPageBreak/>
        <w:t>ENFORCEMENT – RISK-BASED STRATEGIES DATA</w:t>
      </w:r>
      <w:bookmarkEnd w:id="18"/>
    </w:p>
    <w:p w14:paraId="1E1DF32E" w14:textId="7AEB2BC9" w:rsidR="00FE5ED0" w:rsidRDefault="00FE5ED0" w:rsidP="00FE5ED0">
      <w:r>
        <w:t xml:space="preserve">The data </w:t>
      </w:r>
      <w:r w:rsidR="00582FB0">
        <w:t>for the</w:t>
      </w:r>
      <w:r>
        <w:t xml:space="preserve"> mandatory element of ‘risk-based strategies’ in the SOE Framework</w:t>
      </w:r>
      <w:r w:rsidR="00582FB0">
        <w:t xml:space="preserve"> is outlined below</w:t>
      </w:r>
      <w:r>
        <w:t xml:space="preserve">. Risk-based strategies in this context </w:t>
      </w:r>
      <w:r w:rsidR="00535424">
        <w:t xml:space="preserve">referred </w:t>
      </w:r>
      <w:r>
        <w:t xml:space="preserve">to improving regulatory outcomes by strategically focusing on activities where the risks are greatest. </w:t>
      </w:r>
      <w:r w:rsidR="006443B8">
        <w:t xml:space="preserve">The </w:t>
      </w:r>
      <w:r>
        <w:t xml:space="preserve">QARD committed to </w:t>
      </w:r>
      <w:r w:rsidR="006443B8">
        <w:t xml:space="preserve">the following </w:t>
      </w:r>
      <w:r>
        <w:t xml:space="preserve">activities to </w:t>
      </w:r>
      <w:r w:rsidR="006443B8">
        <w:t xml:space="preserve">meet the Minister’s expectation to </w:t>
      </w:r>
      <w:r>
        <w:t xml:space="preserve">improve enforcement processes. </w:t>
      </w:r>
    </w:p>
    <w:p w14:paraId="051BE073" w14:textId="77777777" w:rsidR="00D0712C" w:rsidRDefault="00D0712C" w:rsidP="00D0712C">
      <w:pPr>
        <w:pStyle w:val="Heading3"/>
      </w:pPr>
      <w:r>
        <w:t>Expectation</w:t>
      </w:r>
    </w:p>
    <w:p w14:paraId="56EC0A8D" w14:textId="77777777" w:rsidR="00D0712C" w:rsidRDefault="00D0712C" w:rsidP="00D0712C">
      <w:r>
        <w:t>Continue to review and embed risk-based approaches to its regulatory operations to ensure that risks to the health, safety and wellbeing of children are minimised by:</w:t>
      </w:r>
    </w:p>
    <w:p w14:paraId="385D94BF" w14:textId="193B568C" w:rsidR="00D0712C" w:rsidRDefault="00D0712C" w:rsidP="00D0712C">
      <w:pPr>
        <w:pStyle w:val="Bullet1"/>
      </w:pPr>
      <w:r>
        <w:t>targeting regulatory effort towards the highest risk activities</w:t>
      </w:r>
    </w:p>
    <w:p w14:paraId="79202ED6" w14:textId="3E7DAE12" w:rsidR="00D0712C" w:rsidRDefault="00D0712C" w:rsidP="00D0712C">
      <w:pPr>
        <w:pStyle w:val="Bullet1"/>
      </w:pPr>
      <w:r>
        <w:t>managing serious and emerging sectoral compliance risks and responding effectively</w:t>
      </w:r>
    </w:p>
    <w:p w14:paraId="197E40F2" w14:textId="62B1C492" w:rsidR="00D0712C" w:rsidRDefault="00D0712C" w:rsidP="00D0712C">
      <w:pPr>
        <w:pStyle w:val="Bullet1"/>
      </w:pPr>
      <w:r>
        <w:t>ensuring services are adequately monitored.</w:t>
      </w:r>
    </w:p>
    <w:p w14:paraId="1B8E3AFD" w14:textId="77777777" w:rsidR="00D0712C" w:rsidRDefault="00D0712C" w:rsidP="00D0712C">
      <w:pPr>
        <w:pStyle w:val="Heading3"/>
      </w:pPr>
      <w:r>
        <w:t>Response Activity</w:t>
      </w:r>
    </w:p>
    <w:p w14:paraId="3BB2F5BE" w14:textId="77777777" w:rsidR="00D0712C" w:rsidRDefault="00D0712C" w:rsidP="00D0712C">
      <w:r>
        <w:t>For 2018-19 ensure risk management plans for all medium/high-risk rated services are regularly reviewed.</w:t>
      </w:r>
    </w:p>
    <w:p w14:paraId="3A79C2CB" w14:textId="62C34DD9" w:rsidR="00D0712C" w:rsidRDefault="00D0712C" w:rsidP="00D0712C">
      <w:r>
        <w:t>For 2019-20 ensure compliance management plans for services are regularly reviewed.</w:t>
      </w:r>
    </w:p>
    <w:p w14:paraId="6C32B924" w14:textId="77777777" w:rsidR="00D0712C" w:rsidRDefault="00D0712C" w:rsidP="00D0712C">
      <w:pPr>
        <w:pStyle w:val="Heading3"/>
      </w:pPr>
      <w:r w:rsidRPr="001E2936">
        <w:t>Outcome</w:t>
      </w:r>
    </w:p>
    <w:p w14:paraId="70F57A49" w14:textId="4417EDF1" w:rsidR="00D0712C" w:rsidRDefault="00D0712C" w:rsidP="00D0712C">
      <w:r w:rsidRPr="00D0712C">
        <w:t>Increase in number of services found compliant on review through targeted monitoring</w:t>
      </w:r>
    </w:p>
    <w:p w14:paraId="1461250E" w14:textId="77777777" w:rsidR="00D0712C" w:rsidRDefault="00D0712C" w:rsidP="00D0712C">
      <w:pPr>
        <w:pStyle w:val="Heading3"/>
      </w:pPr>
      <w:r>
        <w:t>Measure</w:t>
      </w:r>
    </w:p>
    <w:p w14:paraId="20B5CB71" w14:textId="77777777" w:rsidR="00D0712C" w:rsidRDefault="00D0712C" w:rsidP="00D0712C">
      <w:r>
        <w:t>Services assessed at or above medium risk have a compliance management plan, target 95%</w:t>
      </w:r>
    </w:p>
    <w:p w14:paraId="7492984B" w14:textId="77777777" w:rsidR="00D0712C" w:rsidRDefault="00D0712C" w:rsidP="00D0712C">
      <w:pPr>
        <w:pStyle w:val="Heading3"/>
      </w:pPr>
      <w:r>
        <w:t>Result 2018-19</w:t>
      </w:r>
    </w:p>
    <w:p w14:paraId="19A6C080" w14:textId="77777777" w:rsidR="00D0712C" w:rsidRDefault="00D0712C" w:rsidP="00D0712C">
      <w:r>
        <w:t xml:space="preserve">100% of services identified as medium-high risk had compliance plans in place to support compliance improvement and mitigate risks. Services with compliance plans were periodically reviewed within a timeframe that was considered appropriate according to the risk level. </w:t>
      </w:r>
    </w:p>
    <w:p w14:paraId="336C07E1" w14:textId="77777777" w:rsidR="00D0712C" w:rsidRDefault="00D0712C" w:rsidP="00D0712C">
      <w:r>
        <w:t>The QARD is currently reviewing its compliance management processes to support continuous improvement in managing medium/high-risk rated services.</w:t>
      </w:r>
    </w:p>
    <w:p w14:paraId="33B920A1" w14:textId="77777777" w:rsidR="00D0712C" w:rsidRDefault="00D0712C" w:rsidP="00D0712C">
      <w:pPr>
        <w:pStyle w:val="Heading3"/>
      </w:pPr>
      <w:r>
        <w:t>Result 2019-20</w:t>
      </w:r>
    </w:p>
    <w:p w14:paraId="6E6DD2DA" w14:textId="77777777" w:rsidR="00D0712C" w:rsidRDefault="00D0712C" w:rsidP="00D0712C">
      <w:r>
        <w:t xml:space="preserve">100% of services identified as medium-high risk had compliance plans in place to support compliance improvement and mitigate risks. Services with compliance plans were periodically reviewed within a timeframe that was considered appropriate according to the risk level. </w:t>
      </w:r>
    </w:p>
    <w:p w14:paraId="2AFBB9CD" w14:textId="36A9EF34" w:rsidR="00D0712C" w:rsidRDefault="00D0712C" w:rsidP="00D0712C">
      <w:r>
        <w:t>The QARD is currently reviewing its compliance management processes to support continuous improvement in managing medium/high-risk rated services.</w:t>
      </w:r>
    </w:p>
    <w:p w14:paraId="10399515" w14:textId="0C18FEC1" w:rsidR="00D0712C" w:rsidRDefault="00D0712C" w:rsidP="00FE5ED0"/>
    <w:p w14:paraId="35F1E777" w14:textId="77777777" w:rsidR="00D0712C" w:rsidRDefault="00D0712C" w:rsidP="00FE5ED0"/>
    <w:p w14:paraId="6FB1DFFA" w14:textId="77777777" w:rsidR="00416C3F" w:rsidRDefault="00416C3F" w:rsidP="00416C3F">
      <w:pPr>
        <w:rPr>
          <w:rFonts w:eastAsiaTheme="majorEastAsia" w:cstheme="majorBidi"/>
          <w:b/>
          <w:caps/>
          <w:color w:val="C00000"/>
          <w:sz w:val="44"/>
          <w:szCs w:val="32"/>
        </w:rPr>
      </w:pPr>
    </w:p>
    <w:p w14:paraId="15EA6A24" w14:textId="77777777" w:rsidR="00416C3F" w:rsidRDefault="00416C3F" w:rsidP="00416C3F">
      <w:pPr>
        <w:sectPr w:rsidR="00416C3F" w:rsidSect="003F78EE">
          <w:pgSz w:w="11906" w:h="16838"/>
          <w:pgMar w:top="1440" w:right="1440" w:bottom="1440" w:left="1440" w:header="708" w:footer="708" w:gutter="0"/>
          <w:cols w:space="708"/>
          <w:docGrid w:linePitch="360"/>
        </w:sectPr>
      </w:pPr>
    </w:p>
    <w:p w14:paraId="5CF6A558" w14:textId="44F968AA" w:rsidR="00416C3F" w:rsidRDefault="00836EEF" w:rsidP="00416C3F">
      <w:pPr>
        <w:pStyle w:val="Heading2"/>
      </w:pPr>
      <w:bookmarkStart w:id="19" w:name="_Toc65051583"/>
      <w:bookmarkStart w:id="20" w:name="_Hlk48138661"/>
      <w:r>
        <w:rPr>
          <w:caps w:val="0"/>
        </w:rPr>
        <w:lastRenderedPageBreak/>
        <w:t>KEY FINDINGS FOR RISK-BASED STRATEGIES OF ENFORCEMENT</w:t>
      </w:r>
      <w:bookmarkEnd w:id="19"/>
    </w:p>
    <w:p w14:paraId="07368E33" w14:textId="77777777" w:rsidR="00836EEF" w:rsidRDefault="00836EEF" w:rsidP="00416C3F">
      <w:pPr>
        <w:pStyle w:val="Heading4"/>
      </w:pPr>
    </w:p>
    <w:p w14:paraId="7D31F8A2" w14:textId="2F310917" w:rsidR="00416C3F" w:rsidRDefault="00416C3F" w:rsidP="00B969E0">
      <w:pPr>
        <w:pStyle w:val="Heading3"/>
      </w:pPr>
      <w:r>
        <w:t>Achievement of Minister’s expectations</w:t>
      </w:r>
    </w:p>
    <w:p w14:paraId="011C4CA0" w14:textId="3040ED42" w:rsidR="00416C3F" w:rsidRPr="00503F50" w:rsidRDefault="00416C3F" w:rsidP="00B969E0">
      <w:r>
        <w:t xml:space="preserve">The </w:t>
      </w:r>
      <w:r w:rsidRPr="00503F50">
        <w:t xml:space="preserve">QARD </w:t>
      </w:r>
      <w:r w:rsidR="007161ED">
        <w:t>met</w:t>
      </w:r>
      <w:r w:rsidR="003D70D5">
        <w:t xml:space="preserve"> the Minister’s expectation to </w:t>
      </w:r>
      <w:r>
        <w:t>embed r</w:t>
      </w:r>
      <w:r w:rsidRPr="00503F50">
        <w:t xml:space="preserve">isk-based practices, including targeting </w:t>
      </w:r>
      <w:r>
        <w:t>resources</w:t>
      </w:r>
      <w:r w:rsidRPr="00503F50">
        <w:t xml:space="preserve"> to high risk areas. Services </w:t>
      </w:r>
      <w:r w:rsidR="0048344A">
        <w:t>classified as high risk</w:t>
      </w:r>
      <w:r w:rsidR="0048344A" w:rsidRPr="00503F50">
        <w:t xml:space="preserve"> </w:t>
      </w:r>
      <w:r w:rsidRPr="00503F50">
        <w:t xml:space="preserve">received </w:t>
      </w:r>
      <w:r w:rsidR="0048344A">
        <w:t>additional</w:t>
      </w:r>
      <w:r>
        <w:t xml:space="preserve"> </w:t>
      </w:r>
      <w:r w:rsidRPr="00503F50">
        <w:t xml:space="preserve">monitoring. </w:t>
      </w:r>
    </w:p>
    <w:p w14:paraId="553F7EA2" w14:textId="45DADCE2" w:rsidR="00B71FE6" w:rsidRDefault="00416C3F" w:rsidP="00B969E0">
      <w:r>
        <w:t xml:space="preserve">The QARD </w:t>
      </w:r>
      <w:r w:rsidR="00B71FE6">
        <w:t>has met</w:t>
      </w:r>
      <w:r>
        <w:t xml:space="preserve"> the response activity, </w:t>
      </w:r>
      <w:r w:rsidR="006D4947">
        <w:t>ensuring that all medium-high risk services are supported and ha</w:t>
      </w:r>
      <w:r w:rsidR="001156B4">
        <w:t>d</w:t>
      </w:r>
      <w:r w:rsidR="006D4947">
        <w:t xml:space="preserve"> </w:t>
      </w:r>
      <w:r w:rsidR="00DC335A">
        <w:t xml:space="preserve">compliance </w:t>
      </w:r>
      <w:r w:rsidR="006D4947">
        <w:t>plans in place to improve performance, compliance and mitigate risks.</w:t>
      </w:r>
    </w:p>
    <w:p w14:paraId="51F1B2C5" w14:textId="10AF1642" w:rsidR="00416C3F" w:rsidRDefault="00B71FE6" w:rsidP="00B969E0">
      <w:r>
        <w:t xml:space="preserve">The QARD is currently </w:t>
      </w:r>
      <w:r w:rsidR="007161ED">
        <w:t>progressing improvements to its</w:t>
      </w:r>
      <w:r>
        <w:t xml:space="preserve"> a</w:t>
      </w:r>
      <w:r w:rsidR="00416C3F">
        <w:t xml:space="preserve"> </w:t>
      </w:r>
      <w:r w:rsidR="007161ED">
        <w:t xml:space="preserve">compliance management </w:t>
      </w:r>
      <w:r w:rsidR="00416C3F">
        <w:t>process</w:t>
      </w:r>
      <w:r w:rsidR="007161ED">
        <w:t>, scheduled</w:t>
      </w:r>
      <w:r w:rsidR="00416C3F">
        <w:t xml:space="preserve"> </w:t>
      </w:r>
      <w:r>
        <w:t xml:space="preserve">to be implemented in </w:t>
      </w:r>
      <w:r w:rsidR="00416C3F" w:rsidRPr="0084636F">
        <w:t>2020-21. Key</w:t>
      </w:r>
      <w:r w:rsidR="00416C3F">
        <w:t xml:space="preserve"> activities included</w:t>
      </w:r>
      <w:r w:rsidR="00DC767C">
        <w:t xml:space="preserve"> </w:t>
      </w:r>
      <w:r w:rsidR="00EB648A">
        <w:t xml:space="preserve">updating </w:t>
      </w:r>
      <w:r w:rsidR="00416C3F">
        <w:t>the compliance management policy</w:t>
      </w:r>
      <w:r w:rsidR="00DC767C">
        <w:t xml:space="preserve">, </w:t>
      </w:r>
      <w:r w:rsidR="00F30436">
        <w:t xml:space="preserve">introducing a </w:t>
      </w:r>
      <w:r w:rsidR="00DC767C">
        <w:t xml:space="preserve">compliance management plan template and management process </w:t>
      </w:r>
      <w:r w:rsidR="00416C3F">
        <w:t xml:space="preserve">to </w:t>
      </w:r>
      <w:r w:rsidR="00F30436">
        <w:t xml:space="preserve">track additional </w:t>
      </w:r>
      <w:r w:rsidR="00416C3F">
        <w:t>monitoring activity</w:t>
      </w:r>
      <w:r w:rsidR="00DC767C">
        <w:t xml:space="preserve">. </w:t>
      </w:r>
    </w:p>
    <w:p w14:paraId="4064129F" w14:textId="77777777" w:rsidR="00416C3F" w:rsidRDefault="00416C3F" w:rsidP="00B969E0">
      <w:pPr>
        <w:pStyle w:val="Heading3"/>
      </w:pPr>
      <w:r>
        <w:t>Achievement of standards set out in the SOE</w:t>
      </w:r>
      <w:r w:rsidRPr="000326FB">
        <w:t xml:space="preserve"> Framework</w:t>
      </w:r>
    </w:p>
    <w:p w14:paraId="70F6D059" w14:textId="460B8897" w:rsidR="009B2C9F" w:rsidRDefault="009B2C9F" w:rsidP="009B2C9F">
      <w:r>
        <w:t xml:space="preserve">The QARD met all minimum standards and the majority of </w:t>
      </w:r>
      <w:r w:rsidR="00655B8E">
        <w:t xml:space="preserve">the </w:t>
      </w:r>
      <w:r>
        <w:t xml:space="preserve">best practice standards of the SOE Framework. </w:t>
      </w:r>
    </w:p>
    <w:p w14:paraId="1DE1C2ED" w14:textId="62C51284" w:rsidR="009B2C9F" w:rsidRDefault="0065402B" w:rsidP="009B2C9F">
      <w:r>
        <w:t xml:space="preserve">Risk profiles </w:t>
      </w:r>
      <w:r w:rsidR="006B5A9C">
        <w:t xml:space="preserve">have been </w:t>
      </w:r>
      <w:r>
        <w:t>developed to c</w:t>
      </w:r>
      <w:r w:rsidR="009B2C9F">
        <w:t>onsistently assess each service</w:t>
      </w:r>
      <w:r w:rsidR="00F406C0">
        <w:t>, which</w:t>
      </w:r>
      <w:r w:rsidR="009B2C9F">
        <w:t xml:space="preserve"> guided </w:t>
      </w:r>
      <w:r w:rsidR="00EB648A">
        <w:t xml:space="preserve">compliance monitoring and </w:t>
      </w:r>
      <w:r w:rsidR="009B2C9F">
        <w:t xml:space="preserve">enforcement activities and requests for additional data. </w:t>
      </w:r>
    </w:p>
    <w:p w14:paraId="60A7213F" w14:textId="365E7626" w:rsidR="009B2C9F" w:rsidRDefault="009B2C9F" w:rsidP="009B2C9F">
      <w:r>
        <w:t xml:space="preserve">The QARD assigned more resources to support services that were non-compliant or at risk of non-compliance to improve quality. </w:t>
      </w:r>
    </w:p>
    <w:p w14:paraId="434F4750" w14:textId="77777777" w:rsidR="00416C3F" w:rsidRPr="0095632C" w:rsidRDefault="00416C3F" w:rsidP="00B969E0">
      <w:pPr>
        <w:pStyle w:val="Heading3"/>
      </w:pPr>
      <w:r w:rsidRPr="0095632C">
        <w:t>Overall comment</w:t>
      </w:r>
    </w:p>
    <w:p w14:paraId="536F9251" w14:textId="6399D722" w:rsidR="00416C3F" w:rsidRDefault="00416C3F" w:rsidP="00B969E0">
      <w:r w:rsidRPr="00B93878">
        <w:t xml:space="preserve">The QARD </w:t>
      </w:r>
      <w:r w:rsidR="007D1D84">
        <w:t>supported all high-risk services</w:t>
      </w:r>
      <w:r w:rsidR="006D4947">
        <w:t xml:space="preserve"> effectively</w:t>
      </w:r>
      <w:r w:rsidR="00DC335A">
        <w:t xml:space="preserve"> by providing targeted support through compliance plans to meet the needs of individual services</w:t>
      </w:r>
      <w:r w:rsidR="001156B4">
        <w:t xml:space="preserve"> and the community</w:t>
      </w:r>
      <w:r w:rsidR="00DC335A">
        <w:t xml:space="preserve">. </w:t>
      </w:r>
      <w:r w:rsidR="007D1D84">
        <w:t xml:space="preserve"> </w:t>
      </w:r>
      <w:r w:rsidR="000E0941" w:rsidRPr="00B93878">
        <w:t xml:space="preserve">The key risk </w:t>
      </w:r>
      <w:r w:rsidR="006B5A9C">
        <w:t>wa</w:t>
      </w:r>
      <w:r w:rsidR="006B5A9C" w:rsidRPr="00B93878">
        <w:t xml:space="preserve">s </w:t>
      </w:r>
      <w:r w:rsidR="001156B4">
        <w:t>the ability of the QARD to identify emerging risks and address them in time to mitigate risks</w:t>
      </w:r>
      <w:r w:rsidR="000E0941" w:rsidRPr="00B93878">
        <w:t xml:space="preserve">. </w:t>
      </w:r>
      <w:r w:rsidR="001156B4">
        <w:t xml:space="preserve">The QARD works closely with stakeholders to manage risks and </w:t>
      </w:r>
      <w:r w:rsidR="001156B4" w:rsidRPr="00B93878">
        <w:t xml:space="preserve">is </w:t>
      </w:r>
      <w:r w:rsidR="001156B4">
        <w:t>continually</w:t>
      </w:r>
      <w:r w:rsidR="001156B4" w:rsidRPr="00B93878">
        <w:t xml:space="preserve"> improving its risk-based approach to enforcement, with </w:t>
      </w:r>
      <w:r w:rsidR="001156B4">
        <w:t xml:space="preserve">further </w:t>
      </w:r>
      <w:r w:rsidR="001156B4" w:rsidRPr="00B93878">
        <w:t>policy development that will target resources to high</w:t>
      </w:r>
      <w:r w:rsidR="001156B4">
        <w:t>er</w:t>
      </w:r>
      <w:r w:rsidR="001156B4" w:rsidRPr="00B93878">
        <w:t xml:space="preserve"> risk</w:t>
      </w:r>
      <w:r w:rsidR="001156B4">
        <w:t xml:space="preserve"> services</w:t>
      </w:r>
      <w:r w:rsidR="001156B4" w:rsidRPr="00B93878">
        <w:t xml:space="preserve">. </w:t>
      </w:r>
      <w:r w:rsidR="001156B4">
        <w:t xml:space="preserve">The QARD had strong compliance management processes in place to address and review high risks in a timely manner. </w:t>
      </w:r>
    </w:p>
    <w:bookmarkEnd w:id="20"/>
    <w:p w14:paraId="7A4D077D" w14:textId="77777777" w:rsidR="00416C3F" w:rsidRDefault="00416C3F" w:rsidP="00416C3F">
      <w:pPr>
        <w:pStyle w:val="Heading2"/>
        <w:rPr>
          <w:caps w:val="0"/>
        </w:rPr>
        <w:sectPr w:rsidR="00416C3F" w:rsidSect="00CE0F12">
          <w:pgSz w:w="11906" w:h="16838"/>
          <w:pgMar w:top="1440" w:right="1440" w:bottom="1440" w:left="1440" w:header="708" w:footer="708" w:gutter="0"/>
          <w:cols w:space="708"/>
          <w:docGrid w:linePitch="360"/>
        </w:sectPr>
      </w:pPr>
    </w:p>
    <w:p w14:paraId="78252CFC" w14:textId="41DBCFF3" w:rsidR="00416C3F" w:rsidRDefault="00836EEF" w:rsidP="00416C3F">
      <w:pPr>
        <w:pStyle w:val="Heading2"/>
      </w:pPr>
      <w:bookmarkStart w:id="21" w:name="_Toc65051584"/>
      <w:r>
        <w:rPr>
          <w:caps w:val="0"/>
        </w:rPr>
        <w:lastRenderedPageBreak/>
        <w:t>ENFORCEMENT – ACCOUNTABILITY AND TRANSPARENCY DATA</w:t>
      </w:r>
      <w:bookmarkEnd w:id="21"/>
    </w:p>
    <w:p w14:paraId="2ECEE88C" w14:textId="24F9E55C" w:rsidR="004574B8" w:rsidRDefault="004574B8" w:rsidP="004574B8">
      <w:bookmarkStart w:id="22" w:name="_Hlk43843041"/>
      <w:r>
        <w:t xml:space="preserve">The data </w:t>
      </w:r>
      <w:r w:rsidR="00582FB0">
        <w:t xml:space="preserve">for the </w:t>
      </w:r>
      <w:r>
        <w:t>suggested element of ‘accountability and transparency’ in the SOE Framework</w:t>
      </w:r>
      <w:r w:rsidR="00582FB0">
        <w:t xml:space="preserve"> is outlined below</w:t>
      </w:r>
      <w:r>
        <w:t>.</w:t>
      </w:r>
      <w:bookmarkEnd w:id="22"/>
      <w:r>
        <w:t xml:space="preserve"> Accountability and transparency in this context </w:t>
      </w:r>
      <w:r w:rsidR="003B3025">
        <w:t xml:space="preserve">referred </w:t>
      </w:r>
      <w:r>
        <w:t xml:space="preserve">to providing clear information on the administration of regulation and the regulator’s performance that is subject to public scrutiny. </w:t>
      </w:r>
      <w:r w:rsidR="006B5A9C">
        <w:t>The</w:t>
      </w:r>
      <w:r>
        <w:t xml:space="preserve"> QARD committed to </w:t>
      </w:r>
      <w:r w:rsidR="006B5A9C">
        <w:t xml:space="preserve">the following </w:t>
      </w:r>
      <w:r>
        <w:t xml:space="preserve">activities to </w:t>
      </w:r>
      <w:r w:rsidR="006B5A9C">
        <w:t xml:space="preserve">meet the Minister’s expectation to </w:t>
      </w:r>
      <w:r>
        <w:t xml:space="preserve">improve enforcement processes. </w:t>
      </w:r>
    </w:p>
    <w:p w14:paraId="3D2A64A2" w14:textId="77777777" w:rsidR="006E419B" w:rsidRDefault="006E419B" w:rsidP="006E419B">
      <w:pPr>
        <w:pStyle w:val="Heading3"/>
      </w:pPr>
      <w:r>
        <w:t>Expectation</w:t>
      </w:r>
    </w:p>
    <w:p w14:paraId="584F4F8F" w14:textId="77777777" w:rsidR="006E419B" w:rsidRDefault="006E419B" w:rsidP="006E419B">
      <w:r>
        <w:t>Further improve the transparency and accountability of its regulatory and decision-making processes by:</w:t>
      </w:r>
    </w:p>
    <w:p w14:paraId="1E637691" w14:textId="75AC0B92" w:rsidR="006E419B" w:rsidRDefault="006E419B" w:rsidP="006E419B">
      <w:r>
        <w:t>developing more effective measures for the efficiency and effectiveness of application processes, decision-making processes, investigations and other internal processes and outcomes (including, for example, measures of timeliness).</w:t>
      </w:r>
    </w:p>
    <w:p w14:paraId="68C858BD" w14:textId="77777777" w:rsidR="006E419B" w:rsidRDefault="006E419B" w:rsidP="006E419B">
      <w:pPr>
        <w:pStyle w:val="Heading3"/>
      </w:pPr>
      <w:r>
        <w:t>Response Activity</w:t>
      </w:r>
    </w:p>
    <w:p w14:paraId="6901301C" w14:textId="6B513090" w:rsidR="006E419B" w:rsidRDefault="006E419B" w:rsidP="006E419B">
      <w:r w:rsidRPr="006E419B">
        <w:t>Continue to publish statutory sanctions on the Department website</w:t>
      </w:r>
    </w:p>
    <w:p w14:paraId="6D9FA020" w14:textId="77777777" w:rsidR="006E419B" w:rsidRDefault="006E419B" w:rsidP="006E419B">
      <w:pPr>
        <w:pStyle w:val="Heading3"/>
      </w:pPr>
      <w:r w:rsidRPr="001E2936">
        <w:t>Outcome</w:t>
      </w:r>
    </w:p>
    <w:p w14:paraId="1FCED26E" w14:textId="270D8181" w:rsidR="006E419B" w:rsidRDefault="006E419B" w:rsidP="006E419B">
      <w:r w:rsidRPr="006E419B">
        <w:t>Increased clarity to stakeholders about roles and responsibilities</w:t>
      </w:r>
    </w:p>
    <w:p w14:paraId="5C6B8187" w14:textId="77777777" w:rsidR="006E419B" w:rsidRDefault="006E419B" w:rsidP="006E419B">
      <w:pPr>
        <w:pStyle w:val="Heading3"/>
      </w:pPr>
      <w:r>
        <w:t>Measure</w:t>
      </w:r>
    </w:p>
    <w:p w14:paraId="23550165" w14:textId="6704D6E7" w:rsidR="006E419B" w:rsidRDefault="006E419B" w:rsidP="006E419B">
      <w:r w:rsidRPr="006E419B">
        <w:t>Number of statutory sanctions published on the Departmental website</w:t>
      </w:r>
    </w:p>
    <w:p w14:paraId="0F234202" w14:textId="77777777" w:rsidR="006E419B" w:rsidRDefault="006E419B" w:rsidP="006E419B">
      <w:pPr>
        <w:pStyle w:val="Heading3"/>
      </w:pPr>
      <w:r>
        <w:t>Result 2018-19</w:t>
      </w:r>
    </w:p>
    <w:p w14:paraId="56A7F0AF" w14:textId="5A0D5733" w:rsidR="006E419B" w:rsidRDefault="006E419B" w:rsidP="006E419B">
      <w:r w:rsidRPr="006E419B">
        <w:t xml:space="preserve">The QARD applied 85 statutory enforcement sanctions relating to serious non-compliances in 2018.  </w:t>
      </w:r>
    </w:p>
    <w:p w14:paraId="03C95EFE" w14:textId="4846814A" w:rsidR="006E419B" w:rsidRDefault="006E419B" w:rsidP="006E419B">
      <w:pPr>
        <w:pStyle w:val="Heading3"/>
      </w:pPr>
      <w:r>
        <w:t>Result 2019-20</w:t>
      </w:r>
    </w:p>
    <w:p w14:paraId="53DAC973" w14:textId="7601BB3A" w:rsidR="006E419B" w:rsidRPr="006E419B" w:rsidRDefault="006E419B" w:rsidP="006E419B">
      <w:r w:rsidRPr="006E419B">
        <w:t>The QARD applied 93 statutory enforcement sanction relating to serious non-compliances in 2019.</w:t>
      </w:r>
    </w:p>
    <w:p w14:paraId="66707105" w14:textId="77777777" w:rsidR="006E419B" w:rsidRDefault="006E419B" w:rsidP="006E419B">
      <w:pPr>
        <w:pStyle w:val="Heading3"/>
      </w:pPr>
      <w:r>
        <w:t>Response Activity</w:t>
      </w:r>
    </w:p>
    <w:p w14:paraId="02ACCB4D" w14:textId="7BFCEF70" w:rsidR="006E419B" w:rsidRDefault="006E419B" w:rsidP="006E419B">
      <w:r w:rsidRPr="006E419B">
        <w:t>For 2018-19 publish further guidance about the QARD investigatory processes.</w:t>
      </w:r>
    </w:p>
    <w:p w14:paraId="39FFED77" w14:textId="77777777" w:rsidR="006E419B" w:rsidRDefault="006E419B" w:rsidP="006E419B">
      <w:pPr>
        <w:pStyle w:val="Heading3"/>
      </w:pPr>
      <w:r w:rsidRPr="001E2936">
        <w:t>Outcome</w:t>
      </w:r>
    </w:p>
    <w:p w14:paraId="2A45B351" w14:textId="70FA4698" w:rsidR="006E419B" w:rsidRDefault="006E419B" w:rsidP="006E419B">
      <w:r w:rsidRPr="006E419B">
        <w:t>Increased clarity to stakeholders about roles and responsibilities</w:t>
      </w:r>
    </w:p>
    <w:p w14:paraId="4EFD0709" w14:textId="77777777" w:rsidR="006E419B" w:rsidRDefault="006E419B" w:rsidP="006E419B">
      <w:pPr>
        <w:pStyle w:val="Heading3"/>
      </w:pPr>
      <w:r>
        <w:t>Measure</w:t>
      </w:r>
    </w:p>
    <w:p w14:paraId="5C03D197" w14:textId="6CF64419" w:rsidR="006E419B" w:rsidRDefault="006E419B" w:rsidP="006E419B">
      <w:r w:rsidRPr="006E419B">
        <w:t>Published ‘Investigation Guidelines’</w:t>
      </w:r>
    </w:p>
    <w:p w14:paraId="198C6839" w14:textId="77777777" w:rsidR="006E419B" w:rsidRDefault="006E419B" w:rsidP="006E419B">
      <w:pPr>
        <w:pStyle w:val="Heading3"/>
      </w:pPr>
      <w:r>
        <w:t>Result 2018-19</w:t>
      </w:r>
    </w:p>
    <w:p w14:paraId="3A87086E" w14:textId="12F00051" w:rsidR="006E419B" w:rsidRDefault="006E419B" w:rsidP="006E419B">
      <w:r>
        <w:t>G</w:t>
      </w:r>
      <w:r w:rsidRPr="00F3331B">
        <w:t xml:space="preserve">uidelines </w:t>
      </w:r>
      <w:r>
        <w:t xml:space="preserve">published </w:t>
      </w:r>
      <w:r w:rsidRPr="00F3331B">
        <w:t xml:space="preserve">on </w:t>
      </w:r>
      <w:r>
        <w:t xml:space="preserve">the QARD </w:t>
      </w:r>
      <w:r w:rsidRPr="00F3331B">
        <w:t>website</w:t>
      </w:r>
    </w:p>
    <w:p w14:paraId="695B46DD" w14:textId="77777777" w:rsidR="006E419B" w:rsidRDefault="006E419B" w:rsidP="006E419B">
      <w:pPr>
        <w:pStyle w:val="Heading3"/>
      </w:pPr>
      <w:r>
        <w:t>Result 2019-20</w:t>
      </w:r>
    </w:p>
    <w:p w14:paraId="21E0B864" w14:textId="5C9CE6A3" w:rsidR="006E419B" w:rsidRDefault="006E419B" w:rsidP="004574B8">
      <w:r>
        <w:t>n/a</w:t>
      </w:r>
    </w:p>
    <w:p w14:paraId="54592D9C" w14:textId="77777777" w:rsidR="00416C3F" w:rsidRDefault="00416C3F" w:rsidP="00416C3F"/>
    <w:p w14:paraId="7C379887" w14:textId="77777777" w:rsidR="00416C3F" w:rsidRDefault="00416C3F" w:rsidP="00416C3F"/>
    <w:p w14:paraId="7BE37198" w14:textId="77777777" w:rsidR="00416C3F" w:rsidRDefault="00416C3F" w:rsidP="00416C3F">
      <w:pPr>
        <w:pStyle w:val="Heading3"/>
        <w:sectPr w:rsidR="00416C3F" w:rsidSect="006E419B">
          <w:pgSz w:w="11906" w:h="16838"/>
          <w:pgMar w:top="1440" w:right="1440" w:bottom="1440" w:left="1440" w:header="708" w:footer="708" w:gutter="0"/>
          <w:cols w:space="708"/>
          <w:docGrid w:linePitch="360"/>
        </w:sectPr>
      </w:pPr>
    </w:p>
    <w:p w14:paraId="5F89CC7A" w14:textId="3BBC5CF5" w:rsidR="00416C3F" w:rsidRDefault="00836EEF" w:rsidP="00416C3F">
      <w:pPr>
        <w:pStyle w:val="Heading2"/>
      </w:pPr>
      <w:bookmarkStart w:id="23" w:name="_Toc65051585"/>
      <w:r>
        <w:rPr>
          <w:caps w:val="0"/>
        </w:rPr>
        <w:lastRenderedPageBreak/>
        <w:t>KEY FINDINGS FOR ACCOUNTABILITY AND TRANSPARENCY OF ENFORCEMENT</w:t>
      </w:r>
      <w:bookmarkEnd w:id="23"/>
    </w:p>
    <w:p w14:paraId="71816619" w14:textId="77777777" w:rsidR="00836EEF" w:rsidRDefault="00836EEF" w:rsidP="00416C3F">
      <w:pPr>
        <w:pStyle w:val="Heading4"/>
      </w:pPr>
    </w:p>
    <w:p w14:paraId="447652B1" w14:textId="4446F713" w:rsidR="00416C3F" w:rsidRPr="001C4F4C" w:rsidRDefault="00416C3F" w:rsidP="00B969E0">
      <w:pPr>
        <w:pStyle w:val="Heading3"/>
      </w:pPr>
      <w:r>
        <w:t>Achievement of Minister’s expectations</w:t>
      </w:r>
    </w:p>
    <w:p w14:paraId="0A4F1922" w14:textId="000C06EC" w:rsidR="00416C3F" w:rsidRDefault="00416C3F" w:rsidP="007D1D84">
      <w:r>
        <w:t xml:space="preserve">The QARD met the Minister’s expectation to improve transparency by </w:t>
      </w:r>
      <w:r w:rsidR="00F30436">
        <w:t xml:space="preserve">publishing advice on investigations and continuing to </w:t>
      </w:r>
      <w:r>
        <w:t xml:space="preserve">publish enforcement information to inform </w:t>
      </w:r>
      <w:r w:rsidR="00EC09FF">
        <w:t xml:space="preserve">sector and </w:t>
      </w:r>
      <w:r>
        <w:t>community decision-making.</w:t>
      </w:r>
    </w:p>
    <w:p w14:paraId="55DC6134" w14:textId="68723E3C" w:rsidR="007D1D84" w:rsidRDefault="007D1D84" w:rsidP="007D1D84">
      <w:r>
        <w:t xml:space="preserve">The QARD </w:t>
      </w:r>
      <w:r w:rsidR="00D61673">
        <w:t xml:space="preserve">provided quality assurance and transparent information to the public by regularly publishing </w:t>
      </w:r>
      <w:r w:rsidR="009F5812">
        <w:t xml:space="preserve">the details of </w:t>
      </w:r>
      <w:r>
        <w:t xml:space="preserve">all high-risk statutory sanctions </w:t>
      </w:r>
      <w:r w:rsidR="009F5812">
        <w:t xml:space="preserve">in the enforcement action table </w:t>
      </w:r>
      <w:r>
        <w:t xml:space="preserve">on </w:t>
      </w:r>
      <w:r w:rsidR="00535424">
        <w:t xml:space="preserve">its </w:t>
      </w:r>
      <w:r>
        <w:t xml:space="preserve">website. </w:t>
      </w:r>
    </w:p>
    <w:p w14:paraId="701ED8CB" w14:textId="4DCCBB8F" w:rsidR="007D1D84" w:rsidRDefault="00207082" w:rsidP="00B969E0">
      <w:r>
        <w:t>A</w:t>
      </w:r>
      <w:r w:rsidR="007D1D84">
        <w:t xml:space="preserve">ccountability of </w:t>
      </w:r>
      <w:r>
        <w:t>the QARD’</w:t>
      </w:r>
      <w:r w:rsidR="007D1D84">
        <w:t xml:space="preserve">s regulatory and decision-making processes </w:t>
      </w:r>
      <w:r>
        <w:t xml:space="preserve">was improved </w:t>
      </w:r>
      <w:r w:rsidR="007D1D84">
        <w:t>by p</w:t>
      </w:r>
      <w:r w:rsidR="00D61673">
        <w:t>ublishing</w:t>
      </w:r>
      <w:r w:rsidR="007D1D84">
        <w:t xml:space="preserve"> guidance </w:t>
      </w:r>
      <w:r w:rsidR="00E0233F">
        <w:t>for</w:t>
      </w:r>
      <w:r w:rsidR="007D1D84">
        <w:t xml:space="preserve"> services on investigations. </w:t>
      </w:r>
    </w:p>
    <w:p w14:paraId="678968D0" w14:textId="77777777" w:rsidR="00416C3F" w:rsidRDefault="00416C3F" w:rsidP="00B969E0">
      <w:pPr>
        <w:pStyle w:val="Heading3"/>
      </w:pPr>
      <w:r>
        <w:t>Achievement of standards set out in the SOE</w:t>
      </w:r>
      <w:r w:rsidRPr="000326FB">
        <w:t xml:space="preserve"> Framework</w:t>
      </w:r>
    </w:p>
    <w:p w14:paraId="422C47FD" w14:textId="31319BB3" w:rsidR="009F5812" w:rsidRDefault="009F5812" w:rsidP="009F5812">
      <w:r>
        <w:t xml:space="preserve">The QARD fulfilled all minimum standards and </w:t>
      </w:r>
      <w:r w:rsidR="00C52A86">
        <w:t>the majority of the</w:t>
      </w:r>
      <w:r>
        <w:t xml:space="preserve"> best practice standards of the SOE Framework.</w:t>
      </w:r>
    </w:p>
    <w:p w14:paraId="22ED4682" w14:textId="76AF7798" w:rsidR="00216931" w:rsidRPr="00B969E0" w:rsidRDefault="009F5812" w:rsidP="009F5812">
      <w:r w:rsidRPr="00B93878">
        <w:t xml:space="preserve">The QARD </w:t>
      </w:r>
      <w:r w:rsidR="00216931" w:rsidRPr="00B969E0">
        <w:t xml:space="preserve">was transparent </w:t>
      </w:r>
      <w:r w:rsidR="00216931">
        <w:t xml:space="preserve">and accountable for </w:t>
      </w:r>
      <w:r w:rsidR="00216931" w:rsidRPr="00B969E0">
        <w:t xml:space="preserve">the </w:t>
      </w:r>
      <w:r w:rsidR="00216931">
        <w:t xml:space="preserve">standards required of regulated parties, the </w:t>
      </w:r>
      <w:r w:rsidR="00216931" w:rsidRPr="00B969E0">
        <w:t>process of decision-making, and the reasons for enforcement</w:t>
      </w:r>
      <w:r w:rsidR="00216931">
        <w:t xml:space="preserve"> activity</w:t>
      </w:r>
      <w:r w:rsidR="00216931" w:rsidRPr="00B969E0">
        <w:t xml:space="preserve">. </w:t>
      </w:r>
    </w:p>
    <w:p w14:paraId="35F2BD55" w14:textId="01CA6DFA" w:rsidR="000E77FB" w:rsidRDefault="00C52A86" w:rsidP="000E77FB">
      <w:r>
        <w:t xml:space="preserve">The Annual Report was aligned with government priorities and included robust performance reporting information on </w:t>
      </w:r>
      <w:r w:rsidR="00FF263F">
        <w:t xml:space="preserve">its </w:t>
      </w:r>
      <w:r>
        <w:t xml:space="preserve">regulatory activities and the quality of the sector. </w:t>
      </w:r>
      <w:r w:rsidR="000E77FB">
        <w:t>The QARD published outputs-focused data</w:t>
      </w:r>
      <w:r w:rsidR="008E6D56">
        <w:t xml:space="preserve">, </w:t>
      </w:r>
      <w:r w:rsidR="000E77FB">
        <w:t xml:space="preserve">such as the number of enforcement sanctions and compliance visits. </w:t>
      </w:r>
    </w:p>
    <w:p w14:paraId="0E8549D6" w14:textId="77777777" w:rsidR="008E6D56" w:rsidRDefault="008E6D56" w:rsidP="008E6D56">
      <w:r>
        <w:t xml:space="preserve">The QARD collected information and evaluated complaints and survey data to measure its operational performance and identify opportunities for continuous improvement.  </w:t>
      </w:r>
    </w:p>
    <w:p w14:paraId="516CC730" w14:textId="77777777" w:rsidR="00416C3F" w:rsidRDefault="00416C3F" w:rsidP="00B969E0">
      <w:pPr>
        <w:pStyle w:val="Heading3"/>
      </w:pPr>
      <w:r>
        <w:t>Overall comment</w:t>
      </w:r>
    </w:p>
    <w:p w14:paraId="55226470" w14:textId="7A38B9B2" w:rsidR="00416C3F" w:rsidRDefault="00207082" w:rsidP="00B969E0">
      <w:r>
        <w:t xml:space="preserve">The </w:t>
      </w:r>
      <w:r w:rsidR="00416C3F" w:rsidRPr="00DD0218">
        <w:t xml:space="preserve">QARD performed well in </w:t>
      </w:r>
      <w:r w:rsidR="00FC3D33">
        <w:t xml:space="preserve">terms of its </w:t>
      </w:r>
      <w:r w:rsidR="00416C3F" w:rsidRPr="00DD0218">
        <w:t>accountab</w:t>
      </w:r>
      <w:r w:rsidR="00416C3F">
        <w:t xml:space="preserve">ility </w:t>
      </w:r>
      <w:r w:rsidR="00416C3F" w:rsidRPr="00DD0218">
        <w:t>and transparen</w:t>
      </w:r>
      <w:r w:rsidR="00416C3F">
        <w:t>cy</w:t>
      </w:r>
      <w:r w:rsidR="00416C3F" w:rsidRPr="00DD0218">
        <w:t xml:space="preserve">, </w:t>
      </w:r>
      <w:r w:rsidR="00416C3F">
        <w:t xml:space="preserve">as stakeholders are </w:t>
      </w:r>
      <w:r w:rsidR="009679C3">
        <w:t>well-informed,</w:t>
      </w:r>
      <w:r w:rsidR="00416C3F">
        <w:t xml:space="preserve"> and the organisation is subject to </w:t>
      </w:r>
      <w:r w:rsidR="00FC3D33">
        <w:t xml:space="preserve">an appropriate level of </w:t>
      </w:r>
      <w:r w:rsidR="00416C3F">
        <w:t>public scrutiny</w:t>
      </w:r>
      <w:r w:rsidR="00416C3F" w:rsidRPr="00DD0218">
        <w:t xml:space="preserve">. </w:t>
      </w:r>
      <w:r w:rsidR="00320AC1" w:rsidRPr="00A27CD6">
        <w:t>Manual data analysis methods affected the regulator’s ability to quickly assess compliance risks.</w:t>
      </w:r>
      <w:r w:rsidR="00320AC1">
        <w:t xml:space="preserve"> </w:t>
      </w:r>
      <w:r w:rsidR="00FC3D33">
        <w:t xml:space="preserve">The QARD is constrained by a lack of technology </w:t>
      </w:r>
      <w:r w:rsidR="00535424">
        <w:t xml:space="preserve">for case management </w:t>
      </w:r>
      <w:r w:rsidR="00FC3D33">
        <w:t xml:space="preserve">that could support proactive data analysis. Notwithstanding, the QARD provided quality assurance to the public that appropriate enforcement action was taken to mitigate risks. </w:t>
      </w:r>
      <w:r w:rsidR="00416C3F" w:rsidRPr="00DD0218">
        <w:t>This approach</w:t>
      </w:r>
      <w:r w:rsidR="00D412A0">
        <w:t xml:space="preserve"> </w:t>
      </w:r>
      <w:r w:rsidR="003B58E3">
        <w:t xml:space="preserve">ensured the effective </w:t>
      </w:r>
      <w:r w:rsidR="00D412A0">
        <w:t xml:space="preserve">administration of regulation. </w:t>
      </w:r>
      <w:r w:rsidR="00416C3F" w:rsidRPr="00DD0218">
        <w:t xml:space="preserve"> </w:t>
      </w:r>
    </w:p>
    <w:p w14:paraId="2373FB06" w14:textId="77777777" w:rsidR="00416C3F" w:rsidRDefault="00416C3F" w:rsidP="00416C3F">
      <w:pPr>
        <w:pStyle w:val="Bullet2"/>
        <w:numPr>
          <w:ilvl w:val="0"/>
          <w:numId w:val="0"/>
        </w:numPr>
        <w:ind w:left="1080" w:hanging="360"/>
        <w:sectPr w:rsidR="00416C3F" w:rsidSect="002E2AE4">
          <w:pgSz w:w="11906" w:h="16838"/>
          <w:pgMar w:top="1440" w:right="1440" w:bottom="1440" w:left="1440" w:header="708" w:footer="708" w:gutter="0"/>
          <w:cols w:space="708"/>
          <w:docGrid w:linePitch="360"/>
        </w:sectPr>
      </w:pPr>
    </w:p>
    <w:p w14:paraId="3371E2F5" w14:textId="79166968" w:rsidR="00416C3F" w:rsidRDefault="00836EEF" w:rsidP="00416C3F">
      <w:pPr>
        <w:pStyle w:val="Heading2"/>
      </w:pPr>
      <w:bookmarkStart w:id="24" w:name="_Toc65051586"/>
      <w:r>
        <w:rPr>
          <w:caps w:val="0"/>
        </w:rPr>
        <w:lastRenderedPageBreak/>
        <w:t>GOVERNANCE – TIMELINESS DATA</w:t>
      </w:r>
      <w:bookmarkEnd w:id="24"/>
    </w:p>
    <w:p w14:paraId="4035B6F0" w14:textId="4D3CA6E7" w:rsidR="00D570CC" w:rsidRDefault="00D570CC" w:rsidP="00D570CC">
      <w:r>
        <w:t xml:space="preserve">The data </w:t>
      </w:r>
      <w:r w:rsidR="00582FB0">
        <w:t>for the</w:t>
      </w:r>
      <w:r>
        <w:t xml:space="preserve"> mandatory element of ‘timeliness’ in the SOE Framework</w:t>
      </w:r>
      <w:r w:rsidR="00582FB0">
        <w:t xml:space="preserve"> is outlined below</w:t>
      </w:r>
      <w:r>
        <w:t xml:space="preserve">. Timeliness in this context </w:t>
      </w:r>
      <w:r w:rsidR="003B3025">
        <w:t xml:space="preserve">referred </w:t>
      </w:r>
      <w:r>
        <w:t xml:space="preserve">to resolving regulatory decisions, issues and approvals in a timely manner, to avoid unnecessary administrative costs for regulated parties. </w:t>
      </w:r>
      <w:r w:rsidR="003B3025">
        <w:t xml:space="preserve">The </w:t>
      </w:r>
      <w:r>
        <w:t xml:space="preserve">QARD committed to </w:t>
      </w:r>
      <w:r w:rsidR="003B3025">
        <w:t xml:space="preserve">the following </w:t>
      </w:r>
      <w:r>
        <w:t xml:space="preserve">activities to </w:t>
      </w:r>
      <w:r w:rsidR="003B3025">
        <w:t xml:space="preserve">meet the Minister’s expectation to </w:t>
      </w:r>
      <w:r>
        <w:t xml:space="preserve">improve governance processes and systems. </w:t>
      </w:r>
    </w:p>
    <w:p w14:paraId="2D4B4DAA" w14:textId="77777777" w:rsidR="00921A72" w:rsidRDefault="00921A72" w:rsidP="00921A72">
      <w:pPr>
        <w:pStyle w:val="Heading3"/>
      </w:pPr>
      <w:r>
        <w:t>Expectation</w:t>
      </w:r>
    </w:p>
    <w:p w14:paraId="18CE6DB0" w14:textId="77777777" w:rsidR="00921A72" w:rsidRDefault="00921A72" w:rsidP="00921A72">
      <w:r>
        <w:t>Explore ways to reduce regulatory burden and improve the timeliness, efficiency and effectiveness of business systems and processes supporting its regulatory functions through:</w:t>
      </w:r>
    </w:p>
    <w:p w14:paraId="4252B9E7" w14:textId="77777777" w:rsidR="00921A72" w:rsidRDefault="00921A72" w:rsidP="00921A72">
      <w:pPr>
        <w:pStyle w:val="Bullet1"/>
      </w:pPr>
      <w:r>
        <w:t>better use of technologies</w:t>
      </w:r>
    </w:p>
    <w:p w14:paraId="3CEF4B19" w14:textId="7AB298E6" w:rsidR="00921A72" w:rsidRDefault="00921A72" w:rsidP="00921A72">
      <w:pPr>
        <w:pStyle w:val="Bullet1"/>
      </w:pPr>
      <w:r>
        <w:t>ensuring consistent delivery of high quality services within prescribed timeframes</w:t>
      </w:r>
    </w:p>
    <w:p w14:paraId="4320DDD7" w14:textId="77777777" w:rsidR="00921A72" w:rsidRDefault="00921A72" w:rsidP="00921A72">
      <w:pPr>
        <w:pStyle w:val="Heading3"/>
      </w:pPr>
      <w:r>
        <w:t>Response Activity</w:t>
      </w:r>
    </w:p>
    <w:p w14:paraId="7B18E803" w14:textId="77777777" w:rsidR="00921A72" w:rsidRDefault="00921A72" w:rsidP="00921A72">
      <w:r>
        <w:t>Work with the Australian Children’s Education and Care Authority (ACECQA) to improve the National Quality Agenda (NQA) IT System and increase the utilisation of information management technologies to:</w:t>
      </w:r>
    </w:p>
    <w:p w14:paraId="0589B7D9" w14:textId="45917CA1" w:rsidR="00921A72" w:rsidRDefault="00921A72" w:rsidP="00921A72">
      <w:pPr>
        <w:pStyle w:val="Bullet1"/>
      </w:pPr>
      <w:r>
        <w:t>simplify and standardise processes</w:t>
      </w:r>
    </w:p>
    <w:p w14:paraId="5EEB6030" w14:textId="0F5EC3F2" w:rsidR="00921A72" w:rsidRDefault="00921A72" w:rsidP="00921A72">
      <w:pPr>
        <w:pStyle w:val="Bullet1"/>
      </w:pPr>
      <w:r>
        <w:t>increase use of online forms to make it easier for services to provide required data through the online portal.</w:t>
      </w:r>
    </w:p>
    <w:p w14:paraId="06D5FE89" w14:textId="77777777" w:rsidR="00921A72" w:rsidRDefault="00921A72" w:rsidP="00921A72">
      <w:pPr>
        <w:pStyle w:val="Heading3"/>
      </w:pPr>
      <w:r w:rsidRPr="001E2936">
        <w:t>Outcome</w:t>
      </w:r>
    </w:p>
    <w:p w14:paraId="5A92933A" w14:textId="4B2032C1" w:rsidR="00921A72" w:rsidRDefault="001575CE" w:rsidP="001575CE">
      <w:r w:rsidRPr="001575CE">
        <w:t>Reduction of administrative delays through use of online systems and technologies.</w:t>
      </w:r>
    </w:p>
    <w:p w14:paraId="44270085" w14:textId="77777777" w:rsidR="00921A72" w:rsidRDefault="00921A72" w:rsidP="00921A72">
      <w:pPr>
        <w:pStyle w:val="Heading3"/>
      </w:pPr>
      <w:r>
        <w:t>Measure</w:t>
      </w:r>
    </w:p>
    <w:p w14:paraId="0F98445F" w14:textId="77777777" w:rsidR="001575CE" w:rsidRDefault="001575CE" w:rsidP="001575CE">
      <w:r>
        <w:t xml:space="preserve">Change in sector use of NQA ITS online application and notification forms – </w:t>
      </w:r>
    </w:p>
    <w:p w14:paraId="5F83A615" w14:textId="77777777" w:rsidR="001575CE" w:rsidRDefault="001575CE" w:rsidP="001575CE">
      <w:r>
        <w:t>(Internal QARD data)</w:t>
      </w:r>
    </w:p>
    <w:p w14:paraId="274BD01A" w14:textId="58876EF6" w:rsidR="00921A72" w:rsidRDefault="001575CE" w:rsidP="001575CE">
      <w:r>
        <w:t>% of providers with online portal account</w:t>
      </w:r>
    </w:p>
    <w:p w14:paraId="227B2A7F" w14:textId="77777777" w:rsidR="00921A72" w:rsidRDefault="00921A72" w:rsidP="00921A72">
      <w:pPr>
        <w:pStyle w:val="Heading3"/>
      </w:pPr>
      <w:r>
        <w:t>Result 2018-19</w:t>
      </w:r>
    </w:p>
    <w:p w14:paraId="6A1A14B0" w14:textId="5939BA80" w:rsidR="00921A72" w:rsidRDefault="001575CE" w:rsidP="001575CE">
      <w:r w:rsidRPr="001575CE">
        <w:t>90.6% of approved providers have registered in the NQA ITS as at 30 June 2018 (compared with a national proportion of 94.1%).</w:t>
      </w:r>
    </w:p>
    <w:p w14:paraId="059899E1" w14:textId="77777777" w:rsidR="00921A72" w:rsidRDefault="00921A72" w:rsidP="00921A72">
      <w:pPr>
        <w:pStyle w:val="Heading3"/>
      </w:pPr>
      <w:r>
        <w:t>Result 2019-20</w:t>
      </w:r>
    </w:p>
    <w:p w14:paraId="14ABCC97" w14:textId="02EEC7D6" w:rsidR="00921A72" w:rsidRDefault="001575CE" w:rsidP="00D570CC">
      <w:r w:rsidRPr="001575CE">
        <w:t>91.2% of approved providers have registered in the NQA ITS as at 30 June 2019 (compared with a national proportion of 96.1%).</w:t>
      </w:r>
    </w:p>
    <w:p w14:paraId="227F6311" w14:textId="77777777" w:rsidR="00921A72" w:rsidRDefault="00921A72" w:rsidP="00921A72">
      <w:pPr>
        <w:pStyle w:val="Heading3"/>
      </w:pPr>
      <w:r w:rsidRPr="001E2936">
        <w:t>Outcome</w:t>
      </w:r>
    </w:p>
    <w:p w14:paraId="0C085A79" w14:textId="40933063" w:rsidR="00921A72" w:rsidRDefault="001575CE" w:rsidP="001575CE">
      <w:r w:rsidRPr="001575CE">
        <w:t>Reduction of time taken to assess service approval applications.</w:t>
      </w:r>
    </w:p>
    <w:p w14:paraId="37837886" w14:textId="77777777" w:rsidR="00921A72" w:rsidRDefault="00921A72" w:rsidP="00921A72">
      <w:pPr>
        <w:pStyle w:val="Heading3"/>
      </w:pPr>
      <w:r>
        <w:t>Measure</w:t>
      </w:r>
    </w:p>
    <w:p w14:paraId="7AF7F9DF" w14:textId="77777777" w:rsidR="001575CE" w:rsidRDefault="001575CE" w:rsidP="001575CE">
      <w:r>
        <w:t>Proportion of new service applications assessed within 90 days</w:t>
      </w:r>
    </w:p>
    <w:p w14:paraId="49B378BB" w14:textId="1639E131" w:rsidR="00921A72" w:rsidRDefault="001575CE" w:rsidP="001575CE">
      <w:r>
        <w:t>(Internal the QARD data) #/100 or 0.##</w:t>
      </w:r>
    </w:p>
    <w:p w14:paraId="052B85CA" w14:textId="77777777" w:rsidR="00921A72" w:rsidRDefault="00921A72" w:rsidP="00921A72">
      <w:pPr>
        <w:pStyle w:val="Heading3"/>
      </w:pPr>
      <w:r>
        <w:t>Result 2018-19</w:t>
      </w:r>
    </w:p>
    <w:p w14:paraId="71B8406A" w14:textId="5A059B1E" w:rsidR="00921A72" w:rsidRDefault="001575CE" w:rsidP="001575CE">
      <w:r w:rsidRPr="001575CE">
        <w:t xml:space="preserve">64% of service approval applications submitted in 2018 were assessed within 90 days.  </w:t>
      </w:r>
    </w:p>
    <w:p w14:paraId="448C1EE4" w14:textId="77777777" w:rsidR="00921A72" w:rsidRDefault="00921A72" w:rsidP="00921A72">
      <w:pPr>
        <w:pStyle w:val="Heading3"/>
      </w:pPr>
      <w:r>
        <w:t>Result 2019-20</w:t>
      </w:r>
    </w:p>
    <w:p w14:paraId="0E777E7D" w14:textId="1B03F85E" w:rsidR="00921A72" w:rsidRDefault="001575CE" w:rsidP="00D570CC">
      <w:r w:rsidRPr="001575CE">
        <w:t xml:space="preserve">72% of service approval applications submitted in 2019 were assessed within 90 days (for applications finalised in 2019).  </w:t>
      </w:r>
    </w:p>
    <w:p w14:paraId="4BF77307" w14:textId="77777777" w:rsidR="00921A72" w:rsidRDefault="00921A72" w:rsidP="00921A72">
      <w:pPr>
        <w:pStyle w:val="Heading3"/>
      </w:pPr>
      <w:r>
        <w:lastRenderedPageBreak/>
        <w:t>Response Activity</w:t>
      </w:r>
    </w:p>
    <w:p w14:paraId="6F04B911" w14:textId="00266492" w:rsidR="00921A72" w:rsidRDefault="001575CE" w:rsidP="001575CE">
      <w:r w:rsidRPr="001575CE">
        <w:t>Adopt new technologies such as mobile devices to complete the assessment and rating process within shorter timeframes by streamlining processes and information capture.</w:t>
      </w:r>
    </w:p>
    <w:p w14:paraId="233CC61A" w14:textId="77777777" w:rsidR="00921A72" w:rsidRDefault="00921A72" w:rsidP="00921A72">
      <w:pPr>
        <w:pStyle w:val="Heading3"/>
      </w:pPr>
      <w:r w:rsidRPr="001E2936">
        <w:t>Outcome</w:t>
      </w:r>
    </w:p>
    <w:p w14:paraId="6D888FE9" w14:textId="5B8471D3" w:rsidR="00921A72" w:rsidRDefault="001575CE" w:rsidP="001575CE">
      <w:r>
        <w:t>Reduction of time taken to complete administration processes</w:t>
      </w:r>
    </w:p>
    <w:p w14:paraId="2B05CDE4" w14:textId="77777777" w:rsidR="00921A72" w:rsidRDefault="00921A72" w:rsidP="00921A72">
      <w:pPr>
        <w:pStyle w:val="Heading3"/>
      </w:pPr>
      <w:r>
        <w:t>Measure</w:t>
      </w:r>
    </w:p>
    <w:p w14:paraId="36484A5A" w14:textId="77777777" w:rsidR="001575CE" w:rsidRDefault="001575CE" w:rsidP="001575CE">
      <w:r>
        <w:t>Decrease in time taken to send notice of rating at the end of the assessment and rating process.</w:t>
      </w:r>
    </w:p>
    <w:p w14:paraId="0E593517" w14:textId="77777777" w:rsidR="001575CE" w:rsidRDefault="001575CE" w:rsidP="001575CE">
      <w:r>
        <w:t>(Internal the QARD data)</w:t>
      </w:r>
    </w:p>
    <w:p w14:paraId="18B85B34" w14:textId="0F567765" w:rsidR="00921A72" w:rsidRDefault="001575CE" w:rsidP="001575CE">
      <w:r>
        <w:t># of days</w:t>
      </w:r>
    </w:p>
    <w:p w14:paraId="738F9648" w14:textId="77777777" w:rsidR="00921A72" w:rsidRDefault="00921A72" w:rsidP="00921A72">
      <w:pPr>
        <w:pStyle w:val="Heading3"/>
      </w:pPr>
      <w:r>
        <w:t>Result 2018-19</w:t>
      </w:r>
    </w:p>
    <w:p w14:paraId="6685316E" w14:textId="38388E74" w:rsidR="00921A72" w:rsidRDefault="001575CE" w:rsidP="001575CE">
      <w:r w:rsidRPr="001575CE">
        <w:t>In 2018, the QARD took an average of 53 days to send notice of rating at the end of the assessment and rating process</w:t>
      </w:r>
    </w:p>
    <w:p w14:paraId="1EC62ABF" w14:textId="77777777" w:rsidR="00921A72" w:rsidRDefault="00921A72" w:rsidP="00921A72">
      <w:pPr>
        <w:pStyle w:val="Heading3"/>
      </w:pPr>
      <w:r>
        <w:t>Result 2019-20</w:t>
      </w:r>
    </w:p>
    <w:p w14:paraId="461053BE" w14:textId="77777777" w:rsidR="001575CE" w:rsidRDefault="001575CE" w:rsidP="001575CE">
      <w:r>
        <w:t xml:space="preserve">In 2019, the QARD took an average of 44 </w:t>
      </w:r>
      <w:r w:rsidRPr="00615E5B">
        <w:t>days to send notice of rating at the end of the assessment and rating process</w:t>
      </w:r>
      <w:r>
        <w:t>.</w:t>
      </w:r>
    </w:p>
    <w:p w14:paraId="17BA0D5E" w14:textId="2160089F" w:rsidR="001575CE" w:rsidRDefault="001575CE" w:rsidP="001575CE">
      <w:r>
        <w:t xml:space="preserve">QARD achieved the improved timeliness through process improvement, rather than the adoption of new technologies which was subject to budget constraints. </w:t>
      </w:r>
    </w:p>
    <w:p w14:paraId="766860AE" w14:textId="77777777" w:rsidR="001575CE" w:rsidRDefault="001575CE" w:rsidP="001575CE">
      <w:pPr>
        <w:pStyle w:val="Heading3"/>
      </w:pPr>
      <w:r>
        <w:t>Measure</w:t>
      </w:r>
    </w:p>
    <w:p w14:paraId="25E8CF28" w14:textId="77777777" w:rsidR="001575CE" w:rsidRDefault="001575CE" w:rsidP="001575CE">
      <w:r>
        <w:t>Proportion of notifications of incidents and complaints triaged within [timeframe]</w:t>
      </w:r>
    </w:p>
    <w:p w14:paraId="1D51FBF5" w14:textId="6F5FFB8F" w:rsidR="001575CE" w:rsidRDefault="001575CE" w:rsidP="001575CE">
      <w:r>
        <w:t>#/100 or 0.##</w:t>
      </w:r>
    </w:p>
    <w:p w14:paraId="6D3BAC82" w14:textId="77777777" w:rsidR="001575CE" w:rsidRDefault="001575CE" w:rsidP="001575CE">
      <w:pPr>
        <w:pStyle w:val="Heading3"/>
      </w:pPr>
      <w:r>
        <w:t>Result 2018-19</w:t>
      </w:r>
    </w:p>
    <w:p w14:paraId="714E2954" w14:textId="77777777" w:rsidR="001575CE" w:rsidRDefault="001575CE" w:rsidP="001575CE">
      <w:r>
        <w:t xml:space="preserve">New data collection methods for this measure were established from July 2019. </w:t>
      </w:r>
    </w:p>
    <w:p w14:paraId="2555F482" w14:textId="5E946BFB" w:rsidR="001575CE" w:rsidRDefault="001575CE" w:rsidP="001575CE">
      <w:r>
        <w:t>The QARD is committed to responding to notifications within 7 days.</w:t>
      </w:r>
    </w:p>
    <w:p w14:paraId="6D91EDAD" w14:textId="77777777" w:rsidR="001575CE" w:rsidRDefault="001575CE" w:rsidP="001575CE">
      <w:pPr>
        <w:pStyle w:val="Heading3"/>
      </w:pPr>
      <w:r>
        <w:t>Result 2019-20</w:t>
      </w:r>
    </w:p>
    <w:p w14:paraId="7C3773F4" w14:textId="02100582" w:rsidR="001575CE" w:rsidRDefault="001575CE" w:rsidP="001575CE">
      <w:r>
        <w:t>n/a</w:t>
      </w:r>
    </w:p>
    <w:p w14:paraId="579F8193" w14:textId="77777777" w:rsidR="001575CE" w:rsidRDefault="001575CE" w:rsidP="001575CE">
      <w:pPr>
        <w:pStyle w:val="TableText"/>
      </w:pPr>
    </w:p>
    <w:p w14:paraId="705D7251" w14:textId="77777777" w:rsidR="00921A72" w:rsidRDefault="00921A72" w:rsidP="00D570CC"/>
    <w:p w14:paraId="7881CE96" w14:textId="77777777" w:rsidR="00921A72" w:rsidRDefault="00921A72" w:rsidP="00D570CC"/>
    <w:p w14:paraId="53430D31" w14:textId="77777777" w:rsidR="00416C3F" w:rsidRDefault="00416C3F" w:rsidP="00416C3F">
      <w:pPr>
        <w:sectPr w:rsidR="00416C3F" w:rsidSect="00BE1B8D">
          <w:pgSz w:w="11906" w:h="16838"/>
          <w:pgMar w:top="1440" w:right="1440" w:bottom="1440" w:left="1440" w:header="708" w:footer="708" w:gutter="0"/>
          <w:cols w:space="708"/>
          <w:docGrid w:linePitch="360"/>
        </w:sectPr>
      </w:pPr>
    </w:p>
    <w:p w14:paraId="4E5DE6BE" w14:textId="1D26ECBC" w:rsidR="00416C3F" w:rsidRDefault="00836EEF" w:rsidP="00416C3F">
      <w:pPr>
        <w:pStyle w:val="Heading2"/>
      </w:pPr>
      <w:bookmarkStart w:id="25" w:name="_Toc65051587"/>
      <w:r>
        <w:rPr>
          <w:caps w:val="0"/>
        </w:rPr>
        <w:lastRenderedPageBreak/>
        <w:t>KEY FINDINGS FOR TIMELINESS OF GOVERNANCE</w:t>
      </w:r>
      <w:bookmarkEnd w:id="25"/>
      <w:r>
        <w:rPr>
          <w:caps w:val="0"/>
        </w:rPr>
        <w:t xml:space="preserve"> </w:t>
      </w:r>
    </w:p>
    <w:p w14:paraId="3DF72BF5" w14:textId="77777777" w:rsidR="00836EEF" w:rsidRDefault="00836EEF" w:rsidP="00416C3F">
      <w:pPr>
        <w:pStyle w:val="Heading4"/>
      </w:pPr>
    </w:p>
    <w:p w14:paraId="0369EDFB" w14:textId="79549C25" w:rsidR="00416C3F" w:rsidRPr="001C4F4C" w:rsidRDefault="00416C3F" w:rsidP="00B969E0">
      <w:pPr>
        <w:pStyle w:val="Heading3"/>
      </w:pPr>
      <w:r>
        <w:t>Achievement of Minister’s expectations</w:t>
      </w:r>
    </w:p>
    <w:p w14:paraId="11DB5954" w14:textId="0D77AC8E" w:rsidR="00416C3F" w:rsidRDefault="00416C3F" w:rsidP="00E93689">
      <w:r>
        <w:t xml:space="preserve">The QARD has </w:t>
      </w:r>
      <w:r w:rsidR="00E93689">
        <w:t>largely</w:t>
      </w:r>
      <w:r>
        <w:t xml:space="preserve"> met the Minister’s expectation to </w:t>
      </w:r>
      <w:r w:rsidR="003A3C90">
        <w:t xml:space="preserve">reduce </w:t>
      </w:r>
      <w:r>
        <w:t xml:space="preserve">the regulatory burden and improve timeliness for services.  </w:t>
      </w:r>
    </w:p>
    <w:p w14:paraId="59055ECC" w14:textId="21B16675" w:rsidR="00E93689" w:rsidRDefault="00780747" w:rsidP="00E93689">
      <w:r>
        <w:t>T</w:t>
      </w:r>
      <w:r w:rsidR="00E93689">
        <w:t xml:space="preserve">imeliness </w:t>
      </w:r>
      <w:r>
        <w:t xml:space="preserve">was improved </w:t>
      </w:r>
      <w:r w:rsidR="00E93689">
        <w:t xml:space="preserve">by </w:t>
      </w:r>
      <w:r w:rsidR="00C8777B">
        <w:t xml:space="preserve">process improvement and </w:t>
      </w:r>
      <w:r w:rsidR="00B50FD0">
        <w:t xml:space="preserve">promoting the use of </w:t>
      </w:r>
      <w:r w:rsidR="00883EE2">
        <w:t xml:space="preserve">the NQA IT system portal for providers to submit forms and provide feedback </w:t>
      </w:r>
      <w:r w:rsidR="00B50FD0">
        <w:t>online</w:t>
      </w:r>
      <w:r w:rsidR="00883EE2">
        <w:t>.</w:t>
      </w:r>
      <w:r w:rsidR="00B50FD0">
        <w:t xml:space="preserve"> </w:t>
      </w:r>
      <w:r w:rsidR="00FA6A6D">
        <w:t xml:space="preserve">The </w:t>
      </w:r>
      <w:r w:rsidR="00883EE2">
        <w:t xml:space="preserve">QARD was able to </w:t>
      </w:r>
      <w:r w:rsidR="00E93689">
        <w:t xml:space="preserve">assess new service applications </w:t>
      </w:r>
      <w:r w:rsidR="00B50FD0">
        <w:t xml:space="preserve">and </w:t>
      </w:r>
      <w:r w:rsidR="00883EE2">
        <w:t xml:space="preserve">produce </w:t>
      </w:r>
      <w:r w:rsidR="00B50FD0">
        <w:t>a rating for services in a shorter timeframe</w:t>
      </w:r>
      <w:r w:rsidR="00E93689">
        <w:t>.</w:t>
      </w:r>
      <w:r w:rsidR="009C2F90">
        <w:t xml:space="preserve"> </w:t>
      </w:r>
      <w:r w:rsidR="00E93689">
        <w:t xml:space="preserve"> </w:t>
      </w:r>
    </w:p>
    <w:p w14:paraId="294BDD10" w14:textId="0C64B3FC" w:rsidR="003745A7" w:rsidRDefault="00B545E8">
      <w:r>
        <w:t>The QARD worked with the ACECQA</w:t>
      </w:r>
      <w:r w:rsidR="00B50FD0">
        <w:t xml:space="preserve"> to improve the </w:t>
      </w:r>
      <w:r w:rsidR="008C6C82">
        <w:t xml:space="preserve">operation of the </w:t>
      </w:r>
      <w:r w:rsidR="00B50FD0">
        <w:t xml:space="preserve">NQA IT system portal. </w:t>
      </w:r>
      <w:r w:rsidR="008C6C82">
        <w:t xml:space="preserve">This included </w:t>
      </w:r>
      <w:r w:rsidR="00CE56D0">
        <w:t xml:space="preserve">the development of </w:t>
      </w:r>
      <w:r w:rsidR="008C6C82">
        <w:t xml:space="preserve">new data collection methods to </w:t>
      </w:r>
      <w:r w:rsidR="00883EE2">
        <w:t xml:space="preserve">record the triage information for </w:t>
      </w:r>
      <w:r w:rsidR="00D90902">
        <w:t>incidents and complaints</w:t>
      </w:r>
      <w:r w:rsidR="008F5986">
        <w:t xml:space="preserve"> for future </w:t>
      </w:r>
      <w:r w:rsidR="00BC6CCB">
        <w:t>performance reporting</w:t>
      </w:r>
      <w:r w:rsidR="008F5986">
        <w:t>.</w:t>
      </w:r>
    </w:p>
    <w:p w14:paraId="0DD9E44D" w14:textId="77777777" w:rsidR="00416C3F" w:rsidRPr="000130A5" w:rsidRDefault="00416C3F" w:rsidP="00B969E0">
      <w:pPr>
        <w:pStyle w:val="Heading3"/>
      </w:pPr>
      <w:r w:rsidRPr="000130A5">
        <w:t xml:space="preserve">Achievement of standards set out in the </w:t>
      </w:r>
      <w:r>
        <w:t>SOE</w:t>
      </w:r>
      <w:r w:rsidRPr="000326FB">
        <w:t xml:space="preserve"> Framework</w:t>
      </w:r>
    </w:p>
    <w:p w14:paraId="23AB3E8F" w14:textId="1B4EBBC1" w:rsidR="0084300B" w:rsidRDefault="00517811" w:rsidP="0084300B">
      <w:r>
        <w:t xml:space="preserve">The QARD has fulfilled all minimum standards and </w:t>
      </w:r>
      <w:r w:rsidR="00080AD9">
        <w:t>largely</w:t>
      </w:r>
      <w:r>
        <w:t xml:space="preserve"> met the best practice standards of the SOE Framework. </w:t>
      </w:r>
    </w:p>
    <w:p w14:paraId="7F18E916" w14:textId="1B866F5F" w:rsidR="006E766B" w:rsidRPr="000130A5" w:rsidRDefault="00277AAE" w:rsidP="006E766B">
      <w:r>
        <w:t xml:space="preserve">Services </w:t>
      </w:r>
      <w:r w:rsidR="003953D4">
        <w:t xml:space="preserve">were able to </w:t>
      </w:r>
      <w:r>
        <w:t xml:space="preserve">submit applications, notifications, and </w:t>
      </w:r>
      <w:r w:rsidRPr="006B562D">
        <w:t>assessment and rating</w:t>
      </w:r>
      <w:r>
        <w:t xml:space="preserve"> documents through the </w:t>
      </w:r>
      <w:r w:rsidR="006E766B">
        <w:t>NQA IT system portal</w:t>
      </w:r>
      <w:r>
        <w:t xml:space="preserve">, which </w:t>
      </w:r>
      <w:r w:rsidR="003953D4">
        <w:t xml:space="preserve">saved </w:t>
      </w:r>
      <w:r>
        <w:t xml:space="preserve">time for the regulator and regulated parties. </w:t>
      </w:r>
    </w:p>
    <w:p w14:paraId="79B2DADD" w14:textId="15257CF3" w:rsidR="006E766B" w:rsidRDefault="00277AAE" w:rsidP="006E766B">
      <w:pPr>
        <w:rPr>
          <w:i/>
        </w:rPr>
      </w:pPr>
      <w:r>
        <w:t>The QARD p</w:t>
      </w:r>
      <w:r w:rsidR="006E766B">
        <w:t xml:space="preserve">rovided guidance on the timing and scope of regulatory processes in the </w:t>
      </w:r>
      <w:r w:rsidR="006E766B" w:rsidRPr="00EE681D">
        <w:rPr>
          <w:iCs/>
        </w:rPr>
        <w:t xml:space="preserve">Regulatory </w:t>
      </w:r>
      <w:r w:rsidRPr="00EE681D">
        <w:rPr>
          <w:iCs/>
        </w:rPr>
        <w:t>Framework</w:t>
      </w:r>
      <w:r>
        <w:rPr>
          <w:iCs/>
        </w:rPr>
        <w:t xml:space="preserve"> and </w:t>
      </w:r>
      <w:r w:rsidR="006E766B">
        <w:rPr>
          <w:iCs/>
        </w:rPr>
        <w:t xml:space="preserve">works with services to resolve issues. </w:t>
      </w:r>
    </w:p>
    <w:p w14:paraId="7BC2751B" w14:textId="35FE13FB" w:rsidR="008A76ED" w:rsidRDefault="006E766B" w:rsidP="004F1B24">
      <w:r>
        <w:t>S</w:t>
      </w:r>
      <w:r w:rsidRPr="00CB0829">
        <w:t>ome business processes</w:t>
      </w:r>
      <w:r>
        <w:t xml:space="preserve">, including </w:t>
      </w:r>
      <w:r w:rsidR="00910B19">
        <w:t xml:space="preserve">case management and </w:t>
      </w:r>
      <w:r w:rsidR="003B4720">
        <w:t xml:space="preserve">some aspects of </w:t>
      </w:r>
      <w:r>
        <w:t xml:space="preserve">compliance monitoring, </w:t>
      </w:r>
      <w:r w:rsidRPr="00CB0829">
        <w:t xml:space="preserve">are paper-based and </w:t>
      </w:r>
      <w:r>
        <w:t xml:space="preserve">would be more efficient within an IT system. </w:t>
      </w:r>
    </w:p>
    <w:p w14:paraId="73ECBD45" w14:textId="39934E15" w:rsidR="00277AAE" w:rsidRDefault="00277AAE" w:rsidP="00277AAE">
      <w:r>
        <w:t xml:space="preserve">The QARD worked in partnership with ACECQA </w:t>
      </w:r>
      <w:r w:rsidR="00B22343">
        <w:t>to</w:t>
      </w:r>
      <w:r>
        <w:t xml:space="preserve"> streamline regulation</w:t>
      </w:r>
      <w:r w:rsidR="00B22343">
        <w:t>,</w:t>
      </w:r>
      <w:r>
        <w:t xml:space="preserve"> ensur</w:t>
      </w:r>
      <w:r w:rsidR="00B22343">
        <w:t>ing</w:t>
      </w:r>
      <w:r>
        <w:t xml:space="preserve"> there </w:t>
      </w:r>
      <w:r w:rsidR="00B22343">
        <w:t>wa</w:t>
      </w:r>
      <w:r>
        <w:t xml:space="preserve">s reasonable timeframes for services to meet </w:t>
      </w:r>
      <w:r w:rsidR="003B4720">
        <w:t xml:space="preserve">legislative requirements and requests for information. </w:t>
      </w:r>
    </w:p>
    <w:p w14:paraId="65D41F04" w14:textId="77777777" w:rsidR="00416C3F" w:rsidRPr="00827B9B" w:rsidRDefault="00416C3F" w:rsidP="00B969E0">
      <w:pPr>
        <w:pStyle w:val="Heading3"/>
      </w:pPr>
      <w:r w:rsidRPr="00827B9B">
        <w:t>Overall comment</w:t>
      </w:r>
    </w:p>
    <w:p w14:paraId="59586CED" w14:textId="6947B32D" w:rsidR="00416C3F" w:rsidRDefault="00F813D8" w:rsidP="00B969E0">
      <w:r>
        <w:t xml:space="preserve">The </w:t>
      </w:r>
      <w:r w:rsidR="00416C3F" w:rsidRPr="00827B9B">
        <w:t xml:space="preserve">QARD performed </w:t>
      </w:r>
      <w:r w:rsidR="00B10F9C">
        <w:t>well</w:t>
      </w:r>
      <w:r w:rsidR="00416C3F" w:rsidRPr="00827B9B">
        <w:t xml:space="preserve"> in </w:t>
      </w:r>
      <w:r w:rsidR="006D5A35">
        <w:t xml:space="preserve">terms of increasing its </w:t>
      </w:r>
      <w:r w:rsidR="00416C3F" w:rsidRPr="00827B9B">
        <w:t>timeliness, completing some key business processes faster</w:t>
      </w:r>
      <w:r w:rsidR="00A17757">
        <w:t xml:space="preserve"> and saving additional delay costs for regulated parties</w:t>
      </w:r>
      <w:r w:rsidR="00A17757" w:rsidRPr="00827B9B">
        <w:t>.</w:t>
      </w:r>
      <w:r w:rsidR="00416C3F" w:rsidRPr="00827B9B">
        <w:t xml:space="preserve"> </w:t>
      </w:r>
      <w:r w:rsidR="00FF4FDC">
        <w:t>The QARD</w:t>
      </w:r>
      <w:r w:rsidR="00DC700C">
        <w:t xml:space="preserve"> has </w:t>
      </w:r>
      <w:r w:rsidR="00FF4FDC">
        <w:t xml:space="preserve">been unable to </w:t>
      </w:r>
      <w:r w:rsidR="00DC700C">
        <w:t xml:space="preserve">invest in new IT systems that would </w:t>
      </w:r>
      <w:r w:rsidR="006D5A35">
        <w:t xml:space="preserve">replace paper-based </w:t>
      </w:r>
      <w:r w:rsidR="003B4720">
        <w:t xml:space="preserve">and workaround </w:t>
      </w:r>
      <w:r w:rsidR="006D5A35">
        <w:t>processes</w:t>
      </w:r>
      <w:r w:rsidR="00A17757">
        <w:t xml:space="preserve"> and continuously improve timeliness. </w:t>
      </w:r>
    </w:p>
    <w:p w14:paraId="15B6CE32" w14:textId="1160682E" w:rsidR="00FF4FDC" w:rsidRPr="00827B9B" w:rsidRDefault="00FF4FDC" w:rsidP="00B969E0">
      <w:pPr>
        <w:sectPr w:rsidR="00FF4FDC" w:rsidRPr="00827B9B" w:rsidSect="002E2AE4">
          <w:pgSz w:w="11906" w:h="16838"/>
          <w:pgMar w:top="1440" w:right="1440" w:bottom="1440" w:left="1440" w:header="708" w:footer="708" w:gutter="0"/>
          <w:cols w:space="708"/>
          <w:docGrid w:linePitch="360"/>
        </w:sectPr>
      </w:pPr>
      <w:r>
        <w:t xml:space="preserve"> </w:t>
      </w:r>
    </w:p>
    <w:p w14:paraId="211123AA" w14:textId="42A7B22C" w:rsidR="00416C3F" w:rsidRDefault="00836EEF" w:rsidP="00416C3F">
      <w:pPr>
        <w:pStyle w:val="Heading2"/>
      </w:pPr>
      <w:bookmarkStart w:id="26" w:name="_Toc65051588"/>
      <w:r>
        <w:rPr>
          <w:caps w:val="0"/>
        </w:rPr>
        <w:lastRenderedPageBreak/>
        <w:t>GOVERNANCE – RISK-BASED STRATEGIES DATA</w:t>
      </w:r>
      <w:bookmarkEnd w:id="26"/>
    </w:p>
    <w:p w14:paraId="7184D35C" w14:textId="74CC1A43" w:rsidR="00D570CC" w:rsidRDefault="00D570CC" w:rsidP="00D570CC">
      <w:r>
        <w:t xml:space="preserve">The data </w:t>
      </w:r>
      <w:r w:rsidR="00582FB0">
        <w:t>for the</w:t>
      </w:r>
      <w:r>
        <w:t xml:space="preserve"> mandatory element of ‘risk-based strategies’ in the SOE Framework</w:t>
      </w:r>
      <w:r w:rsidR="00582FB0">
        <w:t xml:space="preserve"> is outlined below</w:t>
      </w:r>
      <w:r>
        <w:t xml:space="preserve">. Risk-based strategies in this context </w:t>
      </w:r>
      <w:r w:rsidR="003B3025">
        <w:t xml:space="preserve">referred </w:t>
      </w:r>
      <w:r>
        <w:t xml:space="preserve">to improving regulatory outcomes by strategically focusing on activities where the risks are greatest. </w:t>
      </w:r>
      <w:r w:rsidR="003B3025">
        <w:t>The</w:t>
      </w:r>
      <w:r>
        <w:t xml:space="preserve"> QARD committed to </w:t>
      </w:r>
      <w:r w:rsidR="003B3025">
        <w:t xml:space="preserve">the following </w:t>
      </w:r>
      <w:r>
        <w:t xml:space="preserve">activities to </w:t>
      </w:r>
      <w:r w:rsidR="003B3025">
        <w:t xml:space="preserve">meet the Minister’s expectation to </w:t>
      </w:r>
      <w:r>
        <w:t xml:space="preserve">improve governance processes and systems. </w:t>
      </w:r>
    </w:p>
    <w:p w14:paraId="5A0C676C" w14:textId="77777777" w:rsidR="000F7D6C" w:rsidRDefault="000F7D6C" w:rsidP="000F7D6C">
      <w:pPr>
        <w:pStyle w:val="Heading3"/>
      </w:pPr>
      <w:r>
        <w:t>Expectation</w:t>
      </w:r>
    </w:p>
    <w:p w14:paraId="04ED6674" w14:textId="77777777" w:rsidR="000F7D6C" w:rsidRDefault="000F7D6C" w:rsidP="000F7D6C">
      <w:r>
        <w:t>Continue to review and embed risk-based approaches to its regulatory operations to ensure that risks to the health, safety and wellbeing of children are minimised by:</w:t>
      </w:r>
    </w:p>
    <w:p w14:paraId="2280177B" w14:textId="77777777" w:rsidR="000F7D6C" w:rsidRDefault="000F7D6C" w:rsidP="000F7D6C">
      <w:pPr>
        <w:pStyle w:val="Bullet1"/>
      </w:pPr>
      <w:r>
        <w:t>targeting regulatory effort towards the highest risk activities</w:t>
      </w:r>
    </w:p>
    <w:p w14:paraId="27118B06" w14:textId="77777777" w:rsidR="000F7D6C" w:rsidRDefault="000F7D6C" w:rsidP="000F7D6C">
      <w:pPr>
        <w:pStyle w:val="Bullet1"/>
      </w:pPr>
      <w:r>
        <w:t>managing serious and emerging sectoral compliance risks and responding effectively</w:t>
      </w:r>
    </w:p>
    <w:p w14:paraId="28E87772" w14:textId="670F27A4" w:rsidR="000F7D6C" w:rsidRDefault="000F7D6C" w:rsidP="000F7D6C">
      <w:pPr>
        <w:pStyle w:val="Bullet1"/>
      </w:pPr>
      <w:r>
        <w:t>ensuring services are adequately monitored.</w:t>
      </w:r>
    </w:p>
    <w:p w14:paraId="793B28C0" w14:textId="77777777" w:rsidR="000F7D6C" w:rsidRDefault="000F7D6C" w:rsidP="000F7D6C">
      <w:pPr>
        <w:pStyle w:val="Heading3"/>
      </w:pPr>
      <w:r>
        <w:t>Response Activity</w:t>
      </w:r>
    </w:p>
    <w:p w14:paraId="6D9753DF" w14:textId="2D3B49A8" w:rsidR="000F7D6C" w:rsidRDefault="000F7D6C" w:rsidP="000F7D6C">
      <w:r w:rsidRPr="00B92738">
        <w:t>For 2018-19 review current analytics and reporting of risk information to improve identification and responses to emerging risks.</w:t>
      </w:r>
    </w:p>
    <w:p w14:paraId="6179713E" w14:textId="77777777" w:rsidR="000F7D6C" w:rsidRDefault="000F7D6C" w:rsidP="000F7D6C">
      <w:pPr>
        <w:pStyle w:val="Heading3"/>
      </w:pPr>
      <w:r w:rsidRPr="001E2936">
        <w:t>Outcome</w:t>
      </w:r>
    </w:p>
    <w:p w14:paraId="0AFA52A2" w14:textId="719EDDD9" w:rsidR="000F7D6C" w:rsidRDefault="000F7D6C" w:rsidP="000F7D6C">
      <w:r w:rsidRPr="00B92738">
        <w:t>Improved governance and assurance of performance</w:t>
      </w:r>
    </w:p>
    <w:p w14:paraId="4040D509" w14:textId="77777777" w:rsidR="000F7D6C" w:rsidRDefault="000F7D6C" w:rsidP="000F7D6C">
      <w:pPr>
        <w:pStyle w:val="Heading3"/>
      </w:pPr>
      <w:r>
        <w:t>Measure</w:t>
      </w:r>
    </w:p>
    <w:p w14:paraId="21653DFE" w14:textId="77777777" w:rsidR="000F7D6C" w:rsidRDefault="000F7D6C" w:rsidP="000F7D6C">
      <w:r>
        <w:t xml:space="preserve">Framework reviewed. Changes made: established Regulatory Risk Committee in June 2018. The committee reviews internal risk information. </w:t>
      </w:r>
    </w:p>
    <w:p w14:paraId="12399F5A" w14:textId="440805A0" w:rsidR="000F7D6C" w:rsidRDefault="000F7D6C" w:rsidP="000F7D6C">
      <w:r>
        <w:t>Acquittal only</w:t>
      </w:r>
    </w:p>
    <w:p w14:paraId="47A2F472" w14:textId="77777777" w:rsidR="000F7D6C" w:rsidRDefault="000F7D6C" w:rsidP="000F7D6C">
      <w:pPr>
        <w:pStyle w:val="Heading3"/>
      </w:pPr>
      <w:r>
        <w:t>Result 2018-19</w:t>
      </w:r>
    </w:p>
    <w:p w14:paraId="51888E75" w14:textId="0A790C8C" w:rsidR="000F7D6C" w:rsidRDefault="000F7D6C" w:rsidP="000F7D6C">
      <w:r>
        <w:t>Acquittal</w:t>
      </w:r>
    </w:p>
    <w:p w14:paraId="7ECDFE8F" w14:textId="77777777" w:rsidR="000F7D6C" w:rsidRDefault="000F7D6C" w:rsidP="000F7D6C">
      <w:pPr>
        <w:pStyle w:val="Heading3"/>
      </w:pPr>
      <w:r>
        <w:t>Result 2019-20</w:t>
      </w:r>
    </w:p>
    <w:p w14:paraId="5518647D" w14:textId="6F2D64F3" w:rsidR="000F7D6C" w:rsidRDefault="000F7D6C" w:rsidP="00D570CC">
      <w:r>
        <w:t>n/a</w:t>
      </w:r>
    </w:p>
    <w:p w14:paraId="3FECE098" w14:textId="77777777" w:rsidR="00416C3F" w:rsidRDefault="00416C3F" w:rsidP="00416C3F">
      <w:pPr>
        <w:sectPr w:rsidR="00416C3F" w:rsidSect="000F7D6C">
          <w:pgSz w:w="11906" w:h="16838"/>
          <w:pgMar w:top="1440" w:right="1440" w:bottom="1440" w:left="1440" w:header="708" w:footer="708" w:gutter="0"/>
          <w:cols w:space="708"/>
          <w:docGrid w:linePitch="360"/>
        </w:sectPr>
      </w:pPr>
    </w:p>
    <w:p w14:paraId="7D710F37" w14:textId="4580B3F0" w:rsidR="00416C3F" w:rsidRDefault="00836EEF" w:rsidP="00416C3F">
      <w:pPr>
        <w:pStyle w:val="Heading2"/>
      </w:pPr>
      <w:bookmarkStart w:id="27" w:name="_Toc65051589"/>
      <w:r>
        <w:rPr>
          <w:caps w:val="0"/>
        </w:rPr>
        <w:lastRenderedPageBreak/>
        <w:t>KEY FINDINGS FOR RISK-BASED STRATEGIES OF GOVERNANCE</w:t>
      </w:r>
      <w:bookmarkEnd w:id="27"/>
    </w:p>
    <w:p w14:paraId="5F9B83D9" w14:textId="77777777" w:rsidR="00836EEF" w:rsidRDefault="00836EEF" w:rsidP="00416C3F">
      <w:pPr>
        <w:pStyle w:val="Heading4"/>
      </w:pPr>
    </w:p>
    <w:p w14:paraId="7561B5AD" w14:textId="7583E2AA" w:rsidR="00416C3F" w:rsidRPr="001C4F4C" w:rsidRDefault="00416C3F" w:rsidP="00B969E0">
      <w:pPr>
        <w:pStyle w:val="Heading3"/>
      </w:pPr>
      <w:r>
        <w:t>Achievement of Minister’s expectations</w:t>
      </w:r>
    </w:p>
    <w:p w14:paraId="4083A210" w14:textId="231345BC" w:rsidR="00416C3F" w:rsidRDefault="00416C3F" w:rsidP="005C0E6B">
      <w:r>
        <w:t xml:space="preserve">The QARD has met the Minister’s expectation to embed risk-based approaches </w:t>
      </w:r>
      <w:r w:rsidR="00CF0EE5">
        <w:t xml:space="preserve">in its </w:t>
      </w:r>
      <w:r>
        <w:t xml:space="preserve">operations including identifying, monitoring, reporting and responding to risks. </w:t>
      </w:r>
    </w:p>
    <w:p w14:paraId="16F0C716" w14:textId="257382C2" w:rsidR="005C0E6B" w:rsidRPr="009236EB" w:rsidRDefault="00780747" w:rsidP="005C0E6B">
      <w:r>
        <w:t>A</w:t>
      </w:r>
      <w:r w:rsidR="005C0E6B">
        <w:t xml:space="preserve"> Regulatory Risk Committee</w:t>
      </w:r>
      <w:r w:rsidR="00593FB8">
        <w:rPr>
          <w:rStyle w:val="CommentReference"/>
        </w:rPr>
        <w:t xml:space="preserve"> </w:t>
      </w:r>
      <w:r w:rsidR="00593FB8" w:rsidRPr="00593FB8">
        <w:t xml:space="preserve">provided </w:t>
      </w:r>
      <w:r w:rsidR="003C2710">
        <w:t>for the good governance and oversight of risk management</w:t>
      </w:r>
      <w:r w:rsidR="005C0E6B">
        <w:t>.</w:t>
      </w:r>
    </w:p>
    <w:p w14:paraId="6805134D" w14:textId="77777777" w:rsidR="00416C3F" w:rsidRDefault="00416C3F" w:rsidP="00B969E0">
      <w:pPr>
        <w:pStyle w:val="Heading3"/>
      </w:pPr>
      <w:r>
        <w:t>Achievement of standards set out in the SOE</w:t>
      </w:r>
      <w:r w:rsidRPr="000326FB">
        <w:t xml:space="preserve"> Framework</w:t>
      </w:r>
    </w:p>
    <w:p w14:paraId="2B409A4F" w14:textId="37192A5F" w:rsidR="003C2710" w:rsidRDefault="003C2710" w:rsidP="003C2710">
      <w:r>
        <w:t xml:space="preserve">The QARD fulfilled all minimum and best practice standards of the SOE Framework. </w:t>
      </w:r>
    </w:p>
    <w:p w14:paraId="21AE0435" w14:textId="0FA51EE7" w:rsidR="003C2710" w:rsidRDefault="00780747" w:rsidP="003C2710">
      <w:r>
        <w:t>A</w:t>
      </w:r>
      <w:r w:rsidR="003C2710">
        <w:t xml:space="preserve"> consistent and documented approach </w:t>
      </w:r>
      <w:r>
        <w:t xml:space="preserve">was applied </w:t>
      </w:r>
      <w:r w:rsidR="003C2710">
        <w:t xml:space="preserve">to risk assessment, including defining risks according to the Risk Management Framework, maintaining the Risk Register, and defining the role of </w:t>
      </w:r>
      <w:r w:rsidR="00CF0EE5">
        <w:t xml:space="preserve">the </w:t>
      </w:r>
      <w:r w:rsidR="003C2710">
        <w:t xml:space="preserve">Regulatory Risk Committee in mitigating risks. </w:t>
      </w:r>
    </w:p>
    <w:p w14:paraId="7A4FCE4D" w14:textId="494FE5D4" w:rsidR="00C92C77" w:rsidRDefault="00E904E1">
      <w:r w:rsidRPr="0024425E">
        <w:t>The QARD</w:t>
      </w:r>
      <w:r w:rsidR="006461D3" w:rsidRPr="0024425E">
        <w:t xml:space="preserve"> </w:t>
      </w:r>
      <w:r w:rsidR="0024425E">
        <w:t>assigned</w:t>
      </w:r>
      <w:r w:rsidR="0024425E" w:rsidRPr="0024425E">
        <w:t xml:space="preserve"> a </w:t>
      </w:r>
      <w:r w:rsidRPr="0024425E">
        <w:t xml:space="preserve">risk </w:t>
      </w:r>
      <w:r w:rsidR="006461D3" w:rsidRPr="0024425E">
        <w:t xml:space="preserve">level to each </w:t>
      </w:r>
      <w:r w:rsidRPr="0024425E">
        <w:t>service</w:t>
      </w:r>
      <w:r w:rsidR="0024425E">
        <w:t xml:space="preserve"> </w:t>
      </w:r>
      <w:r w:rsidR="0024425E" w:rsidRPr="0024425E">
        <w:t>to identify, monitor and control compliance risks</w:t>
      </w:r>
      <w:r w:rsidR="0024425E">
        <w:t>. R</w:t>
      </w:r>
      <w:r w:rsidR="004F283B" w:rsidRPr="0024425E">
        <w:t xml:space="preserve">isk </w:t>
      </w:r>
      <w:r w:rsidR="00976E00" w:rsidRPr="0024425E">
        <w:t xml:space="preserve">assessment </w:t>
      </w:r>
      <w:r w:rsidR="0024425E">
        <w:t xml:space="preserve">was </w:t>
      </w:r>
      <w:r w:rsidR="006461D3" w:rsidRPr="0024425E">
        <w:t>consistently applied</w:t>
      </w:r>
      <w:r w:rsidR="0024425E">
        <w:t xml:space="preserve"> and informed </w:t>
      </w:r>
      <w:r w:rsidR="004F283B" w:rsidRPr="0024425E">
        <w:t>by a combination of factors (i.e. i</w:t>
      </w:r>
      <w:r w:rsidR="00976E00" w:rsidRPr="0024425E">
        <w:t>ncidents, complaints and legislative non-compliance notifications</w:t>
      </w:r>
      <w:r w:rsidR="0024425E">
        <w:t>, compliance history</w:t>
      </w:r>
      <w:r w:rsidR="004F283B" w:rsidRPr="0024425E">
        <w:t xml:space="preserve">). </w:t>
      </w:r>
      <w:r w:rsidR="0024425E">
        <w:t>Risks were analysed, evaluated and</w:t>
      </w:r>
      <w:r w:rsidR="00976E00" w:rsidRPr="0024425E">
        <w:t xml:space="preserve"> </w:t>
      </w:r>
      <w:r w:rsidR="004F283B" w:rsidRPr="0024425E">
        <w:t xml:space="preserve">triaged </w:t>
      </w:r>
      <w:r w:rsidR="00976E00" w:rsidRPr="0024425E">
        <w:t xml:space="preserve">according to the </w:t>
      </w:r>
      <w:r w:rsidR="004F283B" w:rsidRPr="0024425E">
        <w:t xml:space="preserve">perceived risks, </w:t>
      </w:r>
      <w:r w:rsidR="00976E00" w:rsidRPr="0024425E">
        <w:t xml:space="preserve">with high risks </w:t>
      </w:r>
      <w:r w:rsidR="0024425E">
        <w:t>resolved</w:t>
      </w:r>
      <w:r w:rsidR="00976E00" w:rsidRPr="0024425E">
        <w:t xml:space="preserve"> first. </w:t>
      </w:r>
    </w:p>
    <w:p w14:paraId="3D257D05" w14:textId="0D7C234F" w:rsidR="00C92C77" w:rsidRPr="00162A05" w:rsidRDefault="00780747" w:rsidP="00C92C77">
      <w:r>
        <w:t>S</w:t>
      </w:r>
      <w:r w:rsidR="00C92C77" w:rsidRPr="00162A05">
        <w:t xml:space="preserve">ervices </w:t>
      </w:r>
      <w:r>
        <w:t xml:space="preserve">were provided </w:t>
      </w:r>
      <w:r w:rsidR="00C92C77" w:rsidRPr="00162A05">
        <w:t xml:space="preserve">with </w:t>
      </w:r>
      <w:r w:rsidR="00C92C77">
        <w:t xml:space="preserve">transparent </w:t>
      </w:r>
      <w:r w:rsidR="00C92C77" w:rsidRPr="00162A05">
        <w:t xml:space="preserve">advice about </w:t>
      </w:r>
      <w:r w:rsidR="00C92C77">
        <w:t xml:space="preserve">the QARD’s </w:t>
      </w:r>
      <w:r w:rsidR="00C92C77" w:rsidRPr="00162A05">
        <w:t xml:space="preserve">risk management processes, including through </w:t>
      </w:r>
      <w:r w:rsidR="00E904E1">
        <w:t xml:space="preserve">the </w:t>
      </w:r>
      <w:r w:rsidR="00C92C77" w:rsidRPr="00146DEC">
        <w:rPr>
          <w:iCs/>
        </w:rPr>
        <w:t>Regulatory Framework</w:t>
      </w:r>
      <w:r w:rsidR="00C92C77" w:rsidRPr="00162A05">
        <w:rPr>
          <w:i/>
        </w:rPr>
        <w:t xml:space="preserve"> </w:t>
      </w:r>
      <w:r w:rsidR="00C92C77" w:rsidRPr="00162A05">
        <w:rPr>
          <w:iCs/>
        </w:rPr>
        <w:t>and other online resources.</w:t>
      </w:r>
    </w:p>
    <w:p w14:paraId="6E520361" w14:textId="77777777" w:rsidR="00416C3F" w:rsidRPr="001A7A28" w:rsidRDefault="00416C3F" w:rsidP="00B969E0">
      <w:pPr>
        <w:pStyle w:val="Heading3"/>
      </w:pPr>
      <w:r w:rsidRPr="001A7A28">
        <w:t>Overall comment</w:t>
      </w:r>
    </w:p>
    <w:p w14:paraId="5B588C35" w14:textId="2CDDA21D" w:rsidR="00416C3F" w:rsidRPr="001A7A28" w:rsidRDefault="00F813D8" w:rsidP="00B969E0">
      <w:r>
        <w:t xml:space="preserve">The </w:t>
      </w:r>
      <w:r w:rsidR="00416C3F" w:rsidRPr="001A7A28">
        <w:t xml:space="preserve">QARD performed strongly in achieving risk-based strategies by </w:t>
      </w:r>
      <w:r w:rsidR="007720ED">
        <w:t>prioritising high risks and promoting the safety of children</w:t>
      </w:r>
      <w:r w:rsidR="00416C3F" w:rsidRPr="001A7A28">
        <w:t xml:space="preserve">. </w:t>
      </w:r>
      <w:r w:rsidR="007720ED">
        <w:t>Manual data analysis affected the QARD’s ability</w:t>
      </w:r>
      <w:r w:rsidR="007720ED" w:rsidRPr="002E03FD">
        <w:t xml:space="preserve"> to </w:t>
      </w:r>
      <w:r w:rsidR="007720ED">
        <w:t>quickly identify and assess risks</w:t>
      </w:r>
      <w:r w:rsidR="007720ED" w:rsidRPr="002E03FD">
        <w:t xml:space="preserve">. </w:t>
      </w:r>
      <w:r w:rsidR="007720ED">
        <w:t xml:space="preserve">Classifying risks and targeting effort to high risk issues first </w:t>
      </w:r>
      <w:r w:rsidR="003A3C90">
        <w:t xml:space="preserve">has </w:t>
      </w:r>
      <w:r w:rsidR="007720ED">
        <w:t>led to better</w:t>
      </w:r>
      <w:r w:rsidR="00CF0EE5">
        <w:t>, more efficient</w:t>
      </w:r>
      <w:r w:rsidR="007720ED">
        <w:t xml:space="preserve"> regulatory outcomes. </w:t>
      </w:r>
    </w:p>
    <w:p w14:paraId="6F07C3B7" w14:textId="77777777" w:rsidR="00416C3F" w:rsidRDefault="00416C3F" w:rsidP="00416C3F">
      <w:pPr>
        <w:rPr>
          <w:rFonts w:eastAsiaTheme="majorEastAsia" w:cstheme="majorBidi"/>
          <w:b/>
          <w:caps/>
          <w:color w:val="C00000"/>
          <w:sz w:val="26"/>
          <w:szCs w:val="26"/>
        </w:rPr>
        <w:sectPr w:rsidR="00416C3F" w:rsidSect="002E2AE4">
          <w:pgSz w:w="11906" w:h="16838"/>
          <w:pgMar w:top="1440" w:right="1440" w:bottom="1440" w:left="1440" w:header="708" w:footer="708" w:gutter="0"/>
          <w:cols w:space="708"/>
          <w:docGrid w:linePitch="360"/>
        </w:sectPr>
      </w:pPr>
    </w:p>
    <w:p w14:paraId="17EC23FE" w14:textId="2FA089E6" w:rsidR="00416C3F" w:rsidRDefault="00836EEF" w:rsidP="00416C3F">
      <w:pPr>
        <w:pStyle w:val="Heading2"/>
      </w:pPr>
      <w:bookmarkStart w:id="28" w:name="_Toc65051590"/>
      <w:r>
        <w:rPr>
          <w:caps w:val="0"/>
        </w:rPr>
        <w:lastRenderedPageBreak/>
        <w:t>GOVERNANCE – ACCOUNTABILITY AND TRANSPARENCY DATA</w:t>
      </w:r>
      <w:bookmarkEnd w:id="28"/>
    </w:p>
    <w:p w14:paraId="0CC10316" w14:textId="35BC1E2F" w:rsidR="0063020B" w:rsidRDefault="0063020B" w:rsidP="0063020B">
      <w:r>
        <w:t xml:space="preserve">The data </w:t>
      </w:r>
      <w:r w:rsidR="00582FB0">
        <w:t>for</w:t>
      </w:r>
      <w:r>
        <w:t xml:space="preserve"> the suggested element of ‘accountability and transparency’ in the SOE Framework</w:t>
      </w:r>
      <w:r w:rsidR="00582FB0">
        <w:t xml:space="preserve"> is outlined below</w:t>
      </w:r>
      <w:r>
        <w:t>. Accountability and transparency in this context refer</w:t>
      </w:r>
      <w:r w:rsidR="003B3025">
        <w:t>red</w:t>
      </w:r>
      <w:r>
        <w:t xml:space="preserve"> to providing clear information on the administration of regulation and the regulator’s performance that is subject to public scrutiny. </w:t>
      </w:r>
      <w:r w:rsidR="003B3025">
        <w:t>The</w:t>
      </w:r>
      <w:r>
        <w:t xml:space="preserve"> QARD committed to</w:t>
      </w:r>
      <w:r w:rsidR="003B3025">
        <w:t xml:space="preserve"> the following</w:t>
      </w:r>
      <w:r>
        <w:t xml:space="preserve"> activities to </w:t>
      </w:r>
      <w:r w:rsidR="003B3025">
        <w:t xml:space="preserve">meet the Minister’s expectation to </w:t>
      </w:r>
      <w:r>
        <w:t xml:space="preserve">improve governance processes and systems. </w:t>
      </w:r>
    </w:p>
    <w:p w14:paraId="7EFFD0DA" w14:textId="77777777" w:rsidR="00FD3796" w:rsidRDefault="00FD3796" w:rsidP="00FD3796">
      <w:pPr>
        <w:pStyle w:val="Heading3"/>
      </w:pPr>
      <w:r>
        <w:t>Expectation</w:t>
      </w:r>
    </w:p>
    <w:p w14:paraId="3A7D3DDD" w14:textId="77777777" w:rsidR="00FD3796" w:rsidRDefault="00FD3796" w:rsidP="00FD3796">
      <w:r>
        <w:t>Further improve the transparency and accountability of its regulatory and decision-making processes by:</w:t>
      </w:r>
    </w:p>
    <w:p w14:paraId="71BB1DAD" w14:textId="77777777" w:rsidR="00FD3796" w:rsidRDefault="00FD3796" w:rsidP="00FD3796">
      <w:r>
        <w:t>developing more effective measures for the efficiency and effectiveness of application processes, decision-making processes, investigations and other internal processes and outcomes (including, for example, measures of timeliness).</w:t>
      </w:r>
    </w:p>
    <w:p w14:paraId="0585498C" w14:textId="77777777" w:rsidR="00FD3796" w:rsidRDefault="00FD3796" w:rsidP="00FD3796">
      <w:pPr>
        <w:pStyle w:val="Heading3"/>
      </w:pPr>
      <w:r>
        <w:t>Response Activity</w:t>
      </w:r>
    </w:p>
    <w:p w14:paraId="68E56089" w14:textId="77777777" w:rsidR="00FD3796" w:rsidRDefault="00FD3796" w:rsidP="00FD3796">
      <w:r w:rsidRPr="003F7524">
        <w:t>For 2018-19 review current reporting frameworks and assess internal benchmarks on timeliness for administering regulatory processes to improve monitoring and reporting on risk and performance.</w:t>
      </w:r>
    </w:p>
    <w:p w14:paraId="29731EE4" w14:textId="77777777" w:rsidR="00FD3796" w:rsidRDefault="00FD3796" w:rsidP="00FD3796">
      <w:pPr>
        <w:pStyle w:val="Heading3"/>
      </w:pPr>
      <w:r w:rsidRPr="001E2936">
        <w:t>Outcome</w:t>
      </w:r>
    </w:p>
    <w:p w14:paraId="4F7B4BF6" w14:textId="481DF588" w:rsidR="00FD3796" w:rsidRDefault="00FD3796" w:rsidP="00FD3796">
      <w:r w:rsidRPr="003F7524">
        <w:t xml:space="preserve">Better oversight by </w:t>
      </w:r>
      <w:r>
        <w:t xml:space="preserve">the </w:t>
      </w:r>
      <w:r w:rsidRPr="003F7524">
        <w:t>QARD of sector performance through more efficient and effective investigation processes</w:t>
      </w:r>
    </w:p>
    <w:p w14:paraId="5D3F379D" w14:textId="77777777" w:rsidR="00FD3796" w:rsidRDefault="00FD3796" w:rsidP="00FD3796">
      <w:pPr>
        <w:pStyle w:val="Heading3"/>
      </w:pPr>
      <w:r>
        <w:t>Measure</w:t>
      </w:r>
    </w:p>
    <w:p w14:paraId="6B018595" w14:textId="77777777" w:rsidR="00FD3796" w:rsidRDefault="00FD3796" w:rsidP="00FD3796">
      <w:r>
        <w:t xml:space="preserve">Risks and performance are reported through the Regulatory Risk Committee </w:t>
      </w:r>
    </w:p>
    <w:p w14:paraId="5D45786C" w14:textId="346EA089" w:rsidR="00FD3796" w:rsidRDefault="00FD3796" w:rsidP="00FD3796">
      <w:r>
        <w:t>Acquittal only</w:t>
      </w:r>
    </w:p>
    <w:p w14:paraId="4D29A0C6" w14:textId="77777777" w:rsidR="00FD3796" w:rsidRDefault="00FD3796" w:rsidP="00FD3796">
      <w:pPr>
        <w:pStyle w:val="Heading3"/>
      </w:pPr>
      <w:r>
        <w:t>Result 2018-19</w:t>
      </w:r>
    </w:p>
    <w:p w14:paraId="5109A817" w14:textId="10C1CCC1" w:rsidR="00FD3796" w:rsidRDefault="00FD3796" w:rsidP="00FD3796">
      <w:r>
        <w:t xml:space="preserve">Acquittal </w:t>
      </w:r>
    </w:p>
    <w:p w14:paraId="7A82643A" w14:textId="77777777" w:rsidR="00FD3796" w:rsidRDefault="00FD3796" w:rsidP="00FD3796">
      <w:pPr>
        <w:pStyle w:val="Heading3"/>
      </w:pPr>
      <w:r>
        <w:t>Result 2019-20</w:t>
      </w:r>
    </w:p>
    <w:p w14:paraId="0CDEB543" w14:textId="6B9A7DA6" w:rsidR="00FD3796" w:rsidRDefault="00FD3796" w:rsidP="0063020B">
      <w:r>
        <w:t>n/a</w:t>
      </w:r>
    </w:p>
    <w:p w14:paraId="5A2C3887" w14:textId="77777777" w:rsidR="00416C3F" w:rsidRDefault="00416C3F" w:rsidP="00416C3F">
      <w:pPr>
        <w:sectPr w:rsidR="00416C3F" w:rsidSect="0057221A">
          <w:pgSz w:w="11906" w:h="16838"/>
          <w:pgMar w:top="1440" w:right="1440" w:bottom="1440" w:left="1440" w:header="708" w:footer="708" w:gutter="0"/>
          <w:cols w:space="708"/>
          <w:docGrid w:linePitch="360"/>
        </w:sectPr>
      </w:pPr>
    </w:p>
    <w:p w14:paraId="6D8187EE" w14:textId="0615C0AC" w:rsidR="00416C3F" w:rsidRPr="005E160F" w:rsidRDefault="00836EEF" w:rsidP="00416C3F">
      <w:pPr>
        <w:pStyle w:val="Heading2"/>
      </w:pPr>
      <w:bookmarkStart w:id="29" w:name="_Toc65051591"/>
      <w:r w:rsidRPr="005E160F">
        <w:rPr>
          <w:caps w:val="0"/>
        </w:rPr>
        <w:lastRenderedPageBreak/>
        <w:t>KEY FINDINGS</w:t>
      </w:r>
      <w:r>
        <w:rPr>
          <w:caps w:val="0"/>
        </w:rPr>
        <w:t xml:space="preserve"> FOR ACCOUNTABILITY AND TRANSPARENCY OF GOVERNANCE</w:t>
      </w:r>
      <w:bookmarkEnd w:id="29"/>
    </w:p>
    <w:p w14:paraId="46372A0B" w14:textId="77777777" w:rsidR="00836EEF" w:rsidRDefault="00836EEF" w:rsidP="00416C3F">
      <w:pPr>
        <w:pStyle w:val="Heading4"/>
      </w:pPr>
    </w:p>
    <w:p w14:paraId="1D489D17" w14:textId="0B8D4906" w:rsidR="00416C3F" w:rsidRPr="005E160F" w:rsidRDefault="00416C3F" w:rsidP="00B969E0">
      <w:pPr>
        <w:pStyle w:val="Heading3"/>
      </w:pPr>
      <w:r w:rsidRPr="005E160F">
        <w:t>Achievement of Minister’s expectations</w:t>
      </w:r>
    </w:p>
    <w:p w14:paraId="05BF36ED" w14:textId="42AC8815" w:rsidR="00416C3F" w:rsidRDefault="00416C3F" w:rsidP="006B3D12">
      <w:r>
        <w:t xml:space="preserve">The </w:t>
      </w:r>
      <w:r w:rsidRPr="005E160F">
        <w:t xml:space="preserve">QARD met the Minister’s expectation to </w:t>
      </w:r>
      <w:r>
        <w:t xml:space="preserve">improve </w:t>
      </w:r>
      <w:r w:rsidR="003A3C90">
        <w:t xml:space="preserve">the </w:t>
      </w:r>
      <w:r>
        <w:t>transparency and accountability of regulatory and decision-making</w:t>
      </w:r>
      <w:r w:rsidR="003A3C90">
        <w:t xml:space="preserve"> processes</w:t>
      </w:r>
      <w:r>
        <w:t xml:space="preserve">, through </w:t>
      </w:r>
      <w:r w:rsidR="00CF0FD4">
        <w:t xml:space="preserve">timely risk monitoring and </w:t>
      </w:r>
      <w:r>
        <w:t>performance reporting.</w:t>
      </w:r>
    </w:p>
    <w:p w14:paraId="23FEE333" w14:textId="029BC11D" w:rsidR="000C56A9" w:rsidRDefault="00780747" w:rsidP="00B969E0">
      <w:r>
        <w:t>P</w:t>
      </w:r>
      <w:r w:rsidR="00CF0FD4">
        <w:t>erformance reporting frameworks</w:t>
      </w:r>
      <w:r>
        <w:t xml:space="preserve"> for</w:t>
      </w:r>
      <w:r w:rsidR="00CF0FD4">
        <w:t xml:space="preserve"> risk and performance </w:t>
      </w:r>
      <w:r>
        <w:t xml:space="preserve">were reviewed </w:t>
      </w:r>
      <w:r w:rsidR="009F0A55">
        <w:t xml:space="preserve">and </w:t>
      </w:r>
      <w:r w:rsidR="00CF0FD4">
        <w:t xml:space="preserve">improvements </w:t>
      </w:r>
      <w:r w:rsidR="00D97119">
        <w:t xml:space="preserve">were made </w:t>
      </w:r>
      <w:r w:rsidR="00CF0FD4">
        <w:t xml:space="preserve">to processes to support </w:t>
      </w:r>
      <w:r>
        <w:t xml:space="preserve">the </w:t>
      </w:r>
      <w:r w:rsidR="00CF0FD4">
        <w:t xml:space="preserve">timeliness of </w:t>
      </w:r>
      <w:r w:rsidR="009F0A55">
        <w:t>risk monitoring</w:t>
      </w:r>
      <w:r w:rsidR="00CF0FD4">
        <w:t>.</w:t>
      </w:r>
      <w:r w:rsidR="009A5B2C">
        <w:t xml:space="preserve"> </w:t>
      </w:r>
      <w:r w:rsidR="00CF0FD4" w:rsidRPr="009A5B2C">
        <w:t xml:space="preserve">The </w:t>
      </w:r>
      <w:r w:rsidR="000C56A9" w:rsidRPr="009A5B2C">
        <w:t>QARD reported high-level risks in the Risk Register</w:t>
      </w:r>
      <w:r w:rsidR="009A5B2C">
        <w:t xml:space="preserve">, and risks were </w:t>
      </w:r>
      <w:r w:rsidR="000C56A9" w:rsidRPr="009A5B2C">
        <w:t xml:space="preserve">reviewed </w:t>
      </w:r>
      <w:r w:rsidR="009A5B2C">
        <w:t xml:space="preserve">regularly </w:t>
      </w:r>
      <w:r w:rsidR="000C56A9" w:rsidRPr="009A5B2C">
        <w:t xml:space="preserve">by </w:t>
      </w:r>
      <w:r w:rsidR="009A5B2C">
        <w:t xml:space="preserve">the </w:t>
      </w:r>
      <w:r w:rsidR="000C56A9" w:rsidRPr="009A5B2C">
        <w:t xml:space="preserve">Regulatory Risk Committee. </w:t>
      </w:r>
      <w:r w:rsidR="009A5B2C" w:rsidRPr="009A5B2C">
        <w:t>The Department’s Portfolio Strategy and Planning Division escalated relevant s</w:t>
      </w:r>
      <w:r w:rsidR="000C56A9" w:rsidRPr="009A5B2C">
        <w:t xml:space="preserve">trategic risks </w:t>
      </w:r>
      <w:r w:rsidR="009A5B2C" w:rsidRPr="009A5B2C">
        <w:t>to the Executive Board</w:t>
      </w:r>
      <w:r w:rsidR="000C56A9" w:rsidRPr="009A5B2C">
        <w:t>.</w:t>
      </w:r>
      <w:r w:rsidR="000C56A9">
        <w:t xml:space="preserve"> </w:t>
      </w:r>
    </w:p>
    <w:p w14:paraId="463C1972" w14:textId="77777777" w:rsidR="00416C3F" w:rsidRPr="00941114" w:rsidRDefault="00416C3F" w:rsidP="00B969E0">
      <w:pPr>
        <w:pStyle w:val="Heading3"/>
      </w:pPr>
      <w:r w:rsidRPr="00941114">
        <w:t xml:space="preserve">Achievement of standards set out in the </w:t>
      </w:r>
      <w:r>
        <w:t>SOE</w:t>
      </w:r>
      <w:r w:rsidRPr="000326FB">
        <w:t xml:space="preserve"> Framework</w:t>
      </w:r>
    </w:p>
    <w:p w14:paraId="07CF49AC" w14:textId="7D0F90A5" w:rsidR="009F0A55" w:rsidRDefault="009F0A55" w:rsidP="009F0A55">
      <w:r>
        <w:t xml:space="preserve">The QARD has fulfilled all minimum and best practice standards of the SOE Framework. </w:t>
      </w:r>
    </w:p>
    <w:p w14:paraId="460B1050" w14:textId="6E28A75D" w:rsidR="00BE7F11" w:rsidRDefault="00780747" w:rsidP="00BE7F11">
      <w:r>
        <w:t>P</w:t>
      </w:r>
      <w:r w:rsidR="00BE7F11">
        <w:t xml:space="preserve">erformance reporting </w:t>
      </w:r>
      <w:r>
        <w:t xml:space="preserve">was regularly conducted </w:t>
      </w:r>
      <w:r w:rsidR="00BE7F11">
        <w:t>to assess risk</w:t>
      </w:r>
      <w:r>
        <w:t xml:space="preserve"> and</w:t>
      </w:r>
      <w:r w:rsidR="00BE7F11">
        <w:t xml:space="preserve"> operational performance and </w:t>
      </w:r>
      <w:r>
        <w:t xml:space="preserve">identify </w:t>
      </w:r>
      <w:r w:rsidR="00BE7F11">
        <w:t>opportunities for continuous improvement. The internal Business Plan was developed and implemented, including the priorities</w:t>
      </w:r>
      <w:r w:rsidR="00434560">
        <w:t xml:space="preserve"> related to</w:t>
      </w:r>
      <w:r w:rsidR="00BE7F11">
        <w:t xml:space="preserve"> the SOE. The QARD p</w:t>
      </w:r>
      <w:r w:rsidR="00BE7F11" w:rsidRPr="00830D60">
        <w:t>ublish</w:t>
      </w:r>
      <w:r w:rsidR="00BE7F11">
        <w:t>ed</w:t>
      </w:r>
      <w:r w:rsidR="00BE7F11" w:rsidRPr="00830D60">
        <w:t xml:space="preserve"> </w:t>
      </w:r>
      <w:r w:rsidR="00BE7F11">
        <w:t xml:space="preserve">outcomes focused data in the Annual Report, including the number of services with a </w:t>
      </w:r>
      <w:r w:rsidR="007356FB">
        <w:t>‘</w:t>
      </w:r>
      <w:r w:rsidR="00BE7F11">
        <w:t>Working Towards NQ</w:t>
      </w:r>
      <w:r w:rsidR="007356FB">
        <w:t>S’</w:t>
      </w:r>
      <w:r w:rsidR="00BE7F11">
        <w:t xml:space="preserve"> rating that improved on reassessment and stakeholder satisfaction from survey results</w:t>
      </w:r>
      <w:r w:rsidR="00BE7F11" w:rsidRPr="00830D60">
        <w:t xml:space="preserve">. </w:t>
      </w:r>
    </w:p>
    <w:p w14:paraId="09BB36B0" w14:textId="76C589EC" w:rsidR="00780747" w:rsidRPr="00941114" w:rsidRDefault="00780747" w:rsidP="00780747">
      <w:r>
        <w:t>T</w:t>
      </w:r>
      <w:r w:rsidRPr="00941114">
        <w:t xml:space="preserve">ransparent </w:t>
      </w:r>
      <w:r>
        <w:t xml:space="preserve">advice </w:t>
      </w:r>
      <w:r w:rsidRPr="00941114">
        <w:t>about</w:t>
      </w:r>
      <w:r>
        <w:t xml:space="preserve"> the regulatory approach</w:t>
      </w:r>
      <w:r w:rsidR="00834D14" w:rsidRPr="00834D14">
        <w:t xml:space="preserve"> </w:t>
      </w:r>
      <w:r w:rsidR="00834D14">
        <w:t>was provided to services,</w:t>
      </w:r>
      <w:r>
        <w:t xml:space="preserve"> including complaints, disputes and decision-making</w:t>
      </w:r>
      <w:r w:rsidR="000804E8">
        <w:t xml:space="preserve"> as</w:t>
      </w:r>
      <w:r w:rsidR="003A3C90">
        <w:t xml:space="preserve"> </w:t>
      </w:r>
      <w:r w:rsidR="000804E8">
        <w:t xml:space="preserve">well as </w:t>
      </w:r>
      <w:r>
        <w:t xml:space="preserve">general advice in the Regulatory Framework and on the </w:t>
      </w:r>
      <w:r w:rsidR="000804E8">
        <w:t xml:space="preserve">QARD </w:t>
      </w:r>
      <w:r>
        <w:t xml:space="preserve">website. </w:t>
      </w:r>
    </w:p>
    <w:p w14:paraId="1266524A" w14:textId="77777777" w:rsidR="00416C3F" w:rsidRPr="006E0B5C" w:rsidRDefault="00416C3F" w:rsidP="00B969E0">
      <w:pPr>
        <w:pStyle w:val="Heading3"/>
      </w:pPr>
      <w:r w:rsidRPr="006E0B5C">
        <w:t>Overall comment</w:t>
      </w:r>
    </w:p>
    <w:p w14:paraId="7A6F969A" w14:textId="563BC1FC" w:rsidR="00416C3F" w:rsidRDefault="000804E8" w:rsidP="00B969E0">
      <w:r>
        <w:t xml:space="preserve">The </w:t>
      </w:r>
      <w:r w:rsidR="00416C3F" w:rsidRPr="006E0B5C">
        <w:t xml:space="preserve">QARD performed strongly in achieving accountability and transparency by embedding strong risk management processes and systems in the oversight of service providers. </w:t>
      </w:r>
      <w:r w:rsidR="00BE7F11">
        <w:t>Manual data analysis o</w:t>
      </w:r>
      <w:r w:rsidR="009B6F88">
        <w:t>f</w:t>
      </w:r>
      <w:r w:rsidR="00BE7F11">
        <w:t xml:space="preserve"> risks affected the </w:t>
      </w:r>
      <w:r w:rsidR="00E54A6A">
        <w:t xml:space="preserve">efficiency of the </w:t>
      </w:r>
      <w:r w:rsidR="00BE7F11">
        <w:t xml:space="preserve">QARD </w:t>
      </w:r>
      <w:r w:rsidR="00E54A6A">
        <w:t>in conducting</w:t>
      </w:r>
      <w:r w:rsidR="00BE7F11">
        <w:t xml:space="preserve"> timely performance monitoring and reporting. </w:t>
      </w:r>
      <w:r w:rsidR="002A3F69">
        <w:t xml:space="preserve">The QARD regularly </w:t>
      </w:r>
      <w:r w:rsidR="00E54A6A">
        <w:t xml:space="preserve">reviewed </w:t>
      </w:r>
      <w:r w:rsidR="002A3F69">
        <w:t>performance reporting data</w:t>
      </w:r>
      <w:r w:rsidR="00BD1C5E">
        <w:t xml:space="preserve"> to identify</w:t>
      </w:r>
      <w:r w:rsidR="00E54A6A">
        <w:t xml:space="preserve"> </w:t>
      </w:r>
      <w:r w:rsidR="00D9252D">
        <w:t xml:space="preserve">opportunities for </w:t>
      </w:r>
      <w:r w:rsidR="00E54A6A">
        <w:t>continuous improvement</w:t>
      </w:r>
      <w:r w:rsidR="002A3F69">
        <w:t xml:space="preserve">. </w:t>
      </w:r>
    </w:p>
    <w:p w14:paraId="25F19B37" w14:textId="77777777" w:rsidR="00416C3F" w:rsidRPr="009236EB" w:rsidRDefault="00416C3F" w:rsidP="00416C3F">
      <w:pPr>
        <w:sectPr w:rsidR="00416C3F" w:rsidRPr="009236EB" w:rsidSect="002E2AE4">
          <w:pgSz w:w="11906" w:h="16838"/>
          <w:pgMar w:top="1440" w:right="1440" w:bottom="1440" w:left="1440" w:header="708" w:footer="708" w:gutter="0"/>
          <w:cols w:space="708"/>
          <w:docGrid w:linePitch="360"/>
        </w:sectPr>
      </w:pPr>
    </w:p>
    <w:p w14:paraId="40DC5DD4" w14:textId="6CB01121" w:rsidR="00416C3F" w:rsidRDefault="00836EEF" w:rsidP="00416C3F">
      <w:pPr>
        <w:pStyle w:val="Heading2"/>
      </w:pPr>
      <w:bookmarkStart w:id="30" w:name="_Toc65051592"/>
      <w:r>
        <w:rPr>
          <w:caps w:val="0"/>
        </w:rPr>
        <w:lastRenderedPageBreak/>
        <w:t>COMMUNICATIONS AND ENGAGEMENT – COMPLIANCE-RELATED ASSISTANCE AND ADVICE DATA</w:t>
      </w:r>
      <w:bookmarkEnd w:id="30"/>
    </w:p>
    <w:p w14:paraId="03734F73" w14:textId="50163AF6" w:rsidR="00AB4D57" w:rsidRDefault="00AB4D57" w:rsidP="00AB4D57">
      <w:r>
        <w:t xml:space="preserve">The data </w:t>
      </w:r>
      <w:r w:rsidR="00582FB0">
        <w:t>for</w:t>
      </w:r>
      <w:r>
        <w:t xml:space="preserve"> the mandatory element of ‘compliance-related assistance and advice’ in the SOE Framework</w:t>
      </w:r>
      <w:r w:rsidR="00582FB0">
        <w:t xml:space="preserve"> is outlined below</w:t>
      </w:r>
      <w:r>
        <w:t xml:space="preserve">. Compliance-related assistance and advice in this context </w:t>
      </w:r>
      <w:r w:rsidR="003B3025">
        <w:t xml:space="preserve">referred </w:t>
      </w:r>
      <w:r>
        <w:t xml:space="preserve">to providing effective guidance to regulated parties to support high rates of compliance with regulatory requirements. </w:t>
      </w:r>
      <w:r w:rsidR="003B3025">
        <w:t>The</w:t>
      </w:r>
      <w:r>
        <w:t xml:space="preserve"> QARD committed to </w:t>
      </w:r>
      <w:r w:rsidR="003B3025">
        <w:t xml:space="preserve">the following </w:t>
      </w:r>
      <w:r>
        <w:t xml:space="preserve">activities to </w:t>
      </w:r>
      <w:r w:rsidR="003B3025">
        <w:t xml:space="preserve">meet the Minister’s expectation to </w:t>
      </w:r>
      <w:r>
        <w:t xml:space="preserve">improve communications and engagement. </w:t>
      </w:r>
    </w:p>
    <w:p w14:paraId="56DF9639" w14:textId="77777777" w:rsidR="006D0A64" w:rsidRDefault="006D0A64" w:rsidP="006D0A64">
      <w:pPr>
        <w:pStyle w:val="Heading3"/>
      </w:pPr>
      <w:r>
        <w:t>Expectation</w:t>
      </w:r>
    </w:p>
    <w:p w14:paraId="3F7FE7AC" w14:textId="77777777" w:rsidR="006D0A64" w:rsidRDefault="006D0A64" w:rsidP="006D0A64">
      <w:r>
        <w:t xml:space="preserve">Support early childhood education and care providers to comply with their requirements by:  </w:t>
      </w:r>
    </w:p>
    <w:p w14:paraId="28E786C1" w14:textId="77777777" w:rsidR="006D0A64" w:rsidRDefault="006D0A64" w:rsidP="006D0A64">
      <w:pPr>
        <w:pStyle w:val="Bullet1"/>
      </w:pPr>
      <w:r>
        <w:t xml:space="preserve">providing clear and accessible guidance and advice to ensure service providers understand their legislative obligations </w:t>
      </w:r>
    </w:p>
    <w:p w14:paraId="552968B6" w14:textId="77777777" w:rsidR="006D0A64" w:rsidRDefault="006D0A64" w:rsidP="006D0A64">
      <w:pPr>
        <w:pStyle w:val="Bullet1"/>
      </w:pPr>
      <w:r>
        <w:t>providing advice to services that receive a rating of ‘Working Towards NQS’ to assist them to meet the Standard</w:t>
      </w:r>
    </w:p>
    <w:p w14:paraId="5A92E997" w14:textId="30A2FCB6" w:rsidR="006D0A64" w:rsidRDefault="006D0A64" w:rsidP="006D0A64">
      <w:pPr>
        <w:pStyle w:val="Bullet1"/>
      </w:pPr>
      <w:r>
        <w:t>enhancing feedback systems to measure the effectiveness of the QARD’s compliance related assistance and advice.</w:t>
      </w:r>
    </w:p>
    <w:p w14:paraId="51181A60" w14:textId="77777777" w:rsidR="006D0A64" w:rsidRDefault="006D0A64" w:rsidP="006D0A64">
      <w:pPr>
        <w:pStyle w:val="Heading3"/>
      </w:pPr>
      <w:r>
        <w:t>Response Activity</w:t>
      </w:r>
    </w:p>
    <w:p w14:paraId="24B8AA85" w14:textId="7DD609BE" w:rsidR="006D0A64" w:rsidRDefault="006D0A64" w:rsidP="006D0A64">
      <w:r w:rsidRPr="00033825">
        <w:t>For 2018-19 follow up directly with all services rated as Working Towards NQS to offer guidance and support through improvement notes included in each Assessment and Rating report to services.</w:t>
      </w:r>
    </w:p>
    <w:p w14:paraId="5B727B65" w14:textId="77777777" w:rsidR="006D0A64" w:rsidRDefault="006D0A64" w:rsidP="006D0A64">
      <w:pPr>
        <w:pStyle w:val="Heading3"/>
      </w:pPr>
      <w:r w:rsidRPr="001E2936">
        <w:t>Outcome</w:t>
      </w:r>
    </w:p>
    <w:p w14:paraId="51F4ABAE" w14:textId="17E13479" w:rsidR="006D0A64" w:rsidRDefault="006D0A64" w:rsidP="006D0A64">
      <w:r w:rsidRPr="00033825">
        <w:t>BAU – report only for 2018-19</w:t>
      </w:r>
    </w:p>
    <w:p w14:paraId="326B11D2" w14:textId="77777777" w:rsidR="006D0A64" w:rsidRDefault="006D0A64" w:rsidP="006D0A64">
      <w:pPr>
        <w:pStyle w:val="Heading3"/>
      </w:pPr>
      <w:r>
        <w:t>Measure</w:t>
      </w:r>
    </w:p>
    <w:p w14:paraId="0581B88B" w14:textId="77777777" w:rsidR="006D0A64" w:rsidRDefault="006D0A64" w:rsidP="006D0A64">
      <w:r>
        <w:t xml:space="preserve">Overall quality ratings by jurisdiction </w:t>
      </w:r>
    </w:p>
    <w:p w14:paraId="5C91588D" w14:textId="77777777" w:rsidR="006D0A64" w:rsidRDefault="006D0A64" w:rsidP="006D0A64">
      <w:r>
        <w:t>(ACECQA)</w:t>
      </w:r>
    </w:p>
    <w:p w14:paraId="5DA775A9" w14:textId="77777777" w:rsidR="006D0A64" w:rsidRDefault="006D0A64" w:rsidP="006D0A64">
      <w:pPr>
        <w:pStyle w:val="Heading3"/>
      </w:pPr>
      <w:r>
        <w:t>Result 2018-19</w:t>
      </w:r>
    </w:p>
    <w:p w14:paraId="6476ADD5" w14:textId="77777777" w:rsidR="006D0A64" w:rsidRDefault="006D0A64" w:rsidP="006D0A64">
      <w:r>
        <w:t>92% of services received a quality rating in Victoria (3,904 services rated of 4,249)</w:t>
      </w:r>
    </w:p>
    <w:p w14:paraId="7C59BF77" w14:textId="37151B9D" w:rsidR="006D0A64" w:rsidRDefault="006D0A64" w:rsidP="006D0A64">
      <w:r>
        <w:t xml:space="preserve">The </w:t>
      </w:r>
      <w:r w:rsidRPr="001C6DC1">
        <w:t>QARD provided guidance and support to 100% of services receiving a Working Towards NQS rating.</w:t>
      </w:r>
    </w:p>
    <w:p w14:paraId="1A1327BA" w14:textId="77777777" w:rsidR="006D0A64" w:rsidRDefault="006D0A64" w:rsidP="006D0A64">
      <w:pPr>
        <w:pStyle w:val="Heading3"/>
      </w:pPr>
      <w:r>
        <w:t>Result 2019-20</w:t>
      </w:r>
    </w:p>
    <w:p w14:paraId="6F06872B" w14:textId="5A077851" w:rsidR="006D0A64" w:rsidRDefault="007337F3" w:rsidP="007337F3">
      <w:r>
        <w:t>n/a</w:t>
      </w:r>
    </w:p>
    <w:p w14:paraId="687C6C56" w14:textId="77777777" w:rsidR="006D0A64" w:rsidRDefault="006D0A64" w:rsidP="006D0A64">
      <w:pPr>
        <w:pStyle w:val="Heading3"/>
      </w:pPr>
      <w:r>
        <w:t>Response Activity</w:t>
      </w:r>
    </w:p>
    <w:p w14:paraId="085518DB" w14:textId="0D8806A8" w:rsidR="006D0A64" w:rsidRDefault="00041B17" w:rsidP="00041B17">
      <w:r w:rsidRPr="00041B17">
        <w:t>Develop feedback processes to measure quality of website guidance and information content for target audiences.</w:t>
      </w:r>
    </w:p>
    <w:p w14:paraId="43A73577" w14:textId="77777777" w:rsidR="006D0A64" w:rsidRDefault="006D0A64" w:rsidP="006D0A64">
      <w:pPr>
        <w:pStyle w:val="Heading3"/>
      </w:pPr>
      <w:r w:rsidRPr="001E2936">
        <w:t>Outcome</w:t>
      </w:r>
    </w:p>
    <w:p w14:paraId="00BB0102" w14:textId="4A6D5EAF" w:rsidR="006D0A64" w:rsidRDefault="00041B17" w:rsidP="00041B17">
      <w:r w:rsidRPr="00642DCD">
        <w:t>Establish wider channel for feedback</w:t>
      </w:r>
    </w:p>
    <w:p w14:paraId="212256FC" w14:textId="77777777" w:rsidR="006D0A64" w:rsidRDefault="006D0A64" w:rsidP="006D0A64">
      <w:pPr>
        <w:pStyle w:val="Heading3"/>
      </w:pPr>
      <w:r>
        <w:t>Measure</w:t>
      </w:r>
    </w:p>
    <w:p w14:paraId="3AACA293" w14:textId="77777777" w:rsidR="00041B17" w:rsidRDefault="00041B17" w:rsidP="00041B17">
      <w:r>
        <w:t xml:space="preserve">Conduct annual satisfaction survey of the sector. </w:t>
      </w:r>
    </w:p>
    <w:p w14:paraId="0BE5AFC8" w14:textId="77777777" w:rsidR="00041B17" w:rsidRDefault="00041B17" w:rsidP="00041B17">
      <w:r>
        <w:t>% of respondents who agreed that the QARD communicates simply using relevant formats and provides opportunities to engage with stakeholders.</w:t>
      </w:r>
    </w:p>
    <w:p w14:paraId="3D6FD04C" w14:textId="05953EFC" w:rsidR="006D0A64" w:rsidRDefault="00041B17" w:rsidP="00041B17">
      <w:r>
        <w:t>(Data from stakeholder satisfaction survey)</w:t>
      </w:r>
    </w:p>
    <w:p w14:paraId="0596D548" w14:textId="77777777" w:rsidR="006D0A64" w:rsidRDefault="006D0A64" w:rsidP="006D0A64">
      <w:pPr>
        <w:pStyle w:val="Heading3"/>
      </w:pPr>
      <w:r>
        <w:lastRenderedPageBreak/>
        <w:t>Result 2018-19</w:t>
      </w:r>
    </w:p>
    <w:p w14:paraId="0680E8E7" w14:textId="5391D8B7" w:rsidR="006D0A64" w:rsidRDefault="00041B17" w:rsidP="00041B17">
      <w:r w:rsidRPr="00642DCD">
        <w:t xml:space="preserve">65% of respondents agreed that </w:t>
      </w:r>
      <w:r>
        <w:t xml:space="preserve">the </w:t>
      </w:r>
      <w:r w:rsidRPr="00642DCD">
        <w:t>QARD communicates simply using relevant formats and provides opportunities to engage with stakeholders</w:t>
      </w:r>
      <w:r>
        <w:t xml:space="preserve"> (2018 Stakeholder Satisfaction Survey)</w:t>
      </w:r>
      <w:r w:rsidRPr="00642DCD">
        <w:t>.</w:t>
      </w:r>
    </w:p>
    <w:p w14:paraId="1A738CCF" w14:textId="77777777" w:rsidR="006D0A64" w:rsidRDefault="006D0A64" w:rsidP="006D0A64">
      <w:pPr>
        <w:pStyle w:val="Heading3"/>
      </w:pPr>
      <w:r>
        <w:t>Result 2019-20</w:t>
      </w:r>
    </w:p>
    <w:p w14:paraId="7FE0C12F" w14:textId="6ADDE086" w:rsidR="006D0A64" w:rsidRDefault="00041B17" w:rsidP="00AB4D57">
      <w:r>
        <w:t>8</w:t>
      </w:r>
      <w:r w:rsidRPr="00642DCD">
        <w:t xml:space="preserve">5% of respondents agreed that </w:t>
      </w:r>
      <w:r>
        <w:t xml:space="preserve">the </w:t>
      </w:r>
      <w:r w:rsidRPr="00642DCD">
        <w:t>QARD communicates simply using relevant formats and provides opportunities to engage with stakeholders</w:t>
      </w:r>
      <w:r>
        <w:t xml:space="preserve"> (2019 Stakeholder Satisfaction Survey)</w:t>
      </w:r>
      <w:r>
        <w:rPr>
          <w:rStyle w:val="FootnoteReference"/>
        </w:rPr>
        <w:footnoteReference w:id="5"/>
      </w:r>
      <w:r w:rsidRPr="00642DCD">
        <w:t>.</w:t>
      </w:r>
    </w:p>
    <w:p w14:paraId="141D8DFC" w14:textId="77777777" w:rsidR="006D0A64" w:rsidRDefault="006D0A64" w:rsidP="006D0A64">
      <w:pPr>
        <w:pStyle w:val="Heading3"/>
      </w:pPr>
      <w:r>
        <w:t>Response Activity</w:t>
      </w:r>
    </w:p>
    <w:p w14:paraId="7AC26582" w14:textId="77777777" w:rsidR="00041B17" w:rsidRDefault="00041B17" w:rsidP="00041B17">
      <w:r>
        <w:t>For 2018-19 work with the Online Communications Branch to:</w:t>
      </w:r>
    </w:p>
    <w:p w14:paraId="4CDCB6C4" w14:textId="0EBD1E92" w:rsidR="006D0A64" w:rsidRDefault="00041B17" w:rsidP="00041B17">
      <w:pPr>
        <w:pStyle w:val="Bullet1"/>
      </w:pPr>
      <w:r>
        <w:t>review the QARD website information architecture and redesign content to align with best practice communications principles (clear, appropriate and accessible).</w:t>
      </w:r>
    </w:p>
    <w:p w14:paraId="4A5C5C36" w14:textId="77777777" w:rsidR="006D0A64" w:rsidRDefault="006D0A64" w:rsidP="006D0A64">
      <w:pPr>
        <w:pStyle w:val="Heading3"/>
      </w:pPr>
      <w:r w:rsidRPr="001E2936">
        <w:t>Outcome</w:t>
      </w:r>
    </w:p>
    <w:p w14:paraId="544A69BE" w14:textId="16C2D3A6" w:rsidR="006D0A64" w:rsidRDefault="00041B17" w:rsidP="00041B17">
      <w:r w:rsidRPr="00C54DE7">
        <w:t>Sector is informed of their legislative obligations with improved understanding of compliance obligations</w:t>
      </w:r>
    </w:p>
    <w:p w14:paraId="45C78DF7" w14:textId="77777777" w:rsidR="006D0A64" w:rsidRDefault="006D0A64" w:rsidP="006D0A64">
      <w:pPr>
        <w:pStyle w:val="Heading3"/>
      </w:pPr>
      <w:r>
        <w:t>Measure</w:t>
      </w:r>
    </w:p>
    <w:p w14:paraId="139E24CF" w14:textId="2C8C92F7" w:rsidR="006D0A64" w:rsidRDefault="00041B17" w:rsidP="00041B17">
      <w:r>
        <w:t>Stakeholder satisfaction survey results – target 64% agree that the QARD uses effective IT solutions and the public portal is easy to use</w:t>
      </w:r>
    </w:p>
    <w:p w14:paraId="34F6D824" w14:textId="77777777" w:rsidR="006D0A64" w:rsidRDefault="006D0A64" w:rsidP="006D0A64">
      <w:pPr>
        <w:pStyle w:val="Heading3"/>
      </w:pPr>
      <w:r>
        <w:t>Result 2018-19</w:t>
      </w:r>
    </w:p>
    <w:p w14:paraId="503A4870" w14:textId="77777777" w:rsidR="00041B17" w:rsidRDefault="00041B17" w:rsidP="00041B17">
      <w:r>
        <w:t>64% agree that the QARD uses effective IT solutions and the public portal is easy to use (2018 Stakeholder Satisfaction Survey)</w:t>
      </w:r>
      <w:r w:rsidRPr="00642DCD">
        <w:t>.</w:t>
      </w:r>
    </w:p>
    <w:p w14:paraId="1EDF42FB" w14:textId="77777777" w:rsidR="006D0A64" w:rsidRDefault="006D0A64" w:rsidP="006D0A64">
      <w:pPr>
        <w:pStyle w:val="Heading3"/>
      </w:pPr>
      <w:r>
        <w:t>Result 2019-20</w:t>
      </w:r>
    </w:p>
    <w:p w14:paraId="59FC2B3F" w14:textId="27123A06" w:rsidR="006D0A64" w:rsidRDefault="00041B17" w:rsidP="00AB4D57">
      <w:r>
        <w:t>n/a</w:t>
      </w:r>
    </w:p>
    <w:p w14:paraId="20798665" w14:textId="77777777" w:rsidR="006D0A64" w:rsidRDefault="006D0A64" w:rsidP="006D0A64">
      <w:pPr>
        <w:pStyle w:val="Heading3"/>
      </w:pPr>
      <w:r>
        <w:t>Measure</w:t>
      </w:r>
    </w:p>
    <w:p w14:paraId="00D25205" w14:textId="28D96A17" w:rsidR="00041B17" w:rsidRDefault="00041B17" w:rsidP="00041B17">
      <w:r>
        <w:t xml:space="preserve">Website traffic page view per month-  53%. </w:t>
      </w:r>
    </w:p>
    <w:p w14:paraId="712594CC" w14:textId="3D24B492" w:rsidR="006D0A64" w:rsidRDefault="00041B17" w:rsidP="00041B17">
      <w:r>
        <w:t>Website traffic per source – search engine 70% and education.vic.gov.au 25%.</w:t>
      </w:r>
    </w:p>
    <w:p w14:paraId="49CA5A95" w14:textId="77777777" w:rsidR="006D0A64" w:rsidRDefault="006D0A64" w:rsidP="006D0A64">
      <w:pPr>
        <w:pStyle w:val="Heading3"/>
      </w:pPr>
      <w:r>
        <w:t>Result 2018-19</w:t>
      </w:r>
    </w:p>
    <w:p w14:paraId="7301E55C" w14:textId="1FD64AFA" w:rsidR="006D0A64" w:rsidRDefault="00041B17" w:rsidP="00041B17">
      <w:r>
        <w:t>53% increase in website traffic, 70% website traffic from search engine, 25% website traffic from Department website (per month 2018-19)</w:t>
      </w:r>
    </w:p>
    <w:p w14:paraId="2AC8F575" w14:textId="77777777" w:rsidR="006D0A64" w:rsidRDefault="006D0A64" w:rsidP="006D0A64">
      <w:pPr>
        <w:pStyle w:val="Heading3"/>
      </w:pPr>
      <w:r>
        <w:t>Result 2019-20</w:t>
      </w:r>
    </w:p>
    <w:p w14:paraId="581E60EF" w14:textId="2CDACDA7" w:rsidR="006D0A64" w:rsidRDefault="00041B17" w:rsidP="00AB4D57">
      <w:r>
        <w:t>n/a</w:t>
      </w:r>
    </w:p>
    <w:p w14:paraId="6902F6FA" w14:textId="77777777" w:rsidR="00416C3F" w:rsidRDefault="00416C3F" w:rsidP="00416C3F">
      <w:pPr>
        <w:sectPr w:rsidR="00416C3F" w:rsidSect="006D0A64">
          <w:pgSz w:w="11906" w:h="16838"/>
          <w:pgMar w:top="1440" w:right="1440" w:bottom="1440" w:left="1440" w:header="708" w:footer="708" w:gutter="0"/>
          <w:cols w:space="708"/>
          <w:docGrid w:linePitch="360"/>
        </w:sectPr>
      </w:pPr>
    </w:p>
    <w:p w14:paraId="31C9C703" w14:textId="30247632" w:rsidR="00416C3F" w:rsidRDefault="00836EEF" w:rsidP="00416C3F">
      <w:pPr>
        <w:pStyle w:val="Heading2"/>
      </w:pPr>
      <w:bookmarkStart w:id="31" w:name="_Toc65051593"/>
      <w:r>
        <w:rPr>
          <w:caps w:val="0"/>
        </w:rPr>
        <w:lastRenderedPageBreak/>
        <w:t>KEY FINDINGS FOR COMPLIANCE-RELATED ASSISTANCE AND ADVICE OF COMMUNICATIONS AND ENGAGEMENT</w:t>
      </w:r>
      <w:bookmarkEnd w:id="31"/>
    </w:p>
    <w:p w14:paraId="3642CCED" w14:textId="77777777" w:rsidR="00836EEF" w:rsidRDefault="00836EEF" w:rsidP="00416C3F">
      <w:pPr>
        <w:pStyle w:val="Heading4"/>
      </w:pPr>
    </w:p>
    <w:p w14:paraId="24E4910A" w14:textId="01D728BF" w:rsidR="00416C3F" w:rsidRPr="001C4F4C" w:rsidRDefault="00416C3F" w:rsidP="00B969E0">
      <w:pPr>
        <w:pStyle w:val="Heading3"/>
      </w:pPr>
      <w:r>
        <w:t>Achievement of Minister’s expectations</w:t>
      </w:r>
    </w:p>
    <w:p w14:paraId="6F9CE307" w14:textId="5D801768" w:rsidR="00416C3F" w:rsidRDefault="00416C3F" w:rsidP="003B3148">
      <w:r>
        <w:t xml:space="preserve">The QARD applied best endeavours to meet the Minister’s expectation to support regulated parties </w:t>
      </w:r>
      <w:r w:rsidR="00944259">
        <w:t xml:space="preserve">to </w:t>
      </w:r>
      <w:r>
        <w:t xml:space="preserve">achieve a high standard of compliance. </w:t>
      </w:r>
    </w:p>
    <w:p w14:paraId="65A47270" w14:textId="15834AFE" w:rsidR="003B3148" w:rsidRDefault="00C40F4E" w:rsidP="003B3148">
      <w:r>
        <w:t>A</w:t>
      </w:r>
      <w:r w:rsidR="003B3148">
        <w:t xml:space="preserve">ll services rated as ‘Working Towards NQS’ </w:t>
      </w:r>
      <w:r>
        <w:t>w</w:t>
      </w:r>
      <w:r w:rsidR="00291C4F">
        <w:t>ere</w:t>
      </w:r>
      <w:r>
        <w:t xml:space="preserve"> provided </w:t>
      </w:r>
      <w:r w:rsidR="003B3148">
        <w:t xml:space="preserve">with tailored, specific guidance </w:t>
      </w:r>
      <w:r w:rsidR="00291C4F">
        <w:t>and</w:t>
      </w:r>
      <w:r w:rsidR="003B3148">
        <w:t xml:space="preserve"> improvement strategies to lift performance. </w:t>
      </w:r>
    </w:p>
    <w:p w14:paraId="3072942B" w14:textId="13B24681" w:rsidR="007356FB" w:rsidRDefault="007356FB" w:rsidP="00B969E0">
      <w:r>
        <w:t xml:space="preserve">The Stakeholder Satisfaction Survey was developed to provide regular feedback to QARD on its performance. </w:t>
      </w:r>
    </w:p>
    <w:p w14:paraId="586D8565" w14:textId="5786214A" w:rsidR="003B3148" w:rsidRDefault="007356FB" w:rsidP="00B969E0">
      <w:r>
        <w:t xml:space="preserve">The QARD reviewed and updated </w:t>
      </w:r>
      <w:r w:rsidR="00291C4F">
        <w:t xml:space="preserve">its </w:t>
      </w:r>
      <w:r>
        <w:t>website to ensure that compliance information was clear and accessible to stakeholders.</w:t>
      </w:r>
    </w:p>
    <w:p w14:paraId="04E9462C" w14:textId="77777777" w:rsidR="00416C3F" w:rsidRDefault="00416C3F" w:rsidP="00B969E0">
      <w:pPr>
        <w:pStyle w:val="Heading3"/>
      </w:pPr>
      <w:r>
        <w:t>Achievement of standards set out in the SOE</w:t>
      </w:r>
      <w:r w:rsidRPr="000326FB">
        <w:t xml:space="preserve"> Framework</w:t>
      </w:r>
    </w:p>
    <w:p w14:paraId="5E4356FD" w14:textId="239268A8" w:rsidR="007356FB" w:rsidRDefault="007F308D" w:rsidP="007356FB">
      <w:r>
        <w:t xml:space="preserve">The QARD fulfilled all minimum and best practice standards of the SOE Framework. </w:t>
      </w:r>
    </w:p>
    <w:p w14:paraId="1A42ECFF" w14:textId="6A632B23" w:rsidR="00E24BF0" w:rsidRDefault="007F3712" w:rsidP="00B969E0">
      <w:r>
        <w:t xml:space="preserve">The sector has </w:t>
      </w:r>
      <w:r w:rsidRPr="005E52F0">
        <w:t>a high compliance rate.</w:t>
      </w:r>
      <w:r>
        <w:t xml:space="preserve"> </w:t>
      </w:r>
      <w:r w:rsidR="005307E5">
        <w:t>The QARD supported s</w:t>
      </w:r>
      <w:r w:rsidR="00A048C8">
        <w:t xml:space="preserve">ervices </w:t>
      </w:r>
      <w:r w:rsidR="005307E5">
        <w:t>effectively</w:t>
      </w:r>
      <w:r w:rsidR="00416C3F">
        <w:t xml:space="preserve"> to achieve compliance, </w:t>
      </w:r>
      <w:r w:rsidR="00A048C8">
        <w:t xml:space="preserve">including services subject to enforcement action. </w:t>
      </w:r>
      <w:r w:rsidR="00B17690">
        <w:t>A</w:t>
      </w:r>
      <w:r w:rsidR="00416C3F">
        <w:t xml:space="preserve">ccessible and effective advice and online resources </w:t>
      </w:r>
      <w:r w:rsidR="00B17690">
        <w:t>w</w:t>
      </w:r>
      <w:r w:rsidR="00291C4F">
        <w:t>ere</w:t>
      </w:r>
      <w:r w:rsidR="00B17690">
        <w:t xml:space="preserve"> provided </w:t>
      </w:r>
      <w:r w:rsidR="00416C3F">
        <w:t xml:space="preserve">to </w:t>
      </w:r>
      <w:r w:rsidR="00E24BF0">
        <w:t xml:space="preserve">all types of </w:t>
      </w:r>
      <w:r w:rsidR="00291C4F">
        <w:t xml:space="preserve">regulated </w:t>
      </w:r>
      <w:r w:rsidR="00416C3F">
        <w:t xml:space="preserve">services. </w:t>
      </w:r>
    </w:p>
    <w:p w14:paraId="39BCFE05" w14:textId="2647A856" w:rsidR="00291C4F" w:rsidRDefault="00E24BF0">
      <w:r>
        <w:t>The QARD</w:t>
      </w:r>
      <w:r w:rsidR="00291C4F">
        <w:t xml:space="preserve"> invested resources in recommending improvement programs to improve the quality of service. The QARD evaluated the </w:t>
      </w:r>
      <w:r w:rsidR="007F3712">
        <w:t>competence</w:t>
      </w:r>
      <w:r w:rsidR="00291C4F">
        <w:t xml:space="preserve"> of </w:t>
      </w:r>
      <w:r w:rsidR="007F3712">
        <w:t>services and reflected on its own performance</w:t>
      </w:r>
      <w:r w:rsidR="00FA71B3">
        <w:t xml:space="preserve"> supporting the sector</w:t>
      </w:r>
      <w:r w:rsidR="007F3712">
        <w:t>, identifying key learnings to inform continuous improvement.</w:t>
      </w:r>
    </w:p>
    <w:p w14:paraId="55D1A65B" w14:textId="77777777" w:rsidR="00416C3F" w:rsidRPr="0095632C" w:rsidRDefault="00416C3F" w:rsidP="00B969E0">
      <w:pPr>
        <w:pStyle w:val="Heading3"/>
      </w:pPr>
      <w:r w:rsidRPr="0095632C">
        <w:t>Overall comment</w:t>
      </w:r>
    </w:p>
    <w:p w14:paraId="66E7CFB1" w14:textId="2767DED4" w:rsidR="00416C3F" w:rsidRDefault="00416C3F" w:rsidP="00B969E0">
      <w:r>
        <w:t xml:space="preserve">The QARD performed strongly in providing effective assistance and advice to increase compliance, by ensuring all services were supported with comprehensive guidance and an avenue to seek further support. </w:t>
      </w:r>
      <w:r w:rsidR="00D264BB">
        <w:t xml:space="preserve">A relatively low response rate to the </w:t>
      </w:r>
      <w:r w:rsidR="00E62F4A">
        <w:t>recently introduced</w:t>
      </w:r>
      <w:r w:rsidR="000F6FCA">
        <w:t xml:space="preserve"> </w:t>
      </w:r>
      <w:r w:rsidR="00D264BB">
        <w:t>Stakeholder Satisfaction Survey (approximately 9% in 2018 and 21% in 2019) limited</w:t>
      </w:r>
      <w:r w:rsidR="00D264BB" w:rsidRPr="00241F93">
        <w:t xml:space="preserve"> the regulator’s </w:t>
      </w:r>
      <w:r w:rsidR="00D264BB" w:rsidRPr="00793E6E">
        <w:t xml:space="preserve">ability to </w:t>
      </w:r>
      <w:r w:rsidR="00D264BB">
        <w:t xml:space="preserve">fully </w:t>
      </w:r>
      <w:r w:rsidR="00D264BB" w:rsidRPr="00793E6E">
        <w:t>understand the needs and expectations of stakeholders.</w:t>
      </w:r>
      <w:r w:rsidR="00D264BB" w:rsidRPr="00241F93">
        <w:t xml:space="preserve"> </w:t>
      </w:r>
      <w:r w:rsidR="003953D4">
        <w:t>Over time, t</w:t>
      </w:r>
      <w:r w:rsidR="00073DF3">
        <w:t xml:space="preserve">he survey </w:t>
      </w:r>
      <w:r w:rsidR="005307E5">
        <w:t>is expected to</w:t>
      </w:r>
      <w:r w:rsidR="00073DF3">
        <w:t xml:space="preserve"> support</w:t>
      </w:r>
      <w:r w:rsidR="00B17690">
        <w:t xml:space="preserve"> </w:t>
      </w:r>
      <w:r w:rsidR="00BD1C5E">
        <w:t xml:space="preserve">the </w:t>
      </w:r>
      <w:r w:rsidR="00B17690">
        <w:t xml:space="preserve">QARD to continue to </w:t>
      </w:r>
      <w:r w:rsidR="00073DF3">
        <w:t>incorporate</w:t>
      </w:r>
      <w:r w:rsidR="008D1082">
        <w:t xml:space="preserve"> </w:t>
      </w:r>
      <w:r w:rsidR="00073DF3">
        <w:t xml:space="preserve">stakeholder </w:t>
      </w:r>
      <w:r w:rsidR="008D1082">
        <w:t xml:space="preserve">feedback </w:t>
      </w:r>
      <w:r w:rsidR="00B17690">
        <w:t xml:space="preserve">into improving </w:t>
      </w:r>
      <w:r w:rsidR="008D1082">
        <w:t xml:space="preserve">compliance </w:t>
      </w:r>
      <w:r w:rsidR="00B17690">
        <w:t>guidance</w:t>
      </w:r>
      <w:r w:rsidR="00073DF3">
        <w:t xml:space="preserve"> and other regulatory activities</w:t>
      </w:r>
      <w:r w:rsidR="00B17690">
        <w:t xml:space="preserve">. </w:t>
      </w:r>
      <w:r w:rsidR="00073DF3">
        <w:t xml:space="preserve">The QARD’s </w:t>
      </w:r>
      <w:r>
        <w:t>approach has increased efficiency of regulation as it reduces the need for intervention over time.</w:t>
      </w:r>
    </w:p>
    <w:p w14:paraId="6617A2F3" w14:textId="77777777" w:rsidR="00416C3F" w:rsidRDefault="00416C3F" w:rsidP="00416C3F">
      <w:pPr>
        <w:sectPr w:rsidR="00416C3F" w:rsidSect="002E2AE4">
          <w:pgSz w:w="11906" w:h="16838"/>
          <w:pgMar w:top="1440" w:right="1440" w:bottom="1440" w:left="1440" w:header="708" w:footer="708" w:gutter="0"/>
          <w:cols w:space="708"/>
          <w:docGrid w:linePitch="360"/>
        </w:sectPr>
      </w:pPr>
    </w:p>
    <w:p w14:paraId="33D32277" w14:textId="44B85FAD" w:rsidR="00416C3F" w:rsidRDefault="00836EEF" w:rsidP="00416C3F">
      <w:pPr>
        <w:pStyle w:val="Heading2"/>
      </w:pPr>
      <w:bookmarkStart w:id="32" w:name="_Toc65051594"/>
      <w:r>
        <w:rPr>
          <w:caps w:val="0"/>
        </w:rPr>
        <w:lastRenderedPageBreak/>
        <w:t xml:space="preserve">COMMUNICATIONS AND ENGAGEMENT – </w:t>
      </w:r>
      <w:r w:rsidRPr="00135838">
        <w:rPr>
          <w:caps w:val="0"/>
        </w:rPr>
        <w:t>ACCOUNTABILITY AND TRANSPARENCY</w:t>
      </w:r>
      <w:r>
        <w:rPr>
          <w:caps w:val="0"/>
        </w:rPr>
        <w:t xml:space="preserve"> DATA</w:t>
      </w:r>
      <w:bookmarkEnd w:id="32"/>
    </w:p>
    <w:p w14:paraId="0B724C57" w14:textId="2D39B84C" w:rsidR="00CB7308" w:rsidRDefault="00CB7308" w:rsidP="00CB7308">
      <w:r>
        <w:t xml:space="preserve">The data </w:t>
      </w:r>
      <w:r w:rsidR="00582FB0">
        <w:t>for</w:t>
      </w:r>
      <w:r>
        <w:t xml:space="preserve"> the suggested element of ‘accountability and transparency’ in the SOE Framework</w:t>
      </w:r>
      <w:r w:rsidR="00582FB0">
        <w:t xml:space="preserve"> is outlined below</w:t>
      </w:r>
      <w:r>
        <w:t xml:space="preserve">. Accountability and transparency in this context </w:t>
      </w:r>
      <w:r w:rsidR="003B3025">
        <w:t xml:space="preserve">referred </w:t>
      </w:r>
      <w:r>
        <w:t xml:space="preserve">to providing clear information on the administration of regulation and the regulator’s performance that is subject to public scrutiny. </w:t>
      </w:r>
      <w:r w:rsidR="003B3025">
        <w:t>The</w:t>
      </w:r>
      <w:r>
        <w:t xml:space="preserve"> QARD committed to </w:t>
      </w:r>
      <w:r w:rsidR="003B3025">
        <w:t xml:space="preserve">the following </w:t>
      </w:r>
      <w:r>
        <w:t xml:space="preserve">activities to </w:t>
      </w:r>
      <w:r w:rsidR="003B3025">
        <w:t xml:space="preserve">meet the Minister’s expectation to </w:t>
      </w:r>
      <w:r>
        <w:t xml:space="preserve">improve communications and engagement. </w:t>
      </w:r>
    </w:p>
    <w:p w14:paraId="404E7873" w14:textId="77777777" w:rsidR="008A7E93" w:rsidRDefault="008A7E93" w:rsidP="008A7E93">
      <w:pPr>
        <w:pStyle w:val="Heading3"/>
      </w:pPr>
      <w:r>
        <w:t>Expectation</w:t>
      </w:r>
    </w:p>
    <w:p w14:paraId="1D6FB8B5" w14:textId="3F245219" w:rsidR="008A7E93" w:rsidRDefault="008A7E93" w:rsidP="008A7E93">
      <w:r w:rsidRPr="00007944">
        <w:t>Publish an annual report on its activities as the Regulatory Authority for early childhood education and care services in Victoria as a way of ensuring public accountability and providing information about its regulatory work.</w:t>
      </w:r>
    </w:p>
    <w:p w14:paraId="620DC4EE" w14:textId="77777777" w:rsidR="008A7E93" w:rsidRDefault="008A7E93" w:rsidP="008A7E93">
      <w:pPr>
        <w:pStyle w:val="Heading3"/>
      </w:pPr>
      <w:r>
        <w:t>Response Activity</w:t>
      </w:r>
    </w:p>
    <w:p w14:paraId="4548BBBF" w14:textId="7B8854CA" w:rsidR="008A7E93" w:rsidRDefault="008A7E93" w:rsidP="008A7E93">
      <w:r w:rsidRPr="00B86964">
        <w:t xml:space="preserve">Publish </w:t>
      </w:r>
      <w:r>
        <w:t>the</w:t>
      </w:r>
      <w:r w:rsidRPr="00B86964">
        <w:t xml:space="preserve"> QARD Annual Report</w:t>
      </w:r>
    </w:p>
    <w:p w14:paraId="12576DB3" w14:textId="77777777" w:rsidR="008A7E93" w:rsidRDefault="008A7E93" w:rsidP="008A7E93">
      <w:pPr>
        <w:pStyle w:val="Heading3"/>
      </w:pPr>
      <w:r w:rsidRPr="001E2936">
        <w:t>Outcome</w:t>
      </w:r>
    </w:p>
    <w:p w14:paraId="3F18214D" w14:textId="1F353012" w:rsidR="008A7E93" w:rsidRDefault="008A7E93" w:rsidP="008A7E93">
      <w:r w:rsidRPr="00B86964">
        <w:t xml:space="preserve">Stakeholders informed of </w:t>
      </w:r>
      <w:r>
        <w:t xml:space="preserve">the </w:t>
      </w:r>
      <w:r w:rsidRPr="00B86964">
        <w:t>QARD’s regulatory responsibilities</w:t>
      </w:r>
    </w:p>
    <w:p w14:paraId="1BC2666F" w14:textId="77777777" w:rsidR="008A7E93" w:rsidRDefault="008A7E93" w:rsidP="008A7E93">
      <w:pPr>
        <w:pStyle w:val="Heading3"/>
      </w:pPr>
      <w:r>
        <w:t>Measure</w:t>
      </w:r>
    </w:p>
    <w:p w14:paraId="51EB271E" w14:textId="77777777" w:rsidR="008A7E93" w:rsidRDefault="008A7E93" w:rsidP="008A7E93">
      <w:r>
        <w:t>Annual Report published each year</w:t>
      </w:r>
    </w:p>
    <w:p w14:paraId="0BE0738A" w14:textId="6E411844" w:rsidR="008A7E93" w:rsidRDefault="008A7E93" w:rsidP="008A7E93">
      <w:r>
        <w:t>Acquittal only</w:t>
      </w:r>
    </w:p>
    <w:p w14:paraId="3CBD25FD" w14:textId="77777777" w:rsidR="008A7E93" w:rsidRDefault="008A7E93" w:rsidP="008A7E93">
      <w:pPr>
        <w:pStyle w:val="Heading3"/>
      </w:pPr>
      <w:r>
        <w:t>Result 2018-19</w:t>
      </w:r>
    </w:p>
    <w:p w14:paraId="34058848" w14:textId="4133050B" w:rsidR="008A7E93" w:rsidRDefault="008A7E93" w:rsidP="008A7E93">
      <w:r>
        <w:t xml:space="preserve">Acquittal </w:t>
      </w:r>
    </w:p>
    <w:p w14:paraId="3F671EDF" w14:textId="5349F4D7" w:rsidR="008A7E93" w:rsidRDefault="008A7E93" w:rsidP="008A7E93">
      <w:r>
        <w:t>Annual Report 2018 published on the QARD website</w:t>
      </w:r>
    </w:p>
    <w:p w14:paraId="7218212F" w14:textId="77777777" w:rsidR="008A7E93" w:rsidRDefault="008A7E93" w:rsidP="008A7E93">
      <w:pPr>
        <w:pStyle w:val="Heading3"/>
      </w:pPr>
      <w:r>
        <w:t>Result 2019-20</w:t>
      </w:r>
    </w:p>
    <w:p w14:paraId="5C9B91FD" w14:textId="77777777" w:rsidR="008A7E93" w:rsidRDefault="008A7E93" w:rsidP="008A7E93">
      <w:r>
        <w:t xml:space="preserve">Annual Report 2019 published on the QARD website </w:t>
      </w:r>
    </w:p>
    <w:p w14:paraId="1A5FF921" w14:textId="6EE51F55" w:rsidR="008A7E93" w:rsidRDefault="008A7E93" w:rsidP="00CB7308"/>
    <w:p w14:paraId="66EFF07E" w14:textId="77777777" w:rsidR="008A7E93" w:rsidRDefault="008A7E93" w:rsidP="00CB7308"/>
    <w:p w14:paraId="2E6DFB87" w14:textId="77777777" w:rsidR="00416C3F" w:rsidRDefault="00416C3F" w:rsidP="00416C3F">
      <w:pPr>
        <w:sectPr w:rsidR="00416C3F" w:rsidSect="008A7E93">
          <w:pgSz w:w="11906" w:h="16838"/>
          <w:pgMar w:top="1440" w:right="1440" w:bottom="1440" w:left="1440" w:header="708" w:footer="708" w:gutter="0"/>
          <w:cols w:space="708"/>
          <w:docGrid w:linePitch="360"/>
        </w:sectPr>
      </w:pPr>
    </w:p>
    <w:p w14:paraId="4C572CCE" w14:textId="17A0E4FB" w:rsidR="00416C3F" w:rsidRDefault="00836EEF" w:rsidP="00416C3F">
      <w:pPr>
        <w:pStyle w:val="Heading2"/>
      </w:pPr>
      <w:bookmarkStart w:id="33" w:name="_Toc65051595"/>
      <w:r>
        <w:rPr>
          <w:caps w:val="0"/>
        </w:rPr>
        <w:lastRenderedPageBreak/>
        <w:t>KEY FINDINGS FOR ACCOUNTABILITY AND TRANSPARENCY OF COMMUNICATIONS AND ENGAGEMENT</w:t>
      </w:r>
      <w:bookmarkEnd w:id="33"/>
    </w:p>
    <w:p w14:paraId="68D13816" w14:textId="77777777" w:rsidR="00836EEF" w:rsidRDefault="00836EEF" w:rsidP="00416C3F">
      <w:pPr>
        <w:pStyle w:val="Heading4"/>
      </w:pPr>
    </w:p>
    <w:p w14:paraId="475EAE9B" w14:textId="127D37C5" w:rsidR="00416C3F" w:rsidRPr="00B53A55" w:rsidRDefault="00416C3F" w:rsidP="00B969E0">
      <w:pPr>
        <w:pStyle w:val="Heading3"/>
      </w:pPr>
      <w:r w:rsidRPr="00B53A55">
        <w:t>Achievement of Minister’s expectations</w:t>
      </w:r>
    </w:p>
    <w:p w14:paraId="165D4CFF" w14:textId="13F8E2A1" w:rsidR="00416C3F" w:rsidRPr="00B53A55" w:rsidRDefault="00416C3F" w:rsidP="00B969E0">
      <w:r>
        <w:t xml:space="preserve">The </w:t>
      </w:r>
      <w:r w:rsidRPr="00B53A55">
        <w:t xml:space="preserve">QARD </w:t>
      </w:r>
      <w:r w:rsidR="00FA71B3">
        <w:t>met</w:t>
      </w:r>
      <w:r w:rsidRPr="00B53A55">
        <w:t xml:space="preserve"> the Minister’s expectation to </w:t>
      </w:r>
      <w:r>
        <w:t>publish an Annual Report</w:t>
      </w:r>
      <w:r w:rsidR="00FA71B3">
        <w:t>, in order</w:t>
      </w:r>
      <w:r>
        <w:t xml:space="preserve"> to provide transparent and accountable information to the public</w:t>
      </w:r>
      <w:r w:rsidRPr="00B53A55">
        <w:t xml:space="preserve">. </w:t>
      </w:r>
    </w:p>
    <w:p w14:paraId="0A93460D" w14:textId="4BEB82ED" w:rsidR="00416C3F" w:rsidRPr="00B53A55" w:rsidRDefault="00FA71B3" w:rsidP="00B969E0">
      <w:r>
        <w:t>The</w:t>
      </w:r>
      <w:r w:rsidR="00416C3F" w:rsidRPr="00B53A55">
        <w:t xml:space="preserve"> Annual Report 2018</w:t>
      </w:r>
      <w:r w:rsidR="00416C3F">
        <w:t xml:space="preserve"> </w:t>
      </w:r>
      <w:r w:rsidR="00D11492">
        <w:t xml:space="preserve">was produced </w:t>
      </w:r>
      <w:r w:rsidR="00416C3F" w:rsidRPr="00B53A55">
        <w:t>and publish</w:t>
      </w:r>
      <w:r w:rsidR="00236853">
        <w:t>ed</w:t>
      </w:r>
      <w:r w:rsidR="00416C3F" w:rsidRPr="00B53A55">
        <w:t xml:space="preserve"> </w:t>
      </w:r>
      <w:r w:rsidR="00416C3F">
        <w:t>on the website</w:t>
      </w:r>
      <w:r w:rsidR="00236853">
        <w:t xml:space="preserve">, including </w:t>
      </w:r>
      <w:r w:rsidR="00416C3F">
        <w:t>a new appendix of data tables to increase transparency.</w:t>
      </w:r>
      <w:r w:rsidR="00236853">
        <w:t xml:space="preserve"> The QARD </w:t>
      </w:r>
      <w:r w:rsidR="008D1082">
        <w:t>ha</w:t>
      </w:r>
      <w:r w:rsidR="00236853">
        <w:t xml:space="preserve">s </w:t>
      </w:r>
      <w:r w:rsidR="008D1082">
        <w:t xml:space="preserve">been </w:t>
      </w:r>
      <w:r w:rsidR="00236853">
        <w:t xml:space="preserve">developing </w:t>
      </w:r>
      <w:r>
        <w:t>its</w:t>
      </w:r>
      <w:r w:rsidR="00416C3F" w:rsidRPr="00B53A55">
        <w:t xml:space="preserve"> Annual Report 2019, </w:t>
      </w:r>
      <w:r w:rsidR="00416C3F">
        <w:t>due to</w:t>
      </w:r>
      <w:r w:rsidR="00416C3F" w:rsidRPr="00B53A55">
        <w:t xml:space="preserve"> be published in </w:t>
      </w:r>
      <w:r w:rsidR="008D1082">
        <w:t>late</w:t>
      </w:r>
      <w:r w:rsidR="008D1082" w:rsidRPr="00B53A55">
        <w:t xml:space="preserve"> </w:t>
      </w:r>
      <w:r w:rsidR="00416C3F" w:rsidRPr="00B53A55">
        <w:t>2020</w:t>
      </w:r>
      <w:r w:rsidR="006F424D">
        <w:t xml:space="preserve"> due to a delay following the diversion of resources to respond to the COVID-19 pandemic</w:t>
      </w:r>
      <w:r w:rsidR="00416C3F" w:rsidRPr="00B53A55">
        <w:t>.</w:t>
      </w:r>
    </w:p>
    <w:p w14:paraId="4EF319BE" w14:textId="77777777" w:rsidR="00416C3F" w:rsidRPr="00B109B2" w:rsidRDefault="00416C3F" w:rsidP="00B969E0">
      <w:pPr>
        <w:pStyle w:val="Heading3"/>
      </w:pPr>
      <w:r w:rsidRPr="00B109B2">
        <w:t xml:space="preserve">Achievement of standards set out in the </w:t>
      </w:r>
      <w:r>
        <w:t>SOE</w:t>
      </w:r>
      <w:r w:rsidRPr="000326FB">
        <w:t xml:space="preserve"> Framework</w:t>
      </w:r>
    </w:p>
    <w:p w14:paraId="5F2F70A1" w14:textId="634DF2E8" w:rsidR="00416C3F" w:rsidRDefault="00416C3F" w:rsidP="00CE668F">
      <w:r>
        <w:t xml:space="preserve">The </w:t>
      </w:r>
      <w:r w:rsidRPr="00B109B2">
        <w:t xml:space="preserve">QARD </w:t>
      </w:r>
      <w:r w:rsidR="00CE668F">
        <w:t xml:space="preserve">fulfilled </w:t>
      </w:r>
      <w:r w:rsidRPr="00B109B2">
        <w:t xml:space="preserve">all minimum </w:t>
      </w:r>
      <w:r w:rsidR="00CE668F">
        <w:t xml:space="preserve">and best practice </w:t>
      </w:r>
      <w:r w:rsidRPr="00B109B2">
        <w:t xml:space="preserve">standards of the </w:t>
      </w:r>
      <w:r>
        <w:t>SOE</w:t>
      </w:r>
      <w:r w:rsidRPr="00B109B2">
        <w:t xml:space="preserve"> Framework</w:t>
      </w:r>
      <w:r w:rsidR="00CE668F">
        <w:t>.</w:t>
      </w:r>
    </w:p>
    <w:p w14:paraId="6B53CDC6" w14:textId="4DDE50F7" w:rsidR="003F7597" w:rsidRDefault="00D11492" w:rsidP="003F7597">
      <w:r>
        <w:t>C</w:t>
      </w:r>
      <w:r w:rsidR="003F7597">
        <w:t xml:space="preserve">omprehensive and </w:t>
      </w:r>
      <w:r w:rsidR="00416C3F">
        <w:t xml:space="preserve">transparent information </w:t>
      </w:r>
      <w:r>
        <w:t xml:space="preserve">was provided to the community </w:t>
      </w:r>
      <w:r w:rsidR="00416C3F">
        <w:t>in the Annual Report, such as information about regulatory activities, reforms</w:t>
      </w:r>
      <w:r w:rsidR="003F7597">
        <w:t>,</w:t>
      </w:r>
      <w:r w:rsidR="00416C3F">
        <w:t xml:space="preserve"> initiatives</w:t>
      </w:r>
      <w:r w:rsidR="003F7597">
        <w:t xml:space="preserve"> and government priorities</w:t>
      </w:r>
      <w:r w:rsidR="00416C3F">
        <w:t xml:space="preserve">. </w:t>
      </w:r>
      <w:r w:rsidR="003F7597">
        <w:t xml:space="preserve">Key </w:t>
      </w:r>
      <w:r w:rsidR="008D3FF5">
        <w:t>output performance metrics reported</w:t>
      </w:r>
      <w:r w:rsidR="003F7597">
        <w:t xml:space="preserve"> included the number of ratings, assessment and compliance visits and enforcement sanctions. </w:t>
      </w:r>
      <w:r w:rsidR="008D3FF5">
        <w:t>Key outcome performance metrics reported include</w:t>
      </w:r>
      <w:r w:rsidR="001B45E6">
        <w:t>d</w:t>
      </w:r>
      <w:r w:rsidR="008D3FF5">
        <w:t xml:space="preserve"> the number of reviews of ratings and re-ratings and services improving on reassessment. </w:t>
      </w:r>
    </w:p>
    <w:p w14:paraId="74A0149B" w14:textId="7AA71F04" w:rsidR="003F7597" w:rsidRDefault="003F7597" w:rsidP="003F7597">
      <w:r>
        <w:t>R</w:t>
      </w:r>
      <w:r w:rsidRPr="006B5B93">
        <w:t>egulatory practices</w:t>
      </w:r>
      <w:r>
        <w:t>,</w:t>
      </w:r>
      <w:r w:rsidRPr="006B5B93">
        <w:t xml:space="preserve"> complaint processes</w:t>
      </w:r>
      <w:r>
        <w:t xml:space="preserve"> and performance reporting data w</w:t>
      </w:r>
      <w:r w:rsidR="008D3FF5">
        <w:t>ere</w:t>
      </w:r>
      <w:r>
        <w:t xml:space="preserve"> regularly reviewed</w:t>
      </w:r>
      <w:r w:rsidRPr="006B5B93">
        <w:t xml:space="preserve"> to ensure outcomes </w:t>
      </w:r>
      <w:r>
        <w:t>were</w:t>
      </w:r>
      <w:r w:rsidRPr="006B5B93">
        <w:t xml:space="preserve"> achieved</w:t>
      </w:r>
      <w:r>
        <w:t xml:space="preserve">. </w:t>
      </w:r>
    </w:p>
    <w:p w14:paraId="0679D76B" w14:textId="77777777" w:rsidR="00416C3F" w:rsidRPr="00C43F4D" w:rsidRDefault="00416C3F" w:rsidP="00B969E0">
      <w:pPr>
        <w:pStyle w:val="Heading3"/>
      </w:pPr>
      <w:r w:rsidRPr="00C43F4D">
        <w:t>Overall comment</w:t>
      </w:r>
    </w:p>
    <w:p w14:paraId="0B49C7EA" w14:textId="1692A757" w:rsidR="00416C3F" w:rsidRDefault="00416C3F" w:rsidP="00B969E0">
      <w:r>
        <w:t xml:space="preserve">The </w:t>
      </w:r>
      <w:r w:rsidRPr="00C43F4D">
        <w:t xml:space="preserve">QARD performed strongly in accountability and transparency, by providing data on the regulatory activities that keep children safe. </w:t>
      </w:r>
      <w:r w:rsidR="00532034">
        <w:t xml:space="preserve">Manual data analysis affected the </w:t>
      </w:r>
      <w:r w:rsidR="00A20BB3">
        <w:t xml:space="preserve">efficiency of </w:t>
      </w:r>
      <w:r w:rsidR="00532034">
        <w:t>QARD’s</w:t>
      </w:r>
      <w:r w:rsidR="00532034" w:rsidRPr="00A1308F">
        <w:t xml:space="preserve"> </w:t>
      </w:r>
      <w:r w:rsidR="00A20BB3">
        <w:t>performance reporting processes</w:t>
      </w:r>
      <w:r w:rsidR="00532034" w:rsidRPr="00A1308F">
        <w:t xml:space="preserve">. </w:t>
      </w:r>
      <w:r w:rsidR="00C111B0">
        <w:t>M</w:t>
      </w:r>
      <w:r w:rsidR="00532034" w:rsidRPr="004F323F">
        <w:t>onitoring</w:t>
      </w:r>
      <w:r w:rsidR="00532034">
        <w:t>,</w:t>
      </w:r>
      <w:r w:rsidR="00532034" w:rsidRPr="004F323F">
        <w:t xml:space="preserve"> evaluation </w:t>
      </w:r>
      <w:r w:rsidR="00532034">
        <w:t>and performance reporting</w:t>
      </w:r>
      <w:r w:rsidR="00443BF9">
        <w:t xml:space="preserve"> provided quality assurance to the public on </w:t>
      </w:r>
      <w:r w:rsidRPr="00C43F4D">
        <w:t>the safety of early childhood services.</w:t>
      </w:r>
    </w:p>
    <w:p w14:paraId="28871DA6" w14:textId="77777777" w:rsidR="00416C3F" w:rsidRDefault="00416C3F" w:rsidP="00416C3F">
      <w:pPr>
        <w:pStyle w:val="Heading2"/>
        <w:rPr>
          <w:caps w:val="0"/>
        </w:rPr>
        <w:sectPr w:rsidR="00416C3F" w:rsidSect="002E2AE4">
          <w:pgSz w:w="11906" w:h="16838"/>
          <w:pgMar w:top="1440" w:right="1440" w:bottom="1440" w:left="1440" w:header="708" w:footer="708" w:gutter="0"/>
          <w:cols w:space="708"/>
          <w:docGrid w:linePitch="360"/>
        </w:sectPr>
      </w:pPr>
    </w:p>
    <w:p w14:paraId="62892146" w14:textId="713D90A0" w:rsidR="00416C3F" w:rsidRDefault="00836EEF" w:rsidP="00416C3F">
      <w:pPr>
        <w:pStyle w:val="Heading2"/>
      </w:pPr>
      <w:bookmarkStart w:id="34" w:name="_Toc65051596"/>
      <w:r>
        <w:rPr>
          <w:caps w:val="0"/>
        </w:rPr>
        <w:lastRenderedPageBreak/>
        <w:t>COMMUNICATIONS AND ENGAGEMENT – STAKEHOLDER CONSULTATION AND ENGAGEMENT DATA</w:t>
      </w:r>
      <w:bookmarkEnd w:id="34"/>
    </w:p>
    <w:p w14:paraId="2BC2DC2D" w14:textId="54BEDF3F" w:rsidR="00493973" w:rsidRDefault="00493973" w:rsidP="00493973">
      <w:r>
        <w:t xml:space="preserve">The data </w:t>
      </w:r>
      <w:r w:rsidR="00582FB0">
        <w:t>for the</w:t>
      </w:r>
      <w:r>
        <w:t xml:space="preserve"> suggested element of ‘stakeholder consultation and engagement’ in the SOE Framework</w:t>
      </w:r>
      <w:r w:rsidR="00582FB0">
        <w:t xml:space="preserve"> is outlined below</w:t>
      </w:r>
      <w:r>
        <w:t xml:space="preserve">. Stakeholder consultation and engagement in this context </w:t>
      </w:r>
      <w:r w:rsidR="003B3025">
        <w:t xml:space="preserve">referred </w:t>
      </w:r>
      <w:r>
        <w:t xml:space="preserve">to </w:t>
      </w:r>
      <w:r w:rsidR="00A5333E">
        <w:t>e</w:t>
      </w:r>
      <w:r>
        <w:t>ffective communication and engagement with stakeholders</w:t>
      </w:r>
      <w:r w:rsidR="00A5333E">
        <w:t xml:space="preserve"> to</w:t>
      </w:r>
      <w:r>
        <w:t xml:space="preserve"> facilitate better regulator performance and </w:t>
      </w:r>
      <w:r w:rsidR="00A5333E">
        <w:t>improve</w:t>
      </w:r>
      <w:r>
        <w:t xml:space="preserve"> regulatory outcomes. </w:t>
      </w:r>
      <w:r w:rsidR="003B3025">
        <w:t>The</w:t>
      </w:r>
      <w:r>
        <w:t xml:space="preserve"> QARD committed to </w:t>
      </w:r>
      <w:r w:rsidR="003B3025">
        <w:t xml:space="preserve">the following </w:t>
      </w:r>
      <w:r>
        <w:t xml:space="preserve">activities to </w:t>
      </w:r>
      <w:r w:rsidR="003B3025">
        <w:t xml:space="preserve">meet the Minister’s expectation to </w:t>
      </w:r>
      <w:r>
        <w:t xml:space="preserve">improve communications and engagement. </w:t>
      </w:r>
    </w:p>
    <w:p w14:paraId="571AE1CB" w14:textId="77777777" w:rsidR="00716EE3" w:rsidRDefault="00716EE3" w:rsidP="00716EE3">
      <w:pPr>
        <w:pStyle w:val="Heading3"/>
      </w:pPr>
      <w:r>
        <w:t>Expectation</w:t>
      </w:r>
    </w:p>
    <w:p w14:paraId="33676607" w14:textId="77777777" w:rsidR="00716EE3" w:rsidRDefault="00716EE3" w:rsidP="00716EE3">
      <w:r>
        <w:t>Promote greater cooperation, information sharing, regulatory coherence and efficiency with other regulators and key partners in order to improve compliance outcomes and identify opportunities for improved regulatory performance. This includes:</w:t>
      </w:r>
    </w:p>
    <w:p w14:paraId="20C1EBFE" w14:textId="77777777" w:rsidR="00716EE3" w:rsidRPr="00973A9B" w:rsidRDefault="00716EE3" w:rsidP="00716EE3">
      <w:pPr>
        <w:pStyle w:val="Bullet1"/>
      </w:pPr>
      <w:r>
        <w:t>d</w:t>
      </w:r>
      <w:r w:rsidRPr="00973A9B">
        <w:t xml:space="preserve">eepening its engagement with education and care providers and services and other stakeholders to inform the improvement of regulatory activities. </w:t>
      </w:r>
    </w:p>
    <w:p w14:paraId="4A8733C2" w14:textId="77777777" w:rsidR="00716EE3" w:rsidRPr="00973A9B" w:rsidRDefault="00716EE3" w:rsidP="00716EE3">
      <w:pPr>
        <w:pStyle w:val="Bullet1"/>
      </w:pPr>
      <w:r>
        <w:t>c</w:t>
      </w:r>
      <w:r w:rsidRPr="00973A9B">
        <w:t>ontinuing to work cooperatively with the Commonwealth Department of Education and Training</w:t>
      </w:r>
      <w:r>
        <w:t xml:space="preserve"> (DET)</w:t>
      </w:r>
      <w:r w:rsidRPr="00973A9B">
        <w:t xml:space="preserve">, ACECQA, and other relevant agencies to administer the National Law and address compliance issues associated with the family day care sector </w:t>
      </w:r>
    </w:p>
    <w:p w14:paraId="3FD97411" w14:textId="77777777" w:rsidR="00716EE3" w:rsidRPr="00973A9B" w:rsidRDefault="00716EE3" w:rsidP="00716EE3">
      <w:pPr>
        <w:pStyle w:val="Bullet1"/>
      </w:pPr>
      <w:r>
        <w:t>w</w:t>
      </w:r>
      <w:r w:rsidRPr="00973A9B">
        <w:t xml:space="preserve">orking closely with the Victorian Cladding Taskforce and the Victorian Building Authority </w:t>
      </w:r>
      <w:r>
        <w:t xml:space="preserve">(VBA) </w:t>
      </w:r>
      <w:r w:rsidRPr="00973A9B">
        <w:t xml:space="preserve">to identify and manage risks associated with combustible cladding that may exist on buildings where early childhood services operate. </w:t>
      </w:r>
    </w:p>
    <w:p w14:paraId="14467ACF" w14:textId="77777777" w:rsidR="00716EE3" w:rsidRDefault="00716EE3" w:rsidP="00716EE3">
      <w:pPr>
        <w:pStyle w:val="Bullet1"/>
      </w:pPr>
      <w:r>
        <w:t>c</w:t>
      </w:r>
      <w:r w:rsidRPr="00973A9B">
        <w:t>onsulting with key stakeholders and service providers to provide opportunities for consultation about sector reforms</w:t>
      </w:r>
    </w:p>
    <w:p w14:paraId="6EE20760" w14:textId="77777777" w:rsidR="00716EE3" w:rsidRPr="005A46EB" w:rsidRDefault="00716EE3" w:rsidP="00716EE3">
      <w:pPr>
        <w:pStyle w:val="Bullet1"/>
      </w:pPr>
      <w:r>
        <w:t>supporting t</w:t>
      </w:r>
      <w:r w:rsidRPr="005A46EB">
        <w:t xml:space="preserve">he Commission for Children and Young People </w:t>
      </w:r>
      <w:r>
        <w:t xml:space="preserve">(CCYP) in their </w:t>
      </w:r>
      <w:r w:rsidRPr="005A46EB">
        <w:t xml:space="preserve">implementation of recommendations of the Royal Commission into Institutional Responses to Child Sexual Abuse by supporting the </w:t>
      </w:r>
      <w:r>
        <w:t>RCS</w:t>
      </w:r>
      <w:r w:rsidRPr="005A46EB">
        <w:t xml:space="preserve"> and assessing compliance with the </w:t>
      </w:r>
      <w:r>
        <w:t>CSS</w:t>
      </w:r>
      <w:r w:rsidRPr="005A46EB">
        <w:t xml:space="preserve">. </w:t>
      </w:r>
    </w:p>
    <w:p w14:paraId="3D54FE04" w14:textId="77777777" w:rsidR="00716EE3" w:rsidRDefault="00716EE3" w:rsidP="00716EE3">
      <w:pPr>
        <w:pStyle w:val="Heading3"/>
      </w:pPr>
    </w:p>
    <w:p w14:paraId="00A1AE0F" w14:textId="77777777" w:rsidR="00716EE3" w:rsidRDefault="00716EE3" w:rsidP="00716EE3">
      <w:pPr>
        <w:pStyle w:val="Heading3"/>
      </w:pPr>
      <w:r>
        <w:t>Response Activity</w:t>
      </w:r>
    </w:p>
    <w:p w14:paraId="559F1751" w14:textId="4C8EE8F2" w:rsidR="00716EE3" w:rsidRDefault="006C3634" w:rsidP="006C3634">
      <w:r w:rsidRPr="006250A8">
        <w:t>Continue working with Commonwealth DET, ACECQA and other regulators by sharing relevant compliance information to effectively manage issues and risks associated with the regulation of the family day care</w:t>
      </w:r>
      <w:r>
        <w:t xml:space="preserve"> (FDC)</w:t>
      </w:r>
      <w:r w:rsidRPr="006250A8">
        <w:t xml:space="preserve"> sector.</w:t>
      </w:r>
    </w:p>
    <w:p w14:paraId="534E5C29" w14:textId="77777777" w:rsidR="00716EE3" w:rsidRDefault="00716EE3" w:rsidP="00716EE3">
      <w:pPr>
        <w:pStyle w:val="Heading3"/>
      </w:pPr>
      <w:r w:rsidRPr="001E2936">
        <w:t>Outcome</w:t>
      </w:r>
    </w:p>
    <w:p w14:paraId="00327F1E" w14:textId="6A05BABA" w:rsidR="00716EE3" w:rsidRDefault="006C3634" w:rsidP="006C3634">
      <w:r w:rsidRPr="006250A8">
        <w:t>Consistent and coordinated approach to compliance in the FDC sector through information sharing with the Commonwealth</w:t>
      </w:r>
    </w:p>
    <w:p w14:paraId="2C435CCB" w14:textId="77777777" w:rsidR="00716EE3" w:rsidRDefault="00716EE3" w:rsidP="00716EE3">
      <w:pPr>
        <w:pStyle w:val="Heading3"/>
      </w:pPr>
      <w:r>
        <w:t>Measure</w:t>
      </w:r>
    </w:p>
    <w:p w14:paraId="2F4BA8BF" w14:textId="08CB5F04" w:rsidR="00716EE3" w:rsidRDefault="00996585" w:rsidP="00996585">
      <w:r>
        <w:t>Number of</w:t>
      </w:r>
      <w:r w:rsidRPr="006250A8">
        <w:t xml:space="preserve"> new FDC services approved each year</w:t>
      </w:r>
    </w:p>
    <w:p w14:paraId="049576D1" w14:textId="77777777" w:rsidR="00716EE3" w:rsidRDefault="00716EE3" w:rsidP="00716EE3">
      <w:pPr>
        <w:pStyle w:val="Heading3"/>
      </w:pPr>
      <w:r>
        <w:t>Result 2018-19</w:t>
      </w:r>
    </w:p>
    <w:p w14:paraId="507AECD5" w14:textId="77777777" w:rsidR="00996585" w:rsidRDefault="00996585" w:rsidP="00996585">
      <w:r>
        <w:t>17 new FDC services approved in 2018.</w:t>
      </w:r>
    </w:p>
    <w:p w14:paraId="25758616" w14:textId="77777777" w:rsidR="00996585" w:rsidRDefault="00996585" w:rsidP="00996585">
      <w:r>
        <w:t>QARD held regular meetings with Commonwealth, ACECQA and the Department to share information and discuss issues and risks.</w:t>
      </w:r>
    </w:p>
    <w:p w14:paraId="74FBD1B7" w14:textId="28A5B6E9" w:rsidR="00716EE3" w:rsidRDefault="00996585" w:rsidP="00996585">
      <w:r>
        <w:t>QARD participated in the Regulatory Practice Committee, Early Childhood Policy Group, Lead Assessors Network, Lead Investigators Network.</w:t>
      </w:r>
    </w:p>
    <w:p w14:paraId="7BA9569B" w14:textId="77777777" w:rsidR="00716EE3" w:rsidRDefault="00716EE3" w:rsidP="00716EE3">
      <w:pPr>
        <w:pStyle w:val="Heading3"/>
      </w:pPr>
      <w:r>
        <w:t>Result 2019-20</w:t>
      </w:r>
    </w:p>
    <w:p w14:paraId="30A5BEF7" w14:textId="77777777" w:rsidR="00996585" w:rsidRDefault="00996585" w:rsidP="00996585">
      <w:r w:rsidRPr="00ED169A">
        <w:t>12 new</w:t>
      </w:r>
      <w:r>
        <w:t xml:space="preserve"> FDC services approved in 2019. </w:t>
      </w:r>
    </w:p>
    <w:p w14:paraId="32EF3B4D" w14:textId="77777777" w:rsidR="00996585" w:rsidRDefault="00996585" w:rsidP="00996585">
      <w:r>
        <w:t>Regular meetings with Commonwealth, ACECQA and the Department to share information and discuss issues and risks.</w:t>
      </w:r>
    </w:p>
    <w:p w14:paraId="1EC2C361" w14:textId="77777777" w:rsidR="00996585" w:rsidRDefault="00996585" w:rsidP="00996585">
      <w:r>
        <w:t>Participation in the Regulatory Practice Committee (RPC), Early Childhood Policy Group, Lead Assessors Network, and Lead Investigators Network.</w:t>
      </w:r>
    </w:p>
    <w:p w14:paraId="398765DA" w14:textId="30CE21E0" w:rsidR="00716EE3" w:rsidRDefault="00996585" w:rsidP="00996585">
      <w:r>
        <w:t>Executive Director of QARD the Chair of the RPC in 2019.</w:t>
      </w:r>
    </w:p>
    <w:p w14:paraId="7D11778B" w14:textId="77777777" w:rsidR="00716EE3" w:rsidRDefault="00716EE3" w:rsidP="00716EE3">
      <w:pPr>
        <w:pStyle w:val="Heading3"/>
      </w:pPr>
      <w:r>
        <w:t>Response Activity</w:t>
      </w:r>
    </w:p>
    <w:p w14:paraId="22241A7D" w14:textId="453B8C9B" w:rsidR="00716EE3" w:rsidRDefault="00996585" w:rsidP="00996585">
      <w:r w:rsidRPr="00600FF8">
        <w:t xml:space="preserve">For 2018-19 progress the targeted legislative review of the </w:t>
      </w:r>
      <w:r>
        <w:t>N</w:t>
      </w:r>
      <w:r w:rsidRPr="00600FF8">
        <w:t xml:space="preserve">ational </w:t>
      </w:r>
      <w:r>
        <w:t>L</w:t>
      </w:r>
      <w:r w:rsidRPr="00600FF8">
        <w:t>aw as it applies to family day care.</w:t>
      </w:r>
    </w:p>
    <w:p w14:paraId="5E190526" w14:textId="77777777" w:rsidR="00716EE3" w:rsidRDefault="00716EE3" w:rsidP="00716EE3">
      <w:pPr>
        <w:pStyle w:val="Heading3"/>
      </w:pPr>
      <w:r w:rsidRPr="001E2936">
        <w:t>Outcome</w:t>
      </w:r>
    </w:p>
    <w:p w14:paraId="00E7778C" w14:textId="05A4E60F" w:rsidR="00716EE3" w:rsidRDefault="00996585" w:rsidP="00996585">
      <w:r w:rsidRPr="00600FF8">
        <w:t>Consistent and coordinated approach to compliance in the FDC sector through information sharing with the Commonwealth</w:t>
      </w:r>
    </w:p>
    <w:p w14:paraId="4AE1E92F" w14:textId="77777777" w:rsidR="00716EE3" w:rsidRDefault="00716EE3" w:rsidP="00716EE3">
      <w:pPr>
        <w:pStyle w:val="Heading3"/>
      </w:pPr>
      <w:r>
        <w:t>Measure</w:t>
      </w:r>
    </w:p>
    <w:p w14:paraId="17CE8F7C" w14:textId="77777777" w:rsidR="00996585" w:rsidRDefault="00996585" w:rsidP="00996585">
      <w:r>
        <w:t>Final policy item delivered to Early Childhood Policy Group on 7 August 2019.</w:t>
      </w:r>
    </w:p>
    <w:p w14:paraId="57BB9A2C" w14:textId="6A633680" w:rsidR="00716EE3" w:rsidRDefault="00996585" w:rsidP="00996585">
      <w:r>
        <w:t>Acquittal only</w:t>
      </w:r>
    </w:p>
    <w:p w14:paraId="53167714" w14:textId="77777777" w:rsidR="00716EE3" w:rsidRDefault="00716EE3" w:rsidP="00716EE3">
      <w:pPr>
        <w:pStyle w:val="Heading3"/>
      </w:pPr>
      <w:r>
        <w:t>Result 2018-19</w:t>
      </w:r>
    </w:p>
    <w:p w14:paraId="3D83526A" w14:textId="77777777" w:rsidR="00996585" w:rsidRDefault="00996585" w:rsidP="00996585">
      <w:r>
        <w:t>Acquittal.</w:t>
      </w:r>
    </w:p>
    <w:p w14:paraId="1FE32617" w14:textId="2614F623" w:rsidR="00716EE3" w:rsidRDefault="00996585" w:rsidP="00996585">
      <w:r w:rsidRPr="00F61CCA">
        <w:t>National Report into the National Quality Framework Review delivered to Early Childhood Policy Group on 7 August 2019.</w:t>
      </w:r>
    </w:p>
    <w:p w14:paraId="68390271" w14:textId="77777777" w:rsidR="00716EE3" w:rsidRDefault="00716EE3" w:rsidP="00716EE3">
      <w:pPr>
        <w:pStyle w:val="Heading3"/>
      </w:pPr>
      <w:r>
        <w:t>Result 2019-20</w:t>
      </w:r>
    </w:p>
    <w:p w14:paraId="39CA16B5" w14:textId="058B4DB8" w:rsidR="00716EE3" w:rsidRDefault="00A73F12" w:rsidP="00493973">
      <w:r>
        <w:t>n/a</w:t>
      </w:r>
    </w:p>
    <w:p w14:paraId="794C3F4E" w14:textId="77777777" w:rsidR="00716EE3" w:rsidRDefault="00716EE3" w:rsidP="00716EE3">
      <w:pPr>
        <w:pStyle w:val="Heading3"/>
      </w:pPr>
      <w:r>
        <w:t>Response Activity</w:t>
      </w:r>
    </w:p>
    <w:p w14:paraId="7D2589F2" w14:textId="318A4DE1" w:rsidR="00716EE3" w:rsidRDefault="00A73F12" w:rsidP="00A73F12">
      <w:r w:rsidRPr="00E71712">
        <w:t>Facilitate biannual stakeholder forums and engage in regional forums with early childhood providers, regional staff and other local providers</w:t>
      </w:r>
    </w:p>
    <w:p w14:paraId="2429F76F" w14:textId="77777777" w:rsidR="00716EE3" w:rsidRDefault="00716EE3" w:rsidP="00716EE3">
      <w:pPr>
        <w:pStyle w:val="Heading3"/>
      </w:pPr>
      <w:r w:rsidRPr="001E2936">
        <w:t>Outcome</w:t>
      </w:r>
    </w:p>
    <w:p w14:paraId="7906342A" w14:textId="4D3B96FB" w:rsidR="00716EE3" w:rsidRDefault="00A73F12" w:rsidP="00A73F12">
      <w:r w:rsidRPr="00E71712">
        <w:t>Policies and procedures incorporate sector feedback and concerns</w:t>
      </w:r>
    </w:p>
    <w:p w14:paraId="7E0C1D19" w14:textId="77777777" w:rsidR="00716EE3" w:rsidRDefault="00716EE3" w:rsidP="00716EE3">
      <w:pPr>
        <w:pStyle w:val="Heading3"/>
      </w:pPr>
      <w:r>
        <w:t>Measure</w:t>
      </w:r>
    </w:p>
    <w:p w14:paraId="599D075A" w14:textId="77777777" w:rsidR="00A73F12" w:rsidRDefault="00A73F12" w:rsidP="00A73F12">
      <w:r>
        <w:t xml:space="preserve">Number of stakeholder forums </w:t>
      </w:r>
    </w:p>
    <w:p w14:paraId="31C55360" w14:textId="2404D50D" w:rsidR="00716EE3" w:rsidRDefault="00A73F12" w:rsidP="00A73F12">
      <w:r>
        <w:t>Early Childhood Education and Care Regulatory Reference Group (ECECRRG) established in 2018.</w:t>
      </w:r>
    </w:p>
    <w:p w14:paraId="7A1C571F" w14:textId="77777777" w:rsidR="00716EE3" w:rsidRDefault="00716EE3" w:rsidP="00716EE3">
      <w:pPr>
        <w:pStyle w:val="Heading3"/>
      </w:pPr>
      <w:r>
        <w:t>Result 2018-19</w:t>
      </w:r>
    </w:p>
    <w:p w14:paraId="27E4C888" w14:textId="77777777" w:rsidR="00A73F12" w:rsidRDefault="00A73F12" w:rsidP="00A73F12">
      <w:r>
        <w:t>Acquittal</w:t>
      </w:r>
    </w:p>
    <w:p w14:paraId="2C474AE1" w14:textId="4006409F" w:rsidR="00716EE3" w:rsidRDefault="00A73F12" w:rsidP="00A73F12">
      <w:r>
        <w:t>ECECRRG inaugural meeting held in October 2018</w:t>
      </w:r>
    </w:p>
    <w:p w14:paraId="46107513" w14:textId="77777777" w:rsidR="00716EE3" w:rsidRDefault="00716EE3" w:rsidP="00716EE3">
      <w:pPr>
        <w:pStyle w:val="Heading3"/>
      </w:pPr>
      <w:r>
        <w:t>Result 2019-20</w:t>
      </w:r>
    </w:p>
    <w:p w14:paraId="2E020A12" w14:textId="77777777" w:rsidR="00A73F12" w:rsidRDefault="00A73F12" w:rsidP="00A73F12">
      <w:r>
        <w:t>Acquittal</w:t>
      </w:r>
    </w:p>
    <w:p w14:paraId="5251D5C4" w14:textId="77777777" w:rsidR="00A73F12" w:rsidRDefault="00A73F12" w:rsidP="00A73F12">
      <w:r>
        <w:t>ECECRRG meetings held in May and November 2019</w:t>
      </w:r>
    </w:p>
    <w:p w14:paraId="679FD21B" w14:textId="38D4A1B5" w:rsidR="00716EE3" w:rsidRDefault="00A73F12" w:rsidP="00A73F12">
      <w:r>
        <w:t>13 NQF review consultations in 2019</w:t>
      </w:r>
    </w:p>
    <w:p w14:paraId="1C34C652" w14:textId="77777777" w:rsidR="00716EE3" w:rsidRDefault="00716EE3" w:rsidP="00716EE3">
      <w:pPr>
        <w:pStyle w:val="Heading3"/>
      </w:pPr>
      <w:r>
        <w:t>Response Activity</w:t>
      </w:r>
    </w:p>
    <w:p w14:paraId="2FA8FFCC" w14:textId="6EBB2501" w:rsidR="00716EE3" w:rsidRDefault="001A6360" w:rsidP="001A6360">
      <w:r w:rsidRPr="00D3699D">
        <w:t xml:space="preserve">Hold consultations with the sector about changes to the </w:t>
      </w:r>
      <w:r w:rsidRPr="00B969E0">
        <w:rPr>
          <w:i/>
          <w:iCs/>
        </w:rPr>
        <w:t>Children’s Services Act 1996</w:t>
      </w:r>
      <w:r w:rsidRPr="00D3699D">
        <w:t>.</w:t>
      </w:r>
    </w:p>
    <w:p w14:paraId="0169FDF2" w14:textId="77777777" w:rsidR="00716EE3" w:rsidRDefault="00716EE3" w:rsidP="00716EE3">
      <w:pPr>
        <w:pStyle w:val="Heading3"/>
      </w:pPr>
      <w:r w:rsidRPr="001E2936">
        <w:t>Outcome</w:t>
      </w:r>
    </w:p>
    <w:p w14:paraId="5A3FCF4E" w14:textId="443013A5" w:rsidR="00716EE3" w:rsidRDefault="001A6360" w:rsidP="001A6360">
      <w:r w:rsidRPr="00D3699D">
        <w:t xml:space="preserve">Services understand and comply with changes to the </w:t>
      </w:r>
      <w:r w:rsidRPr="00B432AD">
        <w:rPr>
          <w:i/>
          <w:iCs/>
        </w:rPr>
        <w:t>Children’s Services Act 1996</w:t>
      </w:r>
    </w:p>
    <w:p w14:paraId="5D00CB7C" w14:textId="77777777" w:rsidR="00716EE3" w:rsidRDefault="00716EE3" w:rsidP="00716EE3">
      <w:pPr>
        <w:pStyle w:val="Heading3"/>
      </w:pPr>
      <w:r>
        <w:t>Measure</w:t>
      </w:r>
    </w:p>
    <w:p w14:paraId="48E52B28" w14:textId="77777777" w:rsidR="001A6360" w:rsidRDefault="001A6360" w:rsidP="001A6360">
      <w:r>
        <w:t xml:space="preserve">Number of consultations </w:t>
      </w:r>
    </w:p>
    <w:p w14:paraId="028B4BC9" w14:textId="1AB56F35" w:rsidR="00716EE3" w:rsidRDefault="001A6360" w:rsidP="001A6360">
      <w:r>
        <w:t>Acquittal only</w:t>
      </w:r>
    </w:p>
    <w:p w14:paraId="34E71B89" w14:textId="77777777" w:rsidR="00716EE3" w:rsidRDefault="00716EE3" w:rsidP="00716EE3">
      <w:pPr>
        <w:pStyle w:val="Heading3"/>
      </w:pPr>
      <w:r>
        <w:t>Result 2018-19</w:t>
      </w:r>
    </w:p>
    <w:p w14:paraId="29F147F3" w14:textId="77777777" w:rsidR="001A6360" w:rsidRDefault="001A6360" w:rsidP="001A6360">
      <w:r>
        <w:t>Acquittal</w:t>
      </w:r>
    </w:p>
    <w:p w14:paraId="2118357C" w14:textId="536C8BC6" w:rsidR="00716EE3" w:rsidRDefault="001A6360" w:rsidP="001A6360">
      <w:r>
        <w:t>11 r</w:t>
      </w:r>
      <w:r w:rsidRPr="007D071E">
        <w:t xml:space="preserve">egional consultations were conducted in May and June 2019 with the sector about amendments to the </w:t>
      </w:r>
      <w:r w:rsidRPr="00B969E0">
        <w:rPr>
          <w:i/>
          <w:iCs/>
        </w:rPr>
        <w:t>Children's Services Act 1996</w:t>
      </w:r>
      <w:r w:rsidRPr="007D071E">
        <w:t>.</w:t>
      </w:r>
    </w:p>
    <w:p w14:paraId="38C890F1" w14:textId="77777777" w:rsidR="00716EE3" w:rsidRDefault="00716EE3" w:rsidP="00716EE3">
      <w:pPr>
        <w:pStyle w:val="Heading3"/>
      </w:pPr>
      <w:r>
        <w:t>Result 2019-20</w:t>
      </w:r>
    </w:p>
    <w:p w14:paraId="6AD53BB1" w14:textId="77777777" w:rsidR="001A6360" w:rsidRDefault="001A6360" w:rsidP="001A6360">
      <w:r>
        <w:t>Acquittal</w:t>
      </w:r>
    </w:p>
    <w:p w14:paraId="1354184C" w14:textId="26E1C410" w:rsidR="00716EE3" w:rsidRDefault="001A6360" w:rsidP="001A6360">
      <w:r w:rsidRPr="000A0692">
        <w:t>Online and face-to-face public consultation will be open during February 2020 on the Children’s Services Regulatory Impact Statement (RIS) and proposed Regulations.</w:t>
      </w:r>
    </w:p>
    <w:p w14:paraId="34595A03" w14:textId="77777777" w:rsidR="00716EE3" w:rsidRDefault="00716EE3" w:rsidP="00716EE3">
      <w:pPr>
        <w:pStyle w:val="Heading3"/>
      </w:pPr>
      <w:r>
        <w:t>Response Activity</w:t>
      </w:r>
    </w:p>
    <w:p w14:paraId="025BBEE0" w14:textId="77777777" w:rsidR="001A6360" w:rsidRDefault="001A6360" w:rsidP="001A6360">
      <w:r w:rsidRPr="00355836">
        <w:t>For 2018-19 increase the publication of the QARD newsletter from 8 to 11 issues per year.</w:t>
      </w:r>
    </w:p>
    <w:p w14:paraId="62DEEEE4" w14:textId="14B64935" w:rsidR="00716EE3" w:rsidRDefault="001A6360" w:rsidP="001A6360">
      <w:r>
        <w:t>For 2019-20 continue to publish the QARD newsletter.</w:t>
      </w:r>
    </w:p>
    <w:p w14:paraId="1D7F9DD0" w14:textId="77777777" w:rsidR="00716EE3" w:rsidRDefault="00716EE3" w:rsidP="00716EE3">
      <w:pPr>
        <w:pStyle w:val="Heading3"/>
      </w:pPr>
      <w:r w:rsidRPr="001E2936">
        <w:t>Outcome</w:t>
      </w:r>
    </w:p>
    <w:p w14:paraId="43D5E724" w14:textId="46239AFD" w:rsidR="00716EE3" w:rsidRDefault="001A6360" w:rsidP="001A6360">
      <w:r w:rsidRPr="00355836">
        <w:t xml:space="preserve">Increased engagement with the sector by </w:t>
      </w:r>
      <w:r>
        <w:t xml:space="preserve">the </w:t>
      </w:r>
      <w:r w:rsidRPr="00355836">
        <w:t>QARD, improving stakeholder relationships.</w:t>
      </w:r>
    </w:p>
    <w:p w14:paraId="00111ADC" w14:textId="77777777" w:rsidR="00716EE3" w:rsidRDefault="00716EE3" w:rsidP="00716EE3">
      <w:pPr>
        <w:pStyle w:val="Heading3"/>
      </w:pPr>
      <w:r>
        <w:t>Measure</w:t>
      </w:r>
    </w:p>
    <w:p w14:paraId="3B9309B5" w14:textId="77777777" w:rsidR="001A6360" w:rsidRDefault="001A6360" w:rsidP="001A6360">
      <w:r>
        <w:t>11 newsletters sent to stakeholders per year.</w:t>
      </w:r>
    </w:p>
    <w:p w14:paraId="2B40280A" w14:textId="7293A071" w:rsidR="00716EE3" w:rsidRDefault="001A6360" w:rsidP="001A6360">
      <w:r>
        <w:t>Number of opens [use monthly % of opens and click to open rate (CTOR)]</w:t>
      </w:r>
    </w:p>
    <w:p w14:paraId="574CD15D" w14:textId="77777777" w:rsidR="00716EE3" w:rsidRDefault="00716EE3" w:rsidP="00716EE3">
      <w:pPr>
        <w:pStyle w:val="Heading3"/>
      </w:pPr>
      <w:r>
        <w:t>Result 2018-19</w:t>
      </w:r>
    </w:p>
    <w:p w14:paraId="332F1C5D" w14:textId="77777777" w:rsidR="001A6360" w:rsidRDefault="001A6360" w:rsidP="001A6360">
      <w:r w:rsidRPr="00355836">
        <w:t xml:space="preserve">10 newsletters </w:t>
      </w:r>
      <w:r>
        <w:t>sent to stakeholders</w:t>
      </w:r>
      <w:r w:rsidRPr="00355836">
        <w:t xml:space="preserve"> in 2018</w:t>
      </w:r>
      <w:r>
        <w:t>.</w:t>
      </w:r>
    </w:p>
    <w:p w14:paraId="3908BA12" w14:textId="4792E17D" w:rsidR="00716EE3" w:rsidRDefault="001A6360" w:rsidP="001A6360">
      <w:r w:rsidRPr="0054123E">
        <w:t>On average, approximately 40% of email recipients opened the newsletter, with approximately 30% clicking through from the website</w:t>
      </w:r>
      <w:r>
        <w:t>.</w:t>
      </w:r>
    </w:p>
    <w:p w14:paraId="1ED723DA" w14:textId="77777777" w:rsidR="00716EE3" w:rsidRDefault="00716EE3" w:rsidP="00716EE3">
      <w:pPr>
        <w:pStyle w:val="Heading3"/>
      </w:pPr>
      <w:r>
        <w:t>Result 2019-20</w:t>
      </w:r>
    </w:p>
    <w:p w14:paraId="388CA6BE" w14:textId="77777777" w:rsidR="001A6360" w:rsidRDefault="001A6360" w:rsidP="001A6360">
      <w:r>
        <w:t>12 newsletters sent to stakeholders in 2019.</w:t>
      </w:r>
    </w:p>
    <w:p w14:paraId="3F54D417" w14:textId="32A3CC98" w:rsidR="00716EE3" w:rsidRDefault="001A6360" w:rsidP="001A6360">
      <w:r>
        <w:t>D</w:t>
      </w:r>
      <w:r w:rsidRPr="00340497">
        <w:t xml:space="preserve">ata </w:t>
      </w:r>
      <w:r>
        <w:t xml:space="preserve">for percentage of email recipients opening the newsletter is </w:t>
      </w:r>
      <w:r w:rsidRPr="00340497">
        <w:t>unavailable in 2019</w:t>
      </w:r>
      <w:r>
        <w:t>.</w:t>
      </w:r>
    </w:p>
    <w:p w14:paraId="50E964FA" w14:textId="77777777" w:rsidR="00716EE3" w:rsidRDefault="00716EE3" w:rsidP="00716EE3">
      <w:pPr>
        <w:pStyle w:val="Heading3"/>
      </w:pPr>
      <w:r>
        <w:t>Response Activity</w:t>
      </w:r>
    </w:p>
    <w:p w14:paraId="2D73BE28" w14:textId="77777777" w:rsidR="001A6360" w:rsidRDefault="001A6360" w:rsidP="001A6360">
      <w:r w:rsidRPr="009E5898">
        <w:t>Work with the Victorian Registration and Qualifications Authority</w:t>
      </w:r>
      <w:r>
        <w:t xml:space="preserve"> (VRQA)</w:t>
      </w:r>
      <w:r w:rsidRPr="009E5898">
        <w:t xml:space="preserve">, the Victorian Institute of Teaching </w:t>
      </w:r>
      <w:r>
        <w:t xml:space="preserve">(VIT) </w:t>
      </w:r>
      <w:r w:rsidRPr="009E5898">
        <w:t xml:space="preserve">and the </w:t>
      </w:r>
      <w:r>
        <w:t>CCYP</w:t>
      </w:r>
      <w:r w:rsidRPr="009E5898">
        <w:t xml:space="preserve"> to protect children’s safety and improve compliance of jointly regulated entities.</w:t>
      </w:r>
    </w:p>
    <w:p w14:paraId="64EDE9BF" w14:textId="77777777" w:rsidR="00716EE3" w:rsidRDefault="00716EE3" w:rsidP="001A6360">
      <w:pPr>
        <w:pStyle w:val="Heading3"/>
      </w:pPr>
      <w:r w:rsidRPr="001E2936">
        <w:t>Outcome</w:t>
      </w:r>
    </w:p>
    <w:p w14:paraId="162D3EAC" w14:textId="05B86C8C" w:rsidR="00716EE3" w:rsidRDefault="001A6360" w:rsidP="001A6360">
      <w:r>
        <w:t>Safety and wellbeing of children is maintained</w:t>
      </w:r>
    </w:p>
    <w:p w14:paraId="60CA10BE" w14:textId="77777777" w:rsidR="00716EE3" w:rsidRDefault="00716EE3" w:rsidP="00716EE3">
      <w:pPr>
        <w:pStyle w:val="Heading3"/>
      </w:pPr>
      <w:r>
        <w:t>Measure</w:t>
      </w:r>
    </w:p>
    <w:p w14:paraId="42F13512" w14:textId="35286ADF" w:rsidR="00716EE3" w:rsidRDefault="00A15C4C" w:rsidP="00A15C4C">
      <w:r>
        <w:t>The QARD regularly liaises with stakeholders to improve children’s safety.</w:t>
      </w:r>
    </w:p>
    <w:p w14:paraId="3A8DCA88" w14:textId="77777777" w:rsidR="00716EE3" w:rsidRDefault="00716EE3" w:rsidP="00716EE3">
      <w:pPr>
        <w:pStyle w:val="Heading3"/>
      </w:pPr>
      <w:r>
        <w:t>Result 2018-19</w:t>
      </w:r>
    </w:p>
    <w:p w14:paraId="198E4FBE" w14:textId="77777777" w:rsidR="00A15C4C" w:rsidRDefault="00A15C4C" w:rsidP="00A15C4C">
      <w:r>
        <w:t>Acquittal</w:t>
      </w:r>
    </w:p>
    <w:p w14:paraId="2C4C4DE4" w14:textId="77777777" w:rsidR="00A15C4C" w:rsidRPr="002512B2" w:rsidRDefault="00A15C4C" w:rsidP="00A15C4C">
      <w:r w:rsidRPr="002512B2">
        <w:t xml:space="preserve">Regular meetings were held with the </w:t>
      </w:r>
      <w:r>
        <w:t>CCYP</w:t>
      </w:r>
      <w:r w:rsidRPr="002512B2">
        <w:t xml:space="preserve"> </w:t>
      </w:r>
      <w:r>
        <w:t xml:space="preserve">for </w:t>
      </w:r>
      <w:r w:rsidRPr="002512B2">
        <w:t xml:space="preserve">the </w:t>
      </w:r>
      <w:r>
        <w:t>CSS</w:t>
      </w:r>
      <w:r w:rsidRPr="002512B2">
        <w:t xml:space="preserve"> and </w:t>
      </w:r>
      <w:r>
        <w:t>RCS</w:t>
      </w:r>
      <w:r w:rsidRPr="002512B2">
        <w:t>.</w:t>
      </w:r>
    </w:p>
    <w:p w14:paraId="6C9F98D2" w14:textId="0654F355" w:rsidR="00716EE3" w:rsidRDefault="00A15C4C" w:rsidP="00A15C4C">
      <w:r w:rsidRPr="002512B2">
        <w:t xml:space="preserve">Meetings </w:t>
      </w:r>
      <w:r>
        <w:t xml:space="preserve">were held </w:t>
      </w:r>
      <w:r w:rsidRPr="002512B2">
        <w:t xml:space="preserve">with the </w:t>
      </w:r>
      <w:r>
        <w:t>VIT</w:t>
      </w:r>
      <w:r w:rsidRPr="002512B2">
        <w:t xml:space="preserve"> to discuss issues pertaining to early childhood teachers. Meetings </w:t>
      </w:r>
      <w:r>
        <w:t xml:space="preserve">were held </w:t>
      </w:r>
      <w:r w:rsidRPr="002512B2">
        <w:t xml:space="preserve">with the </w:t>
      </w:r>
      <w:r>
        <w:t>VRQA</w:t>
      </w:r>
      <w:r w:rsidRPr="002512B2">
        <w:t xml:space="preserve"> to discuss shared</w:t>
      </w:r>
      <w:r>
        <w:t xml:space="preserve"> regulatory</w:t>
      </w:r>
      <w:r w:rsidRPr="002512B2">
        <w:t xml:space="preserve"> matters.</w:t>
      </w:r>
    </w:p>
    <w:p w14:paraId="41B6B330" w14:textId="77777777" w:rsidR="00716EE3" w:rsidRDefault="00716EE3" w:rsidP="00716EE3">
      <w:pPr>
        <w:pStyle w:val="Heading3"/>
      </w:pPr>
      <w:r>
        <w:t>Result 2019-20</w:t>
      </w:r>
    </w:p>
    <w:p w14:paraId="53AA8CD3" w14:textId="726E4F39" w:rsidR="00716EE3" w:rsidRDefault="00A15C4C" w:rsidP="00493973">
      <w:r>
        <w:t>n/a</w:t>
      </w:r>
    </w:p>
    <w:p w14:paraId="05C30187" w14:textId="77777777" w:rsidR="00716EE3" w:rsidRDefault="00716EE3" w:rsidP="00716EE3">
      <w:pPr>
        <w:pStyle w:val="Heading3"/>
      </w:pPr>
      <w:r>
        <w:t>Response Activity</w:t>
      </w:r>
    </w:p>
    <w:p w14:paraId="251E56E9" w14:textId="16A1F63B" w:rsidR="00716EE3" w:rsidRDefault="00E70F9E" w:rsidP="00E70F9E">
      <w:r w:rsidRPr="00D621FE">
        <w:t xml:space="preserve">Work directly with the Victorian Cladding Taskforce and the </w:t>
      </w:r>
      <w:r>
        <w:t>VBA</w:t>
      </w:r>
      <w:r w:rsidRPr="00D621FE">
        <w:t xml:space="preserve"> to identify early childhood services with potential cladding issues. In conjunction with the VBA manage risks arising from audits or rectification works.</w:t>
      </w:r>
    </w:p>
    <w:p w14:paraId="17F8EB55" w14:textId="77777777" w:rsidR="00716EE3" w:rsidRDefault="00716EE3" w:rsidP="00716EE3">
      <w:pPr>
        <w:pStyle w:val="Heading3"/>
      </w:pPr>
      <w:r w:rsidRPr="001E2936">
        <w:t>Outcome</w:t>
      </w:r>
    </w:p>
    <w:p w14:paraId="26971861" w14:textId="77777777" w:rsidR="00E70F9E" w:rsidRDefault="00E70F9E" w:rsidP="00E70F9E">
      <w:r>
        <w:t>Safety and wellbeing of children is maintained</w:t>
      </w:r>
    </w:p>
    <w:p w14:paraId="2AB33C05" w14:textId="77777777" w:rsidR="00716EE3" w:rsidRDefault="00716EE3" w:rsidP="00716EE3">
      <w:pPr>
        <w:pStyle w:val="Heading3"/>
      </w:pPr>
      <w:r>
        <w:t>Measure</w:t>
      </w:r>
    </w:p>
    <w:p w14:paraId="3912595E" w14:textId="76D57235" w:rsidR="00716EE3" w:rsidRDefault="00BC5064" w:rsidP="00BC5064">
      <w:r>
        <w:t>The QARD regularly liaises with stakeholders to improve children’s safety.</w:t>
      </w:r>
    </w:p>
    <w:p w14:paraId="0FFB44EA" w14:textId="77777777" w:rsidR="00716EE3" w:rsidRDefault="00716EE3" w:rsidP="00716EE3">
      <w:pPr>
        <w:pStyle w:val="Heading3"/>
      </w:pPr>
      <w:r>
        <w:t>Result 2018-19</w:t>
      </w:r>
    </w:p>
    <w:p w14:paraId="437A7BBA" w14:textId="77777777" w:rsidR="00371AF8" w:rsidRDefault="00371AF8" w:rsidP="00371AF8">
      <w:r>
        <w:t>Acquittal</w:t>
      </w:r>
    </w:p>
    <w:p w14:paraId="358F8FB6" w14:textId="339EDB90" w:rsidR="00716EE3" w:rsidRDefault="00371AF8" w:rsidP="00371AF8">
      <w:r w:rsidRPr="002F4D92">
        <w:t>Completed joint project to identify early childhood services with potential cladding issues.</w:t>
      </w:r>
    </w:p>
    <w:p w14:paraId="5827B120" w14:textId="45BB53BF" w:rsidR="00716EE3" w:rsidRDefault="00716EE3" w:rsidP="00493973">
      <w:r>
        <w:t>Result 2019-20</w:t>
      </w:r>
    </w:p>
    <w:p w14:paraId="6C473C3C" w14:textId="77777777" w:rsidR="00716EE3" w:rsidRDefault="00716EE3" w:rsidP="00716EE3">
      <w:pPr>
        <w:pStyle w:val="Heading3"/>
      </w:pPr>
      <w:r>
        <w:t>Response Activity</w:t>
      </w:r>
    </w:p>
    <w:p w14:paraId="5BC694CC" w14:textId="17D15097" w:rsidR="00716EE3" w:rsidRDefault="00371AF8" w:rsidP="00493973">
      <w:r>
        <w:t>n/a</w:t>
      </w:r>
    </w:p>
    <w:p w14:paraId="393A33FB" w14:textId="77777777" w:rsidR="00716EE3" w:rsidRDefault="00716EE3" w:rsidP="00716EE3">
      <w:pPr>
        <w:pStyle w:val="Heading3"/>
      </w:pPr>
      <w:r>
        <w:t>Response Activity</w:t>
      </w:r>
    </w:p>
    <w:p w14:paraId="08E8F303" w14:textId="412774FF" w:rsidR="00716EE3" w:rsidRDefault="000339EB" w:rsidP="000339EB">
      <w:r w:rsidRPr="00F03874">
        <w:t xml:space="preserve">For 2019-20 inform the sector and respond to matters on to the </w:t>
      </w:r>
      <w:r>
        <w:t>RCS</w:t>
      </w:r>
      <w:r w:rsidRPr="00F03874">
        <w:t xml:space="preserve"> and </w:t>
      </w:r>
      <w:r>
        <w:t>CSS</w:t>
      </w:r>
      <w:r w:rsidRPr="00F03874">
        <w:t xml:space="preserve"> as required.</w:t>
      </w:r>
    </w:p>
    <w:p w14:paraId="6BBF70DC" w14:textId="77777777" w:rsidR="00716EE3" w:rsidRDefault="00716EE3" w:rsidP="00716EE3">
      <w:pPr>
        <w:pStyle w:val="Heading3"/>
      </w:pPr>
      <w:r w:rsidRPr="001E2936">
        <w:t>Outcome</w:t>
      </w:r>
    </w:p>
    <w:p w14:paraId="2A599FA9" w14:textId="3EF5D461" w:rsidR="00716EE3" w:rsidRDefault="000339EB" w:rsidP="000339EB">
      <w:r w:rsidRPr="003979A7">
        <w:t>Services understand and comply with child protection reforms</w:t>
      </w:r>
    </w:p>
    <w:p w14:paraId="4B4ED40F" w14:textId="77777777" w:rsidR="00716EE3" w:rsidRDefault="00716EE3" w:rsidP="00716EE3">
      <w:pPr>
        <w:pStyle w:val="Heading3"/>
      </w:pPr>
      <w:r>
        <w:t>Measure</w:t>
      </w:r>
    </w:p>
    <w:p w14:paraId="05FCAFEA" w14:textId="77777777" w:rsidR="000339EB" w:rsidRDefault="000339EB" w:rsidP="000339EB">
      <w:r>
        <w:t>The QARD regularly discusses policy implementation issues with CCYP and shares information about reporting obligations with the sector.</w:t>
      </w:r>
    </w:p>
    <w:p w14:paraId="2A2A3019" w14:textId="49F556CF" w:rsidR="00716EE3" w:rsidRDefault="000339EB" w:rsidP="000339EB">
      <w:r>
        <w:t>Acquittal only</w:t>
      </w:r>
    </w:p>
    <w:p w14:paraId="2F83F118" w14:textId="77777777" w:rsidR="00716EE3" w:rsidRDefault="00716EE3" w:rsidP="00716EE3">
      <w:pPr>
        <w:pStyle w:val="Heading3"/>
      </w:pPr>
      <w:r>
        <w:t>Result 2018-19</w:t>
      </w:r>
    </w:p>
    <w:p w14:paraId="73C50087" w14:textId="4FF8148D" w:rsidR="00716EE3" w:rsidRDefault="00812939" w:rsidP="00812939">
      <w:r>
        <w:t>n/a</w:t>
      </w:r>
    </w:p>
    <w:p w14:paraId="67B240F0" w14:textId="77777777" w:rsidR="00716EE3" w:rsidRDefault="00716EE3" w:rsidP="00716EE3">
      <w:pPr>
        <w:pStyle w:val="Heading3"/>
      </w:pPr>
      <w:r>
        <w:t>Result 2019-20</w:t>
      </w:r>
    </w:p>
    <w:p w14:paraId="364D88C5" w14:textId="77777777" w:rsidR="00812939" w:rsidRDefault="00812939" w:rsidP="00812939">
      <w:r>
        <w:t>Acquittal</w:t>
      </w:r>
    </w:p>
    <w:p w14:paraId="35A294FB" w14:textId="1833DCE0" w:rsidR="00716EE3" w:rsidRDefault="00812939" w:rsidP="00812939">
      <w:r>
        <w:t>Sector informed to be able to comply with the RCS and CSS through sector newsletters, forums and guidance available online.</w:t>
      </w:r>
    </w:p>
    <w:p w14:paraId="629F7E5D" w14:textId="1BBFAA14" w:rsidR="00716EE3" w:rsidRDefault="00716EE3" w:rsidP="00493973"/>
    <w:p w14:paraId="22EC7126" w14:textId="77777777" w:rsidR="00716EE3" w:rsidRDefault="00716EE3" w:rsidP="00493973"/>
    <w:p w14:paraId="1356085A" w14:textId="77777777" w:rsidR="00416C3F" w:rsidRDefault="00416C3F" w:rsidP="00416C3F"/>
    <w:p w14:paraId="668B29DA" w14:textId="77777777" w:rsidR="00416C3F" w:rsidRDefault="00416C3F" w:rsidP="00416C3F">
      <w:pPr>
        <w:sectPr w:rsidR="00416C3F" w:rsidSect="00812939">
          <w:pgSz w:w="11906" w:h="16838"/>
          <w:pgMar w:top="1440" w:right="1440" w:bottom="1440" w:left="1440" w:header="708" w:footer="708" w:gutter="0"/>
          <w:cols w:space="708"/>
          <w:docGrid w:linePitch="360"/>
        </w:sectPr>
      </w:pPr>
    </w:p>
    <w:p w14:paraId="03D18324" w14:textId="0FED962E" w:rsidR="00416C3F" w:rsidRDefault="00836EEF" w:rsidP="00416C3F">
      <w:pPr>
        <w:pStyle w:val="Heading2"/>
      </w:pPr>
      <w:bookmarkStart w:id="35" w:name="_Toc65051597"/>
      <w:r>
        <w:rPr>
          <w:caps w:val="0"/>
        </w:rPr>
        <w:t>KEY FINDINGS FOR STAKEHOLDER CONSULTATION AND ENGAGEMENT OF COMMUNICATIONS AND ENGAGEMENT</w:t>
      </w:r>
      <w:bookmarkEnd w:id="35"/>
    </w:p>
    <w:p w14:paraId="2FD9A0C7" w14:textId="77777777" w:rsidR="00836EEF" w:rsidRDefault="00836EEF" w:rsidP="00416C3F">
      <w:pPr>
        <w:pStyle w:val="Heading4"/>
      </w:pPr>
    </w:p>
    <w:p w14:paraId="17A0A19F" w14:textId="28A728EC" w:rsidR="00416C3F" w:rsidRPr="00FF6888" w:rsidRDefault="00416C3F" w:rsidP="00B969E0">
      <w:pPr>
        <w:pStyle w:val="Heading3"/>
      </w:pPr>
      <w:r w:rsidRPr="00FF6888">
        <w:t>Achievement of Minister’s expectations</w:t>
      </w:r>
    </w:p>
    <w:p w14:paraId="08650451" w14:textId="660CF228" w:rsidR="00416C3F" w:rsidRDefault="00416C3F" w:rsidP="0020352A">
      <w:r>
        <w:t xml:space="preserve">The </w:t>
      </w:r>
      <w:r w:rsidRPr="002542DE">
        <w:t xml:space="preserve">QARD applied best endeavours to meet the Minister’s expectation to </w:t>
      </w:r>
      <w:r>
        <w:t>deepen its engagement with stakeholders to improve regulatory outcomes</w:t>
      </w:r>
      <w:r w:rsidRPr="002542DE">
        <w:t xml:space="preserve">. </w:t>
      </w:r>
    </w:p>
    <w:p w14:paraId="19B2E78A" w14:textId="23EBC767" w:rsidR="00AE0393" w:rsidRPr="002542DE" w:rsidRDefault="00AE0393" w:rsidP="00B969E0">
      <w:r>
        <w:t xml:space="preserve">The QARD worked </w:t>
      </w:r>
      <w:r w:rsidR="0028142F">
        <w:t>in partnership</w:t>
      </w:r>
      <w:r>
        <w:t xml:space="preserve"> with </w:t>
      </w:r>
      <w:r w:rsidR="0028142F">
        <w:t xml:space="preserve">co-regulators </w:t>
      </w:r>
      <w:r>
        <w:t>to improve the oversight of family day care services</w:t>
      </w:r>
      <w:r w:rsidR="0028142F">
        <w:t xml:space="preserve">, including </w:t>
      </w:r>
      <w:r>
        <w:t xml:space="preserve">providing policy advice to a review of the National Law </w:t>
      </w:r>
      <w:r w:rsidR="008B6CDA">
        <w:t>and</w:t>
      </w:r>
      <w:r>
        <w:t xml:space="preserve"> </w:t>
      </w:r>
      <w:r w:rsidR="008B6CDA">
        <w:t>sharing information and best practice.</w:t>
      </w:r>
    </w:p>
    <w:p w14:paraId="55AE0124" w14:textId="0C919CA7" w:rsidR="008B6CDA" w:rsidRDefault="003D5193" w:rsidP="008B6CDA">
      <w:r>
        <w:t>S</w:t>
      </w:r>
      <w:r w:rsidR="008B6CDA">
        <w:t xml:space="preserve">takeholders </w:t>
      </w:r>
      <w:r>
        <w:t xml:space="preserve">were consulted </w:t>
      </w:r>
      <w:r w:rsidR="008B6CDA">
        <w:t xml:space="preserve">on </w:t>
      </w:r>
      <w:r>
        <w:t xml:space="preserve">the </w:t>
      </w:r>
      <w:r w:rsidR="008B6CDA">
        <w:t xml:space="preserve">future directions for the NQF and Victorian </w:t>
      </w:r>
      <w:r w:rsidR="007A30B4">
        <w:t>l</w:t>
      </w:r>
      <w:r w:rsidR="008B6CDA">
        <w:t>aw</w:t>
      </w:r>
      <w:r w:rsidR="00561B32">
        <w:t xml:space="preserve">. </w:t>
      </w:r>
      <w:r>
        <w:t>Reference groups and s</w:t>
      </w:r>
      <w:r w:rsidR="00561B32">
        <w:t>takeholder forums were established to develop partnerships across the sector</w:t>
      </w:r>
      <w:r w:rsidR="008B6CDA">
        <w:t xml:space="preserve">. </w:t>
      </w:r>
    </w:p>
    <w:p w14:paraId="30839D1D" w14:textId="49D7BBCE" w:rsidR="00F06A14" w:rsidRDefault="008B6CDA" w:rsidP="00AE0393">
      <w:bookmarkStart w:id="36" w:name="_Hlk38970602"/>
      <w:r>
        <w:t>The QARD w</w:t>
      </w:r>
      <w:r w:rsidR="00416C3F">
        <w:t xml:space="preserve">orked in partnership with </w:t>
      </w:r>
      <w:r w:rsidR="00AE0393">
        <w:t xml:space="preserve">co-regulators to streamline regulation and </w:t>
      </w:r>
      <w:r w:rsidR="0028142F">
        <w:t>promote</w:t>
      </w:r>
      <w:r w:rsidR="00F06A14">
        <w:t xml:space="preserve"> child safety, </w:t>
      </w:r>
      <w:r>
        <w:t xml:space="preserve">including </w:t>
      </w:r>
      <w:r w:rsidR="0028142F">
        <w:t xml:space="preserve">mitigating the risks of cladding in buildings and </w:t>
      </w:r>
      <w:r>
        <w:t xml:space="preserve">clarifying roles and responsibilities for the </w:t>
      </w:r>
      <w:r w:rsidR="00061F86">
        <w:t>RCS</w:t>
      </w:r>
      <w:r>
        <w:t xml:space="preserve"> and </w:t>
      </w:r>
      <w:r w:rsidR="00061F86">
        <w:t>CSS</w:t>
      </w:r>
      <w:r w:rsidR="00561B32">
        <w:t>.</w:t>
      </w:r>
      <w:r w:rsidR="00F06A14">
        <w:t xml:space="preserve"> </w:t>
      </w:r>
    </w:p>
    <w:bookmarkEnd w:id="36"/>
    <w:p w14:paraId="122204B5" w14:textId="41AA8C1D" w:rsidR="00416C3F" w:rsidRDefault="003D5193" w:rsidP="00B969E0">
      <w:r>
        <w:t>The sector was provided with comprehensive</w:t>
      </w:r>
      <w:r w:rsidR="00662C59">
        <w:t xml:space="preserve"> </w:t>
      </w:r>
      <w:r w:rsidR="008B6CDA">
        <w:t xml:space="preserve">compliance advice </w:t>
      </w:r>
      <w:r>
        <w:t xml:space="preserve">and information about </w:t>
      </w:r>
      <w:r w:rsidR="00AE0393">
        <w:t>regulatory issues through</w:t>
      </w:r>
      <w:r w:rsidR="0092747C">
        <w:t xml:space="preserve"> additional</w:t>
      </w:r>
      <w:r w:rsidR="00AE0393">
        <w:t xml:space="preserve"> newsletters. </w:t>
      </w:r>
    </w:p>
    <w:p w14:paraId="392C2139" w14:textId="77777777" w:rsidR="00416C3F" w:rsidRPr="000326FB" w:rsidRDefault="00416C3F" w:rsidP="00B969E0">
      <w:pPr>
        <w:pStyle w:val="Heading3"/>
      </w:pPr>
      <w:r w:rsidRPr="000326FB">
        <w:t xml:space="preserve">Achievement of standards set out in the </w:t>
      </w:r>
      <w:r>
        <w:t>SOE</w:t>
      </w:r>
      <w:r w:rsidRPr="000326FB">
        <w:t xml:space="preserve"> Framework </w:t>
      </w:r>
    </w:p>
    <w:p w14:paraId="6D036D3C" w14:textId="47E0F34B" w:rsidR="00416C3F" w:rsidRDefault="00416C3F" w:rsidP="0028142F">
      <w:r>
        <w:t xml:space="preserve">The </w:t>
      </w:r>
      <w:r w:rsidRPr="000326FB">
        <w:t xml:space="preserve">QARD met all minimum </w:t>
      </w:r>
      <w:r w:rsidR="0028142F">
        <w:t xml:space="preserve">and best practice </w:t>
      </w:r>
      <w:r w:rsidRPr="000326FB">
        <w:t xml:space="preserve">standards of the </w:t>
      </w:r>
      <w:r>
        <w:t>SOE Framework</w:t>
      </w:r>
      <w:r w:rsidR="0028142F">
        <w:t>.</w:t>
      </w:r>
    </w:p>
    <w:p w14:paraId="22DD06E4" w14:textId="569DF5DD" w:rsidR="00416C3F" w:rsidRDefault="00416C3F" w:rsidP="00B969E0">
      <w:r>
        <w:t>Stakeholders had opportunities to provide feedback</w:t>
      </w:r>
      <w:r w:rsidR="00662C59">
        <w:t xml:space="preserve"> and advice on regulatory design</w:t>
      </w:r>
      <w:r>
        <w:t xml:space="preserve">, including through </w:t>
      </w:r>
      <w:r w:rsidR="00662C59">
        <w:t xml:space="preserve">consultations on legislative amendments, </w:t>
      </w:r>
      <w:r>
        <w:t xml:space="preserve">the Stakeholder Satisfaction Survey, complaints process, the </w:t>
      </w:r>
      <w:r w:rsidR="002706AF">
        <w:t xml:space="preserve">QARD </w:t>
      </w:r>
      <w:r>
        <w:t>website and phone line.</w:t>
      </w:r>
      <w:r w:rsidR="00662C59">
        <w:t xml:space="preserve"> The QARD p</w:t>
      </w:r>
      <w:r>
        <w:t xml:space="preserve">rovided feedback to stakeholders on </w:t>
      </w:r>
      <w:r w:rsidR="00662C59">
        <w:t xml:space="preserve">the outcome of </w:t>
      </w:r>
      <w:r>
        <w:t xml:space="preserve">consultations, through its website and newsletters, including links to ACECQA consultation reports on </w:t>
      </w:r>
      <w:r w:rsidR="007A30B4">
        <w:t xml:space="preserve">the </w:t>
      </w:r>
      <w:r>
        <w:t xml:space="preserve">NQF. </w:t>
      </w:r>
    </w:p>
    <w:p w14:paraId="7F7F76E4" w14:textId="258F6087" w:rsidR="00662C59" w:rsidRPr="00B32B1E" w:rsidRDefault="00662C59" w:rsidP="00662C59">
      <w:r>
        <w:t>The QARD supported</w:t>
      </w:r>
      <w:r w:rsidRPr="00531172">
        <w:t xml:space="preserve"> change management </w:t>
      </w:r>
      <w:r>
        <w:t>by</w:t>
      </w:r>
      <w:r w:rsidRPr="00531172">
        <w:t xml:space="preserve"> </w:t>
      </w:r>
      <w:r>
        <w:t xml:space="preserve">providing support, including resources and training on </w:t>
      </w:r>
      <w:r w:rsidR="007A30B4">
        <w:t xml:space="preserve">the </w:t>
      </w:r>
      <w:r w:rsidR="00061F86">
        <w:t>CSS</w:t>
      </w:r>
      <w:r w:rsidRPr="00531172">
        <w:t xml:space="preserve"> and </w:t>
      </w:r>
      <w:r w:rsidR="00061F86">
        <w:t>RCS</w:t>
      </w:r>
      <w:r w:rsidRPr="00531172">
        <w:t>.</w:t>
      </w:r>
      <w:r>
        <w:t xml:space="preserve">  </w:t>
      </w:r>
    </w:p>
    <w:p w14:paraId="4530B708" w14:textId="77777777" w:rsidR="00416C3F" w:rsidRPr="001E1C08" w:rsidRDefault="00416C3F" w:rsidP="00B969E0">
      <w:pPr>
        <w:pStyle w:val="Heading3"/>
      </w:pPr>
      <w:r w:rsidRPr="001E1C08">
        <w:t>Overall comment</w:t>
      </w:r>
    </w:p>
    <w:p w14:paraId="78EA78E8" w14:textId="63596C7E" w:rsidR="00416C3F" w:rsidRDefault="00416C3F" w:rsidP="00B969E0">
      <w:r>
        <w:t xml:space="preserve">The </w:t>
      </w:r>
      <w:r w:rsidRPr="001E1C08">
        <w:t xml:space="preserve">QARD performed strongly in following </w:t>
      </w:r>
      <w:r w:rsidR="006C75E4">
        <w:t>its</w:t>
      </w:r>
      <w:r w:rsidRPr="001E1C08">
        <w:t xml:space="preserve"> stakeholder consultation and engagement strategy, by </w:t>
      </w:r>
      <w:r>
        <w:t>providing meaningful opportunities for stakeholders to contribute to regulatory policy and practice</w:t>
      </w:r>
      <w:r w:rsidR="00326A96">
        <w:t>, including for the changes to Victorian law</w:t>
      </w:r>
      <w:r>
        <w:t xml:space="preserve">. </w:t>
      </w:r>
      <w:r w:rsidR="000F4725">
        <w:t xml:space="preserve">A key ongoing risk for the QARD was addressing compliance issues associated with the family day care sector. The QARD worked closely with co-regulators to </w:t>
      </w:r>
      <w:r w:rsidR="00976382">
        <w:t xml:space="preserve">share information and best practice for mitigating and responding to risks. </w:t>
      </w:r>
      <w:r w:rsidR="00662C59">
        <w:t>Engagement with stakeholders</w:t>
      </w:r>
      <w:r w:rsidR="0028142F" w:rsidRPr="00241F93">
        <w:t xml:space="preserve"> improved design of regulatory processes. </w:t>
      </w:r>
      <w:r w:rsidRPr="001E1C08">
        <w:t>This approach has increased</w:t>
      </w:r>
      <w:r w:rsidR="006C75E4">
        <w:t xml:space="preserve"> the</w:t>
      </w:r>
      <w:r w:rsidRPr="001E1C08">
        <w:t xml:space="preserve"> efficiency of regulation as </w:t>
      </w:r>
      <w:r>
        <w:t xml:space="preserve">the sector is </w:t>
      </w:r>
      <w:r w:rsidR="006C75E4">
        <w:t xml:space="preserve">better </w:t>
      </w:r>
      <w:r>
        <w:t>aligned with the regulator’s agenda</w:t>
      </w:r>
      <w:r w:rsidRPr="001E1C08">
        <w:t>.</w:t>
      </w:r>
    </w:p>
    <w:p w14:paraId="562D55AA" w14:textId="77777777" w:rsidR="00416C3F" w:rsidRDefault="00416C3F" w:rsidP="00416C3F">
      <w:pPr>
        <w:sectPr w:rsidR="00416C3F" w:rsidSect="002E2AE4">
          <w:pgSz w:w="11906" w:h="16838"/>
          <w:pgMar w:top="1440" w:right="1440" w:bottom="1440" w:left="1440" w:header="708" w:footer="708" w:gutter="0"/>
          <w:cols w:space="708"/>
          <w:docGrid w:linePitch="360"/>
        </w:sectPr>
      </w:pPr>
    </w:p>
    <w:p w14:paraId="243C3E7D" w14:textId="77777777" w:rsidR="00416C3F" w:rsidRPr="00CE56DF" w:rsidRDefault="00416C3F" w:rsidP="00416C3F">
      <w:pPr>
        <w:pStyle w:val="Heading1"/>
        <w:numPr>
          <w:ilvl w:val="0"/>
          <w:numId w:val="1"/>
        </w:numPr>
        <w:rPr>
          <w:caps w:val="0"/>
        </w:rPr>
      </w:pPr>
      <w:bookmarkStart w:id="37" w:name="_Toc43913613"/>
      <w:bookmarkStart w:id="38" w:name="_Toc65051598"/>
      <w:r w:rsidRPr="00CE56DF">
        <w:rPr>
          <w:caps w:val="0"/>
        </w:rPr>
        <w:t>PROCESS EVALUATION</w:t>
      </w:r>
      <w:bookmarkEnd w:id="37"/>
      <w:bookmarkEnd w:id="38"/>
    </w:p>
    <w:p w14:paraId="3636122F" w14:textId="77777777" w:rsidR="00416C3F" w:rsidRDefault="00416C3F" w:rsidP="00416C3F">
      <w:pPr>
        <w:pStyle w:val="Intro"/>
      </w:pPr>
    </w:p>
    <w:p w14:paraId="53646792" w14:textId="0DB841C3" w:rsidR="00416C3F" w:rsidRDefault="00836EEF" w:rsidP="00416C3F">
      <w:pPr>
        <w:pStyle w:val="Heading2"/>
      </w:pPr>
      <w:bookmarkStart w:id="39" w:name="_Toc38349032"/>
      <w:bookmarkStart w:id="40" w:name="_Toc38349297"/>
      <w:bookmarkStart w:id="41" w:name="_Toc38544600"/>
      <w:bookmarkStart w:id="42" w:name="_Toc65051599"/>
      <w:r>
        <w:rPr>
          <w:caps w:val="0"/>
        </w:rPr>
        <w:t xml:space="preserve">SOE DEVELOPMENT – </w:t>
      </w:r>
      <w:r w:rsidRPr="004E525B">
        <w:rPr>
          <w:caps w:val="0"/>
        </w:rPr>
        <w:t>SUMMARY</w:t>
      </w:r>
      <w:r>
        <w:rPr>
          <w:caps w:val="0"/>
        </w:rPr>
        <w:t xml:space="preserve"> OF FINDINGS</w:t>
      </w:r>
      <w:bookmarkEnd w:id="39"/>
      <w:bookmarkEnd w:id="40"/>
      <w:bookmarkEnd w:id="41"/>
      <w:bookmarkEnd w:id="42"/>
    </w:p>
    <w:p w14:paraId="4DE6255A" w14:textId="77777777" w:rsidR="00416C3F" w:rsidRDefault="00416C3F" w:rsidP="00416C3F">
      <w:r>
        <w:t>The Process Evaluation reviews the process followed to develop the SOE.</w:t>
      </w:r>
    </w:p>
    <w:p w14:paraId="1133DB52" w14:textId="4CF3C552" w:rsidR="00416C3F" w:rsidRDefault="00416C3F" w:rsidP="00416C3F">
      <w:r>
        <w:t xml:space="preserve">The SOE Framework sets out four key steps in the process for developing the SOE letter. </w:t>
      </w:r>
      <w:r w:rsidR="003F51CC">
        <w:t xml:space="preserve">The </w:t>
      </w:r>
      <w:r>
        <w:t>QARD and the Department’s progress in fulfilling these steps are outlined below:</w:t>
      </w:r>
    </w:p>
    <w:p w14:paraId="7099E305" w14:textId="77777777" w:rsidR="00255A13" w:rsidRDefault="00255A13" w:rsidP="00255A13">
      <w:pPr>
        <w:pStyle w:val="Heading3"/>
      </w:pPr>
      <w:r>
        <w:t>SOE Development</w:t>
      </w:r>
    </w:p>
    <w:p w14:paraId="3EE5ABDD" w14:textId="1FD94446" w:rsidR="00255A13" w:rsidRDefault="00255A13" w:rsidP="00416C3F">
      <w:r w:rsidRPr="00577C00">
        <w:t>Identification of key elements of good regulatory practice</w:t>
      </w:r>
    </w:p>
    <w:p w14:paraId="0D687965" w14:textId="5F394FA1" w:rsidR="00255A13" w:rsidRDefault="00255A13" w:rsidP="00255A13">
      <w:pPr>
        <w:pStyle w:val="Heading3"/>
      </w:pPr>
      <w:r>
        <w:t>Progress 2018-20</w:t>
      </w:r>
    </w:p>
    <w:p w14:paraId="2282B255" w14:textId="5A6D507B" w:rsidR="00255A13" w:rsidRDefault="00255A13" w:rsidP="00416C3F">
      <w:r>
        <w:t>The QARD identified five elements of good regulatory practice under the SOE Framework (risk-based strategies, compliance related assistance and advice, timeliness, accountability and transparency and stakeholder consultation and engagement) that covered both SOEs</w:t>
      </w:r>
    </w:p>
    <w:p w14:paraId="72B4601E" w14:textId="77777777" w:rsidR="00255A13" w:rsidRDefault="00255A13" w:rsidP="00255A13">
      <w:pPr>
        <w:pStyle w:val="Heading3"/>
      </w:pPr>
      <w:r>
        <w:t>SOE Development</w:t>
      </w:r>
    </w:p>
    <w:p w14:paraId="46FF6615" w14:textId="7C7BDDF9" w:rsidR="00255A13" w:rsidRDefault="00255A13" w:rsidP="00416C3F">
      <w:r w:rsidRPr="00577C00">
        <w:t>A self-assessment against the elements of good regulatory practice being undertaken for each regulator in order to establish a ‘baseline’ of current performance</w:t>
      </w:r>
    </w:p>
    <w:p w14:paraId="2308FBC6" w14:textId="77777777" w:rsidR="00255A13" w:rsidRDefault="00255A13" w:rsidP="00255A13">
      <w:pPr>
        <w:pStyle w:val="Heading3"/>
      </w:pPr>
      <w:r>
        <w:t>Progress 2018-20</w:t>
      </w:r>
    </w:p>
    <w:p w14:paraId="3E898D6C" w14:textId="77777777" w:rsidR="00255A13" w:rsidRPr="0079131E" w:rsidRDefault="00255A13" w:rsidP="00255A13">
      <w:pPr>
        <w:rPr>
          <w:rFonts w:cs="Arial"/>
        </w:rPr>
      </w:pPr>
      <w:r>
        <w:t>The QARD undertook self-assessment against the elements of good regulatory practice in 2018 that covered both SOEs</w:t>
      </w:r>
    </w:p>
    <w:p w14:paraId="1AFFBEA1" w14:textId="77777777" w:rsidR="00255A13" w:rsidRDefault="00255A13" w:rsidP="00255A13">
      <w:pPr>
        <w:pStyle w:val="Heading3"/>
      </w:pPr>
      <w:r>
        <w:t>SOE Development</w:t>
      </w:r>
    </w:p>
    <w:p w14:paraId="36FF90BE" w14:textId="14B31677" w:rsidR="00255A13" w:rsidRDefault="00255A13" w:rsidP="00416C3F">
      <w:r w:rsidRPr="00577C00">
        <w:t xml:space="preserve">A </w:t>
      </w:r>
      <w:r>
        <w:t>GRPP</w:t>
      </w:r>
      <w:r w:rsidRPr="00577C00">
        <w:t xml:space="preserve"> being developed for each regulator, focusing on elements identified in the self-assessment as having the greatest opportunity for improvement</w:t>
      </w:r>
    </w:p>
    <w:p w14:paraId="2A62D739" w14:textId="77777777" w:rsidR="00255A13" w:rsidRDefault="00255A13" w:rsidP="00255A13">
      <w:pPr>
        <w:pStyle w:val="Heading3"/>
      </w:pPr>
      <w:r>
        <w:t>Progress 2018-20</w:t>
      </w:r>
    </w:p>
    <w:p w14:paraId="3E907CD7" w14:textId="77777777" w:rsidR="00255A13" w:rsidRDefault="00255A13" w:rsidP="00255A13">
      <w:r>
        <w:t>The QARD developed a GRPP that outlined opportunities for improvements that covered both SOEs</w:t>
      </w:r>
    </w:p>
    <w:p w14:paraId="7BF0C91D" w14:textId="77777777" w:rsidR="00255A13" w:rsidRDefault="00255A13" w:rsidP="00255A13">
      <w:pPr>
        <w:pStyle w:val="Heading3"/>
      </w:pPr>
      <w:r>
        <w:t>SOE Development</w:t>
      </w:r>
    </w:p>
    <w:p w14:paraId="33E025D2" w14:textId="74B9A664" w:rsidR="00255A13" w:rsidRDefault="00255A13" w:rsidP="00416C3F">
      <w:r w:rsidRPr="00577C00">
        <w:t xml:space="preserve">A Ministerial SOE </w:t>
      </w:r>
      <w:r>
        <w:t xml:space="preserve">Letter </w:t>
      </w:r>
      <w:r w:rsidRPr="00577C00">
        <w:t xml:space="preserve">being issued to </w:t>
      </w:r>
      <w:r>
        <w:t>the</w:t>
      </w:r>
      <w:r w:rsidRPr="00577C00">
        <w:t xml:space="preserve"> regulator, taking into account </w:t>
      </w:r>
      <w:r>
        <w:t>the</w:t>
      </w:r>
      <w:r w:rsidRPr="00577C00">
        <w:t xml:space="preserve"> regulator’s </w:t>
      </w:r>
      <w:r>
        <w:t>GRPP</w:t>
      </w:r>
    </w:p>
    <w:p w14:paraId="487828BB" w14:textId="212A8468" w:rsidR="00255A13" w:rsidRDefault="00255A13" w:rsidP="00255A13">
      <w:pPr>
        <w:pStyle w:val="Heading3"/>
      </w:pPr>
      <w:r>
        <w:t>Progress 2018-19</w:t>
      </w:r>
    </w:p>
    <w:p w14:paraId="46BBFF0D" w14:textId="306328EC" w:rsidR="00255A13" w:rsidRDefault="00255A13" w:rsidP="00416C3F">
      <w:r>
        <w:t>Ministerial SOE Letter was developed by the Department and issued on 28 June 2018</w:t>
      </w:r>
    </w:p>
    <w:p w14:paraId="566AFBD2" w14:textId="62E7881F" w:rsidR="00255A13" w:rsidRDefault="00255A13" w:rsidP="00255A13">
      <w:pPr>
        <w:pStyle w:val="Heading3"/>
      </w:pPr>
      <w:r>
        <w:t>Progress 2019-20</w:t>
      </w:r>
    </w:p>
    <w:p w14:paraId="5E25423D" w14:textId="6313DD9E" w:rsidR="00255A13" w:rsidRDefault="00255A13" w:rsidP="00416C3F">
      <w:r>
        <w:t>Ministerial SOE Letter was developed by the Department and issued on 13 August 2019</w:t>
      </w:r>
    </w:p>
    <w:p w14:paraId="79E6D88E" w14:textId="77777777" w:rsidR="00416C3F" w:rsidRDefault="00416C3F" w:rsidP="00416C3F">
      <w:pPr>
        <w:pStyle w:val="Heading3"/>
      </w:pPr>
      <w:r>
        <w:t>Key findings</w:t>
      </w:r>
    </w:p>
    <w:p w14:paraId="280EAD6F" w14:textId="2B4ECA97" w:rsidR="00416C3F" w:rsidRDefault="00662C59" w:rsidP="00416C3F">
      <w:pPr>
        <w:pStyle w:val="Bullet1"/>
      </w:pPr>
      <w:r>
        <w:t xml:space="preserve">The full </w:t>
      </w:r>
      <w:r w:rsidR="00353711">
        <w:t>SOE process was</w:t>
      </w:r>
      <w:r>
        <w:t xml:space="preserve"> not completed for SOE 2019-20</w:t>
      </w:r>
      <w:r w:rsidR="00353711">
        <w:t>. The SOE 2018-19 was rolled over</w:t>
      </w:r>
      <w:r>
        <w:t xml:space="preserve"> </w:t>
      </w:r>
      <w:r w:rsidR="00353711">
        <w:t xml:space="preserve">and </w:t>
      </w:r>
      <w:r>
        <w:t xml:space="preserve">therefore the </w:t>
      </w:r>
      <w:r w:rsidR="00416C3F">
        <w:t>full process of self-assessment and planning through the GRPP was not</w:t>
      </w:r>
      <w:r>
        <w:t xml:space="preserve"> required for 2019-20.</w:t>
      </w:r>
      <w:r w:rsidR="00416C3F">
        <w:t xml:space="preserve"> </w:t>
      </w:r>
    </w:p>
    <w:p w14:paraId="562039E3" w14:textId="4B36DBA3" w:rsidR="00416C3F" w:rsidRDefault="00662C59" w:rsidP="00416C3F">
      <w:pPr>
        <w:pStyle w:val="Bullet1"/>
      </w:pPr>
      <w:r>
        <w:t>The SOE was issued for one year</w:t>
      </w:r>
      <w:r w:rsidR="00416C3F">
        <w:t xml:space="preserve"> due to uncertainty from </w:t>
      </w:r>
      <w:r w:rsidR="00416C3F" w:rsidRPr="00047A20">
        <w:t xml:space="preserve">the Commonwealth Government’s decision to discontinue funding </w:t>
      </w:r>
      <w:r w:rsidR="007A30B4">
        <w:t xml:space="preserve">the </w:t>
      </w:r>
      <w:r w:rsidR="00416C3F">
        <w:t>QARD</w:t>
      </w:r>
      <w:r w:rsidR="007F6D79">
        <w:t xml:space="preserve"> </w:t>
      </w:r>
      <w:r w:rsidR="007F6D79" w:rsidRPr="00047A20">
        <w:t>in its 2018-19 budget</w:t>
      </w:r>
      <w:r w:rsidR="00416C3F" w:rsidRPr="00047A20">
        <w:t>.</w:t>
      </w:r>
      <w:r w:rsidR="00416C3F">
        <w:t xml:space="preserve"> Budget constraints impacted on </w:t>
      </w:r>
      <w:r w:rsidR="007A30B4">
        <w:t xml:space="preserve">the </w:t>
      </w:r>
      <w:r w:rsidR="00416C3F">
        <w:t xml:space="preserve">QARD’s ability to implement the SOE over the last two years. </w:t>
      </w:r>
    </w:p>
    <w:p w14:paraId="2D59AD01" w14:textId="2734498C" w:rsidR="00416C3F" w:rsidRDefault="00416C3F" w:rsidP="00416C3F">
      <w:pPr>
        <w:pStyle w:val="Bullet1"/>
      </w:pPr>
      <w:r>
        <w:t xml:space="preserve">SOE Ministerial </w:t>
      </w:r>
      <w:r w:rsidR="005A7C43">
        <w:t>L</w:t>
      </w:r>
      <w:r>
        <w:t>etter was clear and understood by the regulator.</w:t>
      </w:r>
    </w:p>
    <w:p w14:paraId="5D8B1B70" w14:textId="77777777" w:rsidR="00E602C4" w:rsidRDefault="00E602C4">
      <w:pPr>
        <w:pStyle w:val="Heading2"/>
        <w:rPr>
          <w:caps w:val="0"/>
        </w:rPr>
        <w:sectPr w:rsidR="00E602C4">
          <w:pgSz w:w="11906" w:h="16838"/>
          <w:pgMar w:top="1440" w:right="1440" w:bottom="1440" w:left="1440" w:header="708" w:footer="708" w:gutter="0"/>
          <w:cols w:space="708"/>
          <w:docGrid w:linePitch="360"/>
        </w:sectPr>
      </w:pPr>
      <w:bookmarkStart w:id="43" w:name="_Toc38544601"/>
    </w:p>
    <w:p w14:paraId="4073AB9D" w14:textId="2A2B633E" w:rsidR="00416C3F" w:rsidRPr="00836EEF" w:rsidRDefault="00836EEF">
      <w:pPr>
        <w:pStyle w:val="Heading2"/>
      </w:pPr>
      <w:bookmarkStart w:id="44" w:name="_Toc65051600"/>
      <w:r w:rsidRPr="00836EEF">
        <w:rPr>
          <w:caps w:val="0"/>
        </w:rPr>
        <w:t>SOE IMPLEMENTATION – SUMMARY OF FINDINGS</w:t>
      </w:r>
      <w:bookmarkEnd w:id="43"/>
      <w:bookmarkEnd w:id="44"/>
    </w:p>
    <w:p w14:paraId="308B81AC" w14:textId="7FEBC1C5" w:rsidR="00416C3F" w:rsidRDefault="00416C3F" w:rsidP="00416C3F">
      <w:r>
        <w:t>The Process Evaluation reviews the implementation of the SOE, including if the activities were undertaken as planned, and if the regulator delivered its response on time and within budget. The SOE Framework sets out three key steps in the process for implementing the SOE. The QARD and the Department’s progress in fulfilling these steps are outlined below:</w:t>
      </w:r>
    </w:p>
    <w:p w14:paraId="1275AE80" w14:textId="68216B5E" w:rsidR="00892FF5" w:rsidRDefault="00892FF5" w:rsidP="00892FF5">
      <w:pPr>
        <w:pStyle w:val="Heading3"/>
      </w:pPr>
      <w:r>
        <w:t>SOE Implementation</w:t>
      </w:r>
    </w:p>
    <w:p w14:paraId="6520DE59" w14:textId="7B394581" w:rsidR="00892FF5" w:rsidRDefault="00892FF5" w:rsidP="00416C3F">
      <w:r>
        <w:t>SOE Response</w:t>
      </w:r>
    </w:p>
    <w:p w14:paraId="238DA61B" w14:textId="06BBAF18" w:rsidR="00892FF5" w:rsidRDefault="00892FF5" w:rsidP="00892FF5">
      <w:pPr>
        <w:pStyle w:val="Heading3"/>
      </w:pPr>
      <w:r>
        <w:t>Progress 2018-19</w:t>
      </w:r>
    </w:p>
    <w:p w14:paraId="6938D24F" w14:textId="15EE3C98" w:rsidR="00892FF5" w:rsidRDefault="00892FF5" w:rsidP="00416C3F">
      <w:r>
        <w:t>SOE Response was delivered to the Minister from the Department (on behalf of the QARD) on 16 July 2018</w:t>
      </w:r>
    </w:p>
    <w:p w14:paraId="5CB4AC39" w14:textId="0F57F3F6" w:rsidR="00892FF5" w:rsidRDefault="00892FF5" w:rsidP="00892FF5">
      <w:pPr>
        <w:pStyle w:val="Heading3"/>
      </w:pPr>
      <w:r>
        <w:t>Progress 2019-20</w:t>
      </w:r>
    </w:p>
    <w:p w14:paraId="3C36D1D9" w14:textId="654836C5" w:rsidR="00892FF5" w:rsidRDefault="00892FF5" w:rsidP="00416C3F">
      <w:r>
        <w:t>SOE Response was delivered to the Minister from the Department (on behalf of the QARD) on 26 September 2019</w:t>
      </w:r>
    </w:p>
    <w:p w14:paraId="66656636" w14:textId="330B3BDC" w:rsidR="00892FF5" w:rsidRDefault="00892FF5" w:rsidP="00892FF5">
      <w:pPr>
        <w:pStyle w:val="Heading3"/>
      </w:pPr>
      <w:r>
        <w:t xml:space="preserve">SOE Implementation </w:t>
      </w:r>
    </w:p>
    <w:p w14:paraId="510431B3" w14:textId="51063ADF" w:rsidR="00892FF5" w:rsidRDefault="00892FF5" w:rsidP="00416C3F">
      <w:r>
        <w:t>Evaluation Plan</w:t>
      </w:r>
    </w:p>
    <w:p w14:paraId="212F38F5" w14:textId="10D18FC3" w:rsidR="00892FF5" w:rsidRDefault="00892FF5" w:rsidP="00892FF5">
      <w:pPr>
        <w:pStyle w:val="Heading3"/>
      </w:pPr>
      <w:r>
        <w:t>Progress 2018-20</w:t>
      </w:r>
    </w:p>
    <w:p w14:paraId="6164F65F" w14:textId="28E0C9C4" w:rsidR="00892FF5" w:rsidRDefault="00892FF5" w:rsidP="00416C3F">
      <w:r>
        <w:t>A combined Evaluation Plan was developed by the Department in consultation with the QARD after the SOE letter and response was published (in September 2019), to cover both SOEs</w:t>
      </w:r>
    </w:p>
    <w:p w14:paraId="32C8EFA7" w14:textId="77777777" w:rsidR="00892FF5" w:rsidRDefault="00892FF5" w:rsidP="00892FF5">
      <w:pPr>
        <w:pStyle w:val="Heading3"/>
      </w:pPr>
      <w:r>
        <w:t xml:space="preserve">SOE Implementation </w:t>
      </w:r>
    </w:p>
    <w:p w14:paraId="619EA4D2" w14:textId="3B4EA07D" w:rsidR="00892FF5" w:rsidRDefault="00892FF5" w:rsidP="00892FF5">
      <w:r>
        <w:t>Evaluation Report</w:t>
      </w:r>
    </w:p>
    <w:p w14:paraId="1E25ED40" w14:textId="77777777" w:rsidR="00892FF5" w:rsidRDefault="00892FF5" w:rsidP="00892FF5">
      <w:pPr>
        <w:pStyle w:val="Heading3"/>
      </w:pPr>
      <w:r>
        <w:t>Progress 2018-20</w:t>
      </w:r>
    </w:p>
    <w:p w14:paraId="3E648ED9" w14:textId="27A696D9" w:rsidR="00892FF5" w:rsidRDefault="00892FF5" w:rsidP="00416C3F">
      <w:r>
        <w:rPr>
          <w:rFonts w:cs="Arial"/>
        </w:rPr>
        <w:t>It was agreed that there would be one Evaluation Report to cover both SOEs, evaluating the period from 1 July 2018 - 31 December 2019</w:t>
      </w:r>
    </w:p>
    <w:p w14:paraId="713FAC0A" w14:textId="77777777" w:rsidR="00416C3F" w:rsidRDefault="00416C3F" w:rsidP="00416C3F">
      <w:pPr>
        <w:pStyle w:val="Heading3"/>
      </w:pPr>
      <w:r>
        <w:t>Key findings</w:t>
      </w:r>
    </w:p>
    <w:p w14:paraId="32B7F1B9" w14:textId="293ECF02" w:rsidR="00416C3F" w:rsidRDefault="00416C3F" w:rsidP="00416C3F">
      <w:pPr>
        <w:pStyle w:val="Bullet1"/>
      </w:pPr>
      <w:r>
        <w:t>In general, the activities outlined in the SOE Response were undertaken as planned</w:t>
      </w:r>
      <w:r w:rsidR="006526A3">
        <w:t>. B</w:t>
      </w:r>
      <w:r>
        <w:t xml:space="preserve">udget constraints </w:t>
      </w:r>
      <w:r w:rsidR="006526A3">
        <w:t xml:space="preserve">affected </w:t>
      </w:r>
      <w:r>
        <w:t xml:space="preserve">a small number of activities that were not able to be completed within the timeframe. </w:t>
      </w:r>
    </w:p>
    <w:p w14:paraId="55C103DF" w14:textId="16571030" w:rsidR="00416C3F" w:rsidRDefault="00416C3F" w:rsidP="00416C3F">
      <w:pPr>
        <w:pStyle w:val="Bullet1"/>
      </w:pPr>
      <w:r>
        <w:t xml:space="preserve">The SOE for both years was generally developed around business-as-usual activities that did not require additional action or continuous improvement. </w:t>
      </w:r>
    </w:p>
    <w:p w14:paraId="68BE6EA8" w14:textId="77777777" w:rsidR="00416C3F" w:rsidRPr="00CB5AF4" w:rsidRDefault="00416C3F" w:rsidP="00416C3F">
      <w:pPr>
        <w:pStyle w:val="Bullet1"/>
      </w:pPr>
      <w:r>
        <w:t xml:space="preserve">The annual reporting requirements were largely met and the process for implementation followed best practice. SOE activities were integrated into the QARD’s Business Plan, which facilitated the implementation of the SOE.   </w:t>
      </w:r>
    </w:p>
    <w:p w14:paraId="6CA80B67" w14:textId="4B15718C" w:rsidR="00416C3F" w:rsidRPr="002844F1" w:rsidRDefault="00416C3F" w:rsidP="00416C3F">
      <w:pPr>
        <w:pStyle w:val="Bullet1"/>
      </w:pPr>
      <w:r>
        <w:t>The Evaluation Plan was developed after the SOE letter and SOE Response, and data collection and performance measures were not adequately considered. Some of the measures that were created in retrospect were output-focused, rather than outcome-focused, and were not strong indicat</w:t>
      </w:r>
      <w:r w:rsidR="00272597">
        <w:t>ors</w:t>
      </w:r>
      <w:r>
        <w:t xml:space="preserve"> of the QARD’s performance. </w:t>
      </w:r>
    </w:p>
    <w:p w14:paraId="05CA6F99" w14:textId="77777777" w:rsidR="00416C3F" w:rsidRPr="00EF0A8B" w:rsidRDefault="00416C3F" w:rsidP="00416C3F">
      <w:pPr>
        <w:pStyle w:val="Bullet1"/>
        <w:sectPr w:rsidR="00416C3F" w:rsidRPr="00EF0A8B">
          <w:pgSz w:w="11906" w:h="16838"/>
          <w:pgMar w:top="1440" w:right="1440" w:bottom="1440" w:left="1440" w:header="708" w:footer="708" w:gutter="0"/>
          <w:cols w:space="708"/>
          <w:docGrid w:linePitch="360"/>
        </w:sectPr>
      </w:pPr>
    </w:p>
    <w:p w14:paraId="64E1E700" w14:textId="4D78AA01" w:rsidR="00416C3F" w:rsidRPr="00CE56DF" w:rsidRDefault="00836EEF" w:rsidP="00416C3F">
      <w:pPr>
        <w:pStyle w:val="Heading1"/>
        <w:numPr>
          <w:ilvl w:val="0"/>
          <w:numId w:val="1"/>
        </w:numPr>
        <w:rPr>
          <w:caps w:val="0"/>
        </w:rPr>
      </w:pPr>
      <w:bookmarkStart w:id="45" w:name="_Toc43913615"/>
      <w:bookmarkStart w:id="46" w:name="_Toc65051601"/>
      <w:r w:rsidRPr="00CE56DF">
        <w:rPr>
          <w:caps w:val="0"/>
        </w:rPr>
        <w:t>REFERENCES</w:t>
      </w:r>
      <w:bookmarkEnd w:id="45"/>
      <w:bookmarkEnd w:id="46"/>
    </w:p>
    <w:p w14:paraId="4967DC37" w14:textId="77777777" w:rsidR="00416C3F" w:rsidRDefault="00416C3F" w:rsidP="00416C3F">
      <w:pPr>
        <w:pStyle w:val="Bullet1"/>
      </w:pPr>
      <w:r>
        <w:t xml:space="preserve">Department of Education and Training Quality Assessment and Regulation Division website. 2020, [online] Available at: </w:t>
      </w:r>
      <w:hyperlink r:id="rId24" w:history="1">
        <w:r w:rsidRPr="000B5534">
          <w:rPr>
            <w:rStyle w:val="Hyperlink"/>
          </w:rPr>
          <w:t>www.education.vic.gov.au/childhood/providers/regulation</w:t>
        </w:r>
      </w:hyperlink>
      <w:r>
        <w:t xml:space="preserve"> </w:t>
      </w:r>
    </w:p>
    <w:p w14:paraId="3078156E" w14:textId="77777777" w:rsidR="00416C3F" w:rsidRDefault="00416C3F" w:rsidP="00416C3F">
      <w:pPr>
        <w:pStyle w:val="Bullet1"/>
      </w:pPr>
      <w:r>
        <w:t xml:space="preserve">Department of Education and Training. 2019, </w:t>
      </w:r>
      <w:r w:rsidRPr="00FA3A6E">
        <w:rPr>
          <w:i/>
          <w:iCs/>
        </w:rPr>
        <w:t>Quality Assessment and Regulation Division Annual Report 2018</w:t>
      </w:r>
      <w:r>
        <w:rPr>
          <w:i/>
          <w:iCs/>
        </w:rPr>
        <w:t xml:space="preserve">. </w:t>
      </w:r>
      <w:r>
        <w:t>Melbourne.</w:t>
      </w:r>
    </w:p>
    <w:p w14:paraId="09DAE293" w14:textId="77777777" w:rsidR="00416C3F" w:rsidRDefault="00416C3F" w:rsidP="00416C3F">
      <w:pPr>
        <w:pStyle w:val="Bullet1"/>
      </w:pPr>
      <w:r>
        <w:t xml:space="preserve">Australian Children’s Education and Care Quality Authority. 2020, </w:t>
      </w:r>
      <w:r w:rsidRPr="00763078">
        <w:rPr>
          <w:i/>
          <w:iCs/>
        </w:rPr>
        <w:t>Guide to the National Quality Framework</w:t>
      </w:r>
      <w:r>
        <w:rPr>
          <w:i/>
          <w:iCs/>
        </w:rPr>
        <w:t xml:space="preserve">. </w:t>
      </w:r>
      <w:r>
        <w:t>Sydney</w:t>
      </w:r>
    </w:p>
    <w:p w14:paraId="2D32CB10" w14:textId="4D02C149" w:rsidR="00416C3F" w:rsidRPr="005468F7" w:rsidRDefault="00416C3F" w:rsidP="00416C3F">
      <w:pPr>
        <w:pStyle w:val="Bullet1"/>
        <w:rPr>
          <w:i/>
          <w:iCs/>
        </w:rPr>
      </w:pPr>
      <w:r w:rsidRPr="005468F7">
        <w:rPr>
          <w:i/>
          <w:iCs/>
        </w:rPr>
        <w:t xml:space="preserve">Education and Care Services National Law Act 2010 </w:t>
      </w:r>
      <w:r w:rsidRPr="007C2D2D">
        <w:t>(Commonwealth)</w:t>
      </w:r>
      <w:r>
        <w:t xml:space="preserve">. </w:t>
      </w:r>
      <w:r w:rsidRPr="0093687C">
        <w:t xml:space="preserve">[online] Available at: </w:t>
      </w:r>
      <w:hyperlink r:id="rId25" w:history="1">
        <w:r w:rsidRPr="002D1A80">
          <w:rPr>
            <w:rStyle w:val="Hyperlink"/>
            <w:color w:val="auto"/>
            <w:u w:val="none"/>
          </w:rPr>
          <w:t>www.legislation.vic.gov.au</w:t>
        </w:r>
      </w:hyperlink>
      <w:r w:rsidR="001B11B5">
        <w:t xml:space="preserve"> </w:t>
      </w:r>
    </w:p>
    <w:p w14:paraId="10A4FE5B" w14:textId="77777777" w:rsidR="00416C3F" w:rsidRDefault="00416C3F" w:rsidP="00416C3F">
      <w:pPr>
        <w:pStyle w:val="Bullet1"/>
      </w:pPr>
      <w:r w:rsidRPr="005468F7">
        <w:rPr>
          <w:i/>
          <w:iCs/>
        </w:rPr>
        <w:t>Education and Care Services National Regulations 2011</w:t>
      </w:r>
      <w:r>
        <w:rPr>
          <w:i/>
          <w:iCs/>
        </w:rPr>
        <w:t xml:space="preserve"> </w:t>
      </w:r>
      <w:r w:rsidRPr="007C2D2D">
        <w:t>(Commonwealth)</w:t>
      </w:r>
      <w:r>
        <w:t xml:space="preserve">. </w:t>
      </w:r>
      <w:r w:rsidRPr="0093687C">
        <w:t xml:space="preserve">[online] Available at: </w:t>
      </w:r>
      <w:hyperlink r:id="rId26" w:history="1">
        <w:r w:rsidRPr="002D1A80">
          <w:rPr>
            <w:rStyle w:val="Hyperlink"/>
            <w:color w:val="auto"/>
            <w:u w:val="none"/>
          </w:rPr>
          <w:t>www.legislation.vic.gov.au</w:t>
        </w:r>
      </w:hyperlink>
    </w:p>
    <w:p w14:paraId="24BE9EDC" w14:textId="77777777" w:rsidR="00416C3F" w:rsidRPr="00D86AB9" w:rsidRDefault="00416C3F" w:rsidP="00416C3F">
      <w:pPr>
        <w:pStyle w:val="Bullet1"/>
      </w:pPr>
      <w:r w:rsidRPr="002F421B">
        <w:rPr>
          <w:i/>
          <w:iCs/>
        </w:rPr>
        <w:t>Children’s Services Act 1996</w:t>
      </w:r>
      <w:r w:rsidRPr="002F421B">
        <w:t xml:space="preserve"> (Victoria)</w:t>
      </w:r>
      <w:r>
        <w:t xml:space="preserve">. </w:t>
      </w:r>
      <w:r w:rsidRPr="0093687C">
        <w:t xml:space="preserve">[online] Available at: </w:t>
      </w:r>
      <w:hyperlink r:id="rId27" w:history="1">
        <w:r w:rsidRPr="002D1A80">
          <w:rPr>
            <w:rStyle w:val="Hyperlink"/>
            <w:color w:val="auto"/>
            <w:u w:val="none"/>
          </w:rPr>
          <w:t>www.legislation.vic.gov.au</w:t>
        </w:r>
      </w:hyperlink>
    </w:p>
    <w:p w14:paraId="3FE1216F" w14:textId="77777777" w:rsidR="00416C3F" w:rsidRDefault="00416C3F" w:rsidP="00416C3F">
      <w:pPr>
        <w:pStyle w:val="Bullet1"/>
      </w:pPr>
      <w:r>
        <w:t xml:space="preserve">Australian Children’s Education and Care Quality Authority website. 2020, [online] Available at: </w:t>
      </w:r>
      <w:hyperlink r:id="rId28" w:history="1">
        <w:r w:rsidRPr="000B5534">
          <w:rPr>
            <w:rStyle w:val="Hyperlink"/>
          </w:rPr>
          <w:t>www.acecqa.gov.au</w:t>
        </w:r>
      </w:hyperlink>
      <w:r>
        <w:t xml:space="preserve"> </w:t>
      </w:r>
    </w:p>
    <w:p w14:paraId="3ACC6C0D" w14:textId="77777777" w:rsidR="00416C3F" w:rsidRDefault="00416C3F" w:rsidP="00416C3F">
      <w:pPr>
        <w:pStyle w:val="Bullet1"/>
      </w:pPr>
      <w:r>
        <w:t xml:space="preserve">Department of Education and Training. 2018, </w:t>
      </w:r>
      <w:r>
        <w:rPr>
          <w:i/>
          <w:iCs/>
        </w:rPr>
        <w:t xml:space="preserve">NQF Snapshot Q4 2018 – Quarterly Report to Minister. </w:t>
      </w:r>
      <w:r w:rsidRPr="009C178C">
        <w:t>Melbourne</w:t>
      </w:r>
    </w:p>
    <w:p w14:paraId="4F5A0890" w14:textId="77777777" w:rsidR="00416C3F" w:rsidRPr="0093687C" w:rsidRDefault="00416C3F" w:rsidP="00416C3F">
      <w:pPr>
        <w:pStyle w:val="Bullet1"/>
      </w:pPr>
      <w:r w:rsidRPr="0093687C">
        <w:t xml:space="preserve">Department of Treasury and Finance. 2019, </w:t>
      </w:r>
      <w:r w:rsidRPr="002D1A80">
        <w:rPr>
          <w:i/>
          <w:iCs/>
        </w:rPr>
        <w:t>Statement of Expectations Framework for Regulators</w:t>
      </w:r>
      <w:r w:rsidRPr="002D1A80">
        <w:t xml:space="preserve">. </w:t>
      </w:r>
      <w:r w:rsidRPr="0093687C">
        <w:t>Melbourne</w:t>
      </w:r>
    </w:p>
    <w:p w14:paraId="4C074DFC" w14:textId="77777777" w:rsidR="00416C3F" w:rsidRPr="0093687C" w:rsidRDefault="00416C3F" w:rsidP="00416C3F">
      <w:pPr>
        <w:pStyle w:val="Bullet1"/>
      </w:pPr>
      <w:r w:rsidRPr="0093687C">
        <w:t xml:space="preserve">Department of Treasury and Finance. 2018, </w:t>
      </w:r>
      <w:r w:rsidRPr="002D1A80">
        <w:rPr>
          <w:i/>
          <w:iCs/>
        </w:rPr>
        <w:t xml:space="preserve">Guidelines for Evaluation of </w:t>
      </w:r>
      <w:r w:rsidRPr="0093687C">
        <w:rPr>
          <w:i/>
          <w:iCs/>
        </w:rPr>
        <w:t>Statements of Expectations for Regulators</w:t>
      </w:r>
      <w:r w:rsidRPr="002D1A80">
        <w:t xml:space="preserve">. </w:t>
      </w:r>
      <w:r w:rsidRPr="0093687C">
        <w:t>Melbourne</w:t>
      </w:r>
    </w:p>
    <w:p w14:paraId="4F4795F0" w14:textId="77777777" w:rsidR="00416C3F" w:rsidRPr="0093687C" w:rsidRDefault="00416C3F" w:rsidP="00416C3F">
      <w:pPr>
        <w:pStyle w:val="Bullet1"/>
      </w:pPr>
      <w:r w:rsidRPr="0093687C">
        <w:t xml:space="preserve">Department of Education and Training. 2018, </w:t>
      </w:r>
      <w:r w:rsidRPr="007C3DED">
        <w:rPr>
          <w:i/>
          <w:iCs/>
        </w:rPr>
        <w:t>Minister for Education’s</w:t>
      </w:r>
      <w:r>
        <w:t xml:space="preserve"> </w:t>
      </w:r>
      <w:r w:rsidRPr="002D1A80">
        <w:rPr>
          <w:i/>
          <w:iCs/>
        </w:rPr>
        <w:t xml:space="preserve">Statement of Expectations for the </w:t>
      </w:r>
      <w:r>
        <w:rPr>
          <w:i/>
          <w:iCs/>
        </w:rPr>
        <w:t xml:space="preserve">Department of Education and Training as Regulatory Authority for Early Childhood Education and Care Services </w:t>
      </w:r>
      <w:r w:rsidRPr="002D1A80">
        <w:rPr>
          <w:i/>
          <w:iCs/>
        </w:rPr>
        <w:t>2018-</w:t>
      </w:r>
      <w:r>
        <w:rPr>
          <w:i/>
          <w:iCs/>
        </w:rPr>
        <w:t>19</w:t>
      </w:r>
      <w:r w:rsidRPr="002D1A80">
        <w:t>. Melbourne</w:t>
      </w:r>
    </w:p>
    <w:p w14:paraId="084FE66B" w14:textId="77777777" w:rsidR="00416C3F" w:rsidRPr="0093687C" w:rsidRDefault="00416C3F" w:rsidP="00416C3F">
      <w:pPr>
        <w:pStyle w:val="Bullet1"/>
      </w:pPr>
      <w:r w:rsidRPr="0093687C">
        <w:t>Department of Education and Training. 201</w:t>
      </w:r>
      <w:r>
        <w:t>9</w:t>
      </w:r>
      <w:r w:rsidRPr="0093687C">
        <w:t xml:space="preserve">, </w:t>
      </w:r>
      <w:r w:rsidRPr="007C3DED">
        <w:rPr>
          <w:i/>
          <w:iCs/>
        </w:rPr>
        <w:t>Minister for Education’s</w:t>
      </w:r>
      <w:r>
        <w:t xml:space="preserve"> </w:t>
      </w:r>
      <w:r w:rsidRPr="002D1A80">
        <w:rPr>
          <w:i/>
          <w:iCs/>
        </w:rPr>
        <w:t xml:space="preserve">Statement of Expectations for the </w:t>
      </w:r>
      <w:r>
        <w:rPr>
          <w:i/>
          <w:iCs/>
        </w:rPr>
        <w:t xml:space="preserve">Department of Education and Training as Regulatory Authority for Early Childhood Education and Care Services </w:t>
      </w:r>
      <w:r w:rsidRPr="002D1A80">
        <w:rPr>
          <w:i/>
          <w:iCs/>
        </w:rPr>
        <w:t>201</w:t>
      </w:r>
      <w:r>
        <w:rPr>
          <w:i/>
          <w:iCs/>
        </w:rPr>
        <w:t>9</w:t>
      </w:r>
      <w:r w:rsidRPr="002D1A80">
        <w:rPr>
          <w:i/>
          <w:iCs/>
        </w:rPr>
        <w:t>-</w:t>
      </w:r>
      <w:r>
        <w:rPr>
          <w:i/>
          <w:iCs/>
        </w:rPr>
        <w:t>20</w:t>
      </w:r>
      <w:r w:rsidRPr="002D1A80">
        <w:t>. Melbourne</w:t>
      </w:r>
    </w:p>
    <w:p w14:paraId="7C473C42" w14:textId="77777777" w:rsidR="00416C3F" w:rsidRPr="0093687C" w:rsidRDefault="00416C3F" w:rsidP="00416C3F">
      <w:pPr>
        <w:pStyle w:val="Bullet1"/>
      </w:pPr>
      <w:r w:rsidRPr="0093687C">
        <w:t xml:space="preserve">Department of Education and Training. 2018, </w:t>
      </w:r>
      <w:r w:rsidRPr="00901AF4">
        <w:rPr>
          <w:i/>
          <w:iCs/>
        </w:rPr>
        <w:t>Response to the Minister</w:t>
      </w:r>
      <w:r w:rsidRPr="007C3DED">
        <w:rPr>
          <w:i/>
          <w:iCs/>
        </w:rPr>
        <w:t xml:space="preserve"> for Education’s</w:t>
      </w:r>
      <w:r>
        <w:t xml:space="preserve"> </w:t>
      </w:r>
      <w:r w:rsidRPr="002D1A80">
        <w:rPr>
          <w:i/>
          <w:iCs/>
        </w:rPr>
        <w:t xml:space="preserve">Statement of Expectations for the </w:t>
      </w:r>
      <w:r>
        <w:rPr>
          <w:i/>
          <w:iCs/>
        </w:rPr>
        <w:t xml:space="preserve">Department of Education and Training as Regulatory Authority for Early Childhood Education and Care Services </w:t>
      </w:r>
      <w:r w:rsidRPr="002D1A80">
        <w:rPr>
          <w:i/>
          <w:iCs/>
        </w:rPr>
        <w:t>2018-</w:t>
      </w:r>
      <w:r>
        <w:rPr>
          <w:i/>
          <w:iCs/>
        </w:rPr>
        <w:t>19</w:t>
      </w:r>
      <w:r w:rsidRPr="002D1A80">
        <w:t>. Melbourne</w:t>
      </w:r>
    </w:p>
    <w:p w14:paraId="53DFA251" w14:textId="77777777" w:rsidR="00416C3F" w:rsidRDefault="00416C3F" w:rsidP="00416C3F">
      <w:pPr>
        <w:pStyle w:val="Bullet1"/>
      </w:pPr>
      <w:r w:rsidRPr="0093687C">
        <w:t>Department of Education and Training. 201</w:t>
      </w:r>
      <w:r>
        <w:t>9</w:t>
      </w:r>
      <w:r w:rsidRPr="0093687C">
        <w:t xml:space="preserve">, </w:t>
      </w:r>
      <w:r w:rsidRPr="00901AF4">
        <w:rPr>
          <w:i/>
          <w:iCs/>
        </w:rPr>
        <w:t>Response to the</w:t>
      </w:r>
      <w:r>
        <w:t xml:space="preserve"> </w:t>
      </w:r>
      <w:r w:rsidRPr="007C3DED">
        <w:rPr>
          <w:i/>
          <w:iCs/>
        </w:rPr>
        <w:t>Minister for Education’s</w:t>
      </w:r>
      <w:r>
        <w:t xml:space="preserve"> </w:t>
      </w:r>
      <w:r w:rsidRPr="002D1A80">
        <w:rPr>
          <w:i/>
          <w:iCs/>
        </w:rPr>
        <w:t xml:space="preserve">Statement of Expectations for the </w:t>
      </w:r>
      <w:r>
        <w:rPr>
          <w:i/>
          <w:iCs/>
        </w:rPr>
        <w:t xml:space="preserve">Department of Education and Training as Regulatory Authority for Early Childhood Education and Care Services </w:t>
      </w:r>
      <w:r w:rsidRPr="002D1A80">
        <w:rPr>
          <w:i/>
          <w:iCs/>
        </w:rPr>
        <w:t>201</w:t>
      </w:r>
      <w:r>
        <w:rPr>
          <w:i/>
          <w:iCs/>
        </w:rPr>
        <w:t>9</w:t>
      </w:r>
      <w:r w:rsidRPr="002D1A80">
        <w:rPr>
          <w:i/>
          <w:iCs/>
        </w:rPr>
        <w:t>-</w:t>
      </w:r>
      <w:r>
        <w:rPr>
          <w:i/>
          <w:iCs/>
        </w:rPr>
        <w:t>20</w:t>
      </w:r>
      <w:r w:rsidRPr="002D1A80">
        <w:t>. Melbourne</w:t>
      </w:r>
    </w:p>
    <w:p w14:paraId="4562DE75" w14:textId="77777777" w:rsidR="00416C3F" w:rsidRDefault="00416C3F" w:rsidP="00416C3F">
      <w:pPr>
        <w:pStyle w:val="Bullet1"/>
      </w:pPr>
      <w:r w:rsidRPr="0093687C">
        <w:t>Department of Education and Training. 201</w:t>
      </w:r>
      <w:r>
        <w:t>9</w:t>
      </w:r>
      <w:r w:rsidRPr="0093687C">
        <w:t xml:space="preserve">, </w:t>
      </w:r>
      <w:r w:rsidRPr="00E908AC">
        <w:rPr>
          <w:i/>
          <w:iCs/>
        </w:rPr>
        <w:t>QARD SOE Evaluation Program Logic</w:t>
      </w:r>
      <w:r>
        <w:t>. Melbourne</w:t>
      </w:r>
    </w:p>
    <w:p w14:paraId="7CFD10F5" w14:textId="77777777" w:rsidR="00416C3F" w:rsidRPr="00FF10BA" w:rsidRDefault="00416C3F" w:rsidP="00416C3F">
      <w:pPr>
        <w:pStyle w:val="Bullet1"/>
      </w:pPr>
      <w:r w:rsidRPr="0093687C">
        <w:t>Department of Education and Training. 201</w:t>
      </w:r>
      <w:r>
        <w:t>9</w:t>
      </w:r>
      <w:r w:rsidRPr="0093687C">
        <w:t xml:space="preserve">, </w:t>
      </w:r>
      <w:r w:rsidRPr="00E908AC">
        <w:rPr>
          <w:i/>
          <w:iCs/>
        </w:rPr>
        <w:t xml:space="preserve">QARD </w:t>
      </w:r>
      <w:r>
        <w:rPr>
          <w:i/>
          <w:iCs/>
        </w:rPr>
        <w:t>D</w:t>
      </w:r>
      <w:r w:rsidRPr="00E908AC">
        <w:rPr>
          <w:i/>
          <w:iCs/>
        </w:rPr>
        <w:t>ata 2018-20</w:t>
      </w:r>
      <w:r>
        <w:t>. Melbourne</w:t>
      </w:r>
    </w:p>
    <w:p w14:paraId="13807AC5" w14:textId="77777777" w:rsidR="00416C3F" w:rsidRPr="00FF10BA" w:rsidRDefault="00416C3F" w:rsidP="00416C3F">
      <w:pPr>
        <w:pStyle w:val="Bullet1"/>
      </w:pPr>
      <w:r w:rsidRPr="0093687C">
        <w:t>Department of Education and Training. 20</w:t>
      </w:r>
      <w:r>
        <w:t>20</w:t>
      </w:r>
      <w:r w:rsidRPr="0093687C">
        <w:t xml:space="preserve">, </w:t>
      </w:r>
      <w:r w:rsidRPr="00E908AC">
        <w:rPr>
          <w:i/>
          <w:iCs/>
        </w:rPr>
        <w:t xml:space="preserve">QARD </w:t>
      </w:r>
      <w:r>
        <w:rPr>
          <w:i/>
          <w:iCs/>
        </w:rPr>
        <w:t>Process Evaluation</w:t>
      </w:r>
      <w:r>
        <w:t>. Melbourne</w:t>
      </w:r>
    </w:p>
    <w:p w14:paraId="42F2A378" w14:textId="77777777" w:rsidR="00416C3F" w:rsidRDefault="00416C3F" w:rsidP="00416C3F">
      <w:pPr>
        <w:pStyle w:val="Bullet1"/>
      </w:pPr>
      <w:r>
        <w:t xml:space="preserve">Department of Education and Training. 2017, </w:t>
      </w:r>
      <w:r w:rsidRPr="00901AF4">
        <w:rPr>
          <w:i/>
          <w:iCs/>
        </w:rPr>
        <w:t>Regulatory Framework in relation to Education and Care Services in Victoria</w:t>
      </w:r>
      <w:r>
        <w:t xml:space="preserve">. Melbourne </w:t>
      </w:r>
    </w:p>
    <w:p w14:paraId="71760C81" w14:textId="77777777" w:rsidR="00416C3F" w:rsidRDefault="00416C3F" w:rsidP="00416C3F">
      <w:pPr>
        <w:pStyle w:val="Bullet1"/>
      </w:pPr>
      <w:r>
        <w:t xml:space="preserve">Department of Education and Training. 2020, </w:t>
      </w:r>
      <w:r w:rsidRPr="009C178C">
        <w:rPr>
          <w:i/>
          <w:iCs/>
        </w:rPr>
        <w:t>2020 Enforcement Action Table</w:t>
      </w:r>
      <w:r>
        <w:t>. Melbourne</w:t>
      </w:r>
    </w:p>
    <w:p w14:paraId="58CAAFDE" w14:textId="77777777" w:rsidR="00416C3F" w:rsidRDefault="00416C3F" w:rsidP="00416C3F">
      <w:pPr>
        <w:pStyle w:val="Bullet1"/>
      </w:pPr>
      <w:r>
        <w:t xml:space="preserve">Department of Education and Training. 2019, </w:t>
      </w:r>
      <w:r w:rsidRPr="009C178C">
        <w:rPr>
          <w:i/>
          <w:iCs/>
        </w:rPr>
        <w:t>20</w:t>
      </w:r>
      <w:r>
        <w:rPr>
          <w:i/>
          <w:iCs/>
        </w:rPr>
        <w:t>19</w:t>
      </w:r>
      <w:r w:rsidRPr="009C178C">
        <w:rPr>
          <w:i/>
          <w:iCs/>
        </w:rPr>
        <w:t xml:space="preserve"> Enforcement Action Table</w:t>
      </w:r>
      <w:r>
        <w:t>. Melbourne</w:t>
      </w:r>
    </w:p>
    <w:p w14:paraId="72C9ACFD" w14:textId="77777777" w:rsidR="00416C3F" w:rsidRPr="00DD3900" w:rsidRDefault="00416C3F" w:rsidP="00416C3F">
      <w:pPr>
        <w:pStyle w:val="Bullet1"/>
      </w:pPr>
      <w:r>
        <w:t xml:space="preserve">Department of Education and Training. 2018, </w:t>
      </w:r>
      <w:r w:rsidRPr="00312DD6">
        <w:rPr>
          <w:i/>
          <w:iCs/>
        </w:rPr>
        <w:t>QARD Investigation Guidelines</w:t>
      </w:r>
      <w:r>
        <w:t>. Melbourne</w:t>
      </w:r>
    </w:p>
    <w:p w14:paraId="3DFE61D8" w14:textId="77777777" w:rsidR="00416C3F" w:rsidRPr="00256104" w:rsidRDefault="00416C3F" w:rsidP="00416C3F"/>
    <w:p w14:paraId="62FC5FBA" w14:textId="77777777" w:rsidR="00416C3F" w:rsidRPr="00256104" w:rsidRDefault="00416C3F" w:rsidP="00416C3F"/>
    <w:p w14:paraId="61B19522" w14:textId="77777777" w:rsidR="00256104" w:rsidRPr="00256104" w:rsidRDefault="00256104" w:rsidP="00256104"/>
    <w:sectPr w:rsidR="00256104" w:rsidRPr="00256104">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03B6B" w14:textId="77777777" w:rsidR="00A51B59" w:rsidRDefault="00A51B59" w:rsidP="00D90BC7">
      <w:pPr>
        <w:spacing w:after="0" w:line="240" w:lineRule="auto"/>
      </w:pPr>
      <w:r>
        <w:separator/>
      </w:r>
    </w:p>
  </w:endnote>
  <w:endnote w:type="continuationSeparator" w:id="0">
    <w:p w14:paraId="6022FBFE" w14:textId="77777777" w:rsidR="00A51B59" w:rsidRDefault="00A51B59" w:rsidP="00D90BC7">
      <w:pPr>
        <w:spacing w:after="0" w:line="240" w:lineRule="auto"/>
      </w:pPr>
      <w:r>
        <w:continuationSeparator/>
      </w:r>
    </w:p>
  </w:endnote>
  <w:endnote w:type="continuationNotice" w:id="1">
    <w:p w14:paraId="230611B0" w14:textId="77777777" w:rsidR="00A51B59" w:rsidRDefault="00A51B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0A57F" w14:textId="77777777" w:rsidR="00A51B59" w:rsidRDefault="00A51B59" w:rsidP="006206A3">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DB9E99A" w14:textId="77777777" w:rsidR="00A51B59" w:rsidRDefault="00A51B59" w:rsidP="006206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79003" w14:textId="77777777" w:rsidR="00A51B59" w:rsidRDefault="00A51B59" w:rsidP="006206A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D1E1B" w14:textId="77777777" w:rsidR="00A51B59" w:rsidRDefault="00A51B59" w:rsidP="006206A3">
    <w:pPr>
      <w:pStyle w:val="FootnoteText"/>
      <w:ind w:right="3395"/>
      <w:rPr>
        <w:sz w:val="12"/>
        <w:szCs w:val="12"/>
      </w:rPr>
    </w:pPr>
    <w:r w:rsidRPr="001105FA">
      <w:rPr>
        <w:sz w:val="12"/>
        <w:szCs w:val="12"/>
      </w:rPr>
      <w:t xml:space="preserve">© State of Victoria (Department of Education and Training) </w:t>
    </w:r>
    <w:r w:rsidRPr="006F1796">
      <w:rPr>
        <w:sz w:val="12"/>
        <w:szCs w:val="12"/>
      </w:rPr>
      <w:t>2020</w:t>
    </w:r>
  </w:p>
  <w:p w14:paraId="7428B10C" w14:textId="77777777" w:rsidR="00A51B59" w:rsidRPr="001105FA" w:rsidRDefault="00A51B59" w:rsidP="006206A3">
    <w:pPr>
      <w:pStyle w:val="FootnoteText"/>
      <w:ind w:right="3395"/>
      <w:rPr>
        <w:sz w:val="12"/>
        <w:szCs w:val="12"/>
      </w:rPr>
    </w:pPr>
    <w:r>
      <w:rPr>
        <w:noProof/>
        <w:sz w:val="12"/>
        <w:szCs w:val="12"/>
        <w:lang w:val="en-AU" w:eastAsia="en-AU"/>
      </w:rPr>
      <w:drawing>
        <wp:inline distT="0" distB="0" distL="0" distR="0" wp14:anchorId="22EB8E79" wp14:editId="41C57B8B">
          <wp:extent cx="485336" cy="173334"/>
          <wp:effectExtent l="0" t="0" r="0" b="5080"/>
          <wp:docPr id="5" name="Picture 5" descr="Creative Commons Attribution 4.0 International licence. You are free to re-use the work under that licence, on the condition that you credit the State of Victoria (Department of Education and Training), indicate if changes were made and comply with the other licence terms.&#10;&#10;"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581CFEE3" w14:textId="77777777" w:rsidR="00A51B59" w:rsidRPr="001105FA" w:rsidRDefault="00A51B59" w:rsidP="006206A3">
    <w:pPr>
      <w:pStyle w:val="FootnoteText"/>
      <w:spacing w:before="120"/>
      <w:ind w:right="2544"/>
      <w:rPr>
        <w:sz w:val="12"/>
        <w:szCs w:val="12"/>
      </w:rPr>
    </w:pPr>
    <w:r>
      <w:rPr>
        <w:sz w:val="12"/>
        <w:szCs w:val="12"/>
      </w:rPr>
      <w:t>Statement of Expectations Evaluation Report: QARD 2018-20</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6B6B2919" w14:textId="77777777" w:rsidR="00A51B59" w:rsidRPr="001105FA" w:rsidRDefault="00A51B59" w:rsidP="006206A3">
    <w:pPr>
      <w:pStyle w:val="FootnoteText"/>
      <w:ind w:right="1977"/>
      <w:rPr>
        <w:sz w:val="12"/>
        <w:szCs w:val="12"/>
      </w:rPr>
    </w:pPr>
    <w:r w:rsidRPr="001105FA">
      <w:rPr>
        <w:sz w:val="12"/>
        <w:szCs w:val="12"/>
      </w:rPr>
      <w:t>The licence does not apply to:</w:t>
    </w:r>
  </w:p>
  <w:p w14:paraId="09148DBC" w14:textId="77777777" w:rsidR="00A51B59" w:rsidRPr="001105FA" w:rsidRDefault="00A51B59" w:rsidP="006206A3">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748E1D44" w14:textId="77777777" w:rsidR="00A51B59" w:rsidRPr="001105FA" w:rsidRDefault="00A51B59" w:rsidP="006206A3">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0B05ADD8" w14:textId="77777777" w:rsidR="00A51B59" w:rsidRPr="0020333C" w:rsidRDefault="00A51B59" w:rsidP="006206A3">
    <w:pPr>
      <w:pStyle w:val="FootnoteText"/>
      <w:ind w:right="1977"/>
      <w:rPr>
        <w:color w:val="0563C1" w:themeColor="hyperlink"/>
        <w:sz w:val="12"/>
        <w:szCs w:val="12"/>
        <w:u w:val="single"/>
      </w:rPr>
    </w:pPr>
    <w:r w:rsidRPr="001105FA">
      <w:rPr>
        <w:sz w:val="12"/>
        <w:szCs w:val="12"/>
      </w:rPr>
      <w:t xml:space="preserve">Copyright queries may be directed to </w:t>
    </w:r>
    <w:hyperlink r:id="rId3" w:history="1">
      <w:r w:rsidRPr="001105FA">
        <w:rPr>
          <w:rStyle w:val="Hyperlink"/>
          <w:color w:val="5B9BD5" w:themeColor="accent5"/>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8F361" w14:textId="77777777" w:rsidR="00A51B59" w:rsidRDefault="00BC38BB">
    <w:pPr>
      <w:pStyle w:val="Footer"/>
      <w:jc w:val="center"/>
    </w:pPr>
    <w:sdt>
      <w:sdtPr>
        <w:id w:val="190574685"/>
        <w:docPartObj>
          <w:docPartGallery w:val="Page Numbers (Bottom of Page)"/>
          <w:docPartUnique/>
        </w:docPartObj>
      </w:sdtPr>
      <w:sdtEndPr>
        <w:rPr>
          <w:noProof/>
        </w:rPr>
      </w:sdtEndPr>
      <w:sdtContent>
        <w:r w:rsidR="00A51B59">
          <w:fldChar w:fldCharType="begin"/>
        </w:r>
        <w:r w:rsidR="00A51B59">
          <w:instrText xml:space="preserve"> PAGE   \* MERGEFORMAT </w:instrText>
        </w:r>
        <w:r w:rsidR="00A51B59">
          <w:fldChar w:fldCharType="separate"/>
        </w:r>
        <w:r w:rsidR="00A51B59">
          <w:rPr>
            <w:noProof/>
          </w:rPr>
          <w:t>44</w:t>
        </w:r>
        <w:r w:rsidR="00A51B59">
          <w:rPr>
            <w:noProof/>
          </w:rPr>
          <w:fldChar w:fldCharType="end"/>
        </w:r>
      </w:sdtContent>
    </w:sdt>
  </w:p>
  <w:p w14:paraId="6A4D806A" w14:textId="77777777" w:rsidR="00A51B59" w:rsidRDefault="00A51B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275070"/>
      <w:docPartObj>
        <w:docPartGallery w:val="Page Numbers (Bottom of Page)"/>
        <w:docPartUnique/>
      </w:docPartObj>
    </w:sdtPr>
    <w:sdtEndPr>
      <w:rPr>
        <w:noProof/>
      </w:rPr>
    </w:sdtEndPr>
    <w:sdtContent>
      <w:p w14:paraId="676DBB12" w14:textId="7D6419C1" w:rsidR="00A51B59" w:rsidRDefault="00A51B59">
        <w:pPr>
          <w:pStyle w:val="Footer"/>
          <w:jc w:val="center"/>
        </w:pPr>
        <w:r>
          <w:fldChar w:fldCharType="begin"/>
        </w:r>
        <w:r>
          <w:instrText xml:space="preserve"> PAGE   \* MERGEFORMAT </w:instrText>
        </w:r>
        <w:r>
          <w:fldChar w:fldCharType="separate"/>
        </w:r>
        <w:r>
          <w:rPr>
            <w:noProof/>
          </w:rPr>
          <w:t>44</w:t>
        </w:r>
        <w:r>
          <w:rPr>
            <w:noProof/>
          </w:rPr>
          <w:fldChar w:fldCharType="end"/>
        </w:r>
      </w:p>
    </w:sdtContent>
  </w:sdt>
  <w:p w14:paraId="362EC075" w14:textId="77777777" w:rsidR="00A51B59" w:rsidRDefault="00A51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FCB70" w14:textId="77777777" w:rsidR="00A51B59" w:rsidRDefault="00A51B59" w:rsidP="00D90BC7">
      <w:pPr>
        <w:spacing w:after="0" w:line="240" w:lineRule="auto"/>
      </w:pPr>
      <w:r>
        <w:separator/>
      </w:r>
    </w:p>
  </w:footnote>
  <w:footnote w:type="continuationSeparator" w:id="0">
    <w:p w14:paraId="75F049A8" w14:textId="77777777" w:rsidR="00A51B59" w:rsidRDefault="00A51B59" w:rsidP="00D90BC7">
      <w:pPr>
        <w:spacing w:after="0" w:line="240" w:lineRule="auto"/>
      </w:pPr>
      <w:r>
        <w:continuationSeparator/>
      </w:r>
    </w:p>
  </w:footnote>
  <w:footnote w:type="continuationNotice" w:id="1">
    <w:p w14:paraId="1670503C" w14:textId="77777777" w:rsidR="00A51B59" w:rsidRDefault="00A51B59">
      <w:pPr>
        <w:spacing w:before="0" w:after="0" w:line="240" w:lineRule="auto"/>
      </w:pPr>
    </w:p>
  </w:footnote>
  <w:footnote w:id="2">
    <w:p w14:paraId="3D986E3A" w14:textId="77777777" w:rsidR="005C3951" w:rsidRPr="000D3D42" w:rsidRDefault="005C3951" w:rsidP="005C3951">
      <w:pPr>
        <w:pStyle w:val="Footnote"/>
      </w:pPr>
      <w:r>
        <w:rPr>
          <w:rStyle w:val="FootnoteReference"/>
        </w:rPr>
        <w:footnoteRef/>
      </w:r>
      <w:r>
        <w:t xml:space="preserve"> Baseline data is 15% of the number of education and care services as at 30 June 2015.</w:t>
      </w:r>
    </w:p>
  </w:footnote>
  <w:footnote w:id="3">
    <w:p w14:paraId="4A61FBD0" w14:textId="77777777" w:rsidR="005C3951" w:rsidRPr="008A0329" w:rsidRDefault="005C3951" w:rsidP="005C3951">
      <w:pPr>
        <w:pStyle w:val="Footnote"/>
      </w:pPr>
      <w:r>
        <w:rPr>
          <w:rStyle w:val="FootnoteReference"/>
        </w:rPr>
        <w:footnoteRef/>
      </w:r>
      <w:r>
        <w:t xml:space="preserve"> The year 2018 means the calendar year, January to December 2018</w:t>
      </w:r>
    </w:p>
  </w:footnote>
  <w:footnote w:id="4">
    <w:p w14:paraId="1B970688" w14:textId="0D2CA52D" w:rsidR="00A51B59" w:rsidRPr="004E1750" w:rsidRDefault="00A51B59" w:rsidP="00B969E0">
      <w:pPr>
        <w:pStyle w:val="Footnote"/>
      </w:pPr>
      <w:r>
        <w:rPr>
          <w:rStyle w:val="FootnoteReference"/>
        </w:rPr>
        <w:footnoteRef/>
      </w:r>
      <w:r>
        <w:t xml:space="preserve"> </w:t>
      </w:r>
      <w:bookmarkStart w:id="17" w:name="_Hlk39589710"/>
      <w:r w:rsidRPr="00570996">
        <w:t>The minimum standards referred to are those outlined in the SOE Framework</w:t>
      </w:r>
      <w:bookmarkEnd w:id="17"/>
      <w:r w:rsidRPr="00570996">
        <w:t>.</w:t>
      </w:r>
    </w:p>
  </w:footnote>
  <w:footnote w:id="5">
    <w:p w14:paraId="5CFB6DEA" w14:textId="77777777" w:rsidR="00041B17" w:rsidRPr="00991E4D" w:rsidRDefault="00041B17" w:rsidP="00041B17">
      <w:pPr>
        <w:pStyle w:val="Footnote"/>
      </w:pPr>
      <w:r>
        <w:rPr>
          <w:rStyle w:val="FootnoteReference"/>
        </w:rPr>
        <w:footnoteRef/>
      </w:r>
      <w:r>
        <w:t xml:space="preserve"> </w:t>
      </w:r>
      <w:r w:rsidRPr="005D2E7E">
        <w:t xml:space="preserve">Scales for the questions used </w:t>
      </w:r>
      <w:r>
        <w:t xml:space="preserve">to derive this composite measure </w:t>
      </w:r>
      <w:r w:rsidRPr="005D2E7E">
        <w:t>in the 2019 survey were different to those in the 2018 survey, so results are not comparable.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7BF39" w14:textId="77777777" w:rsidR="00A51B59" w:rsidRDefault="00A51B59" w:rsidP="006206A3">
    <w:pPr>
      <w:pStyle w:val="Header"/>
      <w:tabs>
        <w:tab w:val="clear" w:pos="4513"/>
        <w:tab w:val="clear" w:pos="9026"/>
        <w:tab w:val="left" w:pos="1425"/>
      </w:tabs>
    </w:pPr>
    <w:r>
      <w:rPr>
        <w:noProof/>
        <w:lang w:eastAsia="en-AU"/>
      </w:rPr>
      <w:drawing>
        <wp:anchor distT="0" distB="0" distL="114300" distR="114300" simplePos="0" relativeHeight="251658241" behindDoc="1" locked="0" layoutInCell="1" allowOverlap="1" wp14:anchorId="6B5DDF5E" wp14:editId="0B4EFD42">
          <wp:simplePos x="0" y="0"/>
          <wp:positionH relativeFrom="page">
            <wp:align>left</wp:align>
          </wp:positionH>
          <wp:positionV relativeFrom="page">
            <wp:align>top</wp:align>
          </wp:positionV>
          <wp:extent cx="7560000" cy="106992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Report Covers - Colour Block_P_generi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68484" w14:textId="77777777" w:rsidR="00A51B59" w:rsidRDefault="00A51B59" w:rsidP="006206A3">
    <w:pPr>
      <w:pStyle w:val="Header"/>
      <w:tabs>
        <w:tab w:val="clear" w:pos="4513"/>
        <w:tab w:val="clear" w:pos="9026"/>
        <w:tab w:val="left" w:pos="1425"/>
      </w:tabs>
    </w:pPr>
    <w:r>
      <w:rPr>
        <w:noProof/>
        <w:lang w:eastAsia="en-AU"/>
      </w:rPr>
      <w:drawing>
        <wp:anchor distT="0" distB="0" distL="114300" distR="114300" simplePos="0" relativeHeight="251658240" behindDoc="1" locked="0" layoutInCell="1" allowOverlap="1" wp14:anchorId="705673DD" wp14:editId="3FA7C98A">
          <wp:simplePos x="0" y="0"/>
          <wp:positionH relativeFrom="page">
            <wp:align>left</wp:align>
          </wp:positionH>
          <wp:positionV relativeFrom="page">
            <wp:align>top</wp:align>
          </wp:positionV>
          <wp:extent cx="7560000" cy="10690453"/>
          <wp:effectExtent l="0" t="0" r="9525" b="3175"/>
          <wp:wrapNone/>
          <wp:docPr id="4" name="Picture 4" descr="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F388A"/>
    <w:multiLevelType w:val="hybridMultilevel"/>
    <w:tmpl w:val="FF74BFF2"/>
    <w:lvl w:ilvl="0" w:tplc="EEACEFE6">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B7CD3"/>
    <w:multiLevelType w:val="hybridMultilevel"/>
    <w:tmpl w:val="FE581AFC"/>
    <w:lvl w:ilvl="0" w:tplc="AC76B242">
      <w:start w:val="1"/>
      <w:numFmt w:val="bullet"/>
      <w:pStyle w:val="Bullet2"/>
      <w:lvlText w:val="o"/>
      <w:lvlJc w:val="left"/>
      <w:pPr>
        <w:ind w:left="1495"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E0A9E"/>
    <w:multiLevelType w:val="hybridMultilevel"/>
    <w:tmpl w:val="A18CED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EA49C0"/>
    <w:multiLevelType w:val="hybridMultilevel"/>
    <w:tmpl w:val="25CE9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561B024B"/>
    <w:multiLevelType w:val="hybridMultilevel"/>
    <w:tmpl w:val="5A04A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4F1232"/>
    <w:multiLevelType w:val="hybridMultilevel"/>
    <w:tmpl w:val="5840274A"/>
    <w:lvl w:ilvl="0" w:tplc="97C4DF32">
      <w:start w:val="1"/>
      <w:numFmt w:val="bullet"/>
      <w:lvlText w:val="•"/>
      <w:lvlJc w:val="left"/>
      <w:pPr>
        <w:tabs>
          <w:tab w:val="num" w:pos="720"/>
        </w:tabs>
        <w:ind w:left="720" w:hanging="360"/>
      </w:pPr>
      <w:rPr>
        <w:rFonts w:ascii="Arial" w:hAnsi="Arial" w:hint="default"/>
      </w:rPr>
    </w:lvl>
    <w:lvl w:ilvl="1" w:tplc="2BD27A86" w:tentative="1">
      <w:start w:val="1"/>
      <w:numFmt w:val="bullet"/>
      <w:lvlText w:val="•"/>
      <w:lvlJc w:val="left"/>
      <w:pPr>
        <w:tabs>
          <w:tab w:val="num" w:pos="1440"/>
        </w:tabs>
        <w:ind w:left="1440" w:hanging="360"/>
      </w:pPr>
      <w:rPr>
        <w:rFonts w:ascii="Arial" w:hAnsi="Arial" w:hint="default"/>
      </w:rPr>
    </w:lvl>
    <w:lvl w:ilvl="2" w:tplc="E778AB34" w:tentative="1">
      <w:start w:val="1"/>
      <w:numFmt w:val="bullet"/>
      <w:lvlText w:val="•"/>
      <w:lvlJc w:val="left"/>
      <w:pPr>
        <w:tabs>
          <w:tab w:val="num" w:pos="2160"/>
        </w:tabs>
        <w:ind w:left="2160" w:hanging="360"/>
      </w:pPr>
      <w:rPr>
        <w:rFonts w:ascii="Arial" w:hAnsi="Arial" w:hint="default"/>
      </w:rPr>
    </w:lvl>
    <w:lvl w:ilvl="3" w:tplc="945AB926" w:tentative="1">
      <w:start w:val="1"/>
      <w:numFmt w:val="bullet"/>
      <w:lvlText w:val="•"/>
      <w:lvlJc w:val="left"/>
      <w:pPr>
        <w:tabs>
          <w:tab w:val="num" w:pos="2880"/>
        </w:tabs>
        <w:ind w:left="2880" w:hanging="360"/>
      </w:pPr>
      <w:rPr>
        <w:rFonts w:ascii="Arial" w:hAnsi="Arial" w:hint="default"/>
      </w:rPr>
    </w:lvl>
    <w:lvl w:ilvl="4" w:tplc="87FEAD7A" w:tentative="1">
      <w:start w:val="1"/>
      <w:numFmt w:val="bullet"/>
      <w:lvlText w:val="•"/>
      <w:lvlJc w:val="left"/>
      <w:pPr>
        <w:tabs>
          <w:tab w:val="num" w:pos="3600"/>
        </w:tabs>
        <w:ind w:left="3600" w:hanging="360"/>
      </w:pPr>
      <w:rPr>
        <w:rFonts w:ascii="Arial" w:hAnsi="Arial" w:hint="default"/>
      </w:rPr>
    </w:lvl>
    <w:lvl w:ilvl="5" w:tplc="BCEC3B90" w:tentative="1">
      <w:start w:val="1"/>
      <w:numFmt w:val="bullet"/>
      <w:lvlText w:val="•"/>
      <w:lvlJc w:val="left"/>
      <w:pPr>
        <w:tabs>
          <w:tab w:val="num" w:pos="4320"/>
        </w:tabs>
        <w:ind w:left="4320" w:hanging="360"/>
      </w:pPr>
      <w:rPr>
        <w:rFonts w:ascii="Arial" w:hAnsi="Arial" w:hint="default"/>
      </w:rPr>
    </w:lvl>
    <w:lvl w:ilvl="6" w:tplc="93082164" w:tentative="1">
      <w:start w:val="1"/>
      <w:numFmt w:val="bullet"/>
      <w:lvlText w:val="•"/>
      <w:lvlJc w:val="left"/>
      <w:pPr>
        <w:tabs>
          <w:tab w:val="num" w:pos="5040"/>
        </w:tabs>
        <w:ind w:left="5040" w:hanging="360"/>
      </w:pPr>
      <w:rPr>
        <w:rFonts w:ascii="Arial" w:hAnsi="Arial" w:hint="default"/>
      </w:rPr>
    </w:lvl>
    <w:lvl w:ilvl="7" w:tplc="4D562EDE" w:tentative="1">
      <w:start w:val="1"/>
      <w:numFmt w:val="bullet"/>
      <w:lvlText w:val="•"/>
      <w:lvlJc w:val="left"/>
      <w:pPr>
        <w:tabs>
          <w:tab w:val="num" w:pos="5760"/>
        </w:tabs>
        <w:ind w:left="5760" w:hanging="360"/>
      </w:pPr>
      <w:rPr>
        <w:rFonts w:ascii="Arial" w:hAnsi="Arial" w:hint="default"/>
      </w:rPr>
    </w:lvl>
    <w:lvl w:ilvl="8" w:tplc="85FC94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4B36AF8"/>
    <w:multiLevelType w:val="hybridMultilevel"/>
    <w:tmpl w:val="E96431FC"/>
    <w:lvl w:ilvl="0" w:tplc="A7F018D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F578A"/>
    <w:multiLevelType w:val="hybridMultilevel"/>
    <w:tmpl w:val="44E44C90"/>
    <w:lvl w:ilvl="0" w:tplc="8BA242E6">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1B4F9E"/>
    <w:multiLevelType w:val="hybridMultilevel"/>
    <w:tmpl w:val="84ECC60C"/>
    <w:lvl w:ilvl="0" w:tplc="60169E6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625234"/>
    <w:multiLevelType w:val="hybridMultilevel"/>
    <w:tmpl w:val="A71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6"/>
  </w:num>
  <w:num w:numId="6">
    <w:abstractNumId w:val="2"/>
  </w:num>
  <w:num w:numId="7">
    <w:abstractNumId w:val="8"/>
  </w:num>
  <w:num w:numId="8">
    <w:abstractNumId w:val="1"/>
  </w:num>
  <w:num w:numId="9">
    <w:abstractNumId w:val="5"/>
  </w:num>
  <w:num w:numId="10">
    <w:abstractNumId w:val="0"/>
    <w:lvlOverride w:ilvl="0">
      <w:startOverride w:val="1"/>
    </w:lvlOverride>
  </w:num>
  <w:num w:numId="11">
    <w:abstractNumId w:val="10"/>
  </w:num>
  <w:num w:numId="12">
    <w:abstractNumId w:val="0"/>
  </w:num>
  <w:num w:numId="13">
    <w:abstractNumId w:val="0"/>
    <w:lvlOverride w:ilvl="0">
      <w:startOverride w:val="6"/>
    </w:lvlOverride>
  </w:num>
  <w:num w:numId="14">
    <w:abstractNumId w:val="0"/>
  </w:num>
  <w:num w:numId="15">
    <w:abstractNumId w:val="0"/>
  </w:num>
  <w:num w:numId="16">
    <w:abstractNumId w:val="0"/>
  </w:num>
  <w:num w:numId="17">
    <w:abstractNumId w:val="0"/>
  </w:num>
  <w:num w:numId="18">
    <w:abstractNumId w:val="0"/>
  </w:num>
  <w:num w:numId="19">
    <w:abstractNumId w:val="0"/>
  </w:num>
  <w:num w:numId="20">
    <w:abstractNumId w:val="7"/>
  </w:num>
  <w:num w:numId="21">
    <w:abstractNumId w:val="11"/>
  </w:num>
  <w:num w:numId="22">
    <w:abstractNumId w:val="0"/>
  </w:num>
  <w:num w:numId="23">
    <w:abstractNumId w:val="0"/>
  </w:num>
  <w:num w:numId="24">
    <w:abstractNumId w:val="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hdrShapeDefaults>
    <o:shapedefaults v:ext="edit" spidmax="184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E5"/>
    <w:rsid w:val="0000050E"/>
    <w:rsid w:val="00002076"/>
    <w:rsid w:val="00002544"/>
    <w:rsid w:val="00002B01"/>
    <w:rsid w:val="00002F38"/>
    <w:rsid w:val="00003BE2"/>
    <w:rsid w:val="00004743"/>
    <w:rsid w:val="000061F6"/>
    <w:rsid w:val="00006541"/>
    <w:rsid w:val="00006977"/>
    <w:rsid w:val="00006B0B"/>
    <w:rsid w:val="00007944"/>
    <w:rsid w:val="000079D9"/>
    <w:rsid w:val="00007CA3"/>
    <w:rsid w:val="00010602"/>
    <w:rsid w:val="000110F3"/>
    <w:rsid w:val="0001180A"/>
    <w:rsid w:val="00011973"/>
    <w:rsid w:val="00012397"/>
    <w:rsid w:val="000130A5"/>
    <w:rsid w:val="00015432"/>
    <w:rsid w:val="00016285"/>
    <w:rsid w:val="0001653F"/>
    <w:rsid w:val="00022063"/>
    <w:rsid w:val="000223EC"/>
    <w:rsid w:val="000243EE"/>
    <w:rsid w:val="000254EA"/>
    <w:rsid w:val="00030324"/>
    <w:rsid w:val="00032135"/>
    <w:rsid w:val="000326FB"/>
    <w:rsid w:val="00033825"/>
    <w:rsid w:val="000339EB"/>
    <w:rsid w:val="00034542"/>
    <w:rsid w:val="00034B45"/>
    <w:rsid w:val="00035155"/>
    <w:rsid w:val="00035BA4"/>
    <w:rsid w:val="00036399"/>
    <w:rsid w:val="00036C22"/>
    <w:rsid w:val="00040017"/>
    <w:rsid w:val="00040D28"/>
    <w:rsid w:val="000414EA"/>
    <w:rsid w:val="00041B17"/>
    <w:rsid w:val="000420FE"/>
    <w:rsid w:val="000423A6"/>
    <w:rsid w:val="0004257A"/>
    <w:rsid w:val="00042E94"/>
    <w:rsid w:val="00046B27"/>
    <w:rsid w:val="000474AE"/>
    <w:rsid w:val="0005088B"/>
    <w:rsid w:val="000510B6"/>
    <w:rsid w:val="00057652"/>
    <w:rsid w:val="00060179"/>
    <w:rsid w:val="00061F86"/>
    <w:rsid w:val="000620C8"/>
    <w:rsid w:val="00062161"/>
    <w:rsid w:val="00062E30"/>
    <w:rsid w:val="000631BF"/>
    <w:rsid w:val="00064101"/>
    <w:rsid w:val="00064E4B"/>
    <w:rsid w:val="00065B9F"/>
    <w:rsid w:val="00066A79"/>
    <w:rsid w:val="00067098"/>
    <w:rsid w:val="00067115"/>
    <w:rsid w:val="0006773C"/>
    <w:rsid w:val="00070101"/>
    <w:rsid w:val="00070438"/>
    <w:rsid w:val="00071D3B"/>
    <w:rsid w:val="00073C28"/>
    <w:rsid w:val="00073DF3"/>
    <w:rsid w:val="000744AF"/>
    <w:rsid w:val="00074647"/>
    <w:rsid w:val="000749AE"/>
    <w:rsid w:val="0007699B"/>
    <w:rsid w:val="00077AB2"/>
    <w:rsid w:val="000804E8"/>
    <w:rsid w:val="00080AD9"/>
    <w:rsid w:val="00081B42"/>
    <w:rsid w:val="00082071"/>
    <w:rsid w:val="00082282"/>
    <w:rsid w:val="000822F2"/>
    <w:rsid w:val="000837F5"/>
    <w:rsid w:val="00085630"/>
    <w:rsid w:val="000908E9"/>
    <w:rsid w:val="00092C61"/>
    <w:rsid w:val="0009334A"/>
    <w:rsid w:val="00094045"/>
    <w:rsid w:val="00094912"/>
    <w:rsid w:val="00094C18"/>
    <w:rsid w:val="00094E41"/>
    <w:rsid w:val="00095E07"/>
    <w:rsid w:val="000A0692"/>
    <w:rsid w:val="000A0B28"/>
    <w:rsid w:val="000A0E6D"/>
    <w:rsid w:val="000A490D"/>
    <w:rsid w:val="000A565B"/>
    <w:rsid w:val="000B017E"/>
    <w:rsid w:val="000B0E37"/>
    <w:rsid w:val="000B36FE"/>
    <w:rsid w:val="000B4EF2"/>
    <w:rsid w:val="000C0615"/>
    <w:rsid w:val="000C0EEE"/>
    <w:rsid w:val="000C1E66"/>
    <w:rsid w:val="000C23E5"/>
    <w:rsid w:val="000C2E0E"/>
    <w:rsid w:val="000C385B"/>
    <w:rsid w:val="000C56A9"/>
    <w:rsid w:val="000C651E"/>
    <w:rsid w:val="000C74BE"/>
    <w:rsid w:val="000D1D7B"/>
    <w:rsid w:val="000D1F99"/>
    <w:rsid w:val="000D2DAF"/>
    <w:rsid w:val="000D3D42"/>
    <w:rsid w:val="000D4466"/>
    <w:rsid w:val="000D4622"/>
    <w:rsid w:val="000D4837"/>
    <w:rsid w:val="000D56D3"/>
    <w:rsid w:val="000D593C"/>
    <w:rsid w:val="000D5C03"/>
    <w:rsid w:val="000D70D3"/>
    <w:rsid w:val="000E0941"/>
    <w:rsid w:val="000E122F"/>
    <w:rsid w:val="000E15AC"/>
    <w:rsid w:val="000E1795"/>
    <w:rsid w:val="000E1DB1"/>
    <w:rsid w:val="000E21AB"/>
    <w:rsid w:val="000E2274"/>
    <w:rsid w:val="000E374C"/>
    <w:rsid w:val="000E4A47"/>
    <w:rsid w:val="000E4EB3"/>
    <w:rsid w:val="000E50BF"/>
    <w:rsid w:val="000E5787"/>
    <w:rsid w:val="000E679F"/>
    <w:rsid w:val="000E6AD6"/>
    <w:rsid w:val="000E77FB"/>
    <w:rsid w:val="000F0AEA"/>
    <w:rsid w:val="000F0D91"/>
    <w:rsid w:val="000F0F20"/>
    <w:rsid w:val="000F1895"/>
    <w:rsid w:val="000F2CA3"/>
    <w:rsid w:val="000F2F57"/>
    <w:rsid w:val="000F4037"/>
    <w:rsid w:val="000F4521"/>
    <w:rsid w:val="000F4725"/>
    <w:rsid w:val="000F6FCA"/>
    <w:rsid w:val="000F7563"/>
    <w:rsid w:val="000F79C6"/>
    <w:rsid w:val="000F7D6C"/>
    <w:rsid w:val="001005D9"/>
    <w:rsid w:val="00100A44"/>
    <w:rsid w:val="00100A4E"/>
    <w:rsid w:val="00100C92"/>
    <w:rsid w:val="0010164C"/>
    <w:rsid w:val="00101C93"/>
    <w:rsid w:val="00105DAA"/>
    <w:rsid w:val="001061A7"/>
    <w:rsid w:val="00110822"/>
    <w:rsid w:val="00110F03"/>
    <w:rsid w:val="00111BC4"/>
    <w:rsid w:val="00111CBA"/>
    <w:rsid w:val="00112A9E"/>
    <w:rsid w:val="00113155"/>
    <w:rsid w:val="00114284"/>
    <w:rsid w:val="001151A2"/>
    <w:rsid w:val="001156B4"/>
    <w:rsid w:val="0011611D"/>
    <w:rsid w:val="0012460C"/>
    <w:rsid w:val="00126A3E"/>
    <w:rsid w:val="00126E8E"/>
    <w:rsid w:val="0012739C"/>
    <w:rsid w:val="0012742E"/>
    <w:rsid w:val="00127A2B"/>
    <w:rsid w:val="00130669"/>
    <w:rsid w:val="00130A11"/>
    <w:rsid w:val="00130BB9"/>
    <w:rsid w:val="001340AE"/>
    <w:rsid w:val="00134941"/>
    <w:rsid w:val="00135838"/>
    <w:rsid w:val="00135DAD"/>
    <w:rsid w:val="00135DEC"/>
    <w:rsid w:val="0013652A"/>
    <w:rsid w:val="001368F3"/>
    <w:rsid w:val="0013722E"/>
    <w:rsid w:val="00140891"/>
    <w:rsid w:val="00140D95"/>
    <w:rsid w:val="001418C1"/>
    <w:rsid w:val="0014346D"/>
    <w:rsid w:val="00144920"/>
    <w:rsid w:val="00146105"/>
    <w:rsid w:val="00146DEC"/>
    <w:rsid w:val="0014713D"/>
    <w:rsid w:val="00147BF8"/>
    <w:rsid w:val="0015027F"/>
    <w:rsid w:val="001507FF"/>
    <w:rsid w:val="00154A12"/>
    <w:rsid w:val="00155CC2"/>
    <w:rsid w:val="001575CE"/>
    <w:rsid w:val="0015771E"/>
    <w:rsid w:val="00162A05"/>
    <w:rsid w:val="00164E3F"/>
    <w:rsid w:val="00166D01"/>
    <w:rsid w:val="00166D7A"/>
    <w:rsid w:val="00170666"/>
    <w:rsid w:val="00170E54"/>
    <w:rsid w:val="00172537"/>
    <w:rsid w:val="001732F3"/>
    <w:rsid w:val="001736BD"/>
    <w:rsid w:val="001742C4"/>
    <w:rsid w:val="0017492F"/>
    <w:rsid w:val="00174FFC"/>
    <w:rsid w:val="00176777"/>
    <w:rsid w:val="00177482"/>
    <w:rsid w:val="00180371"/>
    <w:rsid w:val="001815CC"/>
    <w:rsid w:val="00183163"/>
    <w:rsid w:val="0018343B"/>
    <w:rsid w:val="0018375D"/>
    <w:rsid w:val="0018588F"/>
    <w:rsid w:val="00186464"/>
    <w:rsid w:val="001874E5"/>
    <w:rsid w:val="00193129"/>
    <w:rsid w:val="0019434A"/>
    <w:rsid w:val="001949EE"/>
    <w:rsid w:val="00194CCF"/>
    <w:rsid w:val="0019592B"/>
    <w:rsid w:val="00195DE8"/>
    <w:rsid w:val="00195E56"/>
    <w:rsid w:val="00195EF5"/>
    <w:rsid w:val="001A32EC"/>
    <w:rsid w:val="001A37B8"/>
    <w:rsid w:val="001A6360"/>
    <w:rsid w:val="001A76D0"/>
    <w:rsid w:val="001A7A28"/>
    <w:rsid w:val="001A7C95"/>
    <w:rsid w:val="001B0E8E"/>
    <w:rsid w:val="001B11B5"/>
    <w:rsid w:val="001B1F59"/>
    <w:rsid w:val="001B27A8"/>
    <w:rsid w:val="001B45E6"/>
    <w:rsid w:val="001B4B26"/>
    <w:rsid w:val="001B5466"/>
    <w:rsid w:val="001B5550"/>
    <w:rsid w:val="001B64B4"/>
    <w:rsid w:val="001B6B4A"/>
    <w:rsid w:val="001B72D7"/>
    <w:rsid w:val="001B7585"/>
    <w:rsid w:val="001C0081"/>
    <w:rsid w:val="001C0319"/>
    <w:rsid w:val="001C0541"/>
    <w:rsid w:val="001C1383"/>
    <w:rsid w:val="001C2EFB"/>
    <w:rsid w:val="001C38A4"/>
    <w:rsid w:val="001C4F4C"/>
    <w:rsid w:val="001C5576"/>
    <w:rsid w:val="001C5904"/>
    <w:rsid w:val="001C5BCD"/>
    <w:rsid w:val="001C6DC1"/>
    <w:rsid w:val="001D0140"/>
    <w:rsid w:val="001D0454"/>
    <w:rsid w:val="001D17A8"/>
    <w:rsid w:val="001D1912"/>
    <w:rsid w:val="001D63C1"/>
    <w:rsid w:val="001D6594"/>
    <w:rsid w:val="001D70D9"/>
    <w:rsid w:val="001D76AE"/>
    <w:rsid w:val="001E1351"/>
    <w:rsid w:val="001E1BD4"/>
    <w:rsid w:val="001E1C08"/>
    <w:rsid w:val="001E2140"/>
    <w:rsid w:val="001E2936"/>
    <w:rsid w:val="001E530F"/>
    <w:rsid w:val="001E556D"/>
    <w:rsid w:val="001E70A4"/>
    <w:rsid w:val="001E735F"/>
    <w:rsid w:val="001F1E16"/>
    <w:rsid w:val="001F6759"/>
    <w:rsid w:val="001F6A3B"/>
    <w:rsid w:val="001F72E6"/>
    <w:rsid w:val="001F7B75"/>
    <w:rsid w:val="00201129"/>
    <w:rsid w:val="00201A07"/>
    <w:rsid w:val="00201D6D"/>
    <w:rsid w:val="0020352A"/>
    <w:rsid w:val="00203784"/>
    <w:rsid w:val="0020454C"/>
    <w:rsid w:val="002048A3"/>
    <w:rsid w:val="002054DF"/>
    <w:rsid w:val="002064BC"/>
    <w:rsid w:val="00207082"/>
    <w:rsid w:val="00207234"/>
    <w:rsid w:val="002103A5"/>
    <w:rsid w:val="0021114A"/>
    <w:rsid w:val="0021418C"/>
    <w:rsid w:val="00214F0C"/>
    <w:rsid w:val="00215274"/>
    <w:rsid w:val="00215CE4"/>
    <w:rsid w:val="00216931"/>
    <w:rsid w:val="00216997"/>
    <w:rsid w:val="00217233"/>
    <w:rsid w:val="002218D7"/>
    <w:rsid w:val="00221F5D"/>
    <w:rsid w:val="0022276A"/>
    <w:rsid w:val="00222D7E"/>
    <w:rsid w:val="002256E1"/>
    <w:rsid w:val="00226027"/>
    <w:rsid w:val="0022641D"/>
    <w:rsid w:val="002265FA"/>
    <w:rsid w:val="002307A0"/>
    <w:rsid w:val="00230E0B"/>
    <w:rsid w:val="002316AA"/>
    <w:rsid w:val="00231DBB"/>
    <w:rsid w:val="0023223F"/>
    <w:rsid w:val="00232DA9"/>
    <w:rsid w:val="002332CB"/>
    <w:rsid w:val="00233EDB"/>
    <w:rsid w:val="00234873"/>
    <w:rsid w:val="00234DC8"/>
    <w:rsid w:val="002350C9"/>
    <w:rsid w:val="0023670B"/>
    <w:rsid w:val="00236853"/>
    <w:rsid w:val="00236CB0"/>
    <w:rsid w:val="0023736A"/>
    <w:rsid w:val="00237ED3"/>
    <w:rsid w:val="0024198D"/>
    <w:rsid w:val="00241F93"/>
    <w:rsid w:val="0024263B"/>
    <w:rsid w:val="00242C9A"/>
    <w:rsid w:val="0024425E"/>
    <w:rsid w:val="00244491"/>
    <w:rsid w:val="0024528F"/>
    <w:rsid w:val="00245D28"/>
    <w:rsid w:val="0024679C"/>
    <w:rsid w:val="00246F9D"/>
    <w:rsid w:val="00247011"/>
    <w:rsid w:val="002473C1"/>
    <w:rsid w:val="00247F03"/>
    <w:rsid w:val="00250A38"/>
    <w:rsid w:val="00250BD2"/>
    <w:rsid w:val="002512B2"/>
    <w:rsid w:val="00252D70"/>
    <w:rsid w:val="00252F23"/>
    <w:rsid w:val="0025310E"/>
    <w:rsid w:val="002542DE"/>
    <w:rsid w:val="0025539A"/>
    <w:rsid w:val="00255812"/>
    <w:rsid w:val="00255A13"/>
    <w:rsid w:val="00256104"/>
    <w:rsid w:val="00257481"/>
    <w:rsid w:val="002576B8"/>
    <w:rsid w:val="002604C4"/>
    <w:rsid w:val="00260602"/>
    <w:rsid w:val="002610D9"/>
    <w:rsid w:val="00261E3B"/>
    <w:rsid w:val="00262BFA"/>
    <w:rsid w:val="00262F69"/>
    <w:rsid w:val="00264E1B"/>
    <w:rsid w:val="002653A5"/>
    <w:rsid w:val="00266202"/>
    <w:rsid w:val="00266714"/>
    <w:rsid w:val="00270594"/>
    <w:rsid w:val="002706AF"/>
    <w:rsid w:val="00270A51"/>
    <w:rsid w:val="00271B68"/>
    <w:rsid w:val="00272296"/>
    <w:rsid w:val="00272597"/>
    <w:rsid w:val="00272D2C"/>
    <w:rsid w:val="002730DB"/>
    <w:rsid w:val="00277AAE"/>
    <w:rsid w:val="0028142F"/>
    <w:rsid w:val="00282241"/>
    <w:rsid w:val="00283416"/>
    <w:rsid w:val="002844F1"/>
    <w:rsid w:val="00284805"/>
    <w:rsid w:val="002862E2"/>
    <w:rsid w:val="0029088F"/>
    <w:rsid w:val="00291A3F"/>
    <w:rsid w:val="00291C4F"/>
    <w:rsid w:val="0029420B"/>
    <w:rsid w:val="00294A91"/>
    <w:rsid w:val="00294B11"/>
    <w:rsid w:val="002953C1"/>
    <w:rsid w:val="0029541E"/>
    <w:rsid w:val="002954ED"/>
    <w:rsid w:val="002A0533"/>
    <w:rsid w:val="002A12BF"/>
    <w:rsid w:val="002A28AF"/>
    <w:rsid w:val="002A37E6"/>
    <w:rsid w:val="002A3F69"/>
    <w:rsid w:val="002A468C"/>
    <w:rsid w:val="002A4AF5"/>
    <w:rsid w:val="002A62DF"/>
    <w:rsid w:val="002A6A83"/>
    <w:rsid w:val="002A6E47"/>
    <w:rsid w:val="002B013F"/>
    <w:rsid w:val="002B0BD1"/>
    <w:rsid w:val="002B17CE"/>
    <w:rsid w:val="002B2153"/>
    <w:rsid w:val="002B2709"/>
    <w:rsid w:val="002B322E"/>
    <w:rsid w:val="002B36DE"/>
    <w:rsid w:val="002B5C3F"/>
    <w:rsid w:val="002B61C6"/>
    <w:rsid w:val="002B6B06"/>
    <w:rsid w:val="002C0C63"/>
    <w:rsid w:val="002C0C8E"/>
    <w:rsid w:val="002C3BCD"/>
    <w:rsid w:val="002C4D6A"/>
    <w:rsid w:val="002C5042"/>
    <w:rsid w:val="002C5A03"/>
    <w:rsid w:val="002C7345"/>
    <w:rsid w:val="002D0F60"/>
    <w:rsid w:val="002D121E"/>
    <w:rsid w:val="002D19CE"/>
    <w:rsid w:val="002D2013"/>
    <w:rsid w:val="002D279A"/>
    <w:rsid w:val="002D2880"/>
    <w:rsid w:val="002D3E68"/>
    <w:rsid w:val="002D41C3"/>
    <w:rsid w:val="002D64BE"/>
    <w:rsid w:val="002D6A8E"/>
    <w:rsid w:val="002D7099"/>
    <w:rsid w:val="002D742A"/>
    <w:rsid w:val="002D7F9F"/>
    <w:rsid w:val="002E0294"/>
    <w:rsid w:val="002E03FD"/>
    <w:rsid w:val="002E0DF3"/>
    <w:rsid w:val="002E1F3E"/>
    <w:rsid w:val="002E2AE4"/>
    <w:rsid w:val="002E2F96"/>
    <w:rsid w:val="002E3462"/>
    <w:rsid w:val="002E417A"/>
    <w:rsid w:val="002E4A9B"/>
    <w:rsid w:val="002E5316"/>
    <w:rsid w:val="002E5CBF"/>
    <w:rsid w:val="002E6BC1"/>
    <w:rsid w:val="002E6DF2"/>
    <w:rsid w:val="002E79ED"/>
    <w:rsid w:val="002F0D75"/>
    <w:rsid w:val="002F1B14"/>
    <w:rsid w:val="002F27FF"/>
    <w:rsid w:val="002F394A"/>
    <w:rsid w:val="002F41F0"/>
    <w:rsid w:val="002F4D92"/>
    <w:rsid w:val="002F5F11"/>
    <w:rsid w:val="002F6A57"/>
    <w:rsid w:val="002F7FBB"/>
    <w:rsid w:val="003001E3"/>
    <w:rsid w:val="0030255E"/>
    <w:rsid w:val="00302F08"/>
    <w:rsid w:val="003030C4"/>
    <w:rsid w:val="00303327"/>
    <w:rsid w:val="0030364B"/>
    <w:rsid w:val="00303E87"/>
    <w:rsid w:val="00304439"/>
    <w:rsid w:val="00306917"/>
    <w:rsid w:val="003107C9"/>
    <w:rsid w:val="0031093F"/>
    <w:rsid w:val="003109E5"/>
    <w:rsid w:val="00310F87"/>
    <w:rsid w:val="00311256"/>
    <w:rsid w:val="003126EF"/>
    <w:rsid w:val="003138B8"/>
    <w:rsid w:val="00314F91"/>
    <w:rsid w:val="003164C4"/>
    <w:rsid w:val="00317BE8"/>
    <w:rsid w:val="00320429"/>
    <w:rsid w:val="0032092E"/>
    <w:rsid w:val="00320AC1"/>
    <w:rsid w:val="00320B52"/>
    <w:rsid w:val="00320FC9"/>
    <w:rsid w:val="00321768"/>
    <w:rsid w:val="00322E03"/>
    <w:rsid w:val="003254C7"/>
    <w:rsid w:val="00325DF8"/>
    <w:rsid w:val="00326A96"/>
    <w:rsid w:val="00327934"/>
    <w:rsid w:val="00331FC8"/>
    <w:rsid w:val="003325AF"/>
    <w:rsid w:val="003365CD"/>
    <w:rsid w:val="00340067"/>
    <w:rsid w:val="00340274"/>
    <w:rsid w:val="00340497"/>
    <w:rsid w:val="00341FC3"/>
    <w:rsid w:val="003448A7"/>
    <w:rsid w:val="00344E31"/>
    <w:rsid w:val="00345E7A"/>
    <w:rsid w:val="0034793A"/>
    <w:rsid w:val="0034796F"/>
    <w:rsid w:val="00347BF9"/>
    <w:rsid w:val="00347D5A"/>
    <w:rsid w:val="003501C7"/>
    <w:rsid w:val="00350361"/>
    <w:rsid w:val="00350824"/>
    <w:rsid w:val="00351968"/>
    <w:rsid w:val="0035213A"/>
    <w:rsid w:val="00353711"/>
    <w:rsid w:val="0035457E"/>
    <w:rsid w:val="0035482C"/>
    <w:rsid w:val="00355836"/>
    <w:rsid w:val="00355919"/>
    <w:rsid w:val="0035694D"/>
    <w:rsid w:val="0036027E"/>
    <w:rsid w:val="003608F8"/>
    <w:rsid w:val="003620B3"/>
    <w:rsid w:val="00364148"/>
    <w:rsid w:val="00367560"/>
    <w:rsid w:val="00370A95"/>
    <w:rsid w:val="00371AF8"/>
    <w:rsid w:val="00372BBD"/>
    <w:rsid w:val="00373218"/>
    <w:rsid w:val="003745A7"/>
    <w:rsid w:val="00374900"/>
    <w:rsid w:val="0037518E"/>
    <w:rsid w:val="00375E99"/>
    <w:rsid w:val="0038047B"/>
    <w:rsid w:val="00380844"/>
    <w:rsid w:val="00380A31"/>
    <w:rsid w:val="003817EE"/>
    <w:rsid w:val="00381B59"/>
    <w:rsid w:val="0038341A"/>
    <w:rsid w:val="00383862"/>
    <w:rsid w:val="00384118"/>
    <w:rsid w:val="003848B4"/>
    <w:rsid w:val="0038491E"/>
    <w:rsid w:val="00384E5B"/>
    <w:rsid w:val="003852FB"/>
    <w:rsid w:val="003859DE"/>
    <w:rsid w:val="00386210"/>
    <w:rsid w:val="00386F86"/>
    <w:rsid w:val="00387361"/>
    <w:rsid w:val="00390D2A"/>
    <w:rsid w:val="00391753"/>
    <w:rsid w:val="00392BE5"/>
    <w:rsid w:val="00394370"/>
    <w:rsid w:val="003953D4"/>
    <w:rsid w:val="00395527"/>
    <w:rsid w:val="00395BC1"/>
    <w:rsid w:val="003974F7"/>
    <w:rsid w:val="0039750E"/>
    <w:rsid w:val="003979A7"/>
    <w:rsid w:val="00397DA0"/>
    <w:rsid w:val="00397F1C"/>
    <w:rsid w:val="003A0174"/>
    <w:rsid w:val="003A1801"/>
    <w:rsid w:val="003A1D30"/>
    <w:rsid w:val="003A274E"/>
    <w:rsid w:val="003A38F3"/>
    <w:rsid w:val="003A3C90"/>
    <w:rsid w:val="003A3E45"/>
    <w:rsid w:val="003A57DA"/>
    <w:rsid w:val="003A79FF"/>
    <w:rsid w:val="003A7E14"/>
    <w:rsid w:val="003B0711"/>
    <w:rsid w:val="003B0AAA"/>
    <w:rsid w:val="003B1661"/>
    <w:rsid w:val="003B1EA1"/>
    <w:rsid w:val="003B2031"/>
    <w:rsid w:val="003B2131"/>
    <w:rsid w:val="003B2245"/>
    <w:rsid w:val="003B2A68"/>
    <w:rsid w:val="003B3025"/>
    <w:rsid w:val="003B3148"/>
    <w:rsid w:val="003B3747"/>
    <w:rsid w:val="003B3757"/>
    <w:rsid w:val="003B4720"/>
    <w:rsid w:val="003B58E3"/>
    <w:rsid w:val="003B74F1"/>
    <w:rsid w:val="003C2710"/>
    <w:rsid w:val="003C2A5C"/>
    <w:rsid w:val="003C3AEF"/>
    <w:rsid w:val="003C737C"/>
    <w:rsid w:val="003C79B0"/>
    <w:rsid w:val="003D0C2C"/>
    <w:rsid w:val="003D2377"/>
    <w:rsid w:val="003D25B0"/>
    <w:rsid w:val="003D2891"/>
    <w:rsid w:val="003D2B10"/>
    <w:rsid w:val="003D3FFD"/>
    <w:rsid w:val="003D4876"/>
    <w:rsid w:val="003D5193"/>
    <w:rsid w:val="003D6D02"/>
    <w:rsid w:val="003D70D5"/>
    <w:rsid w:val="003E0BE2"/>
    <w:rsid w:val="003E10B5"/>
    <w:rsid w:val="003E110E"/>
    <w:rsid w:val="003E2931"/>
    <w:rsid w:val="003E5DB8"/>
    <w:rsid w:val="003E663F"/>
    <w:rsid w:val="003E74AF"/>
    <w:rsid w:val="003F05F4"/>
    <w:rsid w:val="003F1343"/>
    <w:rsid w:val="003F240A"/>
    <w:rsid w:val="003F32FD"/>
    <w:rsid w:val="003F39C3"/>
    <w:rsid w:val="003F51CC"/>
    <w:rsid w:val="003F599A"/>
    <w:rsid w:val="003F6362"/>
    <w:rsid w:val="003F6E82"/>
    <w:rsid w:val="003F731E"/>
    <w:rsid w:val="003F7524"/>
    <w:rsid w:val="003F7597"/>
    <w:rsid w:val="003F78EE"/>
    <w:rsid w:val="003F7E07"/>
    <w:rsid w:val="00400547"/>
    <w:rsid w:val="004019B6"/>
    <w:rsid w:val="00401D0B"/>
    <w:rsid w:val="0040359F"/>
    <w:rsid w:val="004049BB"/>
    <w:rsid w:val="00404B62"/>
    <w:rsid w:val="0040518A"/>
    <w:rsid w:val="0040644D"/>
    <w:rsid w:val="00407459"/>
    <w:rsid w:val="004105C5"/>
    <w:rsid w:val="004114F2"/>
    <w:rsid w:val="00411C03"/>
    <w:rsid w:val="00412A54"/>
    <w:rsid w:val="004167C7"/>
    <w:rsid w:val="00416C3F"/>
    <w:rsid w:val="004202A7"/>
    <w:rsid w:val="00420525"/>
    <w:rsid w:val="00420613"/>
    <w:rsid w:val="00424225"/>
    <w:rsid w:val="00425DC0"/>
    <w:rsid w:val="0042668B"/>
    <w:rsid w:val="00426E30"/>
    <w:rsid w:val="004274AE"/>
    <w:rsid w:val="004301BE"/>
    <w:rsid w:val="00430EC5"/>
    <w:rsid w:val="00431A94"/>
    <w:rsid w:val="004321D0"/>
    <w:rsid w:val="00434560"/>
    <w:rsid w:val="00436172"/>
    <w:rsid w:val="004362C6"/>
    <w:rsid w:val="00436CF8"/>
    <w:rsid w:val="00443636"/>
    <w:rsid w:val="00443767"/>
    <w:rsid w:val="004438B0"/>
    <w:rsid w:val="00443BF9"/>
    <w:rsid w:val="004442BC"/>
    <w:rsid w:val="004459F4"/>
    <w:rsid w:val="00445F83"/>
    <w:rsid w:val="004472BE"/>
    <w:rsid w:val="0045076D"/>
    <w:rsid w:val="00452E0B"/>
    <w:rsid w:val="0045318F"/>
    <w:rsid w:val="00453325"/>
    <w:rsid w:val="00453A8D"/>
    <w:rsid w:val="00455144"/>
    <w:rsid w:val="004553A7"/>
    <w:rsid w:val="00456453"/>
    <w:rsid w:val="004567BD"/>
    <w:rsid w:val="00456EBA"/>
    <w:rsid w:val="004574B8"/>
    <w:rsid w:val="004601AD"/>
    <w:rsid w:val="00462365"/>
    <w:rsid w:val="004625D7"/>
    <w:rsid w:val="004639D9"/>
    <w:rsid w:val="00463BD0"/>
    <w:rsid w:val="0046464C"/>
    <w:rsid w:val="00466967"/>
    <w:rsid w:val="00467E44"/>
    <w:rsid w:val="0047041F"/>
    <w:rsid w:val="00472598"/>
    <w:rsid w:val="004725DB"/>
    <w:rsid w:val="00472AF2"/>
    <w:rsid w:val="00474A19"/>
    <w:rsid w:val="00474F9F"/>
    <w:rsid w:val="00474FAF"/>
    <w:rsid w:val="00475B7E"/>
    <w:rsid w:val="00475D38"/>
    <w:rsid w:val="0048344A"/>
    <w:rsid w:val="0048389C"/>
    <w:rsid w:val="00484987"/>
    <w:rsid w:val="00484A2D"/>
    <w:rsid w:val="004859FC"/>
    <w:rsid w:val="00485A2E"/>
    <w:rsid w:val="00486CF4"/>
    <w:rsid w:val="00486F87"/>
    <w:rsid w:val="00487DDE"/>
    <w:rsid w:val="00491310"/>
    <w:rsid w:val="00491C68"/>
    <w:rsid w:val="00493973"/>
    <w:rsid w:val="00493AE2"/>
    <w:rsid w:val="004943A4"/>
    <w:rsid w:val="0049637F"/>
    <w:rsid w:val="0049657D"/>
    <w:rsid w:val="00496E9A"/>
    <w:rsid w:val="00497FC9"/>
    <w:rsid w:val="004A01EE"/>
    <w:rsid w:val="004A0BBD"/>
    <w:rsid w:val="004A2447"/>
    <w:rsid w:val="004A295D"/>
    <w:rsid w:val="004A2B74"/>
    <w:rsid w:val="004A2C63"/>
    <w:rsid w:val="004A4171"/>
    <w:rsid w:val="004A52DE"/>
    <w:rsid w:val="004A58DC"/>
    <w:rsid w:val="004A6D7D"/>
    <w:rsid w:val="004B0331"/>
    <w:rsid w:val="004B2FB2"/>
    <w:rsid w:val="004B38A2"/>
    <w:rsid w:val="004B424C"/>
    <w:rsid w:val="004B6585"/>
    <w:rsid w:val="004B7759"/>
    <w:rsid w:val="004C16DF"/>
    <w:rsid w:val="004C2AC3"/>
    <w:rsid w:val="004C30B7"/>
    <w:rsid w:val="004C32A8"/>
    <w:rsid w:val="004C39A4"/>
    <w:rsid w:val="004C3F25"/>
    <w:rsid w:val="004C4981"/>
    <w:rsid w:val="004C65C5"/>
    <w:rsid w:val="004C6BF5"/>
    <w:rsid w:val="004C6FA2"/>
    <w:rsid w:val="004D2731"/>
    <w:rsid w:val="004D38D5"/>
    <w:rsid w:val="004D46E0"/>
    <w:rsid w:val="004D62D6"/>
    <w:rsid w:val="004D7780"/>
    <w:rsid w:val="004E0B8E"/>
    <w:rsid w:val="004E1750"/>
    <w:rsid w:val="004E1BA5"/>
    <w:rsid w:val="004E26C7"/>
    <w:rsid w:val="004E45FA"/>
    <w:rsid w:val="004E525B"/>
    <w:rsid w:val="004E5DCA"/>
    <w:rsid w:val="004E73B6"/>
    <w:rsid w:val="004F1373"/>
    <w:rsid w:val="004F1B24"/>
    <w:rsid w:val="004F2579"/>
    <w:rsid w:val="004F283B"/>
    <w:rsid w:val="004F323F"/>
    <w:rsid w:val="004F3EEC"/>
    <w:rsid w:val="004F46DC"/>
    <w:rsid w:val="004F4A7A"/>
    <w:rsid w:val="004F5328"/>
    <w:rsid w:val="004F7699"/>
    <w:rsid w:val="005008DA"/>
    <w:rsid w:val="005009C8"/>
    <w:rsid w:val="0050231F"/>
    <w:rsid w:val="0050316C"/>
    <w:rsid w:val="00503516"/>
    <w:rsid w:val="00503F50"/>
    <w:rsid w:val="00504E95"/>
    <w:rsid w:val="00505C61"/>
    <w:rsid w:val="0050713E"/>
    <w:rsid w:val="00510270"/>
    <w:rsid w:val="0051067A"/>
    <w:rsid w:val="00511D94"/>
    <w:rsid w:val="005123F7"/>
    <w:rsid w:val="005134CA"/>
    <w:rsid w:val="00513A7F"/>
    <w:rsid w:val="00513FD0"/>
    <w:rsid w:val="00514F74"/>
    <w:rsid w:val="00516AAA"/>
    <w:rsid w:val="00516CBB"/>
    <w:rsid w:val="00517811"/>
    <w:rsid w:val="005206C8"/>
    <w:rsid w:val="005217B8"/>
    <w:rsid w:val="0052610E"/>
    <w:rsid w:val="005307E5"/>
    <w:rsid w:val="00530BCF"/>
    <w:rsid w:val="00530DAD"/>
    <w:rsid w:val="00530FAA"/>
    <w:rsid w:val="00531172"/>
    <w:rsid w:val="00532034"/>
    <w:rsid w:val="00533051"/>
    <w:rsid w:val="00533C42"/>
    <w:rsid w:val="0053477B"/>
    <w:rsid w:val="00535424"/>
    <w:rsid w:val="00535495"/>
    <w:rsid w:val="00535E3D"/>
    <w:rsid w:val="0053653B"/>
    <w:rsid w:val="00536F33"/>
    <w:rsid w:val="0053724D"/>
    <w:rsid w:val="005400AE"/>
    <w:rsid w:val="0054046B"/>
    <w:rsid w:val="0054123E"/>
    <w:rsid w:val="005412DF"/>
    <w:rsid w:val="005432B6"/>
    <w:rsid w:val="005455A7"/>
    <w:rsid w:val="00545C6F"/>
    <w:rsid w:val="00547029"/>
    <w:rsid w:val="005470A5"/>
    <w:rsid w:val="005524BD"/>
    <w:rsid w:val="0055454D"/>
    <w:rsid w:val="005547BB"/>
    <w:rsid w:val="00555F02"/>
    <w:rsid w:val="00556B4C"/>
    <w:rsid w:val="00556D15"/>
    <w:rsid w:val="00557C63"/>
    <w:rsid w:val="00560039"/>
    <w:rsid w:val="005607DE"/>
    <w:rsid w:val="00560E0D"/>
    <w:rsid w:val="00561B32"/>
    <w:rsid w:val="00561DE5"/>
    <w:rsid w:val="00562557"/>
    <w:rsid w:val="00562688"/>
    <w:rsid w:val="00562C2F"/>
    <w:rsid w:val="00562E84"/>
    <w:rsid w:val="00565681"/>
    <w:rsid w:val="00566476"/>
    <w:rsid w:val="00566998"/>
    <w:rsid w:val="00566B43"/>
    <w:rsid w:val="0057086C"/>
    <w:rsid w:val="00570E7A"/>
    <w:rsid w:val="00571C3E"/>
    <w:rsid w:val="0057221A"/>
    <w:rsid w:val="00572AFD"/>
    <w:rsid w:val="00572EBD"/>
    <w:rsid w:val="00573291"/>
    <w:rsid w:val="00573BB1"/>
    <w:rsid w:val="00573EE4"/>
    <w:rsid w:val="005752D8"/>
    <w:rsid w:val="00577BE8"/>
    <w:rsid w:val="00577C00"/>
    <w:rsid w:val="00577C64"/>
    <w:rsid w:val="00577D06"/>
    <w:rsid w:val="00580BB5"/>
    <w:rsid w:val="00581CF9"/>
    <w:rsid w:val="00582FB0"/>
    <w:rsid w:val="00583BD2"/>
    <w:rsid w:val="00585925"/>
    <w:rsid w:val="00585E12"/>
    <w:rsid w:val="00586858"/>
    <w:rsid w:val="00587A19"/>
    <w:rsid w:val="00590376"/>
    <w:rsid w:val="00590B09"/>
    <w:rsid w:val="00590B45"/>
    <w:rsid w:val="0059211B"/>
    <w:rsid w:val="0059282D"/>
    <w:rsid w:val="00593FB8"/>
    <w:rsid w:val="00594562"/>
    <w:rsid w:val="00595062"/>
    <w:rsid w:val="005956B4"/>
    <w:rsid w:val="00595CEF"/>
    <w:rsid w:val="00596AB8"/>
    <w:rsid w:val="00596B78"/>
    <w:rsid w:val="00596C7D"/>
    <w:rsid w:val="00597D21"/>
    <w:rsid w:val="005A0403"/>
    <w:rsid w:val="005A051F"/>
    <w:rsid w:val="005A20DF"/>
    <w:rsid w:val="005A2255"/>
    <w:rsid w:val="005A4257"/>
    <w:rsid w:val="005A46EB"/>
    <w:rsid w:val="005A4E1A"/>
    <w:rsid w:val="005A6A16"/>
    <w:rsid w:val="005A77F7"/>
    <w:rsid w:val="005A78CE"/>
    <w:rsid w:val="005A7C43"/>
    <w:rsid w:val="005B003E"/>
    <w:rsid w:val="005B0E75"/>
    <w:rsid w:val="005B12ED"/>
    <w:rsid w:val="005B27A2"/>
    <w:rsid w:val="005B3FC2"/>
    <w:rsid w:val="005B45A3"/>
    <w:rsid w:val="005C02ED"/>
    <w:rsid w:val="005C0CFF"/>
    <w:rsid w:val="005C0D3D"/>
    <w:rsid w:val="005C0E6B"/>
    <w:rsid w:val="005C2EC5"/>
    <w:rsid w:val="005C2F00"/>
    <w:rsid w:val="005C3180"/>
    <w:rsid w:val="005C3951"/>
    <w:rsid w:val="005C3BD6"/>
    <w:rsid w:val="005C3E51"/>
    <w:rsid w:val="005C3EE6"/>
    <w:rsid w:val="005C4F44"/>
    <w:rsid w:val="005C53EE"/>
    <w:rsid w:val="005C5451"/>
    <w:rsid w:val="005C6259"/>
    <w:rsid w:val="005C6D28"/>
    <w:rsid w:val="005C6F6B"/>
    <w:rsid w:val="005C74D1"/>
    <w:rsid w:val="005C7941"/>
    <w:rsid w:val="005D3360"/>
    <w:rsid w:val="005D33B1"/>
    <w:rsid w:val="005D34FA"/>
    <w:rsid w:val="005D3715"/>
    <w:rsid w:val="005D47C3"/>
    <w:rsid w:val="005D4B49"/>
    <w:rsid w:val="005D65E2"/>
    <w:rsid w:val="005D7BAC"/>
    <w:rsid w:val="005D7E40"/>
    <w:rsid w:val="005E0925"/>
    <w:rsid w:val="005E160F"/>
    <w:rsid w:val="005E1F19"/>
    <w:rsid w:val="005E206A"/>
    <w:rsid w:val="005E272D"/>
    <w:rsid w:val="005E41BA"/>
    <w:rsid w:val="005E52F0"/>
    <w:rsid w:val="005E53E0"/>
    <w:rsid w:val="005E6642"/>
    <w:rsid w:val="005E6677"/>
    <w:rsid w:val="005E7587"/>
    <w:rsid w:val="005E786C"/>
    <w:rsid w:val="005E78A9"/>
    <w:rsid w:val="005E7B0B"/>
    <w:rsid w:val="005E7B8F"/>
    <w:rsid w:val="005E7ED9"/>
    <w:rsid w:val="005F17D6"/>
    <w:rsid w:val="005F2999"/>
    <w:rsid w:val="005F42C7"/>
    <w:rsid w:val="005F4903"/>
    <w:rsid w:val="005F5268"/>
    <w:rsid w:val="005F60F0"/>
    <w:rsid w:val="00600FF8"/>
    <w:rsid w:val="0060107C"/>
    <w:rsid w:val="006014D1"/>
    <w:rsid w:val="00606E4A"/>
    <w:rsid w:val="006101F2"/>
    <w:rsid w:val="00610468"/>
    <w:rsid w:val="006111EF"/>
    <w:rsid w:val="0061190C"/>
    <w:rsid w:val="00612B88"/>
    <w:rsid w:val="00612E33"/>
    <w:rsid w:val="006135B4"/>
    <w:rsid w:val="00613A1F"/>
    <w:rsid w:val="00614020"/>
    <w:rsid w:val="00614ACD"/>
    <w:rsid w:val="006151C6"/>
    <w:rsid w:val="00615CD7"/>
    <w:rsid w:val="00615E5B"/>
    <w:rsid w:val="00616EB1"/>
    <w:rsid w:val="0062008C"/>
    <w:rsid w:val="006206A3"/>
    <w:rsid w:val="00621C37"/>
    <w:rsid w:val="00621D4A"/>
    <w:rsid w:val="006221D0"/>
    <w:rsid w:val="00622F25"/>
    <w:rsid w:val="00623B43"/>
    <w:rsid w:val="00624E8B"/>
    <w:rsid w:val="00624E93"/>
    <w:rsid w:val="006250A8"/>
    <w:rsid w:val="00625C9C"/>
    <w:rsid w:val="00626034"/>
    <w:rsid w:val="006272B8"/>
    <w:rsid w:val="0063020B"/>
    <w:rsid w:val="00630B91"/>
    <w:rsid w:val="0063169F"/>
    <w:rsid w:val="00632ED9"/>
    <w:rsid w:val="00633303"/>
    <w:rsid w:val="006354D5"/>
    <w:rsid w:val="006359C6"/>
    <w:rsid w:val="0063654D"/>
    <w:rsid w:val="0064212B"/>
    <w:rsid w:val="00642909"/>
    <w:rsid w:val="00642DCD"/>
    <w:rsid w:val="00642E27"/>
    <w:rsid w:val="00643A26"/>
    <w:rsid w:val="006443B8"/>
    <w:rsid w:val="00645267"/>
    <w:rsid w:val="0064536C"/>
    <w:rsid w:val="006461D3"/>
    <w:rsid w:val="00646391"/>
    <w:rsid w:val="00647D50"/>
    <w:rsid w:val="006500B7"/>
    <w:rsid w:val="00650607"/>
    <w:rsid w:val="00650656"/>
    <w:rsid w:val="00650BAB"/>
    <w:rsid w:val="006526A3"/>
    <w:rsid w:val="00652A5F"/>
    <w:rsid w:val="0065360C"/>
    <w:rsid w:val="00653C78"/>
    <w:rsid w:val="0065402B"/>
    <w:rsid w:val="00654224"/>
    <w:rsid w:val="00655046"/>
    <w:rsid w:val="00655864"/>
    <w:rsid w:val="00655B8E"/>
    <w:rsid w:val="0065635D"/>
    <w:rsid w:val="00656AB9"/>
    <w:rsid w:val="006603FD"/>
    <w:rsid w:val="00662ADA"/>
    <w:rsid w:val="00662C59"/>
    <w:rsid w:val="00663CB6"/>
    <w:rsid w:val="00665010"/>
    <w:rsid w:val="0066616F"/>
    <w:rsid w:val="00666920"/>
    <w:rsid w:val="0066795B"/>
    <w:rsid w:val="00670F52"/>
    <w:rsid w:val="00672214"/>
    <w:rsid w:val="006726FD"/>
    <w:rsid w:val="00677625"/>
    <w:rsid w:val="00677E13"/>
    <w:rsid w:val="006800B0"/>
    <w:rsid w:val="00680CB3"/>
    <w:rsid w:val="00680F8B"/>
    <w:rsid w:val="00682E86"/>
    <w:rsid w:val="00683FE3"/>
    <w:rsid w:val="0068457A"/>
    <w:rsid w:val="00690045"/>
    <w:rsid w:val="006907D7"/>
    <w:rsid w:val="006910AA"/>
    <w:rsid w:val="006911B3"/>
    <w:rsid w:val="006922AD"/>
    <w:rsid w:val="00692AE5"/>
    <w:rsid w:val="006931A7"/>
    <w:rsid w:val="00693839"/>
    <w:rsid w:val="0069425A"/>
    <w:rsid w:val="0069519C"/>
    <w:rsid w:val="00695C48"/>
    <w:rsid w:val="00696360"/>
    <w:rsid w:val="0069690A"/>
    <w:rsid w:val="006970B3"/>
    <w:rsid w:val="00697B43"/>
    <w:rsid w:val="00697C18"/>
    <w:rsid w:val="006A0865"/>
    <w:rsid w:val="006A1558"/>
    <w:rsid w:val="006A1C71"/>
    <w:rsid w:val="006A3F23"/>
    <w:rsid w:val="006A4385"/>
    <w:rsid w:val="006A4B35"/>
    <w:rsid w:val="006A5027"/>
    <w:rsid w:val="006A69A4"/>
    <w:rsid w:val="006A6EF5"/>
    <w:rsid w:val="006A6FA8"/>
    <w:rsid w:val="006B093F"/>
    <w:rsid w:val="006B0D9F"/>
    <w:rsid w:val="006B0E76"/>
    <w:rsid w:val="006B126D"/>
    <w:rsid w:val="006B1564"/>
    <w:rsid w:val="006B2172"/>
    <w:rsid w:val="006B2E98"/>
    <w:rsid w:val="006B3959"/>
    <w:rsid w:val="006B3D12"/>
    <w:rsid w:val="006B5015"/>
    <w:rsid w:val="006B562D"/>
    <w:rsid w:val="006B5A9C"/>
    <w:rsid w:val="006B5B93"/>
    <w:rsid w:val="006B60BA"/>
    <w:rsid w:val="006B7955"/>
    <w:rsid w:val="006C1956"/>
    <w:rsid w:val="006C1D78"/>
    <w:rsid w:val="006C2599"/>
    <w:rsid w:val="006C329B"/>
    <w:rsid w:val="006C3634"/>
    <w:rsid w:val="006C3FB0"/>
    <w:rsid w:val="006C5B76"/>
    <w:rsid w:val="006C5E77"/>
    <w:rsid w:val="006C75E4"/>
    <w:rsid w:val="006C7EFC"/>
    <w:rsid w:val="006D0A64"/>
    <w:rsid w:val="006D109F"/>
    <w:rsid w:val="006D14B8"/>
    <w:rsid w:val="006D279A"/>
    <w:rsid w:val="006D2FC6"/>
    <w:rsid w:val="006D3C3A"/>
    <w:rsid w:val="006D410F"/>
    <w:rsid w:val="006D4756"/>
    <w:rsid w:val="006D4947"/>
    <w:rsid w:val="006D59FE"/>
    <w:rsid w:val="006D5A08"/>
    <w:rsid w:val="006D5A35"/>
    <w:rsid w:val="006D66A1"/>
    <w:rsid w:val="006D70FE"/>
    <w:rsid w:val="006D7B04"/>
    <w:rsid w:val="006E021F"/>
    <w:rsid w:val="006E0B5C"/>
    <w:rsid w:val="006E419B"/>
    <w:rsid w:val="006E6712"/>
    <w:rsid w:val="006E70BD"/>
    <w:rsid w:val="006E766B"/>
    <w:rsid w:val="006E7D66"/>
    <w:rsid w:val="006F06B7"/>
    <w:rsid w:val="006F093F"/>
    <w:rsid w:val="006F1796"/>
    <w:rsid w:val="006F1A0F"/>
    <w:rsid w:val="006F424D"/>
    <w:rsid w:val="006F4CCC"/>
    <w:rsid w:val="006F7121"/>
    <w:rsid w:val="006F757A"/>
    <w:rsid w:val="006F7D3E"/>
    <w:rsid w:val="00700B8B"/>
    <w:rsid w:val="007012ED"/>
    <w:rsid w:val="007015F3"/>
    <w:rsid w:val="0070217F"/>
    <w:rsid w:val="0070259A"/>
    <w:rsid w:val="00702709"/>
    <w:rsid w:val="00703A5B"/>
    <w:rsid w:val="00706810"/>
    <w:rsid w:val="00706CDF"/>
    <w:rsid w:val="00707399"/>
    <w:rsid w:val="0071127A"/>
    <w:rsid w:val="007115C8"/>
    <w:rsid w:val="00711CF3"/>
    <w:rsid w:val="007132EE"/>
    <w:rsid w:val="00714DCF"/>
    <w:rsid w:val="00715D78"/>
    <w:rsid w:val="00715DD2"/>
    <w:rsid w:val="007161ED"/>
    <w:rsid w:val="00716944"/>
    <w:rsid w:val="00716D15"/>
    <w:rsid w:val="00716EE3"/>
    <w:rsid w:val="0072337C"/>
    <w:rsid w:val="00724B4C"/>
    <w:rsid w:val="00726BC3"/>
    <w:rsid w:val="00726E1D"/>
    <w:rsid w:val="00730571"/>
    <w:rsid w:val="00731958"/>
    <w:rsid w:val="0073227F"/>
    <w:rsid w:val="007337F3"/>
    <w:rsid w:val="007356FB"/>
    <w:rsid w:val="00742AAC"/>
    <w:rsid w:val="00744192"/>
    <w:rsid w:val="00745B56"/>
    <w:rsid w:val="00747321"/>
    <w:rsid w:val="00747C25"/>
    <w:rsid w:val="00751739"/>
    <w:rsid w:val="00753132"/>
    <w:rsid w:val="00754898"/>
    <w:rsid w:val="0075571E"/>
    <w:rsid w:val="00755E09"/>
    <w:rsid w:val="00756E25"/>
    <w:rsid w:val="00760335"/>
    <w:rsid w:val="0076072D"/>
    <w:rsid w:val="00760ABA"/>
    <w:rsid w:val="0076108B"/>
    <w:rsid w:val="00763078"/>
    <w:rsid w:val="0076335E"/>
    <w:rsid w:val="00763502"/>
    <w:rsid w:val="00765F37"/>
    <w:rsid w:val="00766009"/>
    <w:rsid w:val="007662DA"/>
    <w:rsid w:val="007663F0"/>
    <w:rsid w:val="00767789"/>
    <w:rsid w:val="007679EC"/>
    <w:rsid w:val="00767B1B"/>
    <w:rsid w:val="007720ED"/>
    <w:rsid w:val="00772272"/>
    <w:rsid w:val="00772A0E"/>
    <w:rsid w:val="00772C22"/>
    <w:rsid w:val="007731E2"/>
    <w:rsid w:val="007734D6"/>
    <w:rsid w:val="00773B5B"/>
    <w:rsid w:val="007755BA"/>
    <w:rsid w:val="00775FC5"/>
    <w:rsid w:val="007803C0"/>
    <w:rsid w:val="00780747"/>
    <w:rsid w:val="007819C2"/>
    <w:rsid w:val="00781A3B"/>
    <w:rsid w:val="007822E5"/>
    <w:rsid w:val="00782532"/>
    <w:rsid w:val="00782D10"/>
    <w:rsid w:val="00782D9D"/>
    <w:rsid w:val="00784CEF"/>
    <w:rsid w:val="00785708"/>
    <w:rsid w:val="00785884"/>
    <w:rsid w:val="00786E03"/>
    <w:rsid w:val="0078738F"/>
    <w:rsid w:val="007873E2"/>
    <w:rsid w:val="00787667"/>
    <w:rsid w:val="00787DA8"/>
    <w:rsid w:val="007907E4"/>
    <w:rsid w:val="00790826"/>
    <w:rsid w:val="0079131E"/>
    <w:rsid w:val="00791E5D"/>
    <w:rsid w:val="00792395"/>
    <w:rsid w:val="00792A28"/>
    <w:rsid w:val="00792BAD"/>
    <w:rsid w:val="00792DCB"/>
    <w:rsid w:val="00793D33"/>
    <w:rsid w:val="00796F53"/>
    <w:rsid w:val="00797AA8"/>
    <w:rsid w:val="007A0EC8"/>
    <w:rsid w:val="007A239E"/>
    <w:rsid w:val="007A23BB"/>
    <w:rsid w:val="007A248F"/>
    <w:rsid w:val="007A2BCE"/>
    <w:rsid w:val="007A30B4"/>
    <w:rsid w:val="007A3782"/>
    <w:rsid w:val="007A43E7"/>
    <w:rsid w:val="007A6CC3"/>
    <w:rsid w:val="007B1056"/>
    <w:rsid w:val="007B155B"/>
    <w:rsid w:val="007B15D4"/>
    <w:rsid w:val="007B2FD4"/>
    <w:rsid w:val="007B369F"/>
    <w:rsid w:val="007B42AA"/>
    <w:rsid w:val="007B45CC"/>
    <w:rsid w:val="007B4AD5"/>
    <w:rsid w:val="007B4B8D"/>
    <w:rsid w:val="007B5356"/>
    <w:rsid w:val="007B558B"/>
    <w:rsid w:val="007B6154"/>
    <w:rsid w:val="007B6FEF"/>
    <w:rsid w:val="007C06E9"/>
    <w:rsid w:val="007C19FA"/>
    <w:rsid w:val="007C2AA6"/>
    <w:rsid w:val="007C3CB7"/>
    <w:rsid w:val="007D071E"/>
    <w:rsid w:val="007D0CE7"/>
    <w:rsid w:val="007D1D84"/>
    <w:rsid w:val="007D24F4"/>
    <w:rsid w:val="007D2599"/>
    <w:rsid w:val="007D3D14"/>
    <w:rsid w:val="007D44E2"/>
    <w:rsid w:val="007D4DF1"/>
    <w:rsid w:val="007D567D"/>
    <w:rsid w:val="007D73B6"/>
    <w:rsid w:val="007E0D40"/>
    <w:rsid w:val="007E1365"/>
    <w:rsid w:val="007E2B87"/>
    <w:rsid w:val="007E2DCC"/>
    <w:rsid w:val="007E2F41"/>
    <w:rsid w:val="007E48F7"/>
    <w:rsid w:val="007E6217"/>
    <w:rsid w:val="007E6992"/>
    <w:rsid w:val="007F0018"/>
    <w:rsid w:val="007F0F5A"/>
    <w:rsid w:val="007F103F"/>
    <w:rsid w:val="007F1C50"/>
    <w:rsid w:val="007F1D26"/>
    <w:rsid w:val="007F20D9"/>
    <w:rsid w:val="007F22DF"/>
    <w:rsid w:val="007F2574"/>
    <w:rsid w:val="007F2CAB"/>
    <w:rsid w:val="007F308D"/>
    <w:rsid w:val="007F3275"/>
    <w:rsid w:val="007F3712"/>
    <w:rsid w:val="007F376D"/>
    <w:rsid w:val="007F6D79"/>
    <w:rsid w:val="0080279F"/>
    <w:rsid w:val="00804C5C"/>
    <w:rsid w:val="008077C2"/>
    <w:rsid w:val="0080788E"/>
    <w:rsid w:val="00807CE7"/>
    <w:rsid w:val="008112B9"/>
    <w:rsid w:val="008114FE"/>
    <w:rsid w:val="0081233E"/>
    <w:rsid w:val="00812939"/>
    <w:rsid w:val="0081331D"/>
    <w:rsid w:val="0081373C"/>
    <w:rsid w:val="008140C1"/>
    <w:rsid w:val="00814A98"/>
    <w:rsid w:val="008153AB"/>
    <w:rsid w:val="00816208"/>
    <w:rsid w:val="00816416"/>
    <w:rsid w:val="0081777D"/>
    <w:rsid w:val="008208F6"/>
    <w:rsid w:val="00820E3D"/>
    <w:rsid w:val="008218AF"/>
    <w:rsid w:val="00824947"/>
    <w:rsid w:val="00824A55"/>
    <w:rsid w:val="00826015"/>
    <w:rsid w:val="00827B9B"/>
    <w:rsid w:val="00830D60"/>
    <w:rsid w:val="00832CAF"/>
    <w:rsid w:val="0083322F"/>
    <w:rsid w:val="0083367F"/>
    <w:rsid w:val="008340B6"/>
    <w:rsid w:val="00834AFB"/>
    <w:rsid w:val="00834D14"/>
    <w:rsid w:val="00836EEF"/>
    <w:rsid w:val="00837BC9"/>
    <w:rsid w:val="00837CB4"/>
    <w:rsid w:val="00837ED6"/>
    <w:rsid w:val="00840753"/>
    <w:rsid w:val="00840FAF"/>
    <w:rsid w:val="00841057"/>
    <w:rsid w:val="00841F78"/>
    <w:rsid w:val="00842E97"/>
    <w:rsid w:val="0084300B"/>
    <w:rsid w:val="00843733"/>
    <w:rsid w:val="0084450A"/>
    <w:rsid w:val="00845AE9"/>
    <w:rsid w:val="0084623A"/>
    <w:rsid w:val="0084636F"/>
    <w:rsid w:val="00846C93"/>
    <w:rsid w:val="008503FF"/>
    <w:rsid w:val="008521F2"/>
    <w:rsid w:val="0085246F"/>
    <w:rsid w:val="00853575"/>
    <w:rsid w:val="00856E6B"/>
    <w:rsid w:val="008579CF"/>
    <w:rsid w:val="00862933"/>
    <w:rsid w:val="00862EFC"/>
    <w:rsid w:val="00863227"/>
    <w:rsid w:val="00863CA5"/>
    <w:rsid w:val="00863F57"/>
    <w:rsid w:val="00865C02"/>
    <w:rsid w:val="008663DF"/>
    <w:rsid w:val="00867E5C"/>
    <w:rsid w:val="00871E1E"/>
    <w:rsid w:val="0087350A"/>
    <w:rsid w:val="008736B2"/>
    <w:rsid w:val="00875FCA"/>
    <w:rsid w:val="00876188"/>
    <w:rsid w:val="00876429"/>
    <w:rsid w:val="0088011B"/>
    <w:rsid w:val="0088182A"/>
    <w:rsid w:val="00883EE2"/>
    <w:rsid w:val="0088404C"/>
    <w:rsid w:val="00884208"/>
    <w:rsid w:val="00886498"/>
    <w:rsid w:val="00886CC0"/>
    <w:rsid w:val="00890E67"/>
    <w:rsid w:val="00890FDB"/>
    <w:rsid w:val="00891083"/>
    <w:rsid w:val="0089137B"/>
    <w:rsid w:val="00892FF5"/>
    <w:rsid w:val="00893802"/>
    <w:rsid w:val="00893FC6"/>
    <w:rsid w:val="0089467C"/>
    <w:rsid w:val="0089578B"/>
    <w:rsid w:val="00895D71"/>
    <w:rsid w:val="00895FEC"/>
    <w:rsid w:val="00896231"/>
    <w:rsid w:val="00897B5F"/>
    <w:rsid w:val="008A0329"/>
    <w:rsid w:val="008A2ABE"/>
    <w:rsid w:val="008A2AF6"/>
    <w:rsid w:val="008A2E7E"/>
    <w:rsid w:val="008A3AE5"/>
    <w:rsid w:val="008A3C43"/>
    <w:rsid w:val="008A4A44"/>
    <w:rsid w:val="008A4AB6"/>
    <w:rsid w:val="008A55FC"/>
    <w:rsid w:val="008A60A8"/>
    <w:rsid w:val="008A62DB"/>
    <w:rsid w:val="008A6DA3"/>
    <w:rsid w:val="008A76ED"/>
    <w:rsid w:val="008A7B40"/>
    <w:rsid w:val="008A7E93"/>
    <w:rsid w:val="008B2141"/>
    <w:rsid w:val="008B28F3"/>
    <w:rsid w:val="008B3202"/>
    <w:rsid w:val="008B5062"/>
    <w:rsid w:val="008B6305"/>
    <w:rsid w:val="008B6CDA"/>
    <w:rsid w:val="008C05E3"/>
    <w:rsid w:val="008C104D"/>
    <w:rsid w:val="008C2F3C"/>
    <w:rsid w:val="008C5FBF"/>
    <w:rsid w:val="008C6C82"/>
    <w:rsid w:val="008C7ED3"/>
    <w:rsid w:val="008D1082"/>
    <w:rsid w:val="008D15C6"/>
    <w:rsid w:val="008D2F41"/>
    <w:rsid w:val="008D3FF5"/>
    <w:rsid w:val="008D4B57"/>
    <w:rsid w:val="008D50DD"/>
    <w:rsid w:val="008D6D16"/>
    <w:rsid w:val="008D74CB"/>
    <w:rsid w:val="008D7EB5"/>
    <w:rsid w:val="008E280C"/>
    <w:rsid w:val="008E5A48"/>
    <w:rsid w:val="008E681A"/>
    <w:rsid w:val="008E6D56"/>
    <w:rsid w:val="008E7803"/>
    <w:rsid w:val="008F0877"/>
    <w:rsid w:val="008F1EFD"/>
    <w:rsid w:val="008F3380"/>
    <w:rsid w:val="008F56F7"/>
    <w:rsid w:val="008F5986"/>
    <w:rsid w:val="008F6463"/>
    <w:rsid w:val="008F68A1"/>
    <w:rsid w:val="008F6FD2"/>
    <w:rsid w:val="0090123A"/>
    <w:rsid w:val="00901442"/>
    <w:rsid w:val="0090149D"/>
    <w:rsid w:val="00901A19"/>
    <w:rsid w:val="0090282D"/>
    <w:rsid w:val="00902EBC"/>
    <w:rsid w:val="00903AFA"/>
    <w:rsid w:val="00905662"/>
    <w:rsid w:val="009068C2"/>
    <w:rsid w:val="00910B19"/>
    <w:rsid w:val="009110C9"/>
    <w:rsid w:val="00911C0F"/>
    <w:rsid w:val="00914777"/>
    <w:rsid w:val="009156C4"/>
    <w:rsid w:val="00917323"/>
    <w:rsid w:val="009178BF"/>
    <w:rsid w:val="00917F34"/>
    <w:rsid w:val="009204F1"/>
    <w:rsid w:val="009207BF"/>
    <w:rsid w:val="00920C30"/>
    <w:rsid w:val="0092132B"/>
    <w:rsid w:val="009217D6"/>
    <w:rsid w:val="00921A72"/>
    <w:rsid w:val="00921BA8"/>
    <w:rsid w:val="009226FE"/>
    <w:rsid w:val="00922D17"/>
    <w:rsid w:val="009236EB"/>
    <w:rsid w:val="00923B52"/>
    <w:rsid w:val="00924319"/>
    <w:rsid w:val="00924D19"/>
    <w:rsid w:val="0092747C"/>
    <w:rsid w:val="0093000D"/>
    <w:rsid w:val="00930638"/>
    <w:rsid w:val="00930DFC"/>
    <w:rsid w:val="009321CD"/>
    <w:rsid w:val="009329C4"/>
    <w:rsid w:val="009346D6"/>
    <w:rsid w:val="0093568A"/>
    <w:rsid w:val="009369EC"/>
    <w:rsid w:val="0094037A"/>
    <w:rsid w:val="00941114"/>
    <w:rsid w:val="009414AA"/>
    <w:rsid w:val="00942B42"/>
    <w:rsid w:val="00942F90"/>
    <w:rsid w:val="00944259"/>
    <w:rsid w:val="00944E62"/>
    <w:rsid w:val="00945034"/>
    <w:rsid w:val="00950311"/>
    <w:rsid w:val="0095065F"/>
    <w:rsid w:val="0095096D"/>
    <w:rsid w:val="00951390"/>
    <w:rsid w:val="00951B78"/>
    <w:rsid w:val="00951EDD"/>
    <w:rsid w:val="009525AC"/>
    <w:rsid w:val="0095473D"/>
    <w:rsid w:val="0095632C"/>
    <w:rsid w:val="00957F48"/>
    <w:rsid w:val="009600AA"/>
    <w:rsid w:val="009622B4"/>
    <w:rsid w:val="00963F58"/>
    <w:rsid w:val="0096461D"/>
    <w:rsid w:val="00965069"/>
    <w:rsid w:val="0096642D"/>
    <w:rsid w:val="00966AE2"/>
    <w:rsid w:val="009679C3"/>
    <w:rsid w:val="00967EB3"/>
    <w:rsid w:val="00970216"/>
    <w:rsid w:val="0097132D"/>
    <w:rsid w:val="00971529"/>
    <w:rsid w:val="009720B6"/>
    <w:rsid w:val="00972531"/>
    <w:rsid w:val="00972C22"/>
    <w:rsid w:val="00973A9B"/>
    <w:rsid w:val="00973E5A"/>
    <w:rsid w:val="009751B9"/>
    <w:rsid w:val="00976382"/>
    <w:rsid w:val="00976E00"/>
    <w:rsid w:val="0097720B"/>
    <w:rsid w:val="00977395"/>
    <w:rsid w:val="009803D4"/>
    <w:rsid w:val="009809A9"/>
    <w:rsid w:val="009809C6"/>
    <w:rsid w:val="00981CEC"/>
    <w:rsid w:val="00983C42"/>
    <w:rsid w:val="00984049"/>
    <w:rsid w:val="00987165"/>
    <w:rsid w:val="00991625"/>
    <w:rsid w:val="00991E4D"/>
    <w:rsid w:val="009942EE"/>
    <w:rsid w:val="00994BB9"/>
    <w:rsid w:val="00996585"/>
    <w:rsid w:val="009968DA"/>
    <w:rsid w:val="0099726E"/>
    <w:rsid w:val="009A0AD4"/>
    <w:rsid w:val="009A0E54"/>
    <w:rsid w:val="009A3C7C"/>
    <w:rsid w:val="009A5A97"/>
    <w:rsid w:val="009A5B2C"/>
    <w:rsid w:val="009A5D7E"/>
    <w:rsid w:val="009A692E"/>
    <w:rsid w:val="009A7805"/>
    <w:rsid w:val="009A7D3B"/>
    <w:rsid w:val="009B1491"/>
    <w:rsid w:val="009B1689"/>
    <w:rsid w:val="009B1BFB"/>
    <w:rsid w:val="009B2365"/>
    <w:rsid w:val="009B2C9F"/>
    <w:rsid w:val="009B6415"/>
    <w:rsid w:val="009B6F88"/>
    <w:rsid w:val="009C0ABD"/>
    <w:rsid w:val="009C1325"/>
    <w:rsid w:val="009C1362"/>
    <w:rsid w:val="009C1A88"/>
    <w:rsid w:val="009C20A8"/>
    <w:rsid w:val="009C2627"/>
    <w:rsid w:val="009C2F90"/>
    <w:rsid w:val="009C4A7B"/>
    <w:rsid w:val="009C5E5E"/>
    <w:rsid w:val="009C6D19"/>
    <w:rsid w:val="009D1288"/>
    <w:rsid w:val="009D214A"/>
    <w:rsid w:val="009D443C"/>
    <w:rsid w:val="009D56E4"/>
    <w:rsid w:val="009D6961"/>
    <w:rsid w:val="009D7B13"/>
    <w:rsid w:val="009E0BB7"/>
    <w:rsid w:val="009E2EE3"/>
    <w:rsid w:val="009E34B8"/>
    <w:rsid w:val="009E4820"/>
    <w:rsid w:val="009E5898"/>
    <w:rsid w:val="009E58C1"/>
    <w:rsid w:val="009E7022"/>
    <w:rsid w:val="009E7F26"/>
    <w:rsid w:val="009F0A55"/>
    <w:rsid w:val="009F1C41"/>
    <w:rsid w:val="009F523B"/>
    <w:rsid w:val="009F5420"/>
    <w:rsid w:val="009F54FF"/>
    <w:rsid w:val="009F5702"/>
    <w:rsid w:val="009F5783"/>
    <w:rsid w:val="009F5812"/>
    <w:rsid w:val="009F6286"/>
    <w:rsid w:val="009F6422"/>
    <w:rsid w:val="009F6F92"/>
    <w:rsid w:val="00A00209"/>
    <w:rsid w:val="00A00749"/>
    <w:rsid w:val="00A03E87"/>
    <w:rsid w:val="00A04705"/>
    <w:rsid w:val="00A048C8"/>
    <w:rsid w:val="00A04D58"/>
    <w:rsid w:val="00A04F30"/>
    <w:rsid w:val="00A05BC1"/>
    <w:rsid w:val="00A06886"/>
    <w:rsid w:val="00A07D67"/>
    <w:rsid w:val="00A10250"/>
    <w:rsid w:val="00A108E1"/>
    <w:rsid w:val="00A11933"/>
    <w:rsid w:val="00A11A39"/>
    <w:rsid w:val="00A12302"/>
    <w:rsid w:val="00A1308F"/>
    <w:rsid w:val="00A15502"/>
    <w:rsid w:val="00A15C4C"/>
    <w:rsid w:val="00A17757"/>
    <w:rsid w:val="00A178E2"/>
    <w:rsid w:val="00A208E8"/>
    <w:rsid w:val="00A20BB3"/>
    <w:rsid w:val="00A2122E"/>
    <w:rsid w:val="00A22C85"/>
    <w:rsid w:val="00A23A41"/>
    <w:rsid w:val="00A27063"/>
    <w:rsid w:val="00A2775F"/>
    <w:rsid w:val="00A27CD6"/>
    <w:rsid w:val="00A307C1"/>
    <w:rsid w:val="00A32CF8"/>
    <w:rsid w:val="00A35E81"/>
    <w:rsid w:val="00A369C2"/>
    <w:rsid w:val="00A37729"/>
    <w:rsid w:val="00A410AA"/>
    <w:rsid w:val="00A4132A"/>
    <w:rsid w:val="00A419DA"/>
    <w:rsid w:val="00A426D8"/>
    <w:rsid w:val="00A44728"/>
    <w:rsid w:val="00A44D2A"/>
    <w:rsid w:val="00A454C9"/>
    <w:rsid w:val="00A4561F"/>
    <w:rsid w:val="00A457F0"/>
    <w:rsid w:val="00A45DE5"/>
    <w:rsid w:val="00A47889"/>
    <w:rsid w:val="00A5000E"/>
    <w:rsid w:val="00A506CB"/>
    <w:rsid w:val="00A50D6C"/>
    <w:rsid w:val="00A51679"/>
    <w:rsid w:val="00A51B59"/>
    <w:rsid w:val="00A521D5"/>
    <w:rsid w:val="00A52209"/>
    <w:rsid w:val="00A52282"/>
    <w:rsid w:val="00A5333E"/>
    <w:rsid w:val="00A53645"/>
    <w:rsid w:val="00A54F18"/>
    <w:rsid w:val="00A55621"/>
    <w:rsid w:val="00A5585D"/>
    <w:rsid w:val="00A56DAD"/>
    <w:rsid w:val="00A6015D"/>
    <w:rsid w:val="00A6077E"/>
    <w:rsid w:val="00A60A3C"/>
    <w:rsid w:val="00A62380"/>
    <w:rsid w:val="00A6274A"/>
    <w:rsid w:val="00A6318B"/>
    <w:rsid w:val="00A65A0C"/>
    <w:rsid w:val="00A65F83"/>
    <w:rsid w:val="00A70EBE"/>
    <w:rsid w:val="00A713DD"/>
    <w:rsid w:val="00A716BF"/>
    <w:rsid w:val="00A72F54"/>
    <w:rsid w:val="00A737D5"/>
    <w:rsid w:val="00A73F12"/>
    <w:rsid w:val="00A744C0"/>
    <w:rsid w:val="00A74F22"/>
    <w:rsid w:val="00A753BD"/>
    <w:rsid w:val="00A8074C"/>
    <w:rsid w:val="00A81C41"/>
    <w:rsid w:val="00A81EA2"/>
    <w:rsid w:val="00A82156"/>
    <w:rsid w:val="00A83A7C"/>
    <w:rsid w:val="00A849C2"/>
    <w:rsid w:val="00A84FD6"/>
    <w:rsid w:val="00A863A3"/>
    <w:rsid w:val="00A870FC"/>
    <w:rsid w:val="00A8729D"/>
    <w:rsid w:val="00A875F5"/>
    <w:rsid w:val="00A87D37"/>
    <w:rsid w:val="00A90E26"/>
    <w:rsid w:val="00A93735"/>
    <w:rsid w:val="00A94C39"/>
    <w:rsid w:val="00A950BF"/>
    <w:rsid w:val="00A96F52"/>
    <w:rsid w:val="00A976EC"/>
    <w:rsid w:val="00AA1A35"/>
    <w:rsid w:val="00AA1D26"/>
    <w:rsid w:val="00AA37F6"/>
    <w:rsid w:val="00AA6C67"/>
    <w:rsid w:val="00AA6C7F"/>
    <w:rsid w:val="00AA764C"/>
    <w:rsid w:val="00AB09B3"/>
    <w:rsid w:val="00AB3438"/>
    <w:rsid w:val="00AB3888"/>
    <w:rsid w:val="00AB4D57"/>
    <w:rsid w:val="00AC025F"/>
    <w:rsid w:val="00AC0F65"/>
    <w:rsid w:val="00AC170F"/>
    <w:rsid w:val="00AC185D"/>
    <w:rsid w:val="00AC1FC1"/>
    <w:rsid w:val="00AC2E14"/>
    <w:rsid w:val="00AC3BBE"/>
    <w:rsid w:val="00AC4EB4"/>
    <w:rsid w:val="00AC54F3"/>
    <w:rsid w:val="00AC6ECF"/>
    <w:rsid w:val="00AD0C7D"/>
    <w:rsid w:val="00AD0F86"/>
    <w:rsid w:val="00AD1D7C"/>
    <w:rsid w:val="00AD2342"/>
    <w:rsid w:val="00AD249A"/>
    <w:rsid w:val="00AD2531"/>
    <w:rsid w:val="00AD2F18"/>
    <w:rsid w:val="00AD312F"/>
    <w:rsid w:val="00AD3168"/>
    <w:rsid w:val="00AD348C"/>
    <w:rsid w:val="00AD4B05"/>
    <w:rsid w:val="00AD53B9"/>
    <w:rsid w:val="00AD678F"/>
    <w:rsid w:val="00AE0393"/>
    <w:rsid w:val="00AE0676"/>
    <w:rsid w:val="00AE0F31"/>
    <w:rsid w:val="00AE1BBC"/>
    <w:rsid w:val="00AE1DE1"/>
    <w:rsid w:val="00AE208E"/>
    <w:rsid w:val="00AE2325"/>
    <w:rsid w:val="00AE2A9D"/>
    <w:rsid w:val="00AE41B6"/>
    <w:rsid w:val="00AE4AF6"/>
    <w:rsid w:val="00AE4FC6"/>
    <w:rsid w:val="00AE5115"/>
    <w:rsid w:val="00AE6F73"/>
    <w:rsid w:val="00AE73F5"/>
    <w:rsid w:val="00AE76B8"/>
    <w:rsid w:val="00AE7D69"/>
    <w:rsid w:val="00AF0C01"/>
    <w:rsid w:val="00AF126E"/>
    <w:rsid w:val="00AF1433"/>
    <w:rsid w:val="00AF31CB"/>
    <w:rsid w:val="00AF3975"/>
    <w:rsid w:val="00AF4A2A"/>
    <w:rsid w:val="00AF4D03"/>
    <w:rsid w:val="00AF6575"/>
    <w:rsid w:val="00AF6B02"/>
    <w:rsid w:val="00AF6C6D"/>
    <w:rsid w:val="00AF70A4"/>
    <w:rsid w:val="00AF7FFB"/>
    <w:rsid w:val="00B01152"/>
    <w:rsid w:val="00B022F8"/>
    <w:rsid w:val="00B050C4"/>
    <w:rsid w:val="00B05DE9"/>
    <w:rsid w:val="00B0638B"/>
    <w:rsid w:val="00B1095F"/>
    <w:rsid w:val="00B109B2"/>
    <w:rsid w:val="00B10F9C"/>
    <w:rsid w:val="00B11B28"/>
    <w:rsid w:val="00B11F4A"/>
    <w:rsid w:val="00B12A90"/>
    <w:rsid w:val="00B13900"/>
    <w:rsid w:val="00B1448A"/>
    <w:rsid w:val="00B149FA"/>
    <w:rsid w:val="00B15952"/>
    <w:rsid w:val="00B161D9"/>
    <w:rsid w:val="00B16D77"/>
    <w:rsid w:val="00B17233"/>
    <w:rsid w:val="00B17690"/>
    <w:rsid w:val="00B20389"/>
    <w:rsid w:val="00B2205C"/>
    <w:rsid w:val="00B22343"/>
    <w:rsid w:val="00B223E9"/>
    <w:rsid w:val="00B22F17"/>
    <w:rsid w:val="00B245CF"/>
    <w:rsid w:val="00B25485"/>
    <w:rsid w:val="00B255A4"/>
    <w:rsid w:val="00B262B9"/>
    <w:rsid w:val="00B27C89"/>
    <w:rsid w:val="00B3130C"/>
    <w:rsid w:val="00B31443"/>
    <w:rsid w:val="00B31CD5"/>
    <w:rsid w:val="00B320A8"/>
    <w:rsid w:val="00B323A7"/>
    <w:rsid w:val="00B32655"/>
    <w:rsid w:val="00B32B1E"/>
    <w:rsid w:val="00B32EC5"/>
    <w:rsid w:val="00B33155"/>
    <w:rsid w:val="00B33D98"/>
    <w:rsid w:val="00B348DC"/>
    <w:rsid w:val="00B34A2A"/>
    <w:rsid w:val="00B3521E"/>
    <w:rsid w:val="00B35698"/>
    <w:rsid w:val="00B36715"/>
    <w:rsid w:val="00B37564"/>
    <w:rsid w:val="00B409BB"/>
    <w:rsid w:val="00B40ACD"/>
    <w:rsid w:val="00B4169B"/>
    <w:rsid w:val="00B42B82"/>
    <w:rsid w:val="00B432AD"/>
    <w:rsid w:val="00B43469"/>
    <w:rsid w:val="00B4349E"/>
    <w:rsid w:val="00B44849"/>
    <w:rsid w:val="00B448DC"/>
    <w:rsid w:val="00B44F98"/>
    <w:rsid w:val="00B45CE8"/>
    <w:rsid w:val="00B460AD"/>
    <w:rsid w:val="00B477C1"/>
    <w:rsid w:val="00B47956"/>
    <w:rsid w:val="00B504DC"/>
    <w:rsid w:val="00B50A98"/>
    <w:rsid w:val="00B50ECA"/>
    <w:rsid w:val="00B50FD0"/>
    <w:rsid w:val="00B51A13"/>
    <w:rsid w:val="00B52753"/>
    <w:rsid w:val="00B52886"/>
    <w:rsid w:val="00B530A4"/>
    <w:rsid w:val="00B53A55"/>
    <w:rsid w:val="00B545E8"/>
    <w:rsid w:val="00B54CA5"/>
    <w:rsid w:val="00B55412"/>
    <w:rsid w:val="00B57D83"/>
    <w:rsid w:val="00B6052B"/>
    <w:rsid w:val="00B62824"/>
    <w:rsid w:val="00B62DE0"/>
    <w:rsid w:val="00B64623"/>
    <w:rsid w:val="00B64FA4"/>
    <w:rsid w:val="00B64FCC"/>
    <w:rsid w:val="00B66177"/>
    <w:rsid w:val="00B67F98"/>
    <w:rsid w:val="00B7199C"/>
    <w:rsid w:val="00B71FA1"/>
    <w:rsid w:val="00B71FE6"/>
    <w:rsid w:val="00B7595C"/>
    <w:rsid w:val="00B769A9"/>
    <w:rsid w:val="00B76F65"/>
    <w:rsid w:val="00B77342"/>
    <w:rsid w:val="00B77FAD"/>
    <w:rsid w:val="00B8068E"/>
    <w:rsid w:val="00B8237F"/>
    <w:rsid w:val="00B82559"/>
    <w:rsid w:val="00B839CC"/>
    <w:rsid w:val="00B84830"/>
    <w:rsid w:val="00B84F86"/>
    <w:rsid w:val="00B85278"/>
    <w:rsid w:val="00B86876"/>
    <w:rsid w:val="00B86964"/>
    <w:rsid w:val="00B92738"/>
    <w:rsid w:val="00B93878"/>
    <w:rsid w:val="00B941EE"/>
    <w:rsid w:val="00B9464B"/>
    <w:rsid w:val="00B961FA"/>
    <w:rsid w:val="00B96250"/>
    <w:rsid w:val="00B969E0"/>
    <w:rsid w:val="00B97412"/>
    <w:rsid w:val="00B97F22"/>
    <w:rsid w:val="00BA1002"/>
    <w:rsid w:val="00BA1E26"/>
    <w:rsid w:val="00BA376A"/>
    <w:rsid w:val="00BA42A3"/>
    <w:rsid w:val="00BA5006"/>
    <w:rsid w:val="00BB2888"/>
    <w:rsid w:val="00BB296C"/>
    <w:rsid w:val="00BB2B28"/>
    <w:rsid w:val="00BB2CBB"/>
    <w:rsid w:val="00BB3022"/>
    <w:rsid w:val="00BB3B62"/>
    <w:rsid w:val="00BB4133"/>
    <w:rsid w:val="00BB5A03"/>
    <w:rsid w:val="00BB67A0"/>
    <w:rsid w:val="00BB699E"/>
    <w:rsid w:val="00BB6C6F"/>
    <w:rsid w:val="00BB6FB8"/>
    <w:rsid w:val="00BC0243"/>
    <w:rsid w:val="00BC10B8"/>
    <w:rsid w:val="00BC38BB"/>
    <w:rsid w:val="00BC4537"/>
    <w:rsid w:val="00BC5064"/>
    <w:rsid w:val="00BC564A"/>
    <w:rsid w:val="00BC5F9A"/>
    <w:rsid w:val="00BC67F1"/>
    <w:rsid w:val="00BC6937"/>
    <w:rsid w:val="00BC6CCB"/>
    <w:rsid w:val="00BD14BE"/>
    <w:rsid w:val="00BD1C5E"/>
    <w:rsid w:val="00BD47D0"/>
    <w:rsid w:val="00BD4A69"/>
    <w:rsid w:val="00BD4EC3"/>
    <w:rsid w:val="00BD579E"/>
    <w:rsid w:val="00BD7E28"/>
    <w:rsid w:val="00BE03FA"/>
    <w:rsid w:val="00BE04B8"/>
    <w:rsid w:val="00BE1213"/>
    <w:rsid w:val="00BE1B8D"/>
    <w:rsid w:val="00BE1E32"/>
    <w:rsid w:val="00BE3236"/>
    <w:rsid w:val="00BE67F1"/>
    <w:rsid w:val="00BE7110"/>
    <w:rsid w:val="00BE778E"/>
    <w:rsid w:val="00BE79D8"/>
    <w:rsid w:val="00BE7F11"/>
    <w:rsid w:val="00BF0097"/>
    <w:rsid w:val="00BF03F5"/>
    <w:rsid w:val="00BF07CB"/>
    <w:rsid w:val="00BF363C"/>
    <w:rsid w:val="00BF41E1"/>
    <w:rsid w:val="00C0162C"/>
    <w:rsid w:val="00C01771"/>
    <w:rsid w:val="00C0215A"/>
    <w:rsid w:val="00C02804"/>
    <w:rsid w:val="00C02938"/>
    <w:rsid w:val="00C02F03"/>
    <w:rsid w:val="00C03AD5"/>
    <w:rsid w:val="00C04289"/>
    <w:rsid w:val="00C04C76"/>
    <w:rsid w:val="00C05688"/>
    <w:rsid w:val="00C05E74"/>
    <w:rsid w:val="00C0668E"/>
    <w:rsid w:val="00C1001D"/>
    <w:rsid w:val="00C1078F"/>
    <w:rsid w:val="00C111B0"/>
    <w:rsid w:val="00C11239"/>
    <w:rsid w:val="00C11C1A"/>
    <w:rsid w:val="00C14022"/>
    <w:rsid w:val="00C14D53"/>
    <w:rsid w:val="00C1539B"/>
    <w:rsid w:val="00C15C12"/>
    <w:rsid w:val="00C15C2E"/>
    <w:rsid w:val="00C16B85"/>
    <w:rsid w:val="00C17F32"/>
    <w:rsid w:val="00C20841"/>
    <w:rsid w:val="00C21681"/>
    <w:rsid w:val="00C2438F"/>
    <w:rsid w:val="00C24ECB"/>
    <w:rsid w:val="00C25622"/>
    <w:rsid w:val="00C25711"/>
    <w:rsid w:val="00C257C7"/>
    <w:rsid w:val="00C301BE"/>
    <w:rsid w:val="00C3088B"/>
    <w:rsid w:val="00C320C8"/>
    <w:rsid w:val="00C359EB"/>
    <w:rsid w:val="00C374FB"/>
    <w:rsid w:val="00C40287"/>
    <w:rsid w:val="00C40D29"/>
    <w:rsid w:val="00C40F4E"/>
    <w:rsid w:val="00C42C2C"/>
    <w:rsid w:val="00C43F4D"/>
    <w:rsid w:val="00C44362"/>
    <w:rsid w:val="00C4445A"/>
    <w:rsid w:val="00C46F6A"/>
    <w:rsid w:val="00C50687"/>
    <w:rsid w:val="00C508B4"/>
    <w:rsid w:val="00C50C92"/>
    <w:rsid w:val="00C51FEB"/>
    <w:rsid w:val="00C52A86"/>
    <w:rsid w:val="00C5319E"/>
    <w:rsid w:val="00C5385B"/>
    <w:rsid w:val="00C53881"/>
    <w:rsid w:val="00C538B3"/>
    <w:rsid w:val="00C54DE7"/>
    <w:rsid w:val="00C5505A"/>
    <w:rsid w:val="00C575AE"/>
    <w:rsid w:val="00C607B7"/>
    <w:rsid w:val="00C61977"/>
    <w:rsid w:val="00C61EB2"/>
    <w:rsid w:val="00C6234F"/>
    <w:rsid w:val="00C6482D"/>
    <w:rsid w:val="00C65492"/>
    <w:rsid w:val="00C65654"/>
    <w:rsid w:val="00C65D70"/>
    <w:rsid w:val="00C66D7B"/>
    <w:rsid w:val="00C6778E"/>
    <w:rsid w:val="00C67B93"/>
    <w:rsid w:val="00C67E52"/>
    <w:rsid w:val="00C71DD4"/>
    <w:rsid w:val="00C721F2"/>
    <w:rsid w:val="00C73F00"/>
    <w:rsid w:val="00C74192"/>
    <w:rsid w:val="00C74632"/>
    <w:rsid w:val="00C751D6"/>
    <w:rsid w:val="00C76425"/>
    <w:rsid w:val="00C80222"/>
    <w:rsid w:val="00C807B3"/>
    <w:rsid w:val="00C807BB"/>
    <w:rsid w:val="00C8125C"/>
    <w:rsid w:val="00C83E88"/>
    <w:rsid w:val="00C8419B"/>
    <w:rsid w:val="00C849E9"/>
    <w:rsid w:val="00C85463"/>
    <w:rsid w:val="00C8572A"/>
    <w:rsid w:val="00C8777B"/>
    <w:rsid w:val="00C902D3"/>
    <w:rsid w:val="00C90322"/>
    <w:rsid w:val="00C9147E"/>
    <w:rsid w:val="00C91849"/>
    <w:rsid w:val="00C92C77"/>
    <w:rsid w:val="00C9537E"/>
    <w:rsid w:val="00C968B9"/>
    <w:rsid w:val="00C96964"/>
    <w:rsid w:val="00C96BFE"/>
    <w:rsid w:val="00C96C91"/>
    <w:rsid w:val="00C96F0E"/>
    <w:rsid w:val="00CA275A"/>
    <w:rsid w:val="00CA608F"/>
    <w:rsid w:val="00CA6324"/>
    <w:rsid w:val="00CA670C"/>
    <w:rsid w:val="00CB0829"/>
    <w:rsid w:val="00CB30C3"/>
    <w:rsid w:val="00CB337E"/>
    <w:rsid w:val="00CB51AC"/>
    <w:rsid w:val="00CB5AF4"/>
    <w:rsid w:val="00CB5B70"/>
    <w:rsid w:val="00CB5CF1"/>
    <w:rsid w:val="00CB68D8"/>
    <w:rsid w:val="00CB6E78"/>
    <w:rsid w:val="00CB7308"/>
    <w:rsid w:val="00CC0FFE"/>
    <w:rsid w:val="00CC150E"/>
    <w:rsid w:val="00CC2283"/>
    <w:rsid w:val="00CC34CA"/>
    <w:rsid w:val="00CC35CD"/>
    <w:rsid w:val="00CC35D6"/>
    <w:rsid w:val="00CC4862"/>
    <w:rsid w:val="00CC589B"/>
    <w:rsid w:val="00CC631E"/>
    <w:rsid w:val="00CC731E"/>
    <w:rsid w:val="00CC7BB1"/>
    <w:rsid w:val="00CD1F30"/>
    <w:rsid w:val="00CD23D1"/>
    <w:rsid w:val="00CD397D"/>
    <w:rsid w:val="00CD5425"/>
    <w:rsid w:val="00CD57E8"/>
    <w:rsid w:val="00CD6CEC"/>
    <w:rsid w:val="00CE0ADC"/>
    <w:rsid w:val="00CE0F12"/>
    <w:rsid w:val="00CE3564"/>
    <w:rsid w:val="00CE3C80"/>
    <w:rsid w:val="00CE56D0"/>
    <w:rsid w:val="00CE56DF"/>
    <w:rsid w:val="00CE5C20"/>
    <w:rsid w:val="00CE64B2"/>
    <w:rsid w:val="00CE668F"/>
    <w:rsid w:val="00CF0EE5"/>
    <w:rsid w:val="00CF0FD4"/>
    <w:rsid w:val="00CF113C"/>
    <w:rsid w:val="00CF183A"/>
    <w:rsid w:val="00CF26C3"/>
    <w:rsid w:val="00CF2D89"/>
    <w:rsid w:val="00CF31A6"/>
    <w:rsid w:val="00CF4DA9"/>
    <w:rsid w:val="00CF552C"/>
    <w:rsid w:val="00CF703F"/>
    <w:rsid w:val="00CF73C7"/>
    <w:rsid w:val="00CF7516"/>
    <w:rsid w:val="00D004B5"/>
    <w:rsid w:val="00D01994"/>
    <w:rsid w:val="00D0365B"/>
    <w:rsid w:val="00D03FFC"/>
    <w:rsid w:val="00D044B0"/>
    <w:rsid w:val="00D04776"/>
    <w:rsid w:val="00D0517E"/>
    <w:rsid w:val="00D05710"/>
    <w:rsid w:val="00D05949"/>
    <w:rsid w:val="00D05987"/>
    <w:rsid w:val="00D06483"/>
    <w:rsid w:val="00D0712C"/>
    <w:rsid w:val="00D1039F"/>
    <w:rsid w:val="00D11492"/>
    <w:rsid w:val="00D11568"/>
    <w:rsid w:val="00D12ADC"/>
    <w:rsid w:val="00D13135"/>
    <w:rsid w:val="00D13DC0"/>
    <w:rsid w:val="00D14857"/>
    <w:rsid w:val="00D16937"/>
    <w:rsid w:val="00D208B0"/>
    <w:rsid w:val="00D20AAF"/>
    <w:rsid w:val="00D211B4"/>
    <w:rsid w:val="00D21FA4"/>
    <w:rsid w:val="00D234CA"/>
    <w:rsid w:val="00D24E81"/>
    <w:rsid w:val="00D25C5C"/>
    <w:rsid w:val="00D264BB"/>
    <w:rsid w:val="00D26C31"/>
    <w:rsid w:val="00D27168"/>
    <w:rsid w:val="00D27B32"/>
    <w:rsid w:val="00D31168"/>
    <w:rsid w:val="00D32144"/>
    <w:rsid w:val="00D327BA"/>
    <w:rsid w:val="00D33151"/>
    <w:rsid w:val="00D35164"/>
    <w:rsid w:val="00D35C2B"/>
    <w:rsid w:val="00D367E7"/>
    <w:rsid w:val="00D3699D"/>
    <w:rsid w:val="00D3720B"/>
    <w:rsid w:val="00D3763E"/>
    <w:rsid w:val="00D412A0"/>
    <w:rsid w:val="00D4298D"/>
    <w:rsid w:val="00D42C81"/>
    <w:rsid w:val="00D42D6C"/>
    <w:rsid w:val="00D440B3"/>
    <w:rsid w:val="00D4426F"/>
    <w:rsid w:val="00D44EEC"/>
    <w:rsid w:val="00D4527C"/>
    <w:rsid w:val="00D45852"/>
    <w:rsid w:val="00D45B40"/>
    <w:rsid w:val="00D4659C"/>
    <w:rsid w:val="00D472B1"/>
    <w:rsid w:val="00D4772B"/>
    <w:rsid w:val="00D529AF"/>
    <w:rsid w:val="00D54A00"/>
    <w:rsid w:val="00D54B30"/>
    <w:rsid w:val="00D55D28"/>
    <w:rsid w:val="00D570CC"/>
    <w:rsid w:val="00D61673"/>
    <w:rsid w:val="00D621FE"/>
    <w:rsid w:val="00D6244F"/>
    <w:rsid w:val="00D62C1F"/>
    <w:rsid w:val="00D651D0"/>
    <w:rsid w:val="00D65263"/>
    <w:rsid w:val="00D67A7A"/>
    <w:rsid w:val="00D67AFC"/>
    <w:rsid w:val="00D72CAC"/>
    <w:rsid w:val="00D72F9C"/>
    <w:rsid w:val="00D7394C"/>
    <w:rsid w:val="00D75463"/>
    <w:rsid w:val="00D76FE5"/>
    <w:rsid w:val="00D77149"/>
    <w:rsid w:val="00D8020A"/>
    <w:rsid w:val="00D835E6"/>
    <w:rsid w:val="00D859C5"/>
    <w:rsid w:val="00D85B23"/>
    <w:rsid w:val="00D861A8"/>
    <w:rsid w:val="00D90902"/>
    <w:rsid w:val="00D90BC7"/>
    <w:rsid w:val="00D9151D"/>
    <w:rsid w:val="00D9252D"/>
    <w:rsid w:val="00D92715"/>
    <w:rsid w:val="00D92A01"/>
    <w:rsid w:val="00D92B2E"/>
    <w:rsid w:val="00D93047"/>
    <w:rsid w:val="00D93D00"/>
    <w:rsid w:val="00D93E5B"/>
    <w:rsid w:val="00D9491E"/>
    <w:rsid w:val="00D95D08"/>
    <w:rsid w:val="00D97119"/>
    <w:rsid w:val="00D97A40"/>
    <w:rsid w:val="00DA03BB"/>
    <w:rsid w:val="00DA0B88"/>
    <w:rsid w:val="00DA2534"/>
    <w:rsid w:val="00DA3D92"/>
    <w:rsid w:val="00DA491D"/>
    <w:rsid w:val="00DA5430"/>
    <w:rsid w:val="00DA608F"/>
    <w:rsid w:val="00DA61CA"/>
    <w:rsid w:val="00DB10EF"/>
    <w:rsid w:val="00DB184F"/>
    <w:rsid w:val="00DB1F7A"/>
    <w:rsid w:val="00DB35A8"/>
    <w:rsid w:val="00DB4AEE"/>
    <w:rsid w:val="00DB7CA8"/>
    <w:rsid w:val="00DC13C3"/>
    <w:rsid w:val="00DC13CA"/>
    <w:rsid w:val="00DC19ED"/>
    <w:rsid w:val="00DC335A"/>
    <w:rsid w:val="00DC700C"/>
    <w:rsid w:val="00DC707C"/>
    <w:rsid w:val="00DC767C"/>
    <w:rsid w:val="00DD0218"/>
    <w:rsid w:val="00DD0CD2"/>
    <w:rsid w:val="00DD1F50"/>
    <w:rsid w:val="00DD2354"/>
    <w:rsid w:val="00DD2ED3"/>
    <w:rsid w:val="00DD3652"/>
    <w:rsid w:val="00DD3900"/>
    <w:rsid w:val="00DD3A19"/>
    <w:rsid w:val="00DD3BA3"/>
    <w:rsid w:val="00DD5256"/>
    <w:rsid w:val="00DD538E"/>
    <w:rsid w:val="00DD5878"/>
    <w:rsid w:val="00DD781F"/>
    <w:rsid w:val="00DD7D4E"/>
    <w:rsid w:val="00DE18D4"/>
    <w:rsid w:val="00DE374F"/>
    <w:rsid w:val="00DE4A18"/>
    <w:rsid w:val="00DE4DDD"/>
    <w:rsid w:val="00DE633F"/>
    <w:rsid w:val="00DE6A79"/>
    <w:rsid w:val="00DE6EA8"/>
    <w:rsid w:val="00DE726A"/>
    <w:rsid w:val="00DF0DB0"/>
    <w:rsid w:val="00DF28B6"/>
    <w:rsid w:val="00DF3A37"/>
    <w:rsid w:val="00DF3E8A"/>
    <w:rsid w:val="00DF522C"/>
    <w:rsid w:val="00DF6BD7"/>
    <w:rsid w:val="00E0233F"/>
    <w:rsid w:val="00E02385"/>
    <w:rsid w:val="00E032F5"/>
    <w:rsid w:val="00E0416E"/>
    <w:rsid w:val="00E07793"/>
    <w:rsid w:val="00E0782E"/>
    <w:rsid w:val="00E10C3C"/>
    <w:rsid w:val="00E1142B"/>
    <w:rsid w:val="00E1251C"/>
    <w:rsid w:val="00E12EAE"/>
    <w:rsid w:val="00E137E8"/>
    <w:rsid w:val="00E13E72"/>
    <w:rsid w:val="00E142EA"/>
    <w:rsid w:val="00E15E19"/>
    <w:rsid w:val="00E1771D"/>
    <w:rsid w:val="00E2108B"/>
    <w:rsid w:val="00E228F9"/>
    <w:rsid w:val="00E242D7"/>
    <w:rsid w:val="00E247F5"/>
    <w:rsid w:val="00E24BF0"/>
    <w:rsid w:val="00E25A1E"/>
    <w:rsid w:val="00E2660B"/>
    <w:rsid w:val="00E27889"/>
    <w:rsid w:val="00E30937"/>
    <w:rsid w:val="00E3175D"/>
    <w:rsid w:val="00E33AAE"/>
    <w:rsid w:val="00E3473E"/>
    <w:rsid w:val="00E34B01"/>
    <w:rsid w:val="00E369A8"/>
    <w:rsid w:val="00E37D96"/>
    <w:rsid w:val="00E37FE2"/>
    <w:rsid w:val="00E42563"/>
    <w:rsid w:val="00E42F31"/>
    <w:rsid w:val="00E43A2A"/>
    <w:rsid w:val="00E47B80"/>
    <w:rsid w:val="00E47F63"/>
    <w:rsid w:val="00E513FE"/>
    <w:rsid w:val="00E51894"/>
    <w:rsid w:val="00E51D38"/>
    <w:rsid w:val="00E52825"/>
    <w:rsid w:val="00E54A6A"/>
    <w:rsid w:val="00E54CD7"/>
    <w:rsid w:val="00E55B0B"/>
    <w:rsid w:val="00E56102"/>
    <w:rsid w:val="00E60170"/>
    <w:rsid w:val="00E602C4"/>
    <w:rsid w:val="00E604E4"/>
    <w:rsid w:val="00E60F8F"/>
    <w:rsid w:val="00E62F4A"/>
    <w:rsid w:val="00E63BB5"/>
    <w:rsid w:val="00E65C19"/>
    <w:rsid w:val="00E67A09"/>
    <w:rsid w:val="00E67CA9"/>
    <w:rsid w:val="00E70F9E"/>
    <w:rsid w:val="00E71712"/>
    <w:rsid w:val="00E71811"/>
    <w:rsid w:val="00E7433B"/>
    <w:rsid w:val="00E762F5"/>
    <w:rsid w:val="00E7639C"/>
    <w:rsid w:val="00E76C9F"/>
    <w:rsid w:val="00E77B4F"/>
    <w:rsid w:val="00E81AA9"/>
    <w:rsid w:val="00E822FD"/>
    <w:rsid w:val="00E82AB7"/>
    <w:rsid w:val="00E846E5"/>
    <w:rsid w:val="00E84DB0"/>
    <w:rsid w:val="00E8652A"/>
    <w:rsid w:val="00E86C27"/>
    <w:rsid w:val="00E904E1"/>
    <w:rsid w:val="00E90C9D"/>
    <w:rsid w:val="00E90DE7"/>
    <w:rsid w:val="00E92F13"/>
    <w:rsid w:val="00E931B2"/>
    <w:rsid w:val="00E9358A"/>
    <w:rsid w:val="00E93689"/>
    <w:rsid w:val="00E9460A"/>
    <w:rsid w:val="00E952F5"/>
    <w:rsid w:val="00E96690"/>
    <w:rsid w:val="00E96F68"/>
    <w:rsid w:val="00E97A8A"/>
    <w:rsid w:val="00EA0AB2"/>
    <w:rsid w:val="00EA0E4D"/>
    <w:rsid w:val="00EA1669"/>
    <w:rsid w:val="00EA1D8B"/>
    <w:rsid w:val="00EA2B63"/>
    <w:rsid w:val="00EA3F11"/>
    <w:rsid w:val="00EA4373"/>
    <w:rsid w:val="00EA5724"/>
    <w:rsid w:val="00EA62C2"/>
    <w:rsid w:val="00EA66F2"/>
    <w:rsid w:val="00EA73E2"/>
    <w:rsid w:val="00EB12FC"/>
    <w:rsid w:val="00EB1B98"/>
    <w:rsid w:val="00EB1F2D"/>
    <w:rsid w:val="00EB222D"/>
    <w:rsid w:val="00EB2F95"/>
    <w:rsid w:val="00EB348A"/>
    <w:rsid w:val="00EB3E26"/>
    <w:rsid w:val="00EB45AE"/>
    <w:rsid w:val="00EB571E"/>
    <w:rsid w:val="00EB648A"/>
    <w:rsid w:val="00EB6738"/>
    <w:rsid w:val="00EB7148"/>
    <w:rsid w:val="00EB7DBD"/>
    <w:rsid w:val="00EB7DE4"/>
    <w:rsid w:val="00EC09FF"/>
    <w:rsid w:val="00EC1554"/>
    <w:rsid w:val="00EC24BC"/>
    <w:rsid w:val="00EC2C12"/>
    <w:rsid w:val="00EC3336"/>
    <w:rsid w:val="00EC3AE6"/>
    <w:rsid w:val="00EC3B8E"/>
    <w:rsid w:val="00EC3C4F"/>
    <w:rsid w:val="00EC3CA2"/>
    <w:rsid w:val="00EC5A42"/>
    <w:rsid w:val="00EC65BC"/>
    <w:rsid w:val="00EC6D84"/>
    <w:rsid w:val="00EC7E46"/>
    <w:rsid w:val="00ED0CE9"/>
    <w:rsid w:val="00ED1109"/>
    <w:rsid w:val="00ED148F"/>
    <w:rsid w:val="00ED169A"/>
    <w:rsid w:val="00ED206F"/>
    <w:rsid w:val="00ED29F9"/>
    <w:rsid w:val="00ED30B9"/>
    <w:rsid w:val="00ED3833"/>
    <w:rsid w:val="00ED45E5"/>
    <w:rsid w:val="00ED58B3"/>
    <w:rsid w:val="00ED6A89"/>
    <w:rsid w:val="00EE06E0"/>
    <w:rsid w:val="00EE2DDF"/>
    <w:rsid w:val="00EE319B"/>
    <w:rsid w:val="00EE3587"/>
    <w:rsid w:val="00EE4ACB"/>
    <w:rsid w:val="00EE4C7E"/>
    <w:rsid w:val="00EE675A"/>
    <w:rsid w:val="00EE681D"/>
    <w:rsid w:val="00EE6C20"/>
    <w:rsid w:val="00EF00F8"/>
    <w:rsid w:val="00EF0A8B"/>
    <w:rsid w:val="00EF1A3B"/>
    <w:rsid w:val="00EF2442"/>
    <w:rsid w:val="00EF2CAC"/>
    <w:rsid w:val="00EF5F63"/>
    <w:rsid w:val="00EF6B7F"/>
    <w:rsid w:val="00EF77AE"/>
    <w:rsid w:val="00F00A7B"/>
    <w:rsid w:val="00F0136B"/>
    <w:rsid w:val="00F015C8"/>
    <w:rsid w:val="00F01C29"/>
    <w:rsid w:val="00F02047"/>
    <w:rsid w:val="00F023E6"/>
    <w:rsid w:val="00F02D81"/>
    <w:rsid w:val="00F02EEB"/>
    <w:rsid w:val="00F03874"/>
    <w:rsid w:val="00F06511"/>
    <w:rsid w:val="00F06A14"/>
    <w:rsid w:val="00F0787B"/>
    <w:rsid w:val="00F078D2"/>
    <w:rsid w:val="00F1120D"/>
    <w:rsid w:val="00F11D72"/>
    <w:rsid w:val="00F152D9"/>
    <w:rsid w:val="00F15B8F"/>
    <w:rsid w:val="00F15DA2"/>
    <w:rsid w:val="00F171F1"/>
    <w:rsid w:val="00F1748F"/>
    <w:rsid w:val="00F2035B"/>
    <w:rsid w:val="00F209E7"/>
    <w:rsid w:val="00F20E26"/>
    <w:rsid w:val="00F20F15"/>
    <w:rsid w:val="00F21B5C"/>
    <w:rsid w:val="00F228A6"/>
    <w:rsid w:val="00F22AC7"/>
    <w:rsid w:val="00F237B5"/>
    <w:rsid w:val="00F251D5"/>
    <w:rsid w:val="00F26338"/>
    <w:rsid w:val="00F263E2"/>
    <w:rsid w:val="00F27716"/>
    <w:rsid w:val="00F30436"/>
    <w:rsid w:val="00F317D5"/>
    <w:rsid w:val="00F320F6"/>
    <w:rsid w:val="00F3331B"/>
    <w:rsid w:val="00F33A08"/>
    <w:rsid w:val="00F34A59"/>
    <w:rsid w:val="00F3572F"/>
    <w:rsid w:val="00F35C01"/>
    <w:rsid w:val="00F35FB4"/>
    <w:rsid w:val="00F37D37"/>
    <w:rsid w:val="00F40392"/>
    <w:rsid w:val="00F406C0"/>
    <w:rsid w:val="00F41DCE"/>
    <w:rsid w:val="00F421E1"/>
    <w:rsid w:val="00F42ADE"/>
    <w:rsid w:val="00F42F6A"/>
    <w:rsid w:val="00F437D3"/>
    <w:rsid w:val="00F442B6"/>
    <w:rsid w:val="00F4591D"/>
    <w:rsid w:val="00F45CC6"/>
    <w:rsid w:val="00F45F69"/>
    <w:rsid w:val="00F46614"/>
    <w:rsid w:val="00F503FE"/>
    <w:rsid w:val="00F50459"/>
    <w:rsid w:val="00F544BA"/>
    <w:rsid w:val="00F54E44"/>
    <w:rsid w:val="00F559AF"/>
    <w:rsid w:val="00F56085"/>
    <w:rsid w:val="00F60690"/>
    <w:rsid w:val="00F6114E"/>
    <w:rsid w:val="00F61CCA"/>
    <w:rsid w:val="00F634BF"/>
    <w:rsid w:val="00F648B7"/>
    <w:rsid w:val="00F64DE6"/>
    <w:rsid w:val="00F710D7"/>
    <w:rsid w:val="00F71942"/>
    <w:rsid w:val="00F72AE6"/>
    <w:rsid w:val="00F72BAE"/>
    <w:rsid w:val="00F7628E"/>
    <w:rsid w:val="00F77407"/>
    <w:rsid w:val="00F8075B"/>
    <w:rsid w:val="00F81285"/>
    <w:rsid w:val="00F813D8"/>
    <w:rsid w:val="00F83BE4"/>
    <w:rsid w:val="00F85472"/>
    <w:rsid w:val="00F85559"/>
    <w:rsid w:val="00F870B7"/>
    <w:rsid w:val="00F90996"/>
    <w:rsid w:val="00F919AB"/>
    <w:rsid w:val="00F91B6A"/>
    <w:rsid w:val="00F91B78"/>
    <w:rsid w:val="00F92311"/>
    <w:rsid w:val="00F94131"/>
    <w:rsid w:val="00F969FF"/>
    <w:rsid w:val="00F96A04"/>
    <w:rsid w:val="00FA148F"/>
    <w:rsid w:val="00FA1A5F"/>
    <w:rsid w:val="00FA3ADF"/>
    <w:rsid w:val="00FA3C37"/>
    <w:rsid w:val="00FA5141"/>
    <w:rsid w:val="00FA5360"/>
    <w:rsid w:val="00FA6A6D"/>
    <w:rsid w:val="00FA71B3"/>
    <w:rsid w:val="00FA7BF4"/>
    <w:rsid w:val="00FA7D3F"/>
    <w:rsid w:val="00FB2CA8"/>
    <w:rsid w:val="00FB3D5D"/>
    <w:rsid w:val="00FB46EE"/>
    <w:rsid w:val="00FB5415"/>
    <w:rsid w:val="00FB6C20"/>
    <w:rsid w:val="00FB79EA"/>
    <w:rsid w:val="00FB7BFE"/>
    <w:rsid w:val="00FB7F13"/>
    <w:rsid w:val="00FB7F74"/>
    <w:rsid w:val="00FC3D33"/>
    <w:rsid w:val="00FC4315"/>
    <w:rsid w:val="00FC5DD1"/>
    <w:rsid w:val="00FC60AE"/>
    <w:rsid w:val="00FC6C63"/>
    <w:rsid w:val="00FD2221"/>
    <w:rsid w:val="00FD3796"/>
    <w:rsid w:val="00FD3CE3"/>
    <w:rsid w:val="00FD4D52"/>
    <w:rsid w:val="00FD4E63"/>
    <w:rsid w:val="00FD6F4C"/>
    <w:rsid w:val="00FE005D"/>
    <w:rsid w:val="00FE0C47"/>
    <w:rsid w:val="00FE14F5"/>
    <w:rsid w:val="00FE3609"/>
    <w:rsid w:val="00FE4A98"/>
    <w:rsid w:val="00FE4CC1"/>
    <w:rsid w:val="00FE5120"/>
    <w:rsid w:val="00FE5156"/>
    <w:rsid w:val="00FE5197"/>
    <w:rsid w:val="00FE5ED0"/>
    <w:rsid w:val="00FE63C3"/>
    <w:rsid w:val="00FE6F17"/>
    <w:rsid w:val="00FF1240"/>
    <w:rsid w:val="00FF2005"/>
    <w:rsid w:val="00FF22D4"/>
    <w:rsid w:val="00FF2304"/>
    <w:rsid w:val="00FF2341"/>
    <w:rsid w:val="00FF2409"/>
    <w:rsid w:val="00FF263F"/>
    <w:rsid w:val="00FF421C"/>
    <w:rsid w:val="00FF4AD3"/>
    <w:rsid w:val="00FF4C78"/>
    <w:rsid w:val="00FF4FDC"/>
    <w:rsid w:val="00FF6888"/>
    <w:rsid w:val="00FF6A57"/>
    <w:rsid w:val="00FF76AE"/>
    <w:rsid w:val="00FF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BE4BFBC"/>
  <w15:chartTrackingRefBased/>
  <w15:docId w15:val="{E8EDC117-65CD-455A-A54F-9D878D88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96"/>
    <w:pPr>
      <w:spacing w:before="40" w:after="80"/>
    </w:pPr>
    <w:rPr>
      <w:rFonts w:ascii="Arial" w:hAnsi="Arial"/>
    </w:rPr>
  </w:style>
  <w:style w:type="paragraph" w:styleId="Heading1">
    <w:name w:val="heading 1"/>
    <w:basedOn w:val="Normal"/>
    <w:next w:val="Normal"/>
    <w:link w:val="Heading1Char"/>
    <w:uiPriority w:val="9"/>
    <w:qFormat/>
    <w:rsid w:val="00B37564"/>
    <w:pPr>
      <w:keepNext/>
      <w:keepLines/>
      <w:numPr>
        <w:numId w:val="4"/>
      </w:numPr>
      <w:spacing w:before="240" w:after="0"/>
      <w:outlineLvl w:val="0"/>
    </w:pPr>
    <w:rPr>
      <w:rFonts w:eastAsiaTheme="majorEastAsia" w:cstheme="majorBidi"/>
      <w:b/>
      <w:caps/>
      <w:color w:val="C00000"/>
      <w:sz w:val="44"/>
      <w:szCs w:val="32"/>
    </w:rPr>
  </w:style>
  <w:style w:type="paragraph" w:styleId="Heading2">
    <w:name w:val="heading 2"/>
    <w:basedOn w:val="Normal"/>
    <w:next w:val="Normal"/>
    <w:link w:val="Heading2Char"/>
    <w:uiPriority w:val="9"/>
    <w:unhideWhenUsed/>
    <w:qFormat/>
    <w:rsid w:val="00951B78"/>
    <w:pPr>
      <w:keepNext/>
      <w:keepLines/>
      <w:spacing w:before="80"/>
      <w:outlineLvl w:val="1"/>
    </w:pPr>
    <w:rPr>
      <w:rFonts w:eastAsiaTheme="majorEastAsia" w:cstheme="majorBidi"/>
      <w:b/>
      <w:caps/>
      <w:sz w:val="26"/>
      <w:szCs w:val="26"/>
    </w:rPr>
  </w:style>
  <w:style w:type="paragraph" w:styleId="Heading3">
    <w:name w:val="heading 3"/>
    <w:basedOn w:val="Normal"/>
    <w:next w:val="Normal"/>
    <w:link w:val="Heading3Char"/>
    <w:uiPriority w:val="9"/>
    <w:unhideWhenUsed/>
    <w:qFormat/>
    <w:rsid w:val="00951B78"/>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51B78"/>
    <w:pPr>
      <w:keepNext/>
      <w:keepLines/>
      <w:spacing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559"/>
    <w:rPr>
      <w:rFonts w:ascii="Arial" w:eastAsiaTheme="majorEastAsia" w:hAnsi="Arial" w:cstheme="majorBidi"/>
      <w:b/>
      <w:caps/>
      <w:color w:val="C00000"/>
      <w:sz w:val="44"/>
      <w:szCs w:val="32"/>
    </w:rPr>
  </w:style>
  <w:style w:type="character" w:customStyle="1" w:styleId="Heading2Char">
    <w:name w:val="Heading 2 Char"/>
    <w:basedOn w:val="DefaultParagraphFont"/>
    <w:link w:val="Heading2"/>
    <w:uiPriority w:val="9"/>
    <w:rsid w:val="00951B78"/>
    <w:rPr>
      <w:rFonts w:ascii="Arial" w:eastAsiaTheme="majorEastAsia" w:hAnsi="Arial" w:cstheme="majorBidi"/>
      <w:b/>
      <w:caps/>
      <w:sz w:val="26"/>
      <w:szCs w:val="26"/>
    </w:rPr>
  </w:style>
  <w:style w:type="paragraph" w:styleId="ListParagraph">
    <w:name w:val="List Paragraph"/>
    <w:basedOn w:val="Normal"/>
    <w:uiPriority w:val="34"/>
    <w:rsid w:val="00A45DE5"/>
    <w:pPr>
      <w:ind w:left="720"/>
      <w:contextualSpacing/>
    </w:pPr>
  </w:style>
  <w:style w:type="table" w:styleId="TableGrid">
    <w:name w:val="Table Grid"/>
    <w:basedOn w:val="TableNormal"/>
    <w:uiPriority w:val="39"/>
    <w:rsid w:val="00562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BC7"/>
    <w:rPr>
      <w:rFonts w:ascii="Arial" w:hAnsi="Arial"/>
    </w:rPr>
  </w:style>
  <w:style w:type="paragraph" w:styleId="Footer">
    <w:name w:val="footer"/>
    <w:basedOn w:val="Normal"/>
    <w:link w:val="FooterChar"/>
    <w:uiPriority w:val="99"/>
    <w:unhideWhenUsed/>
    <w:rsid w:val="00D90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BC7"/>
    <w:rPr>
      <w:rFonts w:ascii="Arial" w:hAnsi="Arial"/>
    </w:rPr>
  </w:style>
  <w:style w:type="paragraph" w:customStyle="1" w:styleId="Default">
    <w:name w:val="Default"/>
    <w:rsid w:val="006272B8"/>
    <w:pPr>
      <w:autoSpaceDE w:val="0"/>
      <w:autoSpaceDN w:val="0"/>
      <w:adjustRightInd w:val="0"/>
      <w:spacing w:after="0" w:line="240" w:lineRule="auto"/>
    </w:pPr>
    <w:rPr>
      <w:rFonts w:ascii="Arial" w:hAnsi="Arial" w:cs="Arial"/>
      <w:color w:val="000000"/>
      <w:sz w:val="24"/>
      <w:szCs w:val="24"/>
    </w:rPr>
  </w:style>
  <w:style w:type="paragraph" w:customStyle="1" w:styleId="Bullets">
    <w:name w:val="Bullets"/>
    <w:basedOn w:val="Normal"/>
    <w:link w:val="BulletsChar"/>
    <w:rsid w:val="00DD538E"/>
    <w:pPr>
      <w:numPr>
        <w:numId w:val="3"/>
      </w:numPr>
      <w:spacing w:after="40" w:line="240" w:lineRule="auto"/>
      <w:ind w:left="714" w:hanging="357"/>
    </w:pPr>
  </w:style>
  <w:style w:type="paragraph" w:customStyle="1" w:styleId="NormalHeading">
    <w:name w:val="Normal Heading"/>
    <w:basedOn w:val="Normal"/>
    <w:link w:val="NormalHeadingChar"/>
    <w:qFormat/>
    <w:rsid w:val="001B64B4"/>
    <w:pPr>
      <w:spacing w:after="0" w:line="240" w:lineRule="auto"/>
    </w:pPr>
    <w:rPr>
      <w:b/>
    </w:rPr>
  </w:style>
  <w:style w:type="character" w:customStyle="1" w:styleId="BulletsChar">
    <w:name w:val="Bullets Char"/>
    <w:basedOn w:val="DefaultParagraphFont"/>
    <w:link w:val="Bullets"/>
    <w:rsid w:val="00DD538E"/>
    <w:rPr>
      <w:rFonts w:ascii="Arial" w:hAnsi="Arial"/>
    </w:rPr>
  </w:style>
  <w:style w:type="paragraph" w:customStyle="1" w:styleId="TableHeading-Normal">
    <w:name w:val="Table Heading - Normal"/>
    <w:basedOn w:val="NormalHeading"/>
    <w:next w:val="TableofAuthorities"/>
    <w:link w:val="TableHeading-NormalChar"/>
    <w:qFormat/>
    <w:rsid w:val="004B0331"/>
    <w:pPr>
      <w:shd w:val="clear" w:color="auto" w:fill="FFFFFF" w:themeFill="background1"/>
      <w:textboxTightWrap w:val="allLines"/>
    </w:pPr>
  </w:style>
  <w:style w:type="character" w:customStyle="1" w:styleId="NormalHeadingChar">
    <w:name w:val="Normal Heading Char"/>
    <w:basedOn w:val="DefaultParagraphFont"/>
    <w:link w:val="NormalHeading"/>
    <w:rsid w:val="001B64B4"/>
    <w:rPr>
      <w:rFonts w:ascii="Arial" w:hAnsi="Arial"/>
      <w:b/>
    </w:rPr>
  </w:style>
  <w:style w:type="character" w:customStyle="1" w:styleId="TableHeading-NormalChar">
    <w:name w:val="Table Heading - Normal Char"/>
    <w:basedOn w:val="NormalHeadingChar"/>
    <w:link w:val="TableHeading-Normal"/>
    <w:rsid w:val="004B0331"/>
    <w:rPr>
      <w:rFonts w:ascii="Arial" w:hAnsi="Arial"/>
      <w:b/>
      <w:shd w:val="clear" w:color="auto" w:fill="FFFFFF" w:themeFill="background1"/>
    </w:rPr>
  </w:style>
  <w:style w:type="character" w:customStyle="1" w:styleId="Heading3Char">
    <w:name w:val="Heading 3 Char"/>
    <w:basedOn w:val="DefaultParagraphFont"/>
    <w:link w:val="Heading3"/>
    <w:uiPriority w:val="9"/>
    <w:rsid w:val="00951B7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951B78"/>
    <w:rPr>
      <w:rFonts w:ascii="Arial" w:eastAsiaTheme="majorEastAsia" w:hAnsi="Arial" w:cstheme="majorBidi"/>
      <w:i/>
      <w:iCs/>
    </w:rPr>
  </w:style>
  <w:style w:type="paragraph" w:customStyle="1" w:styleId="Normalitalics">
    <w:name w:val="Normal italics"/>
    <w:basedOn w:val="Normal"/>
    <w:link w:val="NormalitalicsChar"/>
    <w:rsid w:val="00E37D96"/>
    <w:rPr>
      <w:i/>
    </w:rPr>
  </w:style>
  <w:style w:type="character" w:customStyle="1" w:styleId="NormalitalicsChar">
    <w:name w:val="Normal italics Char"/>
    <w:basedOn w:val="DefaultParagraphFont"/>
    <w:link w:val="Normalitalics"/>
    <w:rsid w:val="00E37D96"/>
    <w:rPr>
      <w:rFonts w:ascii="Arial" w:hAnsi="Arial"/>
      <w:i/>
    </w:rPr>
  </w:style>
  <w:style w:type="paragraph" w:styleId="TOCHeading">
    <w:name w:val="TOC Heading"/>
    <w:basedOn w:val="Heading1"/>
    <w:next w:val="Normal"/>
    <w:uiPriority w:val="39"/>
    <w:unhideWhenUsed/>
    <w:rsid w:val="00250BD2"/>
    <w:pPr>
      <w:numPr>
        <w:numId w:val="0"/>
      </w:numPr>
      <w:outlineLvl w:val="9"/>
    </w:pPr>
    <w:rPr>
      <w:rFonts w:asciiTheme="majorHAnsi" w:hAnsiTheme="majorHAnsi"/>
      <w:b w:val="0"/>
      <w:caps w:val="0"/>
      <w:lang w:val="en-US"/>
    </w:rPr>
  </w:style>
  <w:style w:type="paragraph" w:styleId="TOC1">
    <w:name w:val="toc 1"/>
    <w:basedOn w:val="Normal"/>
    <w:next w:val="Normal"/>
    <w:autoRedefine/>
    <w:uiPriority w:val="39"/>
    <w:unhideWhenUsed/>
    <w:rsid w:val="00250BD2"/>
    <w:pPr>
      <w:spacing w:after="100"/>
    </w:pPr>
  </w:style>
  <w:style w:type="paragraph" w:styleId="TOC2">
    <w:name w:val="toc 2"/>
    <w:basedOn w:val="Normal"/>
    <w:next w:val="Normal"/>
    <w:autoRedefine/>
    <w:uiPriority w:val="39"/>
    <w:unhideWhenUsed/>
    <w:rsid w:val="00D97A40"/>
    <w:pPr>
      <w:tabs>
        <w:tab w:val="right" w:leader="dot" w:pos="9622"/>
      </w:tabs>
      <w:spacing w:after="100"/>
      <w:ind w:left="220"/>
    </w:pPr>
  </w:style>
  <w:style w:type="paragraph" w:styleId="TOC3">
    <w:name w:val="toc 3"/>
    <w:basedOn w:val="Normal"/>
    <w:next w:val="Normal"/>
    <w:autoRedefine/>
    <w:uiPriority w:val="39"/>
    <w:unhideWhenUsed/>
    <w:rsid w:val="00D97A40"/>
    <w:pPr>
      <w:spacing w:after="100"/>
      <w:ind w:left="440"/>
    </w:pPr>
  </w:style>
  <w:style w:type="character" w:styleId="Hyperlink">
    <w:name w:val="Hyperlink"/>
    <w:basedOn w:val="DefaultParagraphFont"/>
    <w:uiPriority w:val="99"/>
    <w:unhideWhenUsed/>
    <w:rsid w:val="00250BD2"/>
    <w:rPr>
      <w:color w:val="0563C1" w:themeColor="hyperlink"/>
      <w:u w:val="single"/>
    </w:rPr>
  </w:style>
  <w:style w:type="paragraph" w:customStyle="1" w:styleId="Source">
    <w:name w:val="Source"/>
    <w:basedOn w:val="Normal"/>
    <w:link w:val="SourceChar"/>
    <w:qFormat/>
    <w:rsid w:val="00924D19"/>
    <w:rPr>
      <w:sz w:val="16"/>
    </w:rPr>
  </w:style>
  <w:style w:type="character" w:customStyle="1" w:styleId="SourceChar">
    <w:name w:val="Source Char"/>
    <w:basedOn w:val="DefaultParagraphFont"/>
    <w:link w:val="Source"/>
    <w:rsid w:val="00924D19"/>
    <w:rPr>
      <w:rFonts w:ascii="Arial" w:hAnsi="Arial"/>
      <w:sz w:val="16"/>
    </w:rPr>
  </w:style>
  <w:style w:type="paragraph" w:customStyle="1" w:styleId="Intro">
    <w:name w:val="Intro"/>
    <w:basedOn w:val="Normal"/>
    <w:qFormat/>
    <w:rsid w:val="00E513FE"/>
    <w:pPr>
      <w:pBdr>
        <w:top w:val="single" w:sz="4" w:space="1" w:color="000000" w:themeColor="text1"/>
      </w:pBdr>
      <w:spacing w:after="120" w:line="240" w:lineRule="auto"/>
    </w:pPr>
    <w:rPr>
      <w:color w:val="000000" w:themeColor="text1"/>
      <w:szCs w:val="24"/>
    </w:rPr>
  </w:style>
  <w:style w:type="paragraph" w:styleId="Quote">
    <w:name w:val="Quote"/>
    <w:basedOn w:val="Normal"/>
    <w:next w:val="Normal"/>
    <w:link w:val="QuoteChar"/>
    <w:uiPriority w:val="29"/>
    <w:rsid w:val="00E513FE"/>
    <w:pPr>
      <w:spacing w:before="120" w:after="120" w:line="240" w:lineRule="auto"/>
      <w:ind w:left="284" w:right="284"/>
    </w:pPr>
    <w:rPr>
      <w:i/>
      <w:iCs/>
      <w:color w:val="44546A" w:themeColor="text2"/>
      <w:szCs w:val="24"/>
      <w:lang w:val="en-GB"/>
    </w:rPr>
  </w:style>
  <w:style w:type="character" w:customStyle="1" w:styleId="QuoteChar">
    <w:name w:val="Quote Char"/>
    <w:basedOn w:val="DefaultParagraphFont"/>
    <w:link w:val="Quote"/>
    <w:uiPriority w:val="29"/>
    <w:rsid w:val="00E513FE"/>
    <w:rPr>
      <w:rFonts w:ascii="Arial" w:hAnsi="Arial"/>
      <w:i/>
      <w:iCs/>
      <w:color w:val="44546A" w:themeColor="text2"/>
      <w:szCs w:val="24"/>
      <w:lang w:val="en-GB"/>
    </w:rPr>
  </w:style>
  <w:style w:type="paragraph" w:customStyle="1" w:styleId="Bullet1">
    <w:name w:val="Bullet 1"/>
    <w:basedOn w:val="Normal"/>
    <w:next w:val="Normal"/>
    <w:link w:val="Bullet1Char"/>
    <w:qFormat/>
    <w:rsid w:val="00B96250"/>
    <w:pPr>
      <w:numPr>
        <w:numId w:val="7"/>
      </w:numPr>
      <w:spacing w:after="120" w:line="240" w:lineRule="auto"/>
    </w:pPr>
    <w:rPr>
      <w:szCs w:val="24"/>
    </w:rPr>
  </w:style>
  <w:style w:type="paragraph" w:customStyle="1" w:styleId="Bullet2">
    <w:name w:val="Bullet 2"/>
    <w:basedOn w:val="Bullet1"/>
    <w:qFormat/>
    <w:rsid w:val="00C65492"/>
    <w:pPr>
      <w:numPr>
        <w:numId w:val="6"/>
      </w:numPr>
      <w:ind w:left="1080"/>
    </w:pPr>
  </w:style>
  <w:style w:type="paragraph" w:customStyle="1" w:styleId="Numberlist">
    <w:name w:val="Number list"/>
    <w:basedOn w:val="Normal"/>
    <w:next w:val="Normal"/>
    <w:qFormat/>
    <w:rsid w:val="00B82559"/>
    <w:pPr>
      <w:numPr>
        <w:numId w:val="8"/>
      </w:numPr>
      <w:spacing w:after="120" w:line="240" w:lineRule="auto"/>
      <w:ind w:left="284" w:hanging="284"/>
    </w:pPr>
    <w:rPr>
      <w:rFonts w:asciiTheme="minorHAnsi" w:hAnsiTheme="minorHAnsi"/>
      <w:szCs w:val="24"/>
    </w:rPr>
  </w:style>
  <w:style w:type="character" w:styleId="PageNumber">
    <w:name w:val="page number"/>
    <w:basedOn w:val="DefaultParagraphFont"/>
    <w:uiPriority w:val="99"/>
    <w:semiHidden/>
    <w:unhideWhenUsed/>
    <w:rsid w:val="00B82559"/>
  </w:style>
  <w:style w:type="paragraph" w:styleId="FootnoteText">
    <w:name w:val="footnote text"/>
    <w:basedOn w:val="Normal"/>
    <w:link w:val="FootnoteTextChar"/>
    <w:uiPriority w:val="99"/>
    <w:unhideWhenUsed/>
    <w:rsid w:val="00B82559"/>
    <w:pPr>
      <w:spacing w:after="40" w:line="240" w:lineRule="auto"/>
    </w:pPr>
    <w:rPr>
      <w:rFonts w:eastAsiaTheme="minorEastAsia" w:cs="Arial"/>
      <w:sz w:val="11"/>
      <w:szCs w:val="11"/>
      <w:lang w:val="en-US"/>
    </w:rPr>
  </w:style>
  <w:style w:type="character" w:customStyle="1" w:styleId="FootnoteTextChar">
    <w:name w:val="Footnote Text Char"/>
    <w:basedOn w:val="DefaultParagraphFont"/>
    <w:link w:val="FootnoteText"/>
    <w:uiPriority w:val="99"/>
    <w:rsid w:val="00B82559"/>
    <w:rPr>
      <w:rFonts w:ascii="Arial" w:eastAsiaTheme="minorEastAsia" w:hAnsi="Arial" w:cs="Arial"/>
      <w:sz w:val="11"/>
      <w:szCs w:val="11"/>
      <w:lang w:val="en-US"/>
    </w:rPr>
  </w:style>
  <w:style w:type="paragraph" w:customStyle="1" w:styleId="Covertitle">
    <w:name w:val="Cover title"/>
    <w:basedOn w:val="Normal"/>
    <w:qFormat/>
    <w:rsid w:val="00E513FE"/>
    <w:pPr>
      <w:spacing w:after="180" w:line="240" w:lineRule="auto"/>
    </w:pPr>
    <w:rPr>
      <w:b/>
      <w:color w:val="000000" w:themeColor="text1"/>
      <w:sz w:val="44"/>
      <w:szCs w:val="24"/>
    </w:rPr>
  </w:style>
  <w:style w:type="paragraph" w:customStyle="1" w:styleId="Coversubtitle">
    <w:name w:val="Cover subtitle"/>
    <w:basedOn w:val="Covertitle"/>
    <w:qFormat/>
    <w:rsid w:val="00B96250"/>
    <w:rPr>
      <w:b w:val="0"/>
      <w:color w:val="44546A" w:themeColor="text2"/>
      <w:sz w:val="36"/>
    </w:rPr>
  </w:style>
  <w:style w:type="paragraph" w:customStyle="1" w:styleId="Alphabetlist">
    <w:name w:val="Alphabet list"/>
    <w:basedOn w:val="Normal"/>
    <w:qFormat/>
    <w:rsid w:val="00B96250"/>
    <w:pPr>
      <w:numPr>
        <w:numId w:val="9"/>
      </w:numPr>
      <w:spacing w:after="120" w:line="240" w:lineRule="auto"/>
      <w:ind w:left="568" w:hanging="284"/>
    </w:pPr>
    <w:rPr>
      <w:szCs w:val="24"/>
    </w:rPr>
  </w:style>
  <w:style w:type="character" w:customStyle="1" w:styleId="apple-converted-space">
    <w:name w:val="apple-converted-space"/>
    <w:basedOn w:val="DefaultParagraphFont"/>
    <w:rsid w:val="00B82559"/>
  </w:style>
  <w:style w:type="paragraph" w:styleId="BalloonText">
    <w:name w:val="Balloon Text"/>
    <w:basedOn w:val="Normal"/>
    <w:link w:val="BalloonTextChar"/>
    <w:uiPriority w:val="99"/>
    <w:semiHidden/>
    <w:unhideWhenUsed/>
    <w:rsid w:val="00B82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59"/>
    <w:rPr>
      <w:rFonts w:ascii="Segoe UI" w:hAnsi="Segoe UI" w:cs="Segoe UI"/>
      <w:sz w:val="18"/>
      <w:szCs w:val="18"/>
    </w:rPr>
  </w:style>
  <w:style w:type="paragraph" w:customStyle="1" w:styleId="TableText">
    <w:name w:val="Table Text"/>
    <w:basedOn w:val="Normal"/>
    <w:link w:val="TableTextChar"/>
    <w:qFormat/>
    <w:rsid w:val="006922AD"/>
    <w:pPr>
      <w:spacing w:before="20" w:after="0" w:line="240" w:lineRule="auto"/>
    </w:pPr>
    <w:rPr>
      <w:sz w:val="18"/>
    </w:rPr>
  </w:style>
  <w:style w:type="paragraph" w:customStyle="1" w:styleId="TableBullets">
    <w:name w:val="Table Bullets"/>
    <w:basedOn w:val="Bullet1"/>
    <w:link w:val="TableBulletsChar"/>
    <w:qFormat/>
    <w:rsid w:val="00A849C2"/>
    <w:pPr>
      <w:spacing w:after="40"/>
      <w:ind w:left="357" w:hanging="357"/>
    </w:pPr>
    <w:rPr>
      <w:sz w:val="18"/>
    </w:rPr>
  </w:style>
  <w:style w:type="character" w:customStyle="1" w:styleId="TableTextChar">
    <w:name w:val="Table Text Char"/>
    <w:basedOn w:val="DefaultParagraphFont"/>
    <w:link w:val="TableText"/>
    <w:rsid w:val="006922AD"/>
    <w:rPr>
      <w:rFonts w:ascii="Arial" w:hAnsi="Arial"/>
      <w:sz w:val="18"/>
    </w:rPr>
  </w:style>
  <w:style w:type="paragraph" w:customStyle="1" w:styleId="Footnote">
    <w:name w:val="Footnote"/>
    <w:basedOn w:val="TableBullets"/>
    <w:link w:val="FootnoteChar"/>
    <w:qFormat/>
    <w:rsid w:val="00A506CB"/>
    <w:pPr>
      <w:numPr>
        <w:numId w:val="0"/>
      </w:numPr>
      <w:spacing w:after="0"/>
    </w:pPr>
    <w:rPr>
      <w:sz w:val="16"/>
    </w:rPr>
  </w:style>
  <w:style w:type="character" w:customStyle="1" w:styleId="Bullet1Char">
    <w:name w:val="Bullet 1 Char"/>
    <w:basedOn w:val="DefaultParagraphFont"/>
    <w:link w:val="Bullet1"/>
    <w:rsid w:val="00386210"/>
    <w:rPr>
      <w:rFonts w:ascii="Arial" w:hAnsi="Arial"/>
      <w:szCs w:val="24"/>
    </w:rPr>
  </w:style>
  <w:style w:type="character" w:customStyle="1" w:styleId="TableBulletsChar">
    <w:name w:val="Table Bullets Char"/>
    <w:basedOn w:val="Bullet1Char"/>
    <w:link w:val="TableBullets"/>
    <w:rsid w:val="00A849C2"/>
    <w:rPr>
      <w:rFonts w:ascii="Arial" w:hAnsi="Arial"/>
      <w:sz w:val="18"/>
      <w:szCs w:val="24"/>
    </w:rPr>
  </w:style>
  <w:style w:type="paragraph" w:styleId="TableofAuthorities">
    <w:name w:val="table of authorities"/>
    <w:basedOn w:val="Normal"/>
    <w:next w:val="Normal"/>
    <w:uiPriority w:val="99"/>
    <w:semiHidden/>
    <w:unhideWhenUsed/>
    <w:rsid w:val="00327934"/>
    <w:pPr>
      <w:spacing w:after="0"/>
      <w:ind w:left="220" w:hanging="220"/>
    </w:pPr>
  </w:style>
  <w:style w:type="character" w:styleId="FootnoteReference">
    <w:name w:val="footnote reference"/>
    <w:basedOn w:val="DefaultParagraphFont"/>
    <w:uiPriority w:val="99"/>
    <w:semiHidden/>
    <w:unhideWhenUsed/>
    <w:rsid w:val="000D3D42"/>
    <w:rPr>
      <w:vertAlign w:val="superscript"/>
    </w:rPr>
  </w:style>
  <w:style w:type="character" w:customStyle="1" w:styleId="FootnoteChar">
    <w:name w:val="Footnote Char"/>
    <w:basedOn w:val="TableBulletsChar"/>
    <w:link w:val="Footnote"/>
    <w:rsid w:val="00A506CB"/>
    <w:rPr>
      <w:rFonts w:ascii="Arial" w:hAnsi="Arial"/>
      <w:sz w:val="16"/>
      <w:szCs w:val="24"/>
    </w:rPr>
  </w:style>
  <w:style w:type="character" w:styleId="CommentReference">
    <w:name w:val="annotation reference"/>
    <w:basedOn w:val="DefaultParagraphFont"/>
    <w:uiPriority w:val="99"/>
    <w:semiHidden/>
    <w:unhideWhenUsed/>
    <w:rsid w:val="00CF7516"/>
    <w:rPr>
      <w:sz w:val="16"/>
      <w:szCs w:val="16"/>
    </w:rPr>
  </w:style>
  <w:style w:type="paragraph" w:styleId="CommentText">
    <w:name w:val="annotation text"/>
    <w:basedOn w:val="Normal"/>
    <w:link w:val="CommentTextChar"/>
    <w:uiPriority w:val="99"/>
    <w:semiHidden/>
    <w:unhideWhenUsed/>
    <w:rsid w:val="00CF7516"/>
    <w:pPr>
      <w:spacing w:line="240" w:lineRule="auto"/>
    </w:pPr>
    <w:rPr>
      <w:sz w:val="20"/>
      <w:szCs w:val="20"/>
    </w:rPr>
  </w:style>
  <w:style w:type="character" w:customStyle="1" w:styleId="CommentTextChar">
    <w:name w:val="Comment Text Char"/>
    <w:basedOn w:val="DefaultParagraphFont"/>
    <w:link w:val="CommentText"/>
    <w:uiPriority w:val="99"/>
    <w:semiHidden/>
    <w:rsid w:val="00CF75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7516"/>
    <w:rPr>
      <w:b/>
      <w:bCs/>
    </w:rPr>
  </w:style>
  <w:style w:type="character" w:customStyle="1" w:styleId="CommentSubjectChar">
    <w:name w:val="Comment Subject Char"/>
    <w:basedOn w:val="CommentTextChar"/>
    <w:link w:val="CommentSubject"/>
    <w:uiPriority w:val="99"/>
    <w:semiHidden/>
    <w:rsid w:val="00CF7516"/>
    <w:rPr>
      <w:rFonts w:ascii="Arial" w:hAnsi="Arial"/>
      <w:b/>
      <w:bCs/>
      <w:sz w:val="20"/>
      <w:szCs w:val="20"/>
    </w:rPr>
  </w:style>
  <w:style w:type="paragraph" w:styleId="TOC6">
    <w:name w:val="toc 6"/>
    <w:basedOn w:val="Normal"/>
    <w:next w:val="Normal"/>
    <w:autoRedefine/>
    <w:uiPriority w:val="39"/>
    <w:semiHidden/>
    <w:unhideWhenUsed/>
    <w:rsid w:val="00A11A39"/>
    <w:pPr>
      <w:spacing w:after="100"/>
      <w:ind w:left="1100"/>
    </w:pPr>
  </w:style>
  <w:style w:type="character" w:styleId="UnresolvedMention">
    <w:name w:val="Unresolved Mention"/>
    <w:basedOn w:val="DefaultParagraphFont"/>
    <w:uiPriority w:val="99"/>
    <w:semiHidden/>
    <w:unhideWhenUsed/>
    <w:rsid w:val="00416C3F"/>
    <w:rPr>
      <w:color w:val="605E5C"/>
      <w:shd w:val="clear" w:color="auto" w:fill="E1DFDD"/>
    </w:rPr>
  </w:style>
  <w:style w:type="character" w:styleId="FollowedHyperlink">
    <w:name w:val="FollowedHyperlink"/>
    <w:basedOn w:val="DefaultParagraphFont"/>
    <w:uiPriority w:val="99"/>
    <w:semiHidden/>
    <w:unhideWhenUsed/>
    <w:rsid w:val="00416C3F"/>
    <w:rPr>
      <w:color w:val="954F72" w:themeColor="followedHyperlink"/>
      <w:u w:val="single"/>
    </w:rPr>
  </w:style>
  <w:style w:type="paragraph" w:styleId="Revision">
    <w:name w:val="Revision"/>
    <w:hidden/>
    <w:uiPriority w:val="99"/>
    <w:semiHidden/>
    <w:rsid w:val="00B9387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801368">
      <w:bodyDiv w:val="1"/>
      <w:marLeft w:val="0"/>
      <w:marRight w:val="0"/>
      <w:marTop w:val="0"/>
      <w:marBottom w:val="0"/>
      <w:divBdr>
        <w:top w:val="none" w:sz="0" w:space="0" w:color="auto"/>
        <w:left w:val="none" w:sz="0" w:space="0" w:color="auto"/>
        <w:bottom w:val="none" w:sz="0" w:space="0" w:color="auto"/>
        <w:right w:val="none" w:sz="0" w:space="0" w:color="auto"/>
      </w:divBdr>
    </w:div>
    <w:div w:id="491796227">
      <w:bodyDiv w:val="1"/>
      <w:marLeft w:val="0"/>
      <w:marRight w:val="0"/>
      <w:marTop w:val="0"/>
      <w:marBottom w:val="0"/>
      <w:divBdr>
        <w:top w:val="none" w:sz="0" w:space="0" w:color="auto"/>
        <w:left w:val="none" w:sz="0" w:space="0" w:color="auto"/>
        <w:bottom w:val="none" w:sz="0" w:space="0" w:color="auto"/>
        <w:right w:val="none" w:sz="0" w:space="0" w:color="auto"/>
      </w:divBdr>
    </w:div>
    <w:div w:id="10257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legislation.vic.gov.au" TargetMode="External"/><Relationship Id="rId3" Type="http://schemas.openxmlformats.org/officeDocument/2006/relationships/customXml" Target="../customXml/item3.xml"/><Relationship Id="rId21" Type="http://schemas.openxmlformats.org/officeDocument/2006/relationships/hyperlink" Target="https://www.education.vic.gov.au/about/department/legislation/Pages/ecso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legislation.vic.gov.au" TargetMode="External"/><Relationship Id="rId29" Type="http://schemas.openxmlformats.org/officeDocument/2006/relationships/footer" Target="footer5.xml"/><Relationship Id="rId16" Type="http://schemas.openxmlformats.org/officeDocument/2006/relationships/header" Target="header2.xml"/><Relationship Id="rId20" Type="http://schemas.openxmlformats.org/officeDocument/2006/relationships/hyperlink" Target="https://www.education.vic.gov.au/Documents/about/department/legislation/det-qard-soe-response-to-minister-2018.pdf" TargetMode="External"/><Relationship Id="rId24" Type="http://schemas.openxmlformats.org/officeDocument/2006/relationships/hyperlink" Target="http://www.education.vic.gov.au/childhood/providers/regulation" TargetMode="Externa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tf.vic.gov.au/sites/default/files/document/Statement%20of%20Expectations%20Framework%20for%20Regulators%20May%202019.DOCX" TargetMode="External"/><Relationship Id="rId28" Type="http://schemas.openxmlformats.org/officeDocument/2006/relationships/hyperlink" Target="http://www.acecqa.gov.au" TargetMode="External"/><Relationship Id="rId10" Type="http://schemas.openxmlformats.org/officeDocument/2006/relationships/webSettings" Target="webSettings.xml"/><Relationship Id="rId19" Type="http://schemas.openxmlformats.org/officeDocument/2006/relationships/hyperlink" Target="https://www.education.vic.gov.au/Documents/about/department/legislation/qard-statement-of-expectations-2018.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ducation.vic.gov.au/about/department/legislation/Pages/ecsoe.aspx" TargetMode="External"/><Relationship Id="rId27" Type="http://schemas.openxmlformats.org/officeDocument/2006/relationships/hyperlink" Target="http://www.legislation.vic.gov.au"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https://edugate.eduweb.vic.gov.au/edrms/collaboration/PSD/Policy and Strategy Documents Library</xsnScope>
</customXsn>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837034BCAD45A4482CA60BD90E89255" ma:contentTypeVersion="8" ma:contentTypeDescription="DET Document" ma:contentTypeScope="" ma:versionID="119bf76ce25ca2e4feb97a354c3ca620">
  <xsd:schema xmlns:xsd="http://www.w3.org/2001/XMLSchema" xmlns:xs="http://www.w3.org/2001/XMLSchema" xmlns:p="http://schemas.microsoft.com/office/2006/metadata/properties" xmlns:ns1="http://schemas.microsoft.com/sharepoint/v3" xmlns:ns2="416d1f11-4961-47c1-9881-91d3d2a7bec7" xmlns:ns3="http://schemas.microsoft.com/Sharepoint/v3" xmlns:ns4="0c36ff92-d041-4586-a8be-cc68f7f52222" xmlns:ns5="http://schemas.microsoft.com/sharepoint/v4" targetNamespace="http://schemas.microsoft.com/office/2006/metadata/properties" ma:root="true" ma:fieldsID="f410fdace63b7b959c13cd3eb8fce1ea" ns1:_="" ns2:_="" ns3:_="" ns4:_="" ns5:_="">
    <xsd:import namespace="http://schemas.microsoft.com/sharepoint/v3"/>
    <xsd:import namespace="416d1f11-4961-47c1-9881-91d3d2a7bec7"/>
    <xsd:import namespace="http://schemas.microsoft.com/Sharepoint/v3"/>
    <xsd:import namespace="0c36ff92-d041-4586-a8be-cc68f7f52222"/>
    <xsd:import namespace="http://schemas.microsoft.com/sharepoint/v4"/>
    <xsd:element name="properties">
      <xsd:complexType>
        <xsd:sequence>
          <xsd:element name="documentManagement">
            <xsd:complexType>
              <xsd:all>
                <xsd:element ref="ns2:Unit"/>
                <xsd:element ref="ns2:Project"/>
                <xsd:element ref="ns2:Function"/>
                <xsd:element ref="ns3:DET_EDRMS_Description" minOccurs="0"/>
                <xsd:element ref="ns3:DET_EDRMS_Date" minOccurs="0"/>
                <xsd:element ref="ns3:DET_EDRMS_Author" minOccurs="0"/>
                <xsd:element ref="ns4:TaxCatchAll" minOccurs="0"/>
                <xsd:element ref="ns4:TaxCatchAllLabel" minOccurs="0"/>
                <xsd:element ref="ns3:DET_EDRMS_RCSTaxHTField0" minOccurs="0"/>
                <xsd:element ref="ns1:PublishingContactName" minOccurs="0"/>
                <xsd:element ref="ns5:IconOverlay" minOccurs="0"/>
                <xsd:element ref="ns3:DET_EDRMS_BusUnitTaxHTField0" minOccurs="0"/>
                <xsd:element ref="ns2:Archive" minOccurs="0"/>
                <xsd:element ref="ns2:Sub_x0020_Category" minOccurs="0"/>
                <xsd:element ref="ns3:DET_EDRMS_SecClas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d1f11-4961-47c1-9881-91d3d2a7bec7" elementFormDefault="qualified">
    <xsd:import namespace="http://schemas.microsoft.com/office/2006/documentManagement/types"/>
    <xsd:import namespace="http://schemas.microsoft.com/office/infopath/2007/PartnerControls"/>
    <xsd:element name="Unit" ma:index="2" ma:displayName="Work Unit" ma:default="Add Metadata and Move into Project Doc Set" ma:format="Dropdown" ma:indexed="true" ma:internalName="Unit">
      <xsd:simpleType>
        <xsd:restriction base="dms:Choice">
          <xsd:enumeration value="Cohort Strategy Branch"/>
          <xsd:enumeration value="Economic Advisory Unit"/>
          <xsd:enumeration value="Policy Community of Practice"/>
          <xsd:enumeration value="Portfolio Strategy Branch"/>
          <xsd:enumeration value="Priority Policy Branch"/>
          <xsd:enumeration value="Strategy and Planning Branch"/>
          <xsd:enumeration value="Special Needs Plan Unit"/>
          <xsd:enumeration value="System Connection"/>
          <xsd:enumeration value="Add Metadata and Move into Project Doc Set"/>
        </xsd:restriction>
      </xsd:simpleType>
    </xsd:element>
    <xsd:element name="Project" ma:index="3" ma:displayName="Project" ma:default="Add Metadata!" ma:format="Dropdown" ma:indexed="true" ma:internalName="Project" ma:readOnly="false">
      <xsd:simpleType>
        <xsd:restriction base="dms:Choice">
          <xsd:enumeration value="AAA"/>
          <xsd:enumeration value="Aboriginal Education Strategy"/>
          <xsd:enumeration value="Aspirations"/>
          <xsd:enumeration value="Aspirations-Secure"/>
          <xsd:enumeration value="Behavioural Insights Steering Committee"/>
          <xsd:enumeration value="Betrayal-of-trust-incorporation-of-schools"/>
          <xsd:enumeration value="Boarding-schools-accommodation"/>
          <xsd:enumeration value="Collaborative Teaching Practice"/>
          <xsd:enumeration value="Community Safety Strategy"/>
          <xsd:enumeration value="Competition Policy"/>
          <xsd:enumeration value="Disability Provision Planning"/>
          <xsd:enumeration value="Disability Reform"/>
          <xsd:enumeration value="EAU Access Project"/>
          <xsd:enumeration value="EAU Administration"/>
          <xsd:enumeration value="EAU Archived Briefs"/>
          <xsd:enumeration value="EAU Behavioural Economics Papers"/>
          <xsd:enumeration value="EAU Early Years Workforce Participation"/>
          <xsd:enumeration value="EAU Emails"/>
          <xsd:enumeration value="EAU Engaging Families in Learning"/>
          <xsd:enumeration value="EAU International Education"/>
          <xsd:enumeration value="EAU Misc Advice"/>
          <xsd:enumeration value="EAU Regulation Reform"/>
          <xsd:enumeration value="EAU SDTP"/>
          <xsd:enumeration value="EAU Thought Leadership"/>
          <xsd:enumeration value="Economic Policy IDC"/>
          <xsd:enumeration value="Education and Justice"/>
          <xsd:enumeration value="Education and Training Regulatory Review"/>
          <xsd:enumeration value="Engaging Families in Learning"/>
          <xsd:enumeration value="Education Expenditure Account"/>
          <xsd:enumeration value="ETR Regulatory Impact Statement"/>
          <xsd:enumeration value="Future Policy Projects"/>
          <xsd:enumeration value="Health and Wellbeing"/>
          <xsd:enumeration value="HESG Strategic Scan"/>
          <xsd:enumeration value="Inclusive Education Implementation"/>
          <xsd:enumeration value="NAPLAN Online"/>
          <xsd:enumeration value="Parent Payments"/>
          <xsd:enumeration value="Policy Community of Practice"/>
          <xsd:enumeration value="PPD Administration"/>
          <xsd:enumeration value="PPD Secure"/>
          <xsd:enumeration value="Premier's Jobs and Investment Panel"/>
          <xsd:enumeration value="Refugees"/>
          <xsd:enumeration value="Rural"/>
          <xsd:enumeration value="Statement of Expectations"/>
          <xsd:enumeration value="STEM"/>
          <xsd:enumeration value="SNP ABLES Program"/>
          <xsd:enumeration value="SNP Complaints Resolution Panel"/>
          <xsd:enumeration value="SNP Early Years Screening"/>
          <xsd:enumeration value="SNP Inclusive Education Award"/>
          <xsd:enumeration value="SNP Inclusive New Schools"/>
          <xsd:enumeration value="SNP Inclusive Schools Fund"/>
          <xsd:enumeration value="SNP PSD Review"/>
          <xsd:enumeration value="SNP Senior Practitioner"/>
          <xsd:enumeration value="SNP Teacher Registration"/>
          <xsd:enumeration value="Special Needs Plan"/>
          <xsd:enumeration value="System Performance Dialogue"/>
          <xsd:enumeration value="Technology in Learning"/>
          <xsd:enumeration value="VAGO-SPD"/>
          <xsd:enumeration value="VDEI PSD Review"/>
          <xsd:enumeration value="Vulnerable Children and Families"/>
          <xsd:enumeration value="Workforce"/>
          <xsd:enumeration value="Add Metadata!"/>
        </xsd:restriction>
      </xsd:simpleType>
    </xsd:element>
    <xsd:element name="Function" ma:index="4" ma:displayName="Directory" ma:default="Add Metadata!" ma:format="Dropdown" ma:indexed="true" ma:internalName="Function" ma:readOnly="false">
      <xsd:simpleType>
        <xsd:restriction base="dms:Choice">
          <xsd:enumeration value="Administration"/>
          <xsd:enumeration value="Archive"/>
          <xsd:enumeration value="Ministerial briefings"/>
          <xsd:enumeration value="Communication"/>
          <xsd:enumeration value="Consultation"/>
          <xsd:enumeration value="Correpondence"/>
          <xsd:enumeration value="Email"/>
          <xsd:enumeration value="Implementation"/>
          <xsd:enumeration value="Knowledge Transfer"/>
          <xsd:enumeration value="Knowledge Transfer - Design"/>
          <xsd:enumeration value="Knowledge Transfer - Execution"/>
          <xsd:enumeration value="Knowledge Transfer - Evaluation"/>
          <xsd:enumeration value="Library"/>
          <xsd:enumeration value="Media"/>
          <xsd:enumeration value="Meeting"/>
          <xsd:enumeration value="Notes"/>
          <xsd:enumeration value="Numeracy+STEM"/>
          <xsd:enumeration value="Paper Development"/>
          <xsd:enumeration value="Previous Drafts"/>
          <xsd:enumeration value="Procurement"/>
          <xsd:enumeration value="Project Governance"/>
          <xsd:enumeration value="Project Management"/>
          <xsd:enumeration value="Project Scoping"/>
          <xsd:enumeration value="Reporting"/>
          <xsd:enumeration value="Research and Background Information"/>
          <xsd:enumeration value="Revised policy"/>
          <xsd:enumeration value="Supporting material"/>
          <xsd:enumeration value="Final versions"/>
          <xsd:enumeration value="Current"/>
          <xsd:enumeration value="Add Metadata!"/>
          <xsd:enumeration value="Submissions"/>
          <xsd:enumeration value="Submission response"/>
          <xsd:enumeration value="Stakeholders"/>
          <xsd:enumeration value="Toolkit"/>
          <xsd:enumeration value="Transition"/>
          <xsd:enumeration value="WOVG STEM Strategy"/>
          <xsd:enumeration value="JDP: data"/>
          <xsd:enumeration value="RIS internal audit"/>
          <xsd:enumeration value="RIS/LIA"/>
          <xsd:enumeration value="VAGO Child Safe Standards"/>
          <xsd:enumeration value="Colman Foundation"/>
          <xsd:enumeration value="IDSC and PCB"/>
          <xsd:enumeration value="Briefings"/>
          <xsd:enumeration value="JDP: SMEs"/>
          <xsd:enumeration value="JDP: Admin"/>
          <xsd:enumeration value="JDP: Negotiating team"/>
        </xsd:restriction>
      </xsd:simpleType>
    </xsd:element>
    <xsd:element name="Archive" ma:index="22" nillable="true" ma:displayName="Archive" ma:default="No" ma:description="Archived documents will not be displayed in the default library view." ma:format="Dropdown" ma:internalName="Archive">
      <xsd:simpleType>
        <xsd:restriction base="dms:Choice">
          <xsd:enumeration value="Yes"/>
          <xsd:enumeration value="No"/>
        </xsd:restriction>
      </xsd:simpleType>
    </xsd:element>
    <xsd:element name="Sub_x0020_Category" ma:index="23" nillable="true" ma:displayName="Sub Category" ma:internalName="Sub_x0020_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5" nillable="true" ma:displayName="Document Description" ma:format="Dropdown" ma:indexed="true" ma:internalName="DET_EDRMS_Description">
      <xsd:simpleType>
        <xsd:union memberTypes="dms:Text">
          <xsd:simpleType>
            <xsd:restriction base="dms:Choice">
              <xsd:enumeration value="Agenda"/>
              <xsd:enumeration value="Case Study"/>
              <xsd:enumeration value="Data"/>
              <xsd:enumeration value="Evaluation"/>
              <xsd:enumeration value="Literature"/>
              <xsd:enumeration value="Minutes"/>
              <xsd:enumeration value="Notes"/>
              <xsd:enumeration value="Issue Paper"/>
              <xsd:enumeration value="Discussion Paper"/>
              <xsd:enumeration value="Draft Report"/>
              <xsd:enumeration value="Final Report"/>
              <xsd:enumeration value="Plan"/>
              <xsd:enumeration value="Presentation"/>
              <xsd:enumeration value="Proposal"/>
              <xsd:enumeration value="Slide Deck"/>
              <xsd:enumeration value="Government Response"/>
            </xsd:restriction>
          </xsd:simpleType>
        </xsd:union>
      </xsd:simpleType>
    </xsd:element>
    <xsd:element name="DET_EDRMS_Date" ma:index="7" nillable="true" ma:displayName="Date" ma:default="" ma:format="DateOnly" ma:hidden="true" ma:internalName="DET_EDRMS_Date" ma:readOnly="false">
      <xsd:simpleType>
        <xsd:restriction base="dms:DateTime"/>
      </xsd:simpleType>
    </xsd:element>
    <xsd:element name="DET_EDRMS_Author" ma:index="8" nillable="true" ma:displayName="Author" ma:default="" ma:hidden="true" ma:internalName="DET_EDRMS_Author" ma:readOnly="false">
      <xsd:simpleType>
        <xsd:restriction base="dms:Text">
          <xsd:maxLength value="255"/>
        </xsd:restriction>
      </xsd:simpleType>
    </xsd:element>
    <xsd:element name="DET_EDRMS_RCSTaxHTField0" ma:index="11"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20"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24"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36ff92-d041-4586-a8be-cc68f7f5222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e5b762f4-b7b3-4adc-83fc-7be5a33ffa68}" ma:internalName="TaxCatchAll" ma:readOnly="false" ma:showField="CatchAllData" ma:web="0c36ff92-d041-4586-a8be-cc68f7f5222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5b762f4-b7b3-4adc-83fc-7be5a33ffa68}" ma:internalName="TaxCatchAllLabel" ma:readOnly="true" ma:showField="CatchAllDataLabel" ma:web="0c36ff92-d041-4586-a8be-cc68f7f522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Collabora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QARD Statement of Expectations Evaluation 2018-20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027C0-5A88-45CE-A54D-0D18593BC9C7}">
  <ds:schemaRefs>
    <ds:schemaRef ds:uri="http://schemas.microsoft.com/office/2006/metadata/customXsn"/>
  </ds:schemaRefs>
</ds:datastoreItem>
</file>

<file path=customXml/itemProps2.xml><?xml version="1.0" encoding="utf-8"?>
<ds:datastoreItem xmlns:ds="http://schemas.openxmlformats.org/officeDocument/2006/customXml" ds:itemID="{9AE4A33C-5258-4A23-A411-EC8391E29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6d1f11-4961-47c1-9881-91d3d2a7bec7"/>
    <ds:schemaRef ds:uri="http://schemas.microsoft.com/Sharepoint/v3"/>
    <ds:schemaRef ds:uri="0c36ff92-d041-4586-a8be-cc68f7f522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E99CA-44AA-4B47-B76A-C743BBAB8006}"/>
</file>

<file path=customXml/itemProps4.xml><?xml version="1.0" encoding="utf-8"?>
<ds:datastoreItem xmlns:ds="http://schemas.openxmlformats.org/officeDocument/2006/customXml" ds:itemID="{9767CF55-03FC-4284-B4B5-12630BF575BD}">
  <ds:schemaRefs>
    <ds:schemaRef ds:uri="http://schemas.microsoft.com/sharepoint/v4"/>
    <ds:schemaRef ds:uri="http://www.w3.org/XML/1998/namespace"/>
    <ds:schemaRef ds:uri="http://purl.org/dc/terms/"/>
    <ds:schemaRef ds:uri="http://purl.org/dc/dcmitype/"/>
    <ds:schemaRef ds:uri="http://schemas.microsoft.com/office/infopath/2007/PartnerControls"/>
    <ds:schemaRef ds:uri="0c36ff92-d041-4586-a8be-cc68f7f52222"/>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416d1f11-4961-47c1-9881-91d3d2a7bec7"/>
    <ds:schemaRef ds:uri="http://schemas.microsoft.com/sharepoint/v3"/>
    <ds:schemaRef ds:uri="http://purl.org/dc/elements/1.1/"/>
  </ds:schemaRefs>
</ds:datastoreItem>
</file>

<file path=customXml/itemProps5.xml><?xml version="1.0" encoding="utf-8"?>
<ds:datastoreItem xmlns:ds="http://schemas.openxmlformats.org/officeDocument/2006/customXml" ds:itemID="{EEF46F23-B765-453C-97FB-0755B1C943ED}">
  <ds:schemaRefs>
    <ds:schemaRef ds:uri="http://schemas.microsoft.com/sharepoint/v3/contenttype/forms"/>
  </ds:schemaRefs>
</ds:datastoreItem>
</file>

<file path=customXml/itemProps6.xml><?xml version="1.0" encoding="utf-8"?>
<ds:datastoreItem xmlns:ds="http://schemas.openxmlformats.org/officeDocument/2006/customXml" ds:itemID="{57CFE4A8-B416-46A9-89F9-6D00FC64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9977</Words>
  <Characters>56873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QARD Statement of Expectations Evaluation 2018-20</vt:lpstr>
    </vt:vector>
  </TitlesOfParts>
  <Company>DET</Company>
  <LinksUpToDate>false</LinksUpToDate>
  <CharactersWithSpaces>66717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QARD Statement of Expectations Evaluation 2018-20</dc:title>
  <dc:subject/>
  <dc:creator>Harrison-Grace, Aleesha C</dc:creator>
  <cp:keywords/>
  <dc:description>An evaluation of the QARD's Statement of Expectations 2018-20</dc:description>
  <cp:lastModifiedBy>Aleesha Harrison-Grace</cp:lastModifiedBy>
  <cp:revision>2</cp:revision>
  <cp:lastPrinted>2020-01-14T23:22:00Z</cp:lastPrinted>
  <dcterms:created xsi:type="dcterms:W3CDTF">2021-02-23T22:35:00Z</dcterms:created>
  <dcterms:modified xsi:type="dcterms:W3CDTF">2021-02-23T22:35:00Z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
  </property>
  <property fmtid="{D5CDD505-2E9C-101B-9397-08002B2CF9AE}" pid="5" name="RecordPoint_WorkflowType">
    <vt:lpwstr>ActiveSubmitStub</vt:lpwstr>
  </property>
  <property fmtid="{D5CDD505-2E9C-101B-9397-08002B2CF9AE}" pid="6" name="RecordPoint_ActiveItemListId">
    <vt:lpwstr>{416d1f11-4961-47c1-9881-91d3d2a7bec7}</vt:lpwstr>
  </property>
  <property fmtid="{D5CDD505-2E9C-101B-9397-08002B2CF9AE}" pid="7" name="RecordPoint_ActiveItemUniqueId">
    <vt:lpwstr>{ab895442-3809-4edc-8ac8-3e61f8660e44}</vt:lpwstr>
  </property>
  <property fmtid="{D5CDD505-2E9C-101B-9397-08002B2CF9AE}" pid="8" name="RecordPoint_ActiveItemWebId">
    <vt:lpwstr>{0c36ff92-d041-4586-a8be-cc68f7f52222}</vt:lpwstr>
  </property>
  <property fmtid="{D5CDD505-2E9C-101B-9397-08002B2CF9AE}" pid="9" name="RecordPoint_ActiveItemSiteId">
    <vt:lpwstr>{f3c7ef82-ce41-4649-80f4-f8b2e164f5c8}</vt:lpwstr>
  </property>
  <property fmtid="{D5CDD505-2E9C-101B-9397-08002B2CF9AE}" pid="10" name="RecordPoint_RecordNumberSubmitted">
    <vt:lpwstr>R20200757542</vt:lpwstr>
  </property>
  <property fmtid="{D5CDD505-2E9C-101B-9397-08002B2CF9AE}" pid="11" name="RecordPoint_SubmissionDate">
    <vt:lpwstr/>
  </property>
  <property fmtid="{D5CDD505-2E9C-101B-9397-08002B2CF9AE}" pid="12" name="RecordPoint_ActiveItemMoved">
    <vt:lpwstr>2FE17AA71295A167F259A3FE769BE913</vt:lpwstr>
  </property>
  <property fmtid="{D5CDD505-2E9C-101B-9397-08002B2CF9AE}" pid="13" name="RecordPoint_RecordFormat">
    <vt:lpwstr/>
  </property>
  <property fmtid="{D5CDD505-2E9C-101B-9397-08002B2CF9AE}" pid="14" name="RecordPoint_SubmissionCompleted">
    <vt:lpwstr>2020-10-22T12:46:51.6526163+11:00</vt:lpwstr>
  </property>
  <property fmtid="{D5CDD505-2E9C-101B-9397-08002B2CF9AE}" pid="15" name="Order">
    <vt:r8>1708200</vt:r8>
  </property>
  <property fmtid="{D5CDD505-2E9C-101B-9397-08002B2CF9AE}" pid="16" name="URL">
    <vt:lpwstr/>
  </property>
  <property fmtid="{D5CDD505-2E9C-101B-9397-08002B2CF9AE}" pid="17" name="DocumentSetDescription">
    <vt:lpwstr/>
  </property>
  <property fmtid="{D5CDD505-2E9C-101B-9397-08002B2CF9AE}" pid="18" name="xd_ProgID">
    <vt:lpwstr/>
  </property>
  <property fmtid="{D5CDD505-2E9C-101B-9397-08002B2CF9AE}" pid="19" name="Attachment">
    <vt:bool>false</vt:bool>
  </property>
  <property fmtid="{D5CDD505-2E9C-101B-9397-08002B2CF9AE}" pid="20" name="TemplateUrl">
    <vt:lpwstr/>
  </property>
  <property fmtid="{D5CDD505-2E9C-101B-9397-08002B2CF9AE}" pid="21" name="DET_EDRMS_Category">
    <vt:lpwstr/>
  </property>
  <property fmtid="{D5CDD505-2E9C-101B-9397-08002B2CF9AE}" pid="22" name="DET_EDRMS_SecClass">
    <vt:lpwstr/>
  </property>
  <property fmtid="{D5CDD505-2E9C-101B-9397-08002B2CF9AE}" pid="23" name="DEECD_Author">
    <vt:lpwstr>94;#Education|5232e41c-5101-41fe-b638-7d41d1371531</vt:lpwstr>
  </property>
  <property fmtid="{D5CDD505-2E9C-101B-9397-08002B2CF9AE}" pid="24" name="DEECD_ItemType">
    <vt:lpwstr>101;#Page|eb523acf-a821-456c-a76b-7607578309d7</vt:lpwstr>
  </property>
  <property fmtid="{D5CDD505-2E9C-101B-9397-08002B2CF9AE}" pid="25" name="DEECD_SubjectCategory">
    <vt:lpwstr/>
  </property>
  <property fmtid="{D5CDD505-2E9C-101B-9397-08002B2CF9AE}" pid="26" name="DEECD_Audience">
    <vt:lpwstr/>
  </property>
</Properties>
</file>