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68F4E3" w14:textId="77777777" w:rsidR="00930D32" w:rsidRDefault="00930D32" w:rsidP="0074638F">
      <w:pPr>
        <w:pStyle w:val="LDStandardBodyText"/>
      </w:pPr>
      <w:bookmarkStart w:id="0" w:name="_GoBack"/>
      <w:bookmarkEnd w:id="0"/>
    </w:p>
    <w:p w14:paraId="23877545" w14:textId="77777777" w:rsidR="00F37834" w:rsidRDefault="00F37834" w:rsidP="0074638F">
      <w:pPr>
        <w:pStyle w:val="Coverpage"/>
        <w:rPr>
          <w:sz w:val="40"/>
          <w:szCs w:val="40"/>
        </w:rPr>
      </w:pPr>
    </w:p>
    <w:p w14:paraId="1EAA9283" w14:textId="77777777" w:rsidR="003B243E" w:rsidRPr="007853E2" w:rsidRDefault="003B243E" w:rsidP="003B243E">
      <w:pPr>
        <w:pStyle w:val="Coverpage"/>
        <w:jc w:val="center"/>
        <w:rPr>
          <w:sz w:val="50"/>
          <w:szCs w:val="50"/>
        </w:rPr>
      </w:pPr>
      <w:r w:rsidRPr="007853E2">
        <w:rPr>
          <w:sz w:val="50"/>
          <w:szCs w:val="50"/>
        </w:rPr>
        <w:t xml:space="preserve">IBAC - </w:t>
      </w:r>
      <w:r w:rsidR="00CB08EB" w:rsidRPr="007853E2">
        <w:rPr>
          <w:sz w:val="50"/>
          <w:szCs w:val="50"/>
        </w:rPr>
        <w:t>OPERATION DUNHAM</w:t>
      </w:r>
    </w:p>
    <w:p w14:paraId="10C37925" w14:textId="77777777" w:rsidR="00F37834" w:rsidRPr="007853E2" w:rsidRDefault="00F37834" w:rsidP="0074638F">
      <w:pPr>
        <w:pStyle w:val="Coverpage"/>
        <w:spacing w:after="0"/>
      </w:pPr>
    </w:p>
    <w:p w14:paraId="360B33D8" w14:textId="77777777" w:rsidR="003B243E" w:rsidRPr="007853E2" w:rsidRDefault="003B243E" w:rsidP="0074638F">
      <w:pPr>
        <w:pStyle w:val="Coverpage"/>
        <w:spacing w:after="0"/>
      </w:pPr>
    </w:p>
    <w:p w14:paraId="66D0B02C" w14:textId="77777777" w:rsidR="003B243E" w:rsidRPr="007853E2" w:rsidRDefault="003B243E" w:rsidP="0074638F">
      <w:pPr>
        <w:pStyle w:val="Coverpage"/>
        <w:spacing w:after="0"/>
      </w:pPr>
    </w:p>
    <w:p w14:paraId="6F03657E" w14:textId="77777777" w:rsidR="003B243E" w:rsidRPr="007853E2" w:rsidRDefault="00DB3C8A" w:rsidP="003B243E">
      <w:pPr>
        <w:pStyle w:val="Coverpage"/>
        <w:spacing w:after="0"/>
        <w:jc w:val="center"/>
      </w:pPr>
      <w:r>
        <w:t>S</w:t>
      </w:r>
      <w:r w:rsidR="003B243E" w:rsidRPr="007853E2">
        <w:t>tatement of the Secretary</w:t>
      </w:r>
    </w:p>
    <w:p w14:paraId="705986FC" w14:textId="77777777" w:rsidR="003B243E" w:rsidRPr="007853E2" w:rsidRDefault="003B243E" w:rsidP="003B243E">
      <w:pPr>
        <w:pStyle w:val="Coverpage"/>
        <w:spacing w:after="0"/>
        <w:jc w:val="center"/>
      </w:pPr>
      <w:r w:rsidRPr="007853E2">
        <w:t>Department of Education and Training</w:t>
      </w:r>
    </w:p>
    <w:p w14:paraId="359C6743" w14:textId="77777777" w:rsidR="003B243E" w:rsidRPr="007853E2" w:rsidRDefault="003B243E" w:rsidP="0074638F">
      <w:pPr>
        <w:pStyle w:val="Coverpage"/>
      </w:pPr>
    </w:p>
    <w:p w14:paraId="4C32369A" w14:textId="77777777" w:rsidR="003B243E" w:rsidRPr="007853E2" w:rsidRDefault="003B243E" w:rsidP="0074638F">
      <w:pPr>
        <w:pStyle w:val="Coverpage"/>
      </w:pPr>
    </w:p>
    <w:p w14:paraId="3D6593CD" w14:textId="77777777" w:rsidR="003B243E" w:rsidRPr="007853E2" w:rsidRDefault="003B243E" w:rsidP="003B243E">
      <w:pPr>
        <w:pStyle w:val="Coverpage"/>
        <w:spacing w:after="0"/>
        <w:jc w:val="right"/>
      </w:pPr>
      <w:r w:rsidRPr="007853E2">
        <w:t xml:space="preserve"> </w:t>
      </w:r>
    </w:p>
    <w:p w14:paraId="7CE401DA" w14:textId="77777777" w:rsidR="003B243E" w:rsidRPr="007853E2" w:rsidRDefault="003B243E" w:rsidP="003B243E">
      <w:pPr>
        <w:pStyle w:val="Coverpage"/>
        <w:spacing w:after="0"/>
        <w:jc w:val="right"/>
      </w:pPr>
    </w:p>
    <w:p w14:paraId="5227F4FE" w14:textId="77777777" w:rsidR="003B243E" w:rsidRPr="007853E2" w:rsidRDefault="003B243E" w:rsidP="003B243E">
      <w:pPr>
        <w:pStyle w:val="Coverpage"/>
        <w:spacing w:after="0"/>
        <w:jc w:val="right"/>
      </w:pPr>
    </w:p>
    <w:p w14:paraId="61EE8438" w14:textId="77777777" w:rsidR="003B243E" w:rsidRPr="007853E2" w:rsidRDefault="003B243E" w:rsidP="003B243E">
      <w:pPr>
        <w:pStyle w:val="Coverpage"/>
        <w:spacing w:after="0"/>
        <w:jc w:val="right"/>
      </w:pPr>
    </w:p>
    <w:p w14:paraId="16535148" w14:textId="77777777" w:rsidR="003B243E" w:rsidRPr="007853E2" w:rsidRDefault="003B243E" w:rsidP="003B243E">
      <w:pPr>
        <w:pStyle w:val="Coverpage"/>
        <w:spacing w:after="0"/>
        <w:jc w:val="right"/>
      </w:pPr>
    </w:p>
    <w:p w14:paraId="1561F114" w14:textId="77777777" w:rsidR="003B243E" w:rsidRPr="007853E2" w:rsidRDefault="003B243E" w:rsidP="003B243E">
      <w:pPr>
        <w:pStyle w:val="Coverpage"/>
        <w:spacing w:after="0"/>
        <w:jc w:val="right"/>
      </w:pPr>
    </w:p>
    <w:p w14:paraId="696A4F66" w14:textId="77777777" w:rsidR="003B243E" w:rsidRPr="007853E2" w:rsidRDefault="003B243E" w:rsidP="003B243E">
      <w:pPr>
        <w:pStyle w:val="Coverpage"/>
        <w:spacing w:after="0"/>
        <w:jc w:val="right"/>
      </w:pPr>
    </w:p>
    <w:p w14:paraId="2E74F2AB" w14:textId="77777777" w:rsidR="003B243E" w:rsidRPr="007853E2" w:rsidRDefault="003B243E" w:rsidP="003B243E">
      <w:pPr>
        <w:pStyle w:val="Coverpage"/>
        <w:spacing w:after="0"/>
        <w:jc w:val="right"/>
      </w:pPr>
    </w:p>
    <w:p w14:paraId="578E5233" w14:textId="77777777" w:rsidR="003B243E" w:rsidRPr="007853E2" w:rsidRDefault="003B243E" w:rsidP="003B243E">
      <w:pPr>
        <w:pStyle w:val="Coverpage"/>
        <w:spacing w:after="0"/>
        <w:jc w:val="right"/>
      </w:pPr>
    </w:p>
    <w:p w14:paraId="09F464B1" w14:textId="77777777" w:rsidR="003B243E" w:rsidRPr="007853E2" w:rsidRDefault="003B243E" w:rsidP="003B243E">
      <w:pPr>
        <w:pStyle w:val="Coverpage"/>
        <w:spacing w:after="0"/>
        <w:jc w:val="right"/>
      </w:pPr>
    </w:p>
    <w:p w14:paraId="7FC79EEE" w14:textId="77777777" w:rsidR="003B243E" w:rsidRPr="007853E2" w:rsidRDefault="003B243E" w:rsidP="003B243E">
      <w:pPr>
        <w:pStyle w:val="Coverpage"/>
        <w:spacing w:after="0"/>
        <w:jc w:val="right"/>
      </w:pPr>
    </w:p>
    <w:p w14:paraId="28291F5A" w14:textId="77777777" w:rsidR="003B243E" w:rsidRPr="007853E2" w:rsidRDefault="003B243E" w:rsidP="003B243E">
      <w:pPr>
        <w:pStyle w:val="Coverpage"/>
        <w:spacing w:after="0"/>
        <w:jc w:val="right"/>
      </w:pPr>
    </w:p>
    <w:p w14:paraId="4CA48228" w14:textId="77777777" w:rsidR="003B243E" w:rsidRPr="007853E2" w:rsidRDefault="003B243E" w:rsidP="003B243E">
      <w:pPr>
        <w:pStyle w:val="Coverpage"/>
        <w:spacing w:after="0"/>
        <w:jc w:val="right"/>
      </w:pPr>
    </w:p>
    <w:p w14:paraId="5E2216CA" w14:textId="77777777" w:rsidR="003B243E" w:rsidRPr="007853E2" w:rsidRDefault="003B243E" w:rsidP="003B243E">
      <w:pPr>
        <w:pStyle w:val="Coverpage"/>
        <w:spacing w:after="0"/>
        <w:jc w:val="right"/>
      </w:pPr>
    </w:p>
    <w:p w14:paraId="5CD1308D" w14:textId="77777777" w:rsidR="003B243E" w:rsidRPr="007853E2" w:rsidRDefault="003B243E" w:rsidP="003B243E">
      <w:pPr>
        <w:pStyle w:val="Coverpage"/>
        <w:spacing w:after="0"/>
        <w:jc w:val="right"/>
      </w:pPr>
    </w:p>
    <w:p w14:paraId="60408403" w14:textId="77777777" w:rsidR="003B243E" w:rsidRPr="007853E2" w:rsidRDefault="003B243E" w:rsidP="003B243E">
      <w:pPr>
        <w:pStyle w:val="Coverpage"/>
        <w:spacing w:after="0"/>
        <w:jc w:val="right"/>
      </w:pPr>
      <w:r w:rsidRPr="007853E2">
        <w:t>-----------------------------------</w:t>
      </w:r>
    </w:p>
    <w:p w14:paraId="26154B6C" w14:textId="77777777" w:rsidR="000A164C" w:rsidRPr="007853E2" w:rsidRDefault="003B243E" w:rsidP="003B243E">
      <w:pPr>
        <w:pStyle w:val="Coverpage"/>
        <w:spacing w:after="0"/>
        <w:jc w:val="right"/>
      </w:pPr>
      <w:r w:rsidRPr="007853E2">
        <w:t>Gill Callister</w:t>
      </w:r>
    </w:p>
    <w:p w14:paraId="19FB2A08" w14:textId="77777777" w:rsidR="003B243E" w:rsidRPr="007853E2" w:rsidRDefault="003B243E" w:rsidP="003B243E">
      <w:pPr>
        <w:pStyle w:val="Coverpage"/>
        <w:spacing w:after="0"/>
        <w:jc w:val="right"/>
      </w:pPr>
    </w:p>
    <w:p w14:paraId="5388266F" w14:textId="77777777" w:rsidR="003B243E" w:rsidRPr="007853E2" w:rsidRDefault="003B243E" w:rsidP="003B243E">
      <w:pPr>
        <w:pStyle w:val="Coverpage"/>
        <w:spacing w:after="0"/>
        <w:jc w:val="right"/>
      </w:pPr>
      <w:r w:rsidRPr="007853E2">
        <w:t>Secretary</w:t>
      </w:r>
    </w:p>
    <w:p w14:paraId="29374CA3" w14:textId="77777777" w:rsidR="003B243E" w:rsidRPr="007853E2" w:rsidRDefault="003B243E" w:rsidP="003B243E">
      <w:pPr>
        <w:pStyle w:val="Coverpage"/>
        <w:spacing w:after="0"/>
        <w:jc w:val="right"/>
      </w:pPr>
      <w:r w:rsidRPr="007853E2">
        <w:t>16 March 2016</w:t>
      </w:r>
    </w:p>
    <w:p w14:paraId="4983DAA9" w14:textId="77777777" w:rsidR="00F83581" w:rsidRPr="007853E2" w:rsidRDefault="00F83581" w:rsidP="003B243E">
      <w:pPr>
        <w:pStyle w:val="Coverpage"/>
        <w:jc w:val="right"/>
      </w:pPr>
    </w:p>
    <w:p w14:paraId="6268703E" w14:textId="77777777" w:rsidR="00FF21D8" w:rsidRPr="007853E2" w:rsidRDefault="00FF21D8" w:rsidP="0074638F">
      <w:pPr>
        <w:pStyle w:val="LDStandardBodyText"/>
      </w:pPr>
    </w:p>
    <w:p w14:paraId="5BA6D51C" w14:textId="77777777" w:rsidR="00FA1C13" w:rsidRPr="007853E2" w:rsidRDefault="00FA1C13" w:rsidP="0074638F">
      <w:pPr>
        <w:pStyle w:val="LDStandardBodyText"/>
      </w:pPr>
    </w:p>
    <w:p w14:paraId="6A4B8325" w14:textId="77777777" w:rsidR="000B1A42" w:rsidRPr="007853E2" w:rsidRDefault="000B1A42" w:rsidP="0074638F">
      <w:pPr>
        <w:pStyle w:val="LDStandardBodyText"/>
        <w:sectPr w:rsidR="000B1A42" w:rsidRPr="007853E2" w:rsidSect="001F69FB">
          <w:headerReference w:type="default" r:id="rId12"/>
          <w:footerReference w:type="even" r:id="rId13"/>
          <w:footerReference w:type="default" r:id="rId14"/>
          <w:headerReference w:type="first" r:id="rId15"/>
          <w:footerReference w:type="first" r:id="rId16"/>
          <w:pgSz w:w="11907" w:h="16840" w:code="9"/>
          <w:pgMar w:top="851" w:right="1134" w:bottom="851" w:left="1134" w:header="624" w:footer="397" w:gutter="0"/>
          <w:cols w:space="708"/>
          <w:titlePg/>
          <w:docGrid w:linePitch="360"/>
        </w:sectPr>
      </w:pPr>
    </w:p>
    <w:p w14:paraId="6DF3081E" w14:textId="77777777" w:rsidR="00BA349E" w:rsidRPr="007853E2" w:rsidRDefault="002E6EF9" w:rsidP="0074638F">
      <w:pPr>
        <w:pStyle w:val="TOCHeading"/>
        <w:jc w:val="both"/>
      </w:pPr>
      <w:r w:rsidRPr="007853E2">
        <w:lastRenderedPageBreak/>
        <w:t>Table of Contents</w:t>
      </w:r>
    </w:p>
    <w:p w14:paraId="1F8B5366" w14:textId="77777777" w:rsidR="000A6CBA" w:rsidRDefault="00C50E41">
      <w:pPr>
        <w:pStyle w:val="TOC1"/>
        <w:rPr>
          <w:rFonts w:asciiTheme="minorHAnsi" w:eastAsiaTheme="minorEastAsia" w:hAnsiTheme="minorHAnsi" w:cstheme="minorBidi"/>
          <w:b w:val="0"/>
          <w:kern w:val="0"/>
          <w:szCs w:val="22"/>
          <w:lang w:eastAsia="en-AU"/>
        </w:rPr>
      </w:pPr>
      <w:r w:rsidRPr="007853E2">
        <w:rPr>
          <w:b w:val="0"/>
          <w:spacing w:val="14"/>
          <w:sz w:val="28"/>
          <w:szCs w:val="28"/>
        </w:rPr>
        <w:fldChar w:fldCharType="begin"/>
      </w:r>
      <w:r w:rsidRPr="007853E2">
        <w:rPr>
          <w:b w:val="0"/>
          <w:spacing w:val="14"/>
          <w:sz w:val="28"/>
          <w:szCs w:val="28"/>
        </w:rPr>
        <w:instrText xml:space="preserve"> TOC \o "1-1" \h \z \t "VGSO Hdg 2,2" </w:instrText>
      </w:r>
      <w:r w:rsidRPr="007853E2">
        <w:rPr>
          <w:b w:val="0"/>
          <w:spacing w:val="14"/>
          <w:sz w:val="28"/>
          <w:szCs w:val="28"/>
        </w:rPr>
        <w:fldChar w:fldCharType="separate"/>
      </w:r>
      <w:hyperlink w:anchor="_Toc445877691" w:history="1">
        <w:r w:rsidR="000A6CBA" w:rsidRPr="00AD6CC6">
          <w:rPr>
            <w:rStyle w:val="Hyperlink"/>
          </w:rPr>
          <w:t>A.</w:t>
        </w:r>
        <w:r w:rsidR="000A6CBA">
          <w:rPr>
            <w:rFonts w:asciiTheme="minorHAnsi" w:eastAsiaTheme="minorEastAsia" w:hAnsiTheme="minorHAnsi" w:cstheme="minorBidi"/>
            <w:b w:val="0"/>
            <w:kern w:val="0"/>
            <w:szCs w:val="22"/>
            <w:lang w:eastAsia="en-AU"/>
          </w:rPr>
          <w:tab/>
        </w:r>
        <w:r w:rsidR="000A6CBA" w:rsidRPr="00AD6CC6">
          <w:rPr>
            <w:rStyle w:val="Hyperlink"/>
          </w:rPr>
          <w:t>OPERATION DUNHAM: THE WAY FORWARD</w:t>
        </w:r>
        <w:r w:rsidR="000A6CBA">
          <w:rPr>
            <w:webHidden/>
          </w:rPr>
          <w:tab/>
        </w:r>
        <w:r w:rsidR="000A6CBA">
          <w:rPr>
            <w:webHidden/>
          </w:rPr>
          <w:fldChar w:fldCharType="begin"/>
        </w:r>
        <w:r w:rsidR="000A6CBA">
          <w:rPr>
            <w:webHidden/>
          </w:rPr>
          <w:instrText xml:space="preserve"> PAGEREF _Toc445877691 \h </w:instrText>
        </w:r>
        <w:r w:rsidR="000A6CBA">
          <w:rPr>
            <w:webHidden/>
          </w:rPr>
        </w:r>
        <w:r w:rsidR="000A6CBA">
          <w:rPr>
            <w:webHidden/>
          </w:rPr>
          <w:fldChar w:fldCharType="separate"/>
        </w:r>
        <w:r w:rsidR="00D104E0">
          <w:rPr>
            <w:webHidden/>
          </w:rPr>
          <w:t>1</w:t>
        </w:r>
        <w:r w:rsidR="000A6CBA">
          <w:rPr>
            <w:webHidden/>
          </w:rPr>
          <w:fldChar w:fldCharType="end"/>
        </w:r>
      </w:hyperlink>
    </w:p>
    <w:p w14:paraId="3F0B2421" w14:textId="77777777" w:rsidR="000A6CBA" w:rsidRDefault="00FC3BC6">
      <w:pPr>
        <w:pStyle w:val="TOC2"/>
        <w:rPr>
          <w:rFonts w:asciiTheme="minorHAnsi" w:eastAsiaTheme="minorEastAsia" w:hAnsiTheme="minorHAnsi" w:cstheme="minorBidi"/>
          <w:noProof/>
          <w:kern w:val="0"/>
          <w:lang w:eastAsia="en-AU"/>
        </w:rPr>
      </w:pPr>
      <w:hyperlink w:anchor="_Toc445877692" w:history="1">
        <w:r w:rsidR="000A6CBA" w:rsidRPr="00AD6CC6">
          <w:rPr>
            <w:rStyle w:val="Hyperlink"/>
            <w:noProof/>
          </w:rPr>
          <w:t>Whole of Government Response</w:t>
        </w:r>
        <w:r w:rsidR="000A6CBA">
          <w:rPr>
            <w:noProof/>
            <w:webHidden/>
          </w:rPr>
          <w:tab/>
        </w:r>
        <w:r w:rsidR="000A6CBA">
          <w:rPr>
            <w:noProof/>
            <w:webHidden/>
          </w:rPr>
          <w:fldChar w:fldCharType="begin"/>
        </w:r>
        <w:r w:rsidR="000A6CBA">
          <w:rPr>
            <w:noProof/>
            <w:webHidden/>
          </w:rPr>
          <w:instrText xml:space="preserve"> PAGEREF _Toc445877692 \h </w:instrText>
        </w:r>
        <w:r w:rsidR="000A6CBA">
          <w:rPr>
            <w:noProof/>
            <w:webHidden/>
          </w:rPr>
        </w:r>
        <w:r w:rsidR="000A6CBA">
          <w:rPr>
            <w:noProof/>
            <w:webHidden/>
          </w:rPr>
          <w:fldChar w:fldCharType="separate"/>
        </w:r>
        <w:r w:rsidR="00D104E0">
          <w:rPr>
            <w:noProof/>
            <w:webHidden/>
          </w:rPr>
          <w:t>3</w:t>
        </w:r>
        <w:r w:rsidR="000A6CBA">
          <w:rPr>
            <w:noProof/>
            <w:webHidden/>
          </w:rPr>
          <w:fldChar w:fldCharType="end"/>
        </w:r>
      </w:hyperlink>
    </w:p>
    <w:p w14:paraId="2975E90C" w14:textId="77777777" w:rsidR="000A6CBA" w:rsidRDefault="00FC3BC6">
      <w:pPr>
        <w:pStyle w:val="TOC2"/>
        <w:rPr>
          <w:rFonts w:asciiTheme="minorHAnsi" w:eastAsiaTheme="minorEastAsia" w:hAnsiTheme="minorHAnsi" w:cstheme="minorBidi"/>
          <w:noProof/>
          <w:kern w:val="0"/>
          <w:lang w:eastAsia="en-AU"/>
        </w:rPr>
      </w:pPr>
      <w:hyperlink w:anchor="_Toc445877693" w:history="1">
        <w:r w:rsidR="000A6CBA" w:rsidRPr="00AD6CC6">
          <w:rPr>
            <w:rStyle w:val="Hyperlink"/>
            <w:noProof/>
          </w:rPr>
          <w:t>Protiviti report commissioned by DET</w:t>
        </w:r>
        <w:r w:rsidR="000A6CBA">
          <w:rPr>
            <w:noProof/>
            <w:webHidden/>
          </w:rPr>
          <w:tab/>
        </w:r>
        <w:r w:rsidR="000A6CBA">
          <w:rPr>
            <w:noProof/>
            <w:webHidden/>
          </w:rPr>
          <w:fldChar w:fldCharType="begin"/>
        </w:r>
        <w:r w:rsidR="000A6CBA">
          <w:rPr>
            <w:noProof/>
            <w:webHidden/>
          </w:rPr>
          <w:instrText xml:space="preserve"> PAGEREF _Toc445877693 \h </w:instrText>
        </w:r>
        <w:r w:rsidR="000A6CBA">
          <w:rPr>
            <w:noProof/>
            <w:webHidden/>
          </w:rPr>
        </w:r>
        <w:r w:rsidR="000A6CBA">
          <w:rPr>
            <w:noProof/>
            <w:webHidden/>
          </w:rPr>
          <w:fldChar w:fldCharType="separate"/>
        </w:r>
        <w:r w:rsidR="00D104E0">
          <w:rPr>
            <w:noProof/>
            <w:webHidden/>
          </w:rPr>
          <w:t>5</w:t>
        </w:r>
        <w:r w:rsidR="000A6CBA">
          <w:rPr>
            <w:noProof/>
            <w:webHidden/>
          </w:rPr>
          <w:fldChar w:fldCharType="end"/>
        </w:r>
      </w:hyperlink>
    </w:p>
    <w:p w14:paraId="2B7A29C8" w14:textId="77777777" w:rsidR="000A6CBA" w:rsidRDefault="00FC3BC6">
      <w:pPr>
        <w:pStyle w:val="TOC2"/>
        <w:rPr>
          <w:rFonts w:asciiTheme="minorHAnsi" w:eastAsiaTheme="minorEastAsia" w:hAnsiTheme="minorHAnsi" w:cstheme="minorBidi"/>
          <w:noProof/>
          <w:kern w:val="0"/>
          <w:lang w:eastAsia="en-AU"/>
        </w:rPr>
      </w:pPr>
      <w:hyperlink w:anchor="_Toc445877694" w:history="1">
        <w:r w:rsidR="000A6CBA" w:rsidRPr="00AD6CC6">
          <w:rPr>
            <w:rStyle w:val="Hyperlink"/>
            <w:noProof/>
          </w:rPr>
          <w:t>DET commitments</w:t>
        </w:r>
        <w:r w:rsidR="000A6CBA">
          <w:rPr>
            <w:noProof/>
            <w:webHidden/>
          </w:rPr>
          <w:tab/>
        </w:r>
        <w:r w:rsidR="000A6CBA">
          <w:rPr>
            <w:noProof/>
            <w:webHidden/>
          </w:rPr>
          <w:fldChar w:fldCharType="begin"/>
        </w:r>
        <w:r w:rsidR="000A6CBA">
          <w:rPr>
            <w:noProof/>
            <w:webHidden/>
          </w:rPr>
          <w:instrText xml:space="preserve"> PAGEREF _Toc445877694 \h </w:instrText>
        </w:r>
        <w:r w:rsidR="000A6CBA">
          <w:rPr>
            <w:noProof/>
            <w:webHidden/>
          </w:rPr>
        </w:r>
        <w:r w:rsidR="000A6CBA">
          <w:rPr>
            <w:noProof/>
            <w:webHidden/>
          </w:rPr>
          <w:fldChar w:fldCharType="separate"/>
        </w:r>
        <w:r w:rsidR="00D104E0">
          <w:rPr>
            <w:noProof/>
            <w:webHidden/>
          </w:rPr>
          <w:t>6</w:t>
        </w:r>
        <w:r w:rsidR="000A6CBA">
          <w:rPr>
            <w:noProof/>
            <w:webHidden/>
          </w:rPr>
          <w:fldChar w:fldCharType="end"/>
        </w:r>
      </w:hyperlink>
    </w:p>
    <w:p w14:paraId="08A1AEE2" w14:textId="77777777" w:rsidR="000A6CBA" w:rsidRDefault="00FC3BC6">
      <w:pPr>
        <w:pStyle w:val="TOC1"/>
        <w:rPr>
          <w:rFonts w:asciiTheme="minorHAnsi" w:eastAsiaTheme="minorEastAsia" w:hAnsiTheme="minorHAnsi" w:cstheme="minorBidi"/>
          <w:b w:val="0"/>
          <w:kern w:val="0"/>
          <w:szCs w:val="22"/>
          <w:lang w:eastAsia="en-AU"/>
        </w:rPr>
      </w:pPr>
      <w:hyperlink w:anchor="_Toc445877695" w:history="1">
        <w:r w:rsidR="000A6CBA" w:rsidRPr="00AD6CC6">
          <w:rPr>
            <w:rStyle w:val="Hyperlink"/>
          </w:rPr>
          <w:t>B.</w:t>
        </w:r>
        <w:r w:rsidR="000A6CBA">
          <w:rPr>
            <w:rFonts w:asciiTheme="minorHAnsi" w:eastAsiaTheme="minorEastAsia" w:hAnsiTheme="minorHAnsi" w:cstheme="minorBidi"/>
            <w:b w:val="0"/>
            <w:kern w:val="0"/>
            <w:szCs w:val="22"/>
            <w:lang w:eastAsia="en-AU"/>
          </w:rPr>
          <w:tab/>
        </w:r>
        <w:r w:rsidR="000A6CBA" w:rsidRPr="00AD6CC6">
          <w:rPr>
            <w:rStyle w:val="Hyperlink"/>
          </w:rPr>
          <w:t>DETAILED DISCUSSION: LEARNINGS FROM DUNHAM</w:t>
        </w:r>
        <w:r w:rsidR="000A6CBA">
          <w:rPr>
            <w:webHidden/>
          </w:rPr>
          <w:tab/>
        </w:r>
        <w:r w:rsidR="000A6CBA">
          <w:rPr>
            <w:webHidden/>
          </w:rPr>
          <w:fldChar w:fldCharType="begin"/>
        </w:r>
        <w:r w:rsidR="000A6CBA">
          <w:rPr>
            <w:webHidden/>
          </w:rPr>
          <w:instrText xml:space="preserve"> PAGEREF _Toc445877695 \h </w:instrText>
        </w:r>
        <w:r w:rsidR="000A6CBA">
          <w:rPr>
            <w:webHidden/>
          </w:rPr>
        </w:r>
        <w:r w:rsidR="000A6CBA">
          <w:rPr>
            <w:webHidden/>
          </w:rPr>
          <w:fldChar w:fldCharType="separate"/>
        </w:r>
        <w:r w:rsidR="00D104E0">
          <w:rPr>
            <w:webHidden/>
          </w:rPr>
          <w:t>7</w:t>
        </w:r>
        <w:r w:rsidR="000A6CBA">
          <w:rPr>
            <w:webHidden/>
          </w:rPr>
          <w:fldChar w:fldCharType="end"/>
        </w:r>
      </w:hyperlink>
    </w:p>
    <w:p w14:paraId="3DBEC3AE" w14:textId="77777777" w:rsidR="000A6CBA" w:rsidRDefault="00FC3BC6">
      <w:pPr>
        <w:pStyle w:val="TOC1"/>
        <w:rPr>
          <w:rFonts w:asciiTheme="minorHAnsi" w:eastAsiaTheme="minorEastAsia" w:hAnsiTheme="minorHAnsi" w:cstheme="minorBidi"/>
          <w:b w:val="0"/>
          <w:kern w:val="0"/>
          <w:szCs w:val="22"/>
          <w:lang w:eastAsia="en-AU"/>
        </w:rPr>
      </w:pPr>
      <w:hyperlink w:anchor="_Toc445877696" w:history="1">
        <w:r w:rsidR="000A6CBA" w:rsidRPr="00AD6CC6">
          <w:rPr>
            <w:rStyle w:val="Hyperlink"/>
          </w:rPr>
          <w:t>1.</w:t>
        </w:r>
        <w:r w:rsidR="000A6CBA">
          <w:rPr>
            <w:rFonts w:asciiTheme="minorHAnsi" w:eastAsiaTheme="minorEastAsia" w:hAnsiTheme="minorHAnsi" w:cstheme="minorBidi"/>
            <w:b w:val="0"/>
            <w:kern w:val="0"/>
            <w:szCs w:val="22"/>
            <w:lang w:eastAsia="en-AU"/>
          </w:rPr>
          <w:tab/>
        </w:r>
        <w:r w:rsidR="000A6CBA" w:rsidRPr="00AD6CC6">
          <w:rPr>
            <w:rStyle w:val="Hyperlink"/>
          </w:rPr>
          <w:t>Leadership</w:t>
        </w:r>
        <w:r w:rsidR="000A6CBA">
          <w:rPr>
            <w:webHidden/>
          </w:rPr>
          <w:tab/>
        </w:r>
        <w:r w:rsidR="000A6CBA">
          <w:rPr>
            <w:webHidden/>
          </w:rPr>
          <w:fldChar w:fldCharType="begin"/>
        </w:r>
        <w:r w:rsidR="000A6CBA">
          <w:rPr>
            <w:webHidden/>
          </w:rPr>
          <w:instrText xml:space="preserve"> PAGEREF _Toc445877696 \h </w:instrText>
        </w:r>
        <w:r w:rsidR="000A6CBA">
          <w:rPr>
            <w:webHidden/>
          </w:rPr>
        </w:r>
        <w:r w:rsidR="000A6CBA">
          <w:rPr>
            <w:webHidden/>
          </w:rPr>
          <w:fldChar w:fldCharType="separate"/>
        </w:r>
        <w:r w:rsidR="00D104E0">
          <w:rPr>
            <w:webHidden/>
          </w:rPr>
          <w:t>7</w:t>
        </w:r>
        <w:r w:rsidR="000A6CBA">
          <w:rPr>
            <w:webHidden/>
          </w:rPr>
          <w:fldChar w:fldCharType="end"/>
        </w:r>
      </w:hyperlink>
    </w:p>
    <w:p w14:paraId="5A65D129" w14:textId="77777777" w:rsidR="000A6CBA" w:rsidRDefault="00FC3BC6">
      <w:pPr>
        <w:pStyle w:val="TOC2"/>
        <w:rPr>
          <w:rFonts w:asciiTheme="minorHAnsi" w:eastAsiaTheme="minorEastAsia" w:hAnsiTheme="minorHAnsi" w:cstheme="minorBidi"/>
          <w:noProof/>
          <w:kern w:val="0"/>
          <w:lang w:eastAsia="en-AU"/>
        </w:rPr>
      </w:pPr>
      <w:hyperlink w:anchor="_Toc445877697" w:history="1">
        <w:r w:rsidR="000A6CBA" w:rsidRPr="00AD6CC6">
          <w:rPr>
            <w:rStyle w:val="Hyperlink"/>
            <w:noProof/>
          </w:rPr>
          <w:t>Investing in good, ethical leadership at all levels</w:t>
        </w:r>
        <w:r w:rsidR="000A6CBA">
          <w:rPr>
            <w:noProof/>
            <w:webHidden/>
          </w:rPr>
          <w:tab/>
        </w:r>
        <w:r w:rsidR="000A6CBA">
          <w:rPr>
            <w:noProof/>
            <w:webHidden/>
          </w:rPr>
          <w:fldChar w:fldCharType="begin"/>
        </w:r>
        <w:r w:rsidR="000A6CBA">
          <w:rPr>
            <w:noProof/>
            <w:webHidden/>
          </w:rPr>
          <w:instrText xml:space="preserve"> PAGEREF _Toc445877697 \h </w:instrText>
        </w:r>
        <w:r w:rsidR="000A6CBA">
          <w:rPr>
            <w:noProof/>
            <w:webHidden/>
          </w:rPr>
        </w:r>
        <w:r w:rsidR="000A6CBA">
          <w:rPr>
            <w:noProof/>
            <w:webHidden/>
          </w:rPr>
          <w:fldChar w:fldCharType="separate"/>
        </w:r>
        <w:r w:rsidR="00D104E0">
          <w:rPr>
            <w:noProof/>
            <w:webHidden/>
          </w:rPr>
          <w:t>7</w:t>
        </w:r>
        <w:r w:rsidR="000A6CBA">
          <w:rPr>
            <w:noProof/>
            <w:webHidden/>
          </w:rPr>
          <w:fldChar w:fldCharType="end"/>
        </w:r>
      </w:hyperlink>
    </w:p>
    <w:p w14:paraId="0F1601C4" w14:textId="77777777" w:rsidR="000A6CBA" w:rsidRDefault="00FC3BC6">
      <w:pPr>
        <w:pStyle w:val="TOC2"/>
        <w:rPr>
          <w:rFonts w:asciiTheme="minorHAnsi" w:eastAsiaTheme="minorEastAsia" w:hAnsiTheme="minorHAnsi" w:cstheme="minorBidi"/>
          <w:noProof/>
          <w:kern w:val="0"/>
          <w:lang w:eastAsia="en-AU"/>
        </w:rPr>
      </w:pPr>
      <w:hyperlink w:anchor="_Toc445877698" w:history="1">
        <w:r w:rsidR="000A6CBA" w:rsidRPr="00AD6CC6">
          <w:rPr>
            <w:rStyle w:val="Hyperlink"/>
            <w:noProof/>
          </w:rPr>
          <w:t>Commitment to transparency and accountability by our leaders</w:t>
        </w:r>
        <w:r w:rsidR="000A6CBA">
          <w:rPr>
            <w:noProof/>
            <w:webHidden/>
          </w:rPr>
          <w:tab/>
        </w:r>
        <w:r w:rsidR="000A6CBA">
          <w:rPr>
            <w:noProof/>
            <w:webHidden/>
          </w:rPr>
          <w:fldChar w:fldCharType="begin"/>
        </w:r>
        <w:r w:rsidR="000A6CBA">
          <w:rPr>
            <w:noProof/>
            <w:webHidden/>
          </w:rPr>
          <w:instrText xml:space="preserve"> PAGEREF _Toc445877698 \h </w:instrText>
        </w:r>
        <w:r w:rsidR="000A6CBA">
          <w:rPr>
            <w:noProof/>
            <w:webHidden/>
          </w:rPr>
        </w:r>
        <w:r w:rsidR="000A6CBA">
          <w:rPr>
            <w:noProof/>
            <w:webHidden/>
          </w:rPr>
          <w:fldChar w:fldCharType="separate"/>
        </w:r>
        <w:r w:rsidR="00D104E0">
          <w:rPr>
            <w:noProof/>
            <w:webHidden/>
          </w:rPr>
          <w:t>8</w:t>
        </w:r>
        <w:r w:rsidR="000A6CBA">
          <w:rPr>
            <w:noProof/>
            <w:webHidden/>
          </w:rPr>
          <w:fldChar w:fldCharType="end"/>
        </w:r>
      </w:hyperlink>
    </w:p>
    <w:p w14:paraId="5A4E76F2" w14:textId="77777777" w:rsidR="000A6CBA" w:rsidRDefault="00FC3BC6">
      <w:pPr>
        <w:pStyle w:val="TOC1"/>
        <w:rPr>
          <w:rFonts w:asciiTheme="minorHAnsi" w:eastAsiaTheme="minorEastAsia" w:hAnsiTheme="minorHAnsi" w:cstheme="minorBidi"/>
          <w:b w:val="0"/>
          <w:kern w:val="0"/>
          <w:szCs w:val="22"/>
          <w:lang w:eastAsia="en-AU"/>
        </w:rPr>
      </w:pPr>
      <w:hyperlink w:anchor="_Toc445877699" w:history="1">
        <w:r w:rsidR="000A6CBA" w:rsidRPr="00AD6CC6">
          <w:rPr>
            <w:rStyle w:val="Hyperlink"/>
          </w:rPr>
          <w:t>2.</w:t>
        </w:r>
        <w:r w:rsidR="000A6CBA">
          <w:rPr>
            <w:rFonts w:asciiTheme="minorHAnsi" w:eastAsiaTheme="minorEastAsia" w:hAnsiTheme="minorHAnsi" w:cstheme="minorBidi"/>
            <w:b w:val="0"/>
            <w:kern w:val="0"/>
            <w:szCs w:val="22"/>
            <w:lang w:eastAsia="en-AU"/>
          </w:rPr>
          <w:tab/>
        </w:r>
        <w:r w:rsidR="000A6CBA" w:rsidRPr="00AD6CC6">
          <w:rPr>
            <w:rStyle w:val="Hyperlink"/>
          </w:rPr>
          <w:t>Procurement</w:t>
        </w:r>
        <w:r w:rsidR="000A6CBA">
          <w:rPr>
            <w:webHidden/>
          </w:rPr>
          <w:tab/>
        </w:r>
        <w:r w:rsidR="000A6CBA">
          <w:rPr>
            <w:webHidden/>
          </w:rPr>
          <w:fldChar w:fldCharType="begin"/>
        </w:r>
        <w:r w:rsidR="000A6CBA">
          <w:rPr>
            <w:webHidden/>
          </w:rPr>
          <w:instrText xml:space="preserve"> PAGEREF _Toc445877699 \h </w:instrText>
        </w:r>
        <w:r w:rsidR="000A6CBA">
          <w:rPr>
            <w:webHidden/>
          </w:rPr>
        </w:r>
        <w:r w:rsidR="000A6CBA">
          <w:rPr>
            <w:webHidden/>
          </w:rPr>
          <w:fldChar w:fldCharType="separate"/>
        </w:r>
        <w:r w:rsidR="00D104E0">
          <w:rPr>
            <w:webHidden/>
          </w:rPr>
          <w:t>9</w:t>
        </w:r>
        <w:r w:rsidR="000A6CBA">
          <w:rPr>
            <w:webHidden/>
          </w:rPr>
          <w:fldChar w:fldCharType="end"/>
        </w:r>
      </w:hyperlink>
    </w:p>
    <w:p w14:paraId="0F360B57" w14:textId="77777777" w:rsidR="000A6CBA" w:rsidRDefault="00FC3BC6">
      <w:pPr>
        <w:pStyle w:val="TOC2"/>
        <w:rPr>
          <w:rFonts w:asciiTheme="minorHAnsi" w:eastAsiaTheme="minorEastAsia" w:hAnsiTheme="minorHAnsi" w:cstheme="minorBidi"/>
          <w:noProof/>
          <w:kern w:val="0"/>
          <w:lang w:eastAsia="en-AU"/>
        </w:rPr>
      </w:pPr>
      <w:hyperlink w:anchor="_Toc445877700" w:history="1">
        <w:r w:rsidR="000A6CBA" w:rsidRPr="00AD6CC6">
          <w:rPr>
            <w:rStyle w:val="Hyperlink"/>
            <w:noProof/>
          </w:rPr>
          <w:t>Past Procurement policy and practice</w:t>
        </w:r>
        <w:r w:rsidR="000A6CBA">
          <w:rPr>
            <w:noProof/>
            <w:webHidden/>
          </w:rPr>
          <w:tab/>
        </w:r>
        <w:r w:rsidR="000A6CBA">
          <w:rPr>
            <w:noProof/>
            <w:webHidden/>
          </w:rPr>
          <w:fldChar w:fldCharType="begin"/>
        </w:r>
        <w:r w:rsidR="000A6CBA">
          <w:rPr>
            <w:noProof/>
            <w:webHidden/>
          </w:rPr>
          <w:instrText xml:space="preserve"> PAGEREF _Toc445877700 \h </w:instrText>
        </w:r>
        <w:r w:rsidR="000A6CBA">
          <w:rPr>
            <w:noProof/>
            <w:webHidden/>
          </w:rPr>
        </w:r>
        <w:r w:rsidR="000A6CBA">
          <w:rPr>
            <w:noProof/>
            <w:webHidden/>
          </w:rPr>
          <w:fldChar w:fldCharType="separate"/>
        </w:r>
        <w:r w:rsidR="00D104E0">
          <w:rPr>
            <w:noProof/>
            <w:webHidden/>
          </w:rPr>
          <w:t>9</w:t>
        </w:r>
        <w:r w:rsidR="000A6CBA">
          <w:rPr>
            <w:noProof/>
            <w:webHidden/>
          </w:rPr>
          <w:fldChar w:fldCharType="end"/>
        </w:r>
      </w:hyperlink>
    </w:p>
    <w:p w14:paraId="275DD1E3" w14:textId="77777777" w:rsidR="000A6CBA" w:rsidRDefault="00FC3BC6">
      <w:pPr>
        <w:pStyle w:val="TOC2"/>
        <w:rPr>
          <w:rFonts w:asciiTheme="minorHAnsi" w:eastAsiaTheme="minorEastAsia" w:hAnsiTheme="minorHAnsi" w:cstheme="minorBidi"/>
          <w:noProof/>
          <w:kern w:val="0"/>
          <w:lang w:eastAsia="en-AU"/>
        </w:rPr>
      </w:pPr>
      <w:hyperlink w:anchor="_Toc445877701" w:history="1">
        <w:r w:rsidR="000A6CBA" w:rsidRPr="00AD6CC6">
          <w:rPr>
            <w:rStyle w:val="Hyperlink"/>
            <w:noProof/>
          </w:rPr>
          <w:t>Current Procurement policy and practice</w:t>
        </w:r>
        <w:r w:rsidR="000A6CBA">
          <w:rPr>
            <w:noProof/>
            <w:webHidden/>
          </w:rPr>
          <w:tab/>
        </w:r>
        <w:r w:rsidR="000A6CBA">
          <w:rPr>
            <w:noProof/>
            <w:webHidden/>
          </w:rPr>
          <w:fldChar w:fldCharType="begin"/>
        </w:r>
        <w:r w:rsidR="000A6CBA">
          <w:rPr>
            <w:noProof/>
            <w:webHidden/>
          </w:rPr>
          <w:instrText xml:space="preserve"> PAGEREF _Toc445877701 \h </w:instrText>
        </w:r>
        <w:r w:rsidR="000A6CBA">
          <w:rPr>
            <w:noProof/>
            <w:webHidden/>
          </w:rPr>
        </w:r>
        <w:r w:rsidR="000A6CBA">
          <w:rPr>
            <w:noProof/>
            <w:webHidden/>
          </w:rPr>
          <w:fldChar w:fldCharType="separate"/>
        </w:r>
        <w:r w:rsidR="00D104E0">
          <w:rPr>
            <w:noProof/>
            <w:webHidden/>
          </w:rPr>
          <w:t>10</w:t>
        </w:r>
        <w:r w:rsidR="000A6CBA">
          <w:rPr>
            <w:noProof/>
            <w:webHidden/>
          </w:rPr>
          <w:fldChar w:fldCharType="end"/>
        </w:r>
      </w:hyperlink>
    </w:p>
    <w:p w14:paraId="5549BDAA" w14:textId="77777777" w:rsidR="000A6CBA" w:rsidRDefault="00FC3BC6">
      <w:pPr>
        <w:pStyle w:val="TOC2"/>
        <w:rPr>
          <w:rFonts w:asciiTheme="minorHAnsi" w:eastAsiaTheme="minorEastAsia" w:hAnsiTheme="minorHAnsi" w:cstheme="minorBidi"/>
          <w:noProof/>
          <w:kern w:val="0"/>
          <w:lang w:eastAsia="en-AU"/>
        </w:rPr>
      </w:pPr>
      <w:hyperlink w:anchor="_Toc445877702" w:history="1">
        <w:r w:rsidR="000A6CBA" w:rsidRPr="00AD6CC6">
          <w:rPr>
            <w:rStyle w:val="Hyperlink"/>
            <w:noProof/>
          </w:rPr>
          <w:t>Better Governance</w:t>
        </w:r>
        <w:r w:rsidR="000A6CBA">
          <w:rPr>
            <w:noProof/>
            <w:webHidden/>
          </w:rPr>
          <w:tab/>
        </w:r>
        <w:r w:rsidR="000A6CBA">
          <w:rPr>
            <w:noProof/>
            <w:webHidden/>
          </w:rPr>
          <w:fldChar w:fldCharType="begin"/>
        </w:r>
        <w:r w:rsidR="000A6CBA">
          <w:rPr>
            <w:noProof/>
            <w:webHidden/>
          </w:rPr>
          <w:instrText xml:space="preserve"> PAGEREF _Toc445877702 \h </w:instrText>
        </w:r>
        <w:r w:rsidR="000A6CBA">
          <w:rPr>
            <w:noProof/>
            <w:webHidden/>
          </w:rPr>
        </w:r>
        <w:r w:rsidR="000A6CBA">
          <w:rPr>
            <w:noProof/>
            <w:webHidden/>
          </w:rPr>
          <w:fldChar w:fldCharType="separate"/>
        </w:r>
        <w:r w:rsidR="00D104E0">
          <w:rPr>
            <w:noProof/>
            <w:webHidden/>
          </w:rPr>
          <w:t>13</w:t>
        </w:r>
        <w:r w:rsidR="000A6CBA">
          <w:rPr>
            <w:noProof/>
            <w:webHidden/>
          </w:rPr>
          <w:fldChar w:fldCharType="end"/>
        </w:r>
      </w:hyperlink>
    </w:p>
    <w:p w14:paraId="08FE188C" w14:textId="77777777" w:rsidR="000A6CBA" w:rsidRDefault="00FC3BC6">
      <w:pPr>
        <w:pStyle w:val="TOC1"/>
        <w:rPr>
          <w:rFonts w:asciiTheme="minorHAnsi" w:eastAsiaTheme="minorEastAsia" w:hAnsiTheme="minorHAnsi" w:cstheme="minorBidi"/>
          <w:b w:val="0"/>
          <w:kern w:val="0"/>
          <w:szCs w:val="22"/>
          <w:lang w:eastAsia="en-AU"/>
        </w:rPr>
      </w:pPr>
      <w:hyperlink w:anchor="_Toc445877703" w:history="1">
        <w:r w:rsidR="000A6CBA" w:rsidRPr="00AD6CC6">
          <w:rPr>
            <w:rStyle w:val="Hyperlink"/>
          </w:rPr>
          <w:t>3.</w:t>
        </w:r>
        <w:r w:rsidR="000A6CBA">
          <w:rPr>
            <w:rFonts w:asciiTheme="minorHAnsi" w:eastAsiaTheme="minorEastAsia" w:hAnsiTheme="minorHAnsi" w:cstheme="minorBidi"/>
            <w:b w:val="0"/>
            <w:kern w:val="0"/>
            <w:szCs w:val="22"/>
            <w:lang w:eastAsia="en-AU"/>
          </w:rPr>
          <w:tab/>
        </w:r>
        <w:r w:rsidR="000A6CBA" w:rsidRPr="00AD6CC6">
          <w:rPr>
            <w:rStyle w:val="Hyperlink"/>
          </w:rPr>
          <w:t>Public sector employment</w:t>
        </w:r>
        <w:r w:rsidR="000A6CBA">
          <w:rPr>
            <w:webHidden/>
          </w:rPr>
          <w:tab/>
        </w:r>
        <w:r w:rsidR="000A6CBA">
          <w:rPr>
            <w:webHidden/>
          </w:rPr>
          <w:fldChar w:fldCharType="begin"/>
        </w:r>
        <w:r w:rsidR="000A6CBA">
          <w:rPr>
            <w:webHidden/>
          </w:rPr>
          <w:instrText xml:space="preserve"> PAGEREF _Toc445877703 \h </w:instrText>
        </w:r>
        <w:r w:rsidR="000A6CBA">
          <w:rPr>
            <w:webHidden/>
          </w:rPr>
        </w:r>
        <w:r w:rsidR="000A6CBA">
          <w:rPr>
            <w:webHidden/>
          </w:rPr>
          <w:fldChar w:fldCharType="separate"/>
        </w:r>
        <w:r w:rsidR="00D104E0">
          <w:rPr>
            <w:webHidden/>
          </w:rPr>
          <w:t>15</w:t>
        </w:r>
        <w:r w:rsidR="000A6CBA">
          <w:rPr>
            <w:webHidden/>
          </w:rPr>
          <w:fldChar w:fldCharType="end"/>
        </w:r>
      </w:hyperlink>
    </w:p>
    <w:p w14:paraId="17007B05" w14:textId="77777777" w:rsidR="000A6CBA" w:rsidRDefault="00FC3BC6">
      <w:pPr>
        <w:pStyle w:val="TOC2"/>
        <w:rPr>
          <w:rFonts w:asciiTheme="minorHAnsi" w:eastAsiaTheme="minorEastAsia" w:hAnsiTheme="minorHAnsi" w:cstheme="minorBidi"/>
          <w:noProof/>
          <w:kern w:val="0"/>
          <w:lang w:eastAsia="en-AU"/>
        </w:rPr>
      </w:pPr>
      <w:hyperlink w:anchor="_Toc445877704" w:history="1">
        <w:r w:rsidR="000A6CBA" w:rsidRPr="00AD6CC6">
          <w:rPr>
            <w:rStyle w:val="Hyperlink"/>
            <w:noProof/>
          </w:rPr>
          <w:t>Values and ethics</w:t>
        </w:r>
        <w:r w:rsidR="000A6CBA">
          <w:rPr>
            <w:noProof/>
            <w:webHidden/>
          </w:rPr>
          <w:tab/>
        </w:r>
        <w:r w:rsidR="000A6CBA">
          <w:rPr>
            <w:noProof/>
            <w:webHidden/>
          </w:rPr>
          <w:fldChar w:fldCharType="begin"/>
        </w:r>
        <w:r w:rsidR="000A6CBA">
          <w:rPr>
            <w:noProof/>
            <w:webHidden/>
          </w:rPr>
          <w:instrText xml:space="preserve"> PAGEREF _Toc445877704 \h </w:instrText>
        </w:r>
        <w:r w:rsidR="000A6CBA">
          <w:rPr>
            <w:noProof/>
            <w:webHidden/>
          </w:rPr>
        </w:r>
        <w:r w:rsidR="000A6CBA">
          <w:rPr>
            <w:noProof/>
            <w:webHidden/>
          </w:rPr>
          <w:fldChar w:fldCharType="separate"/>
        </w:r>
        <w:r w:rsidR="00D104E0">
          <w:rPr>
            <w:noProof/>
            <w:webHidden/>
          </w:rPr>
          <w:t>15</w:t>
        </w:r>
        <w:r w:rsidR="000A6CBA">
          <w:rPr>
            <w:noProof/>
            <w:webHidden/>
          </w:rPr>
          <w:fldChar w:fldCharType="end"/>
        </w:r>
      </w:hyperlink>
    </w:p>
    <w:p w14:paraId="087C1F39" w14:textId="77777777" w:rsidR="000A6CBA" w:rsidRDefault="00FC3BC6">
      <w:pPr>
        <w:pStyle w:val="TOC2"/>
        <w:rPr>
          <w:rFonts w:asciiTheme="minorHAnsi" w:eastAsiaTheme="minorEastAsia" w:hAnsiTheme="minorHAnsi" w:cstheme="minorBidi"/>
          <w:noProof/>
          <w:kern w:val="0"/>
          <w:lang w:eastAsia="en-AU"/>
        </w:rPr>
      </w:pPr>
      <w:hyperlink w:anchor="_Toc445877705" w:history="1">
        <w:r w:rsidR="000A6CBA" w:rsidRPr="00AD6CC6">
          <w:rPr>
            <w:rStyle w:val="Hyperlink"/>
            <w:noProof/>
          </w:rPr>
          <w:t>Conflict of Interests and Declaration of Private Interests</w:t>
        </w:r>
        <w:r w:rsidR="000A6CBA">
          <w:rPr>
            <w:noProof/>
            <w:webHidden/>
          </w:rPr>
          <w:tab/>
        </w:r>
        <w:r w:rsidR="000A6CBA">
          <w:rPr>
            <w:noProof/>
            <w:webHidden/>
          </w:rPr>
          <w:fldChar w:fldCharType="begin"/>
        </w:r>
        <w:r w:rsidR="000A6CBA">
          <w:rPr>
            <w:noProof/>
            <w:webHidden/>
          </w:rPr>
          <w:instrText xml:space="preserve"> PAGEREF _Toc445877705 \h </w:instrText>
        </w:r>
        <w:r w:rsidR="000A6CBA">
          <w:rPr>
            <w:noProof/>
            <w:webHidden/>
          </w:rPr>
        </w:r>
        <w:r w:rsidR="000A6CBA">
          <w:rPr>
            <w:noProof/>
            <w:webHidden/>
          </w:rPr>
          <w:fldChar w:fldCharType="separate"/>
        </w:r>
        <w:r w:rsidR="00D104E0">
          <w:rPr>
            <w:noProof/>
            <w:webHidden/>
          </w:rPr>
          <w:t>17</w:t>
        </w:r>
        <w:r w:rsidR="000A6CBA">
          <w:rPr>
            <w:noProof/>
            <w:webHidden/>
          </w:rPr>
          <w:fldChar w:fldCharType="end"/>
        </w:r>
      </w:hyperlink>
    </w:p>
    <w:p w14:paraId="1CC68E39" w14:textId="77777777" w:rsidR="000A6CBA" w:rsidRDefault="00FC3BC6">
      <w:pPr>
        <w:pStyle w:val="TOC2"/>
        <w:rPr>
          <w:rFonts w:asciiTheme="minorHAnsi" w:eastAsiaTheme="minorEastAsia" w:hAnsiTheme="minorHAnsi" w:cstheme="minorBidi"/>
          <w:noProof/>
          <w:kern w:val="0"/>
          <w:lang w:eastAsia="en-AU"/>
        </w:rPr>
      </w:pPr>
      <w:hyperlink w:anchor="_Toc445877706" w:history="1">
        <w:r w:rsidR="000A6CBA" w:rsidRPr="00AD6CC6">
          <w:rPr>
            <w:rStyle w:val="Hyperlink"/>
            <w:noProof/>
          </w:rPr>
          <w:t>Gifts, benefits and travel</w:t>
        </w:r>
        <w:r w:rsidR="000A6CBA">
          <w:rPr>
            <w:noProof/>
            <w:webHidden/>
          </w:rPr>
          <w:tab/>
        </w:r>
        <w:r w:rsidR="000A6CBA">
          <w:rPr>
            <w:noProof/>
            <w:webHidden/>
          </w:rPr>
          <w:fldChar w:fldCharType="begin"/>
        </w:r>
        <w:r w:rsidR="000A6CBA">
          <w:rPr>
            <w:noProof/>
            <w:webHidden/>
          </w:rPr>
          <w:instrText xml:space="preserve"> PAGEREF _Toc445877706 \h </w:instrText>
        </w:r>
        <w:r w:rsidR="000A6CBA">
          <w:rPr>
            <w:noProof/>
            <w:webHidden/>
          </w:rPr>
        </w:r>
        <w:r w:rsidR="000A6CBA">
          <w:rPr>
            <w:noProof/>
            <w:webHidden/>
          </w:rPr>
          <w:fldChar w:fldCharType="separate"/>
        </w:r>
        <w:r w:rsidR="00D104E0">
          <w:rPr>
            <w:noProof/>
            <w:webHidden/>
          </w:rPr>
          <w:t>19</w:t>
        </w:r>
        <w:r w:rsidR="000A6CBA">
          <w:rPr>
            <w:noProof/>
            <w:webHidden/>
          </w:rPr>
          <w:fldChar w:fldCharType="end"/>
        </w:r>
      </w:hyperlink>
    </w:p>
    <w:p w14:paraId="084AE33F" w14:textId="77777777" w:rsidR="000A6CBA" w:rsidRDefault="00FC3BC6">
      <w:pPr>
        <w:pStyle w:val="TOC1"/>
        <w:rPr>
          <w:rFonts w:asciiTheme="minorHAnsi" w:eastAsiaTheme="minorEastAsia" w:hAnsiTheme="minorHAnsi" w:cstheme="minorBidi"/>
          <w:b w:val="0"/>
          <w:kern w:val="0"/>
          <w:szCs w:val="22"/>
          <w:lang w:eastAsia="en-AU"/>
        </w:rPr>
      </w:pPr>
      <w:hyperlink w:anchor="_Toc445877707" w:history="1">
        <w:r w:rsidR="000A6CBA" w:rsidRPr="00AD6CC6">
          <w:rPr>
            <w:rStyle w:val="Hyperlink"/>
          </w:rPr>
          <w:t>C.</w:t>
        </w:r>
        <w:r w:rsidR="000A6CBA">
          <w:rPr>
            <w:rFonts w:asciiTheme="minorHAnsi" w:eastAsiaTheme="minorEastAsia" w:hAnsiTheme="minorHAnsi" w:cstheme="minorBidi"/>
            <w:b w:val="0"/>
            <w:kern w:val="0"/>
            <w:szCs w:val="22"/>
            <w:lang w:eastAsia="en-AU"/>
          </w:rPr>
          <w:tab/>
        </w:r>
        <w:r w:rsidR="000A6CBA" w:rsidRPr="00AD6CC6">
          <w:rPr>
            <w:rStyle w:val="Hyperlink"/>
          </w:rPr>
          <w:t>CONCLUSION</w:t>
        </w:r>
        <w:r w:rsidR="000A6CBA">
          <w:rPr>
            <w:webHidden/>
          </w:rPr>
          <w:tab/>
        </w:r>
        <w:r w:rsidR="000A6CBA">
          <w:rPr>
            <w:webHidden/>
          </w:rPr>
          <w:fldChar w:fldCharType="begin"/>
        </w:r>
        <w:r w:rsidR="000A6CBA">
          <w:rPr>
            <w:webHidden/>
          </w:rPr>
          <w:instrText xml:space="preserve"> PAGEREF _Toc445877707 \h </w:instrText>
        </w:r>
        <w:r w:rsidR="000A6CBA">
          <w:rPr>
            <w:webHidden/>
          </w:rPr>
        </w:r>
        <w:r w:rsidR="000A6CBA">
          <w:rPr>
            <w:webHidden/>
          </w:rPr>
          <w:fldChar w:fldCharType="separate"/>
        </w:r>
        <w:r w:rsidR="00D104E0">
          <w:rPr>
            <w:webHidden/>
          </w:rPr>
          <w:t>20</w:t>
        </w:r>
        <w:r w:rsidR="000A6CBA">
          <w:rPr>
            <w:webHidden/>
          </w:rPr>
          <w:fldChar w:fldCharType="end"/>
        </w:r>
      </w:hyperlink>
    </w:p>
    <w:p w14:paraId="3BFCA6C1" w14:textId="77777777" w:rsidR="000A6CBA" w:rsidRDefault="00FC3BC6">
      <w:pPr>
        <w:pStyle w:val="TOC1"/>
        <w:rPr>
          <w:rFonts w:asciiTheme="minorHAnsi" w:eastAsiaTheme="minorEastAsia" w:hAnsiTheme="minorHAnsi" w:cstheme="minorBidi"/>
          <w:b w:val="0"/>
          <w:kern w:val="0"/>
          <w:szCs w:val="22"/>
          <w:lang w:eastAsia="en-AU"/>
        </w:rPr>
      </w:pPr>
      <w:hyperlink w:anchor="_Toc445877708" w:history="1">
        <w:r w:rsidR="000A6CBA" w:rsidRPr="00AD6CC6">
          <w:rPr>
            <w:rStyle w:val="Hyperlink"/>
          </w:rPr>
          <w:t>Appendix A: Glossary of terms</w:t>
        </w:r>
        <w:r w:rsidR="000A6CBA">
          <w:rPr>
            <w:webHidden/>
          </w:rPr>
          <w:tab/>
        </w:r>
        <w:r w:rsidR="000A6CBA">
          <w:rPr>
            <w:webHidden/>
          </w:rPr>
          <w:fldChar w:fldCharType="begin"/>
        </w:r>
        <w:r w:rsidR="000A6CBA">
          <w:rPr>
            <w:webHidden/>
          </w:rPr>
          <w:instrText xml:space="preserve"> PAGEREF _Toc445877708 \h </w:instrText>
        </w:r>
        <w:r w:rsidR="000A6CBA">
          <w:rPr>
            <w:webHidden/>
          </w:rPr>
        </w:r>
        <w:r w:rsidR="000A6CBA">
          <w:rPr>
            <w:webHidden/>
          </w:rPr>
          <w:fldChar w:fldCharType="separate"/>
        </w:r>
        <w:r w:rsidR="00D104E0">
          <w:rPr>
            <w:webHidden/>
          </w:rPr>
          <w:t>22</w:t>
        </w:r>
        <w:r w:rsidR="000A6CBA">
          <w:rPr>
            <w:webHidden/>
          </w:rPr>
          <w:fldChar w:fldCharType="end"/>
        </w:r>
      </w:hyperlink>
    </w:p>
    <w:p w14:paraId="6695FCCC" w14:textId="77777777" w:rsidR="006B3AFB" w:rsidRPr="007853E2" w:rsidRDefault="00C50E41" w:rsidP="0074638F">
      <w:pPr>
        <w:rPr>
          <w:noProof/>
        </w:rPr>
      </w:pPr>
      <w:r w:rsidRPr="007853E2">
        <w:rPr>
          <w:b/>
          <w:noProof/>
          <w:spacing w:val="14"/>
          <w:kern w:val="24"/>
          <w:sz w:val="28"/>
          <w:szCs w:val="28"/>
        </w:rPr>
        <w:fldChar w:fldCharType="end"/>
      </w:r>
    </w:p>
    <w:p w14:paraId="23101147" w14:textId="77777777" w:rsidR="001F7C35" w:rsidRPr="007853E2" w:rsidRDefault="001F7C35" w:rsidP="0074638F">
      <w:pPr>
        <w:pStyle w:val="VGSOHdg1"/>
        <w:jc w:val="both"/>
      </w:pPr>
    </w:p>
    <w:p w14:paraId="725F6544" w14:textId="77777777" w:rsidR="001F7C35" w:rsidRPr="007853E2" w:rsidRDefault="001F7C35" w:rsidP="0074638F">
      <w:pPr>
        <w:rPr>
          <w:b/>
          <w:spacing w:val="14"/>
          <w:sz w:val="28"/>
          <w:szCs w:val="28"/>
        </w:rPr>
        <w:sectPr w:rsidR="001F7C35" w:rsidRPr="007853E2" w:rsidSect="00730DF8">
          <w:headerReference w:type="even" r:id="rId17"/>
          <w:headerReference w:type="default" r:id="rId18"/>
          <w:footerReference w:type="default" r:id="rId19"/>
          <w:headerReference w:type="first" r:id="rId20"/>
          <w:footerReference w:type="first" r:id="rId21"/>
          <w:pgSz w:w="11907" w:h="16840" w:code="9"/>
          <w:pgMar w:top="851" w:right="1134" w:bottom="851" w:left="1701" w:header="624" w:footer="397" w:gutter="0"/>
          <w:pgNumType w:fmt="lowerRoman" w:start="1"/>
          <w:cols w:space="708"/>
          <w:docGrid w:linePitch="360"/>
        </w:sectPr>
      </w:pPr>
    </w:p>
    <w:p w14:paraId="50BCE175" w14:textId="77777777" w:rsidR="00EC10CF" w:rsidRPr="007853E2" w:rsidRDefault="00EC10CF" w:rsidP="003B243E">
      <w:pPr>
        <w:pStyle w:val="VGSOHdg1"/>
        <w:numPr>
          <w:ilvl w:val="0"/>
          <w:numId w:val="17"/>
        </w:numPr>
        <w:ind w:left="851" w:hanging="851"/>
        <w:jc w:val="both"/>
      </w:pPr>
      <w:bookmarkStart w:id="1" w:name="_Toc445877691"/>
      <w:r w:rsidRPr="007853E2">
        <w:lastRenderedPageBreak/>
        <w:t xml:space="preserve">OPERATION DUNHAM: </w:t>
      </w:r>
      <w:r w:rsidR="003B243E" w:rsidRPr="007853E2">
        <w:t>THE WAY FORWARD</w:t>
      </w:r>
      <w:bookmarkEnd w:id="1"/>
    </w:p>
    <w:p w14:paraId="792213CD" w14:textId="77777777" w:rsidR="00370256" w:rsidRPr="007853E2" w:rsidRDefault="00370256" w:rsidP="00370256">
      <w:pPr>
        <w:pStyle w:val="LDStandard2"/>
        <w:jc w:val="both"/>
      </w:pPr>
      <w:r w:rsidRPr="007853E2">
        <w:t>At the conclusion of the Operation Dunham public examinations, the Department of Education and Training (</w:t>
      </w:r>
      <w:r w:rsidRPr="007853E2">
        <w:rPr>
          <w:b/>
        </w:rPr>
        <w:t>DET</w:t>
      </w:r>
      <w:r w:rsidRPr="007853E2">
        <w:t xml:space="preserve"> /</w:t>
      </w:r>
      <w:r w:rsidRPr="007853E2">
        <w:rPr>
          <w:b/>
        </w:rPr>
        <w:t xml:space="preserve"> the Department</w:t>
      </w:r>
      <w:r w:rsidRPr="007853E2">
        <w:t>) must now</w:t>
      </w:r>
      <w:r>
        <w:t xml:space="preserve"> continue the work of my predecessor, Richard Bolt,</w:t>
      </w:r>
      <w:r w:rsidRPr="007853E2">
        <w:t xml:space="preserve"> </w:t>
      </w:r>
      <w:r>
        <w:t xml:space="preserve">to </w:t>
      </w:r>
      <w:r w:rsidRPr="007853E2">
        <w:t>identify and critically examine the historical conduct, within DET, that contributed to:</w:t>
      </w:r>
    </w:p>
    <w:p w14:paraId="2B5E988F" w14:textId="77777777" w:rsidR="00370256" w:rsidRPr="007853E2" w:rsidRDefault="00370256" w:rsidP="00370256">
      <w:pPr>
        <w:pStyle w:val="LDStandard4"/>
        <w:jc w:val="both"/>
      </w:pPr>
      <w:r w:rsidRPr="007853E2">
        <w:t xml:space="preserve">the awarding </w:t>
      </w:r>
      <w:r>
        <w:t xml:space="preserve">of the </w:t>
      </w:r>
      <w:proofErr w:type="spellStart"/>
      <w:r>
        <w:t>Ultranet</w:t>
      </w:r>
      <w:proofErr w:type="spellEnd"/>
      <w:r>
        <w:t xml:space="preserve"> contract to CSG;</w:t>
      </w:r>
    </w:p>
    <w:p w14:paraId="670F6DCE" w14:textId="77777777" w:rsidR="00370256" w:rsidRDefault="00370256" w:rsidP="00370256">
      <w:pPr>
        <w:pStyle w:val="LDStandard4"/>
        <w:jc w:val="both"/>
      </w:pPr>
      <w:r w:rsidRPr="007853E2">
        <w:t>the surrounding circumstances, including the entirely unacceptable payment of just under $1 million of public funds to Alliance Recruitment</w:t>
      </w:r>
      <w:r>
        <w:t>; and</w:t>
      </w:r>
    </w:p>
    <w:p w14:paraId="55F45918" w14:textId="77777777" w:rsidR="00370256" w:rsidRPr="007853E2" w:rsidRDefault="00370256" w:rsidP="00370256">
      <w:pPr>
        <w:pStyle w:val="LDStandard4"/>
        <w:jc w:val="both"/>
      </w:pPr>
      <w:proofErr w:type="gramStart"/>
      <w:r>
        <w:t>the</w:t>
      </w:r>
      <w:proofErr w:type="gramEnd"/>
      <w:r>
        <w:t xml:space="preserve"> ultimate failure of the </w:t>
      </w:r>
      <w:proofErr w:type="spellStart"/>
      <w:r>
        <w:t>Ultranet</w:t>
      </w:r>
      <w:proofErr w:type="spellEnd"/>
      <w:r>
        <w:t xml:space="preserve"> project to deliver the anticipated benefits to Victorian schools.</w:t>
      </w:r>
    </w:p>
    <w:p w14:paraId="1A0ABEB8" w14:textId="77777777" w:rsidR="00370256" w:rsidRPr="007853E2" w:rsidRDefault="00370256" w:rsidP="00370256">
      <w:pPr>
        <w:pStyle w:val="LDStandard2"/>
        <w:jc w:val="both"/>
      </w:pPr>
      <w:r w:rsidRPr="007853E2">
        <w:t xml:space="preserve">Identifying and understanding the full context in which this conduct occurred is the first step. The second step is to develop and implement a </w:t>
      </w:r>
      <w:r>
        <w:t xml:space="preserve">further </w:t>
      </w:r>
      <w:r w:rsidRPr="007853E2">
        <w:t xml:space="preserve">series of careful reform measures that will, to the greatest extent possible, address the shortcomings of policy, process and culture that were exposed during the examinations. </w:t>
      </w:r>
    </w:p>
    <w:p w14:paraId="294359E2" w14:textId="77777777" w:rsidR="00370256" w:rsidRPr="007853E2" w:rsidRDefault="00370256" w:rsidP="00370256">
      <w:pPr>
        <w:pStyle w:val="LDStandard2"/>
        <w:jc w:val="both"/>
      </w:pPr>
      <w:r w:rsidRPr="007853E2">
        <w:t>That second step extends beyond DET. The Victorian Secretaries Board (</w:t>
      </w:r>
      <w:proofErr w:type="gramStart"/>
      <w:r w:rsidRPr="007853E2">
        <w:rPr>
          <w:b/>
        </w:rPr>
        <w:t>VSB</w:t>
      </w:r>
      <w:r w:rsidRPr="007853E2">
        <w:t>)</w:t>
      </w:r>
      <w:proofErr w:type="gramEnd"/>
      <w:r w:rsidRPr="007853E2">
        <w:t xml:space="preserve"> whose membership includes the Secretaries </w:t>
      </w:r>
      <w:r w:rsidR="000E0053">
        <w:t>(CEOs) of all State Government D</w:t>
      </w:r>
      <w:r w:rsidRPr="007853E2">
        <w:t xml:space="preserve">epartments, has carefully followed the progress of the public examinations. This statement includes the “whole of government” response that the Secretaries now propose to implement across every </w:t>
      </w:r>
      <w:r w:rsidR="006D18C1">
        <w:t>D</w:t>
      </w:r>
      <w:r w:rsidR="006D18C1" w:rsidRPr="007853E2">
        <w:t>epartment</w:t>
      </w:r>
      <w:r w:rsidRPr="007853E2">
        <w:t xml:space="preserve">. </w:t>
      </w:r>
    </w:p>
    <w:p w14:paraId="17DC000E" w14:textId="77777777" w:rsidR="00370256" w:rsidRPr="007853E2" w:rsidRDefault="00370256" w:rsidP="00370256">
      <w:pPr>
        <w:pStyle w:val="LDStandard2"/>
        <w:jc w:val="both"/>
      </w:pPr>
      <w:r w:rsidRPr="007853E2">
        <w:t xml:space="preserve">These commitments and actions build on both the program of reforms being implemented by DET after Operation Ord and recent work by the VSB on strengthening integrity in the Victorian Public Sector. </w:t>
      </w:r>
    </w:p>
    <w:p w14:paraId="6DFAE177" w14:textId="77777777" w:rsidR="00370256" w:rsidRPr="007853E2" w:rsidRDefault="00370256" w:rsidP="00370256">
      <w:pPr>
        <w:pStyle w:val="LDStandard2"/>
        <w:jc w:val="both"/>
      </w:pPr>
      <w:r w:rsidRPr="007853E2">
        <w:t xml:space="preserve">I </w:t>
      </w:r>
      <w:r w:rsidRPr="007853E2">
        <w:rPr>
          <w:b/>
        </w:rPr>
        <w:t>now turn</w:t>
      </w:r>
      <w:r w:rsidRPr="007853E2">
        <w:t xml:space="preserve"> to the contributing conduct:-</w:t>
      </w:r>
    </w:p>
    <w:p w14:paraId="4CA87DE7" w14:textId="77777777" w:rsidR="00370256" w:rsidRPr="007853E2" w:rsidRDefault="00370256" w:rsidP="00370256">
      <w:pPr>
        <w:pStyle w:val="VGSOHdg3"/>
        <w:ind w:firstLine="851"/>
        <w:rPr>
          <w:b/>
        </w:rPr>
      </w:pPr>
      <w:r w:rsidRPr="007853E2">
        <w:rPr>
          <w:b/>
        </w:rPr>
        <w:t>Inappropriate relationships / collusion</w:t>
      </w:r>
    </w:p>
    <w:p w14:paraId="76F2E181" w14:textId="77777777" w:rsidR="00370256" w:rsidRPr="007853E2" w:rsidRDefault="00370256" w:rsidP="00370256">
      <w:pPr>
        <w:pStyle w:val="LDStandard2"/>
        <w:jc w:val="both"/>
      </w:pPr>
      <w:r w:rsidRPr="007853E2">
        <w:rPr>
          <w:rFonts w:eastAsiaTheme="minorEastAsia"/>
        </w:rPr>
        <w:t xml:space="preserve">It is clear that there were inappropriate and collusive relationships between Departmental employees and the private sector. The evidence reveals that private firms gave substantial gifts to Departmental employees, including domestic and international flights, excessively generous accommodation and extravagant meals. The firms involved – including but not limited to CSG </w:t>
      </w:r>
      <w:r w:rsidR="006D18C1" w:rsidRPr="007853E2">
        <w:rPr>
          <w:rFonts w:eastAsiaTheme="minorEastAsia"/>
        </w:rPr>
        <w:t>–</w:t>
      </w:r>
      <w:r w:rsidRPr="007853E2">
        <w:rPr>
          <w:rFonts w:eastAsiaTheme="minorEastAsia"/>
        </w:rPr>
        <w:t xml:space="preserve"> were subsequently awarded substantial Departmental contracts. There can be no doubt that those directly involved were aware that such ‘perks’ were improper and contravened the Department’s probity guidelines.</w:t>
      </w:r>
    </w:p>
    <w:p w14:paraId="5EC202DB" w14:textId="77777777" w:rsidR="00370256" w:rsidRPr="007853E2" w:rsidRDefault="00370256" w:rsidP="00370256">
      <w:pPr>
        <w:pStyle w:val="LDStandard2"/>
        <w:jc w:val="both"/>
        <w:rPr>
          <w:rFonts w:eastAsiaTheme="minorEastAsia"/>
        </w:rPr>
      </w:pPr>
      <w:r w:rsidRPr="007853E2">
        <w:t xml:space="preserve">A core group of senior staff circumvented DET procurement processes for their own benefit. Most, if not all, were aware of the proper processes, and deliberately avoided them. Indeed, through the course of the public examinations it became clear that senior DET officials were party to the disclosure of </w:t>
      </w:r>
      <w:r w:rsidRPr="007853E2">
        <w:rPr>
          <w:rFonts w:eastAsiaTheme="minorEastAsia"/>
        </w:rPr>
        <w:t>confidential tender information to CSG and others via direct and covert means.</w:t>
      </w:r>
    </w:p>
    <w:p w14:paraId="53F4621A" w14:textId="77777777" w:rsidR="00370256" w:rsidRPr="007853E2" w:rsidRDefault="00370256" w:rsidP="00370256">
      <w:pPr>
        <w:pStyle w:val="LDStandard2"/>
        <w:spacing w:before="120"/>
        <w:jc w:val="both"/>
        <w:rPr>
          <w:rFonts w:eastAsiaTheme="minorEastAsia"/>
        </w:rPr>
      </w:pPr>
      <w:r w:rsidRPr="007853E2">
        <w:rPr>
          <w:rFonts w:eastAsiaTheme="minorEastAsia"/>
        </w:rPr>
        <w:t>It appears the improper conduct was able to continue due to the close relationships – developed over many years – within the core group, which remained intact as promotions went to group members who occupied key roles in decision processes. This arrangement blocked independent staff from being involved in (or being sufficiently informed about) tender and expenditure decisions.</w:t>
      </w:r>
    </w:p>
    <w:p w14:paraId="6164516A" w14:textId="77777777" w:rsidR="00370256" w:rsidRPr="007853E2" w:rsidRDefault="00370256" w:rsidP="00370256">
      <w:pPr>
        <w:pStyle w:val="LDStandard2"/>
        <w:jc w:val="both"/>
        <w:rPr>
          <w:rFonts w:eastAsiaTheme="minorEastAsia"/>
        </w:rPr>
      </w:pPr>
      <w:r w:rsidRPr="007853E2">
        <w:rPr>
          <w:rFonts w:eastAsiaTheme="minorEastAsia"/>
        </w:rPr>
        <w:lastRenderedPageBreak/>
        <w:t xml:space="preserve">It appears the </w:t>
      </w:r>
      <w:proofErr w:type="spellStart"/>
      <w:proofErr w:type="gramStart"/>
      <w:r w:rsidRPr="007853E2">
        <w:rPr>
          <w:rFonts w:eastAsiaTheme="minorEastAsia"/>
        </w:rPr>
        <w:t>Ultranet</w:t>
      </w:r>
      <w:proofErr w:type="spellEnd"/>
      <w:proofErr w:type="gramEnd"/>
      <w:r w:rsidRPr="007853E2">
        <w:rPr>
          <w:rFonts w:eastAsiaTheme="minorEastAsia"/>
        </w:rPr>
        <w:t xml:space="preserve"> tender Board was d</w:t>
      </w:r>
      <w:r>
        <w:rPr>
          <w:rFonts w:eastAsiaTheme="minorEastAsia"/>
        </w:rPr>
        <w:t xml:space="preserve">ominated by a Deputy Secretary, who exerted complete control over the process. To avoid scrutiny, </w:t>
      </w:r>
      <w:proofErr w:type="gramStart"/>
      <w:r>
        <w:rPr>
          <w:rFonts w:eastAsiaTheme="minorEastAsia"/>
        </w:rPr>
        <w:t>staff were</w:t>
      </w:r>
      <w:proofErr w:type="gramEnd"/>
      <w:r>
        <w:rPr>
          <w:rFonts w:eastAsiaTheme="minorEastAsia"/>
        </w:rPr>
        <w:t xml:space="preserve"> instructed to</w:t>
      </w:r>
      <w:r w:rsidRPr="007853E2">
        <w:rPr>
          <w:rFonts w:eastAsiaTheme="minorEastAsia"/>
        </w:rPr>
        <w:t xml:space="preserve"> incorrectly code project costs </w:t>
      </w:r>
      <w:r w:rsidRPr="007853E2">
        <w:t>and</w:t>
      </w:r>
      <w:r>
        <w:t xml:space="preserve"> were encouraged to</w:t>
      </w:r>
      <w:r w:rsidRPr="007853E2">
        <w:rPr>
          <w:rFonts w:eastAsiaTheme="minorEastAsia"/>
        </w:rPr>
        <w:t xml:space="preserve"> use false statutory declarations to obtain reimbursements for personal expenses. </w:t>
      </w:r>
    </w:p>
    <w:p w14:paraId="609444C5" w14:textId="77777777" w:rsidR="00370256" w:rsidRPr="007853E2" w:rsidRDefault="00370256" w:rsidP="00370256">
      <w:pPr>
        <w:pStyle w:val="LDStandard2"/>
        <w:jc w:val="both"/>
        <w:rPr>
          <w:i/>
        </w:rPr>
      </w:pPr>
      <w:r w:rsidRPr="007853E2">
        <w:rPr>
          <w:rFonts w:eastAsiaTheme="minorEastAsia"/>
        </w:rPr>
        <w:t xml:space="preserve">It is also clear that </w:t>
      </w:r>
      <w:r w:rsidRPr="007853E2">
        <w:t xml:space="preserve">an atmosphere of fear and bullying deterred people from speaking out. This same culture of bullying </w:t>
      </w:r>
      <w:r>
        <w:t xml:space="preserve">by the same cohort </w:t>
      </w:r>
      <w:r w:rsidRPr="007853E2">
        <w:t xml:space="preserve">contributed to the conduct that was the subject of Operation Ord. </w:t>
      </w:r>
    </w:p>
    <w:p w14:paraId="331F1DAC" w14:textId="77777777" w:rsidR="00EC10CF" w:rsidRPr="007853E2" w:rsidRDefault="006D6D4F" w:rsidP="0074638F">
      <w:pPr>
        <w:pStyle w:val="LDStandard2"/>
        <w:numPr>
          <w:ilvl w:val="0"/>
          <w:numId w:val="0"/>
        </w:numPr>
        <w:ind w:left="851"/>
        <w:jc w:val="both"/>
        <w:rPr>
          <w:rFonts w:eastAsia="Times New Roman" w:cs="Times New Roman"/>
          <w:b/>
          <w:i/>
          <w:spacing w:val="10"/>
          <w:kern w:val="22"/>
          <w:szCs w:val="36"/>
        </w:rPr>
      </w:pPr>
      <w:r w:rsidRPr="007853E2">
        <w:rPr>
          <w:rFonts w:eastAsia="Times New Roman" w:cs="Times New Roman"/>
          <w:b/>
          <w:i/>
          <w:spacing w:val="10"/>
          <w:kern w:val="22"/>
          <w:szCs w:val="36"/>
        </w:rPr>
        <w:t>C</w:t>
      </w:r>
      <w:r w:rsidR="00EC10CF" w:rsidRPr="007853E2">
        <w:rPr>
          <w:rFonts w:eastAsia="Times New Roman" w:cs="Times New Roman"/>
          <w:b/>
          <w:i/>
          <w:spacing w:val="10"/>
          <w:kern w:val="22"/>
          <w:szCs w:val="36"/>
        </w:rPr>
        <w:t>ompromised tender process</w:t>
      </w:r>
      <w:r w:rsidRPr="007853E2">
        <w:rPr>
          <w:rFonts w:eastAsia="Times New Roman" w:cs="Times New Roman"/>
          <w:b/>
          <w:i/>
          <w:spacing w:val="10"/>
          <w:kern w:val="22"/>
          <w:szCs w:val="36"/>
        </w:rPr>
        <w:t>es</w:t>
      </w:r>
      <w:r w:rsidR="00EC10CF" w:rsidRPr="007853E2">
        <w:rPr>
          <w:rFonts w:eastAsia="Times New Roman" w:cs="Times New Roman"/>
          <w:b/>
          <w:i/>
          <w:spacing w:val="10"/>
          <w:kern w:val="22"/>
          <w:szCs w:val="36"/>
        </w:rPr>
        <w:t> </w:t>
      </w:r>
    </w:p>
    <w:p w14:paraId="4BC21CBC" w14:textId="77777777" w:rsidR="00666AEE" w:rsidRPr="007853E2" w:rsidRDefault="00B8145E">
      <w:pPr>
        <w:pStyle w:val="LDStandard2"/>
        <w:jc w:val="both"/>
        <w:rPr>
          <w:rFonts w:eastAsiaTheme="minorEastAsia"/>
        </w:rPr>
      </w:pPr>
      <w:r w:rsidRPr="007853E2">
        <w:t>W</w:t>
      </w:r>
      <w:r w:rsidR="008A4FFA" w:rsidRPr="007853E2">
        <w:rPr>
          <w:rFonts w:eastAsiaTheme="minorEastAsia"/>
        </w:rPr>
        <w:t xml:space="preserve">eak </w:t>
      </w:r>
      <w:r w:rsidR="00DA766C" w:rsidRPr="007853E2">
        <w:rPr>
          <w:rFonts w:eastAsiaTheme="minorEastAsia"/>
        </w:rPr>
        <w:t>(and at times non-existent) adherence to/monitoring of</w:t>
      </w:r>
      <w:r w:rsidR="00666AEE" w:rsidRPr="007853E2">
        <w:rPr>
          <w:rFonts w:eastAsiaTheme="minorEastAsia"/>
        </w:rPr>
        <w:t xml:space="preserve"> </w:t>
      </w:r>
      <w:r w:rsidR="00DA766C" w:rsidRPr="007853E2">
        <w:rPr>
          <w:rFonts w:eastAsiaTheme="minorEastAsia"/>
        </w:rPr>
        <w:t xml:space="preserve">proper </w:t>
      </w:r>
      <w:r w:rsidR="00666AEE" w:rsidRPr="007853E2">
        <w:rPr>
          <w:rFonts w:eastAsiaTheme="minorEastAsia"/>
        </w:rPr>
        <w:t xml:space="preserve">tender and procurement practices enabled individuals to </w:t>
      </w:r>
      <w:r w:rsidR="00CD6B1E" w:rsidRPr="007853E2">
        <w:rPr>
          <w:rFonts w:eastAsiaTheme="minorEastAsia"/>
        </w:rPr>
        <w:t xml:space="preserve">sidestep </w:t>
      </w:r>
      <w:r w:rsidR="00DA766C" w:rsidRPr="007853E2">
        <w:rPr>
          <w:rFonts w:eastAsiaTheme="minorEastAsia"/>
        </w:rPr>
        <w:t xml:space="preserve">the </w:t>
      </w:r>
      <w:r w:rsidR="004F09FE" w:rsidRPr="007853E2">
        <w:rPr>
          <w:rFonts w:eastAsiaTheme="minorEastAsia"/>
        </w:rPr>
        <w:t>proper process</w:t>
      </w:r>
      <w:r w:rsidR="00666AEE" w:rsidRPr="007853E2">
        <w:rPr>
          <w:rFonts w:eastAsiaTheme="minorEastAsia"/>
        </w:rPr>
        <w:t xml:space="preserve">. </w:t>
      </w:r>
    </w:p>
    <w:p w14:paraId="70D53C8C" w14:textId="77777777" w:rsidR="00666AEE" w:rsidRPr="007853E2" w:rsidRDefault="00666AEE">
      <w:pPr>
        <w:pStyle w:val="LDStandard2"/>
        <w:jc w:val="both"/>
        <w:rPr>
          <w:rFonts w:eastAsiaTheme="minorEastAsia"/>
        </w:rPr>
      </w:pPr>
      <w:r w:rsidRPr="007853E2">
        <w:rPr>
          <w:rFonts w:eastAsiaTheme="minorEastAsia"/>
        </w:rPr>
        <w:t xml:space="preserve">In the </w:t>
      </w:r>
      <w:proofErr w:type="spellStart"/>
      <w:r w:rsidRPr="007853E2">
        <w:rPr>
          <w:rFonts w:eastAsiaTheme="minorEastAsia"/>
        </w:rPr>
        <w:t>Ultranet</w:t>
      </w:r>
      <w:proofErr w:type="spellEnd"/>
      <w:r w:rsidRPr="007853E2">
        <w:rPr>
          <w:rFonts w:eastAsiaTheme="minorEastAsia"/>
        </w:rPr>
        <w:t xml:space="preserve"> tender, a </w:t>
      </w:r>
      <w:r w:rsidR="00CD6B1E" w:rsidRPr="007853E2">
        <w:rPr>
          <w:rFonts w:eastAsiaTheme="minorEastAsia"/>
        </w:rPr>
        <w:t xml:space="preserve">series </w:t>
      </w:r>
      <w:r w:rsidRPr="007853E2">
        <w:rPr>
          <w:rFonts w:eastAsiaTheme="minorEastAsia"/>
        </w:rPr>
        <w:t xml:space="preserve">of red flags were raised which should have resulted in the </w:t>
      </w:r>
      <w:r w:rsidR="00CD6B1E" w:rsidRPr="007853E2">
        <w:rPr>
          <w:rFonts w:eastAsiaTheme="minorEastAsia"/>
        </w:rPr>
        <w:t xml:space="preserve">termination </w:t>
      </w:r>
      <w:r w:rsidRPr="007853E2">
        <w:rPr>
          <w:rFonts w:eastAsiaTheme="minorEastAsia"/>
        </w:rPr>
        <w:t xml:space="preserve">of the project, or, at </w:t>
      </w:r>
      <w:r w:rsidR="009A0F64" w:rsidRPr="007853E2">
        <w:rPr>
          <w:rFonts w:eastAsiaTheme="minorEastAsia"/>
        </w:rPr>
        <w:t>least</w:t>
      </w:r>
      <w:r w:rsidR="00B8145E" w:rsidRPr="007853E2">
        <w:rPr>
          <w:rFonts w:eastAsiaTheme="minorEastAsia"/>
        </w:rPr>
        <w:t>,</w:t>
      </w:r>
      <w:r w:rsidR="009A0F64" w:rsidRPr="007853E2">
        <w:rPr>
          <w:rFonts w:eastAsiaTheme="minorEastAsia"/>
        </w:rPr>
        <w:t xml:space="preserve"> </w:t>
      </w:r>
      <w:r w:rsidRPr="007853E2">
        <w:rPr>
          <w:rFonts w:eastAsiaTheme="minorEastAsia"/>
        </w:rPr>
        <w:t xml:space="preserve">a change in direction. For example: </w:t>
      </w:r>
    </w:p>
    <w:p w14:paraId="3F80C869" w14:textId="77777777" w:rsidR="00666AEE" w:rsidRPr="007853E2" w:rsidRDefault="00666AEE" w:rsidP="0074638F">
      <w:pPr>
        <w:pStyle w:val="LDStandard4"/>
        <w:jc w:val="both"/>
      </w:pPr>
      <w:r w:rsidRPr="007853E2">
        <w:t xml:space="preserve">The tender </w:t>
      </w:r>
      <w:proofErr w:type="gramStart"/>
      <w:r w:rsidRPr="007853E2">
        <w:t xml:space="preserve">criteria </w:t>
      </w:r>
      <w:r w:rsidR="009A0F64" w:rsidRPr="007853E2">
        <w:t>was</w:t>
      </w:r>
      <w:proofErr w:type="gramEnd"/>
      <w:r w:rsidRPr="007853E2">
        <w:t xml:space="preserve"> advantageous to one tenderer.</w:t>
      </w:r>
    </w:p>
    <w:p w14:paraId="4A95403B" w14:textId="77777777" w:rsidR="00666AEE" w:rsidRPr="007853E2" w:rsidRDefault="009A0F64" w:rsidP="0074638F">
      <w:pPr>
        <w:pStyle w:val="LDStandard4"/>
        <w:jc w:val="both"/>
      </w:pPr>
      <w:r w:rsidRPr="007853E2">
        <w:t>Certain evaluation team members</w:t>
      </w:r>
      <w:r w:rsidR="00666AEE" w:rsidRPr="007853E2">
        <w:t xml:space="preserve"> lack</w:t>
      </w:r>
      <w:r w:rsidRPr="007853E2">
        <w:t>ed</w:t>
      </w:r>
      <w:r w:rsidR="00666AEE" w:rsidRPr="007853E2">
        <w:t xml:space="preserve"> independence.</w:t>
      </w:r>
    </w:p>
    <w:p w14:paraId="5ACDFA56" w14:textId="77777777" w:rsidR="00B8145E" w:rsidRPr="007853E2" w:rsidRDefault="00B8145E" w:rsidP="0074638F">
      <w:pPr>
        <w:pStyle w:val="LDStandard4"/>
        <w:jc w:val="both"/>
      </w:pPr>
      <w:r w:rsidRPr="007853E2">
        <w:t xml:space="preserve">The </w:t>
      </w:r>
      <w:r w:rsidR="00F13BA4" w:rsidRPr="007853E2">
        <w:t xml:space="preserve">high evaluation score of the CSG/Oracle consortium was subject to requests for clarifications and demonstrations which were not </w:t>
      </w:r>
      <w:r w:rsidR="00CD6B1E" w:rsidRPr="007853E2">
        <w:t>provided</w:t>
      </w:r>
      <w:r w:rsidR="00F13BA4" w:rsidRPr="007853E2">
        <w:t xml:space="preserve">.  </w:t>
      </w:r>
    </w:p>
    <w:p w14:paraId="2B09AC74" w14:textId="77777777" w:rsidR="00666AEE" w:rsidRPr="007853E2" w:rsidRDefault="00666AEE" w:rsidP="0074638F">
      <w:pPr>
        <w:pStyle w:val="LDStandard4"/>
        <w:jc w:val="both"/>
      </w:pPr>
      <w:r w:rsidRPr="007853E2">
        <w:t xml:space="preserve">The </w:t>
      </w:r>
      <w:r w:rsidR="00997272" w:rsidRPr="007853E2">
        <w:t xml:space="preserve">Board </w:t>
      </w:r>
      <w:r w:rsidRPr="007853E2">
        <w:t xml:space="preserve">ignored probity advice when selecting the tenderer. </w:t>
      </w:r>
    </w:p>
    <w:p w14:paraId="2D29B79B" w14:textId="77777777" w:rsidR="00666AEE" w:rsidRPr="007853E2" w:rsidRDefault="00AD33CF" w:rsidP="0074638F">
      <w:pPr>
        <w:pStyle w:val="LDStandard4"/>
        <w:jc w:val="both"/>
      </w:pPr>
      <w:r w:rsidRPr="007853E2">
        <w:t xml:space="preserve">The </w:t>
      </w:r>
      <w:r w:rsidR="00997272" w:rsidRPr="007853E2">
        <w:t xml:space="preserve">Board </w:t>
      </w:r>
      <w:r w:rsidRPr="007853E2">
        <w:t>s</w:t>
      </w:r>
      <w:r w:rsidR="009A0F64" w:rsidRPr="007853E2">
        <w:t>hort-list</w:t>
      </w:r>
      <w:r w:rsidRPr="007853E2">
        <w:t>ed</w:t>
      </w:r>
      <w:r w:rsidR="009A0F64" w:rsidRPr="007853E2">
        <w:t xml:space="preserve"> only one tenderer</w:t>
      </w:r>
      <w:r w:rsidR="00CD6B1E" w:rsidRPr="007853E2">
        <w:t xml:space="preserve"> – </w:t>
      </w:r>
      <w:r w:rsidR="009C2A39" w:rsidRPr="007853E2">
        <w:t>so there</w:t>
      </w:r>
      <w:r w:rsidR="000A7A26" w:rsidRPr="007853E2">
        <w:t xml:space="preserve"> was no </w:t>
      </w:r>
      <w:r w:rsidR="009A0F64" w:rsidRPr="007853E2">
        <w:t xml:space="preserve">competitive tension </w:t>
      </w:r>
      <w:r w:rsidR="000A7A26" w:rsidRPr="007853E2">
        <w:t xml:space="preserve">to </w:t>
      </w:r>
      <w:r w:rsidR="009C2A39" w:rsidRPr="007853E2">
        <w:t xml:space="preserve">facilitate </w:t>
      </w:r>
      <w:r w:rsidR="000A7A26" w:rsidRPr="007853E2">
        <w:t>a better product or better value</w:t>
      </w:r>
      <w:r w:rsidR="00B8145E" w:rsidRPr="007853E2">
        <w:t>.</w:t>
      </w:r>
    </w:p>
    <w:p w14:paraId="34758A81" w14:textId="77777777" w:rsidR="003A07CC" w:rsidRPr="007853E2" w:rsidRDefault="00264CD6" w:rsidP="0074638F">
      <w:pPr>
        <w:pStyle w:val="LDStandard2"/>
        <w:jc w:val="both"/>
      </w:pPr>
      <w:r w:rsidRPr="007853E2">
        <w:t>The authorisation of</w:t>
      </w:r>
      <w:r w:rsidR="00CD6B1E" w:rsidRPr="007853E2">
        <w:t xml:space="preserve"> </w:t>
      </w:r>
      <w:r w:rsidR="009A0F64" w:rsidRPr="007853E2">
        <w:t xml:space="preserve">a contract with Alliance Recruitment for $999,996, </w:t>
      </w:r>
      <w:r w:rsidRPr="007853E2">
        <w:t xml:space="preserve">seemingly </w:t>
      </w:r>
      <w:r w:rsidR="00837760" w:rsidRPr="007853E2">
        <w:t>to</w:t>
      </w:r>
      <w:r w:rsidR="00CD6B1E" w:rsidRPr="007853E2">
        <w:t xml:space="preserve"> avoid the additional scrutiny on contracts over $1 million</w:t>
      </w:r>
      <w:r w:rsidRPr="007853E2">
        <w:t xml:space="preserve"> (and </w:t>
      </w:r>
      <w:r w:rsidR="00837760" w:rsidRPr="007853E2">
        <w:t>knowing</w:t>
      </w:r>
      <w:r w:rsidR="00CD6B1E" w:rsidRPr="007853E2">
        <w:t xml:space="preserve"> </w:t>
      </w:r>
      <w:r w:rsidR="009C2A39" w:rsidRPr="007853E2">
        <w:t xml:space="preserve">that </w:t>
      </w:r>
      <w:r w:rsidR="00CD6B1E" w:rsidRPr="007853E2">
        <w:t xml:space="preserve">the </w:t>
      </w:r>
      <w:r w:rsidR="00BC2D45" w:rsidRPr="007853E2">
        <w:t>money would be transferred to CSG</w:t>
      </w:r>
      <w:r w:rsidRPr="007853E2">
        <w:t>) is a grievous breach of government procurement principles</w:t>
      </w:r>
      <w:r w:rsidR="006F58F2" w:rsidRPr="007853E2">
        <w:t xml:space="preserve">. </w:t>
      </w:r>
      <w:r w:rsidRPr="007853E2">
        <w:t xml:space="preserve">It represents an abrogation of the standards required of senior executives. </w:t>
      </w:r>
    </w:p>
    <w:p w14:paraId="1C4F3E7F" w14:textId="77777777" w:rsidR="006F58F2" w:rsidRPr="007853E2" w:rsidRDefault="003A07CC" w:rsidP="00851205">
      <w:pPr>
        <w:pStyle w:val="LDStandard2"/>
        <w:numPr>
          <w:ilvl w:val="0"/>
          <w:numId w:val="0"/>
        </w:numPr>
        <w:ind w:left="851"/>
        <w:jc w:val="both"/>
        <w:rPr>
          <w:i/>
        </w:rPr>
      </w:pPr>
      <w:r w:rsidRPr="007853E2">
        <w:rPr>
          <w:rFonts w:eastAsia="Times New Roman" w:cs="Times New Roman"/>
          <w:b/>
          <w:i/>
          <w:spacing w:val="10"/>
          <w:kern w:val="22"/>
          <w:szCs w:val="22"/>
        </w:rPr>
        <w:t>A failure to act on advice</w:t>
      </w:r>
      <w:r w:rsidR="004757DC" w:rsidRPr="007853E2">
        <w:rPr>
          <w:i/>
        </w:rPr>
        <w:t xml:space="preserve"> </w:t>
      </w:r>
      <w:r w:rsidR="009A0F64" w:rsidRPr="007853E2">
        <w:rPr>
          <w:i/>
        </w:rPr>
        <w:t xml:space="preserve">    </w:t>
      </w:r>
      <w:r w:rsidRPr="007853E2">
        <w:rPr>
          <w:i/>
        </w:rPr>
        <w:t xml:space="preserve"> </w:t>
      </w:r>
      <w:r w:rsidR="006F58F2" w:rsidRPr="007853E2">
        <w:t xml:space="preserve"> </w:t>
      </w:r>
    </w:p>
    <w:p w14:paraId="271D5A7E" w14:textId="77777777" w:rsidR="006F58F2" w:rsidRPr="007853E2" w:rsidRDefault="006F58F2" w:rsidP="006F58F2">
      <w:pPr>
        <w:pStyle w:val="LDStandard2"/>
        <w:numPr>
          <w:ilvl w:val="1"/>
          <w:numId w:val="18"/>
        </w:numPr>
        <w:tabs>
          <w:tab w:val="clear" w:pos="4821"/>
          <w:tab w:val="num" w:pos="851"/>
        </w:tabs>
        <w:ind w:left="851"/>
        <w:jc w:val="both"/>
      </w:pPr>
      <w:r w:rsidRPr="007853E2">
        <w:t xml:space="preserve">Independent senior probity advisers are appointed to protect the integrity of major procurements. In that context, they provide advice and assurance about the integrity of the tender process to the Project Board, Secretary and key stakeholders. This is a critical component of the management and oversight of large projects involving major procurement. </w:t>
      </w:r>
    </w:p>
    <w:p w14:paraId="2C254AC6" w14:textId="77777777" w:rsidR="006F58F2" w:rsidRPr="007853E2" w:rsidRDefault="006F58F2" w:rsidP="006F58F2">
      <w:pPr>
        <w:pStyle w:val="LDStandard2"/>
        <w:numPr>
          <w:ilvl w:val="1"/>
          <w:numId w:val="18"/>
        </w:numPr>
        <w:tabs>
          <w:tab w:val="clear" w:pos="4821"/>
          <w:tab w:val="num" w:pos="851"/>
        </w:tabs>
        <w:ind w:left="851"/>
        <w:jc w:val="both"/>
      </w:pPr>
      <w:r w:rsidRPr="007853E2">
        <w:t xml:space="preserve">It is clear from the evidence that the concerns </w:t>
      </w:r>
      <w:r w:rsidR="00851205" w:rsidRPr="007853E2">
        <w:t>raised b</w:t>
      </w:r>
      <w:r w:rsidRPr="007853E2">
        <w:t xml:space="preserve">y </w:t>
      </w:r>
      <w:r w:rsidR="00851205" w:rsidRPr="007853E2">
        <w:t>Ms Dalton</w:t>
      </w:r>
      <w:r w:rsidR="00997272" w:rsidRPr="007853E2">
        <w:t>, which</w:t>
      </w:r>
      <w:r w:rsidR="00851205" w:rsidRPr="007853E2">
        <w:t xml:space="preserve"> </w:t>
      </w:r>
      <w:r w:rsidRPr="007853E2">
        <w:t xml:space="preserve">should have been enough to </w:t>
      </w:r>
      <w:r w:rsidR="00851205" w:rsidRPr="007853E2">
        <w:t xml:space="preserve">cause the </w:t>
      </w:r>
      <w:proofErr w:type="spellStart"/>
      <w:proofErr w:type="gramStart"/>
      <w:r w:rsidR="00851205" w:rsidRPr="007853E2">
        <w:t>Ultranet</w:t>
      </w:r>
      <w:proofErr w:type="spellEnd"/>
      <w:proofErr w:type="gramEnd"/>
      <w:r w:rsidR="00851205" w:rsidRPr="007853E2">
        <w:t xml:space="preserve"> tender process to be completely revisited, were not acted on. The replacement of the </w:t>
      </w:r>
      <w:r w:rsidR="00997272" w:rsidRPr="007853E2">
        <w:t xml:space="preserve">Chair </w:t>
      </w:r>
      <w:r w:rsidR="00851205" w:rsidRPr="007853E2">
        <w:t xml:space="preserve">(a Deputy Secretary) with a subordinate – in circumstances where the Deputy Secretary remained on the Board </w:t>
      </w:r>
      <w:r w:rsidR="006D18C1" w:rsidRPr="007853E2">
        <w:t>–</w:t>
      </w:r>
      <w:r w:rsidR="00851205" w:rsidRPr="007853E2">
        <w:t xml:space="preserve"> could hardly be considered an adequate response to the seriousness of </w:t>
      </w:r>
      <w:r w:rsidR="00997272" w:rsidRPr="007853E2">
        <w:br/>
      </w:r>
      <w:r w:rsidR="00851205" w:rsidRPr="007853E2">
        <w:t>Ms Dalton’s concerns.</w:t>
      </w:r>
    </w:p>
    <w:p w14:paraId="2DB24DD8" w14:textId="77777777" w:rsidR="00EC10CF" w:rsidRPr="007853E2" w:rsidRDefault="0098646F">
      <w:pPr>
        <w:pStyle w:val="VGSOHdg3"/>
        <w:ind w:left="851"/>
      </w:pPr>
      <w:r w:rsidRPr="007853E2">
        <w:rPr>
          <w:b/>
        </w:rPr>
        <w:t>Conflicts</w:t>
      </w:r>
      <w:r w:rsidRPr="007853E2">
        <w:t xml:space="preserve"> </w:t>
      </w:r>
    </w:p>
    <w:p w14:paraId="2C612EFD" w14:textId="77777777" w:rsidR="00B7202F" w:rsidRPr="007853E2" w:rsidRDefault="00B7202F" w:rsidP="00B7202F">
      <w:pPr>
        <w:pStyle w:val="LDStandard2"/>
        <w:numPr>
          <w:ilvl w:val="1"/>
          <w:numId w:val="18"/>
        </w:numPr>
        <w:tabs>
          <w:tab w:val="clear" w:pos="4821"/>
          <w:tab w:val="num" w:pos="851"/>
        </w:tabs>
        <w:ind w:left="851"/>
        <w:jc w:val="both"/>
      </w:pPr>
      <w:r w:rsidRPr="007853E2">
        <w:t>During the hearing,</w:t>
      </w:r>
      <w:r w:rsidR="00851205" w:rsidRPr="007853E2">
        <w:t xml:space="preserve"> former senior</w:t>
      </w:r>
      <w:r w:rsidR="00637272" w:rsidRPr="007853E2">
        <w:t xml:space="preserve"> executives </w:t>
      </w:r>
      <w:r w:rsidRPr="007853E2">
        <w:t>suggested</w:t>
      </w:r>
      <w:r w:rsidR="009C2A39" w:rsidRPr="007853E2">
        <w:t xml:space="preserve"> </w:t>
      </w:r>
      <w:r w:rsidRPr="007853E2">
        <w:t xml:space="preserve">– evidence to the contrary notwithstanding </w:t>
      </w:r>
      <w:r w:rsidR="006D18C1" w:rsidRPr="007853E2">
        <w:t>–</w:t>
      </w:r>
      <w:r w:rsidRPr="007853E2">
        <w:t xml:space="preserve"> that </w:t>
      </w:r>
      <w:r w:rsidR="00501378" w:rsidRPr="007853E2">
        <w:t xml:space="preserve">they </w:t>
      </w:r>
      <w:r w:rsidRPr="007853E2">
        <w:t xml:space="preserve">complied with </w:t>
      </w:r>
      <w:r w:rsidR="00851205" w:rsidRPr="007853E2">
        <w:t xml:space="preserve">their </w:t>
      </w:r>
      <w:r w:rsidR="007030A1" w:rsidRPr="007853E2">
        <w:t xml:space="preserve">Victorian Public Sector </w:t>
      </w:r>
      <w:r w:rsidR="00851205" w:rsidRPr="007853E2">
        <w:t>Code of Conduct obligations</w:t>
      </w:r>
      <w:r w:rsidRPr="007853E2">
        <w:t xml:space="preserve"> or did not sufficiently understand their obligations. </w:t>
      </w:r>
      <w:r w:rsidR="0098646F" w:rsidRPr="007853E2">
        <w:t>Given the</w:t>
      </w:r>
      <w:r w:rsidR="004757DC" w:rsidRPr="007853E2">
        <w:t xml:space="preserve">ir </w:t>
      </w:r>
      <w:r w:rsidR="0098646F" w:rsidRPr="007853E2">
        <w:t xml:space="preserve">seniority and </w:t>
      </w:r>
      <w:r w:rsidR="00501378" w:rsidRPr="007853E2">
        <w:t xml:space="preserve">long history </w:t>
      </w:r>
      <w:r w:rsidR="00851205" w:rsidRPr="007853E2">
        <w:t xml:space="preserve">as senior public servants, this explanation </w:t>
      </w:r>
      <w:r w:rsidRPr="007853E2">
        <w:t xml:space="preserve">does not seem </w:t>
      </w:r>
      <w:r w:rsidR="00FC0E5F" w:rsidRPr="007853E2">
        <w:t>credible</w:t>
      </w:r>
      <w:r w:rsidR="00851205" w:rsidRPr="007853E2">
        <w:t xml:space="preserve">. </w:t>
      </w:r>
      <w:r w:rsidRPr="007853E2">
        <w:t>Conduct featuring:</w:t>
      </w:r>
    </w:p>
    <w:p w14:paraId="27545962" w14:textId="77777777" w:rsidR="0098646F" w:rsidRPr="007853E2" w:rsidRDefault="00B7202F" w:rsidP="00B7202F">
      <w:pPr>
        <w:pStyle w:val="LDStandard4"/>
        <w:jc w:val="both"/>
      </w:pPr>
      <w:r w:rsidRPr="007853E2">
        <w:lastRenderedPageBreak/>
        <w:t xml:space="preserve">the use of </w:t>
      </w:r>
      <w:r w:rsidR="001F72EA" w:rsidRPr="007853E2">
        <w:t>f</w:t>
      </w:r>
      <w:r w:rsidR="002D397E" w:rsidRPr="007853E2">
        <w:t xml:space="preserve">alse statutory </w:t>
      </w:r>
      <w:r w:rsidR="0098646F" w:rsidRPr="007853E2">
        <w:t xml:space="preserve">declarations to </w:t>
      </w:r>
      <w:r w:rsidRPr="007853E2">
        <w:t>obtain reimbursements;</w:t>
      </w:r>
    </w:p>
    <w:p w14:paraId="69F5C44A" w14:textId="77777777" w:rsidR="00B7202F" w:rsidRPr="007853E2" w:rsidRDefault="00B7202F" w:rsidP="003B65CA">
      <w:pPr>
        <w:pStyle w:val="LDStandard4"/>
        <w:jc w:val="both"/>
      </w:pPr>
      <w:r w:rsidRPr="007853E2">
        <w:t>the use of market-sensitive information for private profit;</w:t>
      </w:r>
    </w:p>
    <w:p w14:paraId="147833DC" w14:textId="77777777" w:rsidR="007E6F3A" w:rsidRPr="007853E2" w:rsidRDefault="007E6F3A" w:rsidP="007E6F3A">
      <w:pPr>
        <w:pStyle w:val="LDStandard4"/>
        <w:jc w:val="both"/>
        <w:rPr>
          <w:b/>
        </w:rPr>
      </w:pPr>
      <w:r w:rsidRPr="007853E2">
        <w:t>unnecessary</w:t>
      </w:r>
      <w:r w:rsidR="001F72EA" w:rsidRPr="007853E2">
        <w:t xml:space="preserve"> travel</w:t>
      </w:r>
      <w:r w:rsidRPr="007853E2">
        <w:t xml:space="preserve"> which confers no obvious benefit on the Department;</w:t>
      </w:r>
    </w:p>
    <w:p w14:paraId="626A44C1" w14:textId="77777777" w:rsidR="007E6F3A" w:rsidRPr="007853E2" w:rsidRDefault="007E6F3A" w:rsidP="007E6F3A">
      <w:pPr>
        <w:pStyle w:val="LDStandard2"/>
        <w:numPr>
          <w:ilvl w:val="0"/>
          <w:numId w:val="0"/>
        </w:numPr>
        <w:ind w:left="851"/>
        <w:jc w:val="both"/>
      </w:pPr>
      <w:proofErr w:type="gramStart"/>
      <w:r w:rsidRPr="007853E2">
        <w:t>falls</w:t>
      </w:r>
      <w:proofErr w:type="gramEnd"/>
      <w:r w:rsidRPr="007853E2">
        <w:t xml:space="preserve"> short of the standard required of </w:t>
      </w:r>
      <w:r w:rsidR="00997272" w:rsidRPr="007853E2">
        <w:t xml:space="preserve">all </w:t>
      </w:r>
      <w:r w:rsidRPr="007853E2">
        <w:t>public servants.</w:t>
      </w:r>
    </w:p>
    <w:p w14:paraId="21DC850B" w14:textId="77777777" w:rsidR="007E6F3A" w:rsidRPr="007853E2" w:rsidRDefault="00EC10CF" w:rsidP="007E6F3A">
      <w:pPr>
        <w:pStyle w:val="LDStandard4"/>
        <w:numPr>
          <w:ilvl w:val="0"/>
          <w:numId w:val="0"/>
        </w:numPr>
        <w:ind w:left="1701" w:hanging="850"/>
        <w:jc w:val="both"/>
        <w:rPr>
          <w:b/>
        </w:rPr>
      </w:pPr>
      <w:r w:rsidRPr="007853E2">
        <w:rPr>
          <w:b/>
        </w:rPr>
        <w:t>Project design and implementation</w:t>
      </w:r>
    </w:p>
    <w:p w14:paraId="23E8C42D" w14:textId="77777777" w:rsidR="007E6F3A" w:rsidRPr="007853E2" w:rsidRDefault="007E6F3A" w:rsidP="007E6F3A">
      <w:pPr>
        <w:pStyle w:val="LDStandard2"/>
        <w:jc w:val="both"/>
      </w:pPr>
      <w:r w:rsidRPr="007853E2">
        <w:t>Major projects, including I</w:t>
      </w:r>
      <w:r w:rsidR="00323425" w:rsidRPr="007853E2">
        <w:t>C</w:t>
      </w:r>
      <w:r w:rsidRPr="007853E2">
        <w:t xml:space="preserve">T projects, can bring substantial benefit to the </w:t>
      </w:r>
      <w:r w:rsidR="005C767F" w:rsidRPr="007853E2">
        <w:t xml:space="preserve">community through better </w:t>
      </w:r>
      <w:r w:rsidRPr="007853E2">
        <w:t xml:space="preserve">delivery of services (in this case, education). As with all ambitious major projects, good governance – </w:t>
      </w:r>
      <w:r w:rsidR="005C767F" w:rsidRPr="007853E2">
        <w:t>incorporating</w:t>
      </w:r>
      <w:r w:rsidRPr="007853E2">
        <w:t xml:space="preserve"> rigorous oversight, clear business cases and transparent decision-making – </w:t>
      </w:r>
      <w:r w:rsidR="005C767F" w:rsidRPr="007853E2">
        <w:t>is</w:t>
      </w:r>
      <w:r w:rsidRPr="007853E2">
        <w:t xml:space="preserve"> essential to ke</w:t>
      </w:r>
      <w:r w:rsidR="005C767F" w:rsidRPr="007853E2">
        <w:t xml:space="preserve">ep the project on track and project </w:t>
      </w:r>
      <w:r w:rsidRPr="007853E2">
        <w:t xml:space="preserve">outcomes consistently in sight. We should not be deterred from embarking on major projects that will deliver substantial benefit; rather, </w:t>
      </w:r>
      <w:r w:rsidR="005C767F" w:rsidRPr="007853E2">
        <w:t>we should heed the lessons learned here to make sound investment choices and deliver maximum value to the Victorian community.</w:t>
      </w:r>
    </w:p>
    <w:p w14:paraId="33BAA945" w14:textId="77777777" w:rsidR="007E6F3A" w:rsidRPr="007853E2" w:rsidRDefault="007E6F3A" w:rsidP="005C767F">
      <w:pPr>
        <w:pStyle w:val="LDStandard2"/>
        <w:jc w:val="both"/>
      </w:pPr>
      <w:r w:rsidRPr="007853E2">
        <w:t xml:space="preserve">The evidence indicates that </w:t>
      </w:r>
      <w:r w:rsidR="00B531F5" w:rsidRPr="007853E2">
        <w:t xml:space="preserve">the </w:t>
      </w:r>
      <w:proofErr w:type="spellStart"/>
      <w:r w:rsidR="00B920EF" w:rsidRPr="007853E2">
        <w:t>Ultranet</w:t>
      </w:r>
      <w:proofErr w:type="spellEnd"/>
      <w:r w:rsidR="00B920EF" w:rsidRPr="007853E2">
        <w:t xml:space="preserve"> Project</w:t>
      </w:r>
      <w:r w:rsidR="00B920EF" w:rsidRPr="007853E2" w:rsidDel="00BC2D45">
        <w:t xml:space="preserve"> </w:t>
      </w:r>
      <w:r w:rsidR="005C767F" w:rsidRPr="007853E2">
        <w:t>fell well short of</w:t>
      </w:r>
      <w:r w:rsidR="00B920EF" w:rsidRPr="007853E2">
        <w:t xml:space="preserve"> </w:t>
      </w:r>
      <w:r w:rsidR="00502117" w:rsidRPr="007853E2">
        <w:t xml:space="preserve">basic project </w:t>
      </w:r>
      <w:r w:rsidR="00393BE6" w:rsidRPr="007853E2">
        <w:t xml:space="preserve">management </w:t>
      </w:r>
      <w:r w:rsidR="00502117" w:rsidRPr="007853E2">
        <w:t>principles</w:t>
      </w:r>
      <w:r w:rsidR="005C767F" w:rsidRPr="007853E2">
        <w:t>. Problems included a lack of planning, inaccurate project costings and a general failure of governance and oversight.</w:t>
      </w:r>
    </w:p>
    <w:p w14:paraId="1AFC9B61" w14:textId="77777777" w:rsidR="009973E8" w:rsidRPr="007853E2" w:rsidRDefault="009973E8" w:rsidP="009973E8">
      <w:pPr>
        <w:pStyle w:val="LDStandard2"/>
        <w:jc w:val="both"/>
        <w:rPr>
          <w:i/>
        </w:rPr>
      </w:pPr>
      <w:r w:rsidRPr="007853E2">
        <w:rPr>
          <w:b/>
        </w:rPr>
        <w:t>I now turn</w:t>
      </w:r>
      <w:r w:rsidR="00997272" w:rsidRPr="007853E2">
        <w:rPr>
          <w:b/>
        </w:rPr>
        <w:t>,</w:t>
      </w:r>
      <w:r w:rsidR="005A649A" w:rsidRPr="007853E2">
        <w:t xml:space="preserve"> first,</w:t>
      </w:r>
      <w:r w:rsidR="00C00BF1" w:rsidRPr="007853E2">
        <w:t xml:space="preserve"> to</w:t>
      </w:r>
      <w:r w:rsidR="005A649A" w:rsidRPr="007853E2">
        <w:t xml:space="preserve"> the </w:t>
      </w:r>
      <w:r w:rsidR="00997272" w:rsidRPr="007853E2">
        <w:t xml:space="preserve">VSB’s </w:t>
      </w:r>
      <w:r w:rsidR="005A649A" w:rsidRPr="007853E2">
        <w:t xml:space="preserve">response </w:t>
      </w:r>
      <w:r w:rsidRPr="007853E2">
        <w:t>to the conduct</w:t>
      </w:r>
      <w:r w:rsidR="005A649A" w:rsidRPr="007853E2">
        <w:t xml:space="preserve"> identified during t</w:t>
      </w:r>
      <w:r w:rsidR="00C00BF1" w:rsidRPr="007853E2">
        <w:t>he hearings and</w:t>
      </w:r>
      <w:r w:rsidR="00997272" w:rsidRPr="007853E2">
        <w:t>,</w:t>
      </w:r>
      <w:r w:rsidR="00C00BF1" w:rsidRPr="007853E2">
        <w:t xml:space="preserve"> second, to </w:t>
      </w:r>
      <w:r w:rsidR="004C092A" w:rsidRPr="007853E2">
        <w:t xml:space="preserve">the </w:t>
      </w:r>
      <w:r w:rsidR="00C00BF1" w:rsidRPr="007853E2">
        <w:t xml:space="preserve">targeted commitments </w:t>
      </w:r>
      <w:r w:rsidR="004C092A" w:rsidRPr="007853E2">
        <w:t xml:space="preserve">of </w:t>
      </w:r>
      <w:r w:rsidR="00C00BF1" w:rsidRPr="007853E2">
        <w:t xml:space="preserve">DET. </w:t>
      </w:r>
      <w:r w:rsidRPr="007853E2">
        <w:t xml:space="preserve"> </w:t>
      </w:r>
    </w:p>
    <w:p w14:paraId="67E18D83" w14:textId="77777777" w:rsidR="00A07553" w:rsidRPr="007853E2" w:rsidRDefault="00A07553" w:rsidP="008023A2">
      <w:pPr>
        <w:pStyle w:val="VGSOHdg2"/>
        <w:jc w:val="both"/>
        <w:rPr>
          <w:i w:val="0"/>
        </w:rPr>
      </w:pPr>
      <w:bookmarkStart w:id="2" w:name="_Toc445877692"/>
      <w:r w:rsidRPr="007853E2">
        <w:rPr>
          <w:i w:val="0"/>
        </w:rPr>
        <w:t>Whole of Government Response</w:t>
      </w:r>
      <w:bookmarkEnd w:id="2"/>
      <w:r w:rsidRPr="007853E2">
        <w:rPr>
          <w:i w:val="0"/>
        </w:rPr>
        <w:t xml:space="preserve"> </w:t>
      </w:r>
    </w:p>
    <w:p w14:paraId="52FEBA0C" w14:textId="77777777" w:rsidR="004802ED" w:rsidRPr="007853E2" w:rsidRDefault="00B920EF">
      <w:pPr>
        <w:pStyle w:val="LDStandard2"/>
        <w:jc w:val="both"/>
      </w:pPr>
      <w:r w:rsidRPr="007853E2">
        <w:t>In response to the matters raised in Operation Dunham</w:t>
      </w:r>
      <w:r w:rsidR="00EC10CF" w:rsidRPr="007853E2">
        <w:t>, the V</w:t>
      </w:r>
      <w:r w:rsidR="00997272" w:rsidRPr="007853E2">
        <w:t xml:space="preserve">SB </w:t>
      </w:r>
      <w:r w:rsidR="00EC10CF" w:rsidRPr="007853E2">
        <w:t>has announced a series of reforms</w:t>
      </w:r>
      <w:r w:rsidRPr="007853E2">
        <w:t xml:space="preserve"> and review</w:t>
      </w:r>
      <w:r w:rsidR="000A7A26" w:rsidRPr="007853E2">
        <w:t>s</w:t>
      </w:r>
      <w:r w:rsidR="00EC10CF" w:rsidRPr="007853E2">
        <w:t>. By way of overview</w:t>
      </w:r>
      <w:r w:rsidR="00393BE6" w:rsidRPr="007853E2">
        <w:t>, the VSB has committed</w:t>
      </w:r>
      <w:r w:rsidR="005C767F" w:rsidRPr="007853E2">
        <w:t>, individually and collectively,</w:t>
      </w:r>
      <w:r w:rsidR="00393BE6" w:rsidRPr="007853E2">
        <w:t xml:space="preserve"> to </w:t>
      </w:r>
      <w:r w:rsidR="004802ED" w:rsidRPr="007853E2">
        <w:t>strengthening</w:t>
      </w:r>
      <w:r w:rsidR="002E794D" w:rsidRPr="007853E2">
        <w:t xml:space="preserve"> a robust integrity culture across the Victorian Public Sector</w:t>
      </w:r>
      <w:r w:rsidR="005C767F" w:rsidRPr="007853E2">
        <w:t xml:space="preserve">. </w:t>
      </w:r>
      <w:r w:rsidR="004802ED" w:rsidRPr="007853E2">
        <w:t>It is underpinned by first, a recognition of the importance of ethical leadership and decision-making at all levels of the public sector and</w:t>
      </w:r>
      <w:r w:rsidR="00997272" w:rsidRPr="007853E2">
        <w:t>,</w:t>
      </w:r>
      <w:r w:rsidR="004802ED" w:rsidRPr="007853E2">
        <w:t xml:space="preserve"> second, </w:t>
      </w:r>
      <w:r w:rsidR="002E794D" w:rsidRPr="007853E2">
        <w:t xml:space="preserve">by elevating the profile of the VSB Corruption Prevention and Integrity Subcommittee to drive </w:t>
      </w:r>
      <w:r w:rsidR="00BC61C4" w:rsidRPr="007853E2">
        <w:t xml:space="preserve">the VSB’s Integrity Stream. </w:t>
      </w:r>
    </w:p>
    <w:p w14:paraId="113447F0" w14:textId="77777777" w:rsidR="002E794D" w:rsidRPr="007853E2" w:rsidRDefault="004802ED">
      <w:pPr>
        <w:pStyle w:val="LDStandard2"/>
        <w:jc w:val="both"/>
      </w:pPr>
      <w:r w:rsidRPr="007853E2">
        <w:t xml:space="preserve">This is a set of specific reforms, accompanied by a program of continuous quality improvement and assurance measures. </w:t>
      </w:r>
    </w:p>
    <w:p w14:paraId="1DB8730B" w14:textId="77777777" w:rsidR="00A07553" w:rsidRPr="007853E2" w:rsidRDefault="002E794D">
      <w:pPr>
        <w:pStyle w:val="LDStandard2"/>
        <w:jc w:val="both"/>
      </w:pPr>
      <w:r w:rsidRPr="007853E2">
        <w:t>In particular, the VSB has committed to the following:</w:t>
      </w:r>
    </w:p>
    <w:p w14:paraId="482230F5" w14:textId="77777777" w:rsidR="00F22F82" w:rsidRDefault="00F22F82" w:rsidP="008023A2">
      <w:pPr>
        <w:pStyle w:val="LDStandard2"/>
        <w:numPr>
          <w:ilvl w:val="0"/>
          <w:numId w:val="0"/>
        </w:numPr>
        <w:ind w:left="851"/>
        <w:jc w:val="both"/>
        <w:rPr>
          <w:b/>
          <w:i/>
        </w:rPr>
      </w:pPr>
      <w:r>
        <w:rPr>
          <w:b/>
          <w:i/>
        </w:rPr>
        <w:t>Ethical Leadership</w:t>
      </w:r>
    </w:p>
    <w:p w14:paraId="62BCF72D" w14:textId="77777777" w:rsidR="00F22F82" w:rsidRDefault="00F22F82" w:rsidP="00C62416">
      <w:pPr>
        <w:pStyle w:val="LDStandard2"/>
        <w:jc w:val="both"/>
        <w:rPr>
          <w:b/>
          <w:i/>
        </w:rPr>
      </w:pPr>
      <w:r>
        <w:t xml:space="preserve">The VSB will support ethical leadership and decision making at all levels across the Victorian Public Sector. This will include support for the </w:t>
      </w:r>
      <w:r w:rsidR="00C54C06">
        <w:t>development of an Institute of Public Administration Australia (Victoria) (</w:t>
      </w:r>
      <w:r w:rsidR="00C54C06" w:rsidRPr="00C54C06">
        <w:rPr>
          <w:b/>
        </w:rPr>
        <w:t>IPAA</w:t>
      </w:r>
      <w:r w:rsidR="00C54C06">
        <w:t>) Integrity Leadership Training Program in consultation with the</w:t>
      </w:r>
      <w:r w:rsidR="00C62416">
        <w:t xml:space="preserve"> </w:t>
      </w:r>
      <w:r>
        <w:t>Victorian Public Sector Commission</w:t>
      </w:r>
      <w:r w:rsidR="00C54C06">
        <w:t>.</w:t>
      </w:r>
      <w:r>
        <w:t xml:space="preserve"> </w:t>
      </w:r>
      <w:r w:rsidR="00C54C06">
        <w:t xml:space="preserve">In addition, </w:t>
      </w:r>
      <w:r w:rsidR="00C62416">
        <w:t xml:space="preserve">a greater emphasis </w:t>
      </w:r>
      <w:r w:rsidR="00C54C06">
        <w:t xml:space="preserve">will be placed </w:t>
      </w:r>
      <w:r w:rsidR="00C62416">
        <w:t>by all D</w:t>
      </w:r>
      <w:r>
        <w:t>epartments on</w:t>
      </w:r>
      <w:r w:rsidR="00C54C06">
        <w:t xml:space="preserve"> inclusion of</w:t>
      </w:r>
      <w:r>
        <w:t xml:space="preserve"> integrity in Executive Officer performance agr</w:t>
      </w:r>
      <w:r w:rsidR="00C62416">
        <w:t>e</w:t>
      </w:r>
      <w:r>
        <w:t xml:space="preserve">ements. </w:t>
      </w:r>
    </w:p>
    <w:p w14:paraId="066360D4" w14:textId="77777777" w:rsidR="00A07553" w:rsidRPr="007853E2" w:rsidRDefault="00A07553" w:rsidP="008023A2">
      <w:pPr>
        <w:pStyle w:val="LDStandard2"/>
        <w:numPr>
          <w:ilvl w:val="0"/>
          <w:numId w:val="0"/>
        </w:numPr>
        <w:ind w:left="851"/>
        <w:jc w:val="both"/>
        <w:rPr>
          <w:b/>
          <w:i/>
        </w:rPr>
      </w:pPr>
      <w:r w:rsidRPr="007853E2">
        <w:rPr>
          <w:b/>
          <w:i/>
        </w:rPr>
        <w:t xml:space="preserve">Conflicts of Interests </w:t>
      </w:r>
    </w:p>
    <w:p w14:paraId="2D865293" w14:textId="77777777" w:rsidR="00A07553" w:rsidRPr="007853E2" w:rsidRDefault="00A07553">
      <w:pPr>
        <w:pStyle w:val="LDStandard2"/>
        <w:jc w:val="both"/>
      </w:pPr>
      <w:r w:rsidRPr="007853E2">
        <w:t>Within 6 months:</w:t>
      </w:r>
    </w:p>
    <w:p w14:paraId="151A95AA" w14:textId="77777777" w:rsidR="00A07553" w:rsidRPr="007853E2" w:rsidRDefault="0041147B" w:rsidP="008023A2">
      <w:pPr>
        <w:pStyle w:val="LDStandard4"/>
        <w:jc w:val="both"/>
      </w:pPr>
      <w:r w:rsidRPr="007853E2">
        <w:t xml:space="preserve">The VSB, through the VPSC, will review (and revise, as required) policies and procedures for identifying and managing actual and potential conflicts </w:t>
      </w:r>
      <w:r w:rsidRPr="007853E2">
        <w:lastRenderedPageBreak/>
        <w:t xml:space="preserve">of interest, and make recommendations with respect to enforcement by </w:t>
      </w:r>
      <w:r w:rsidR="00997272" w:rsidRPr="007853E2">
        <w:t xml:space="preserve">Departments </w:t>
      </w:r>
      <w:r w:rsidRPr="007853E2">
        <w:t>and agencies. The review will encompass:</w:t>
      </w:r>
    </w:p>
    <w:p w14:paraId="37EC6071" w14:textId="77777777" w:rsidR="00A07553" w:rsidRPr="007853E2" w:rsidRDefault="0041147B" w:rsidP="008023A2">
      <w:pPr>
        <w:pStyle w:val="LDStandard5"/>
        <w:jc w:val="both"/>
      </w:pPr>
      <w:r w:rsidRPr="007853E2">
        <w:t>consideration of real time disclosure of conflicts by executives and key senior staff; and</w:t>
      </w:r>
    </w:p>
    <w:p w14:paraId="023CA60C" w14:textId="77777777" w:rsidR="0041147B" w:rsidRPr="007853E2" w:rsidRDefault="0041147B" w:rsidP="008023A2">
      <w:pPr>
        <w:pStyle w:val="LDStandard5"/>
        <w:jc w:val="both"/>
      </w:pPr>
      <w:proofErr w:type="gramStart"/>
      <w:r w:rsidRPr="007853E2">
        <w:t>identifying</w:t>
      </w:r>
      <w:proofErr w:type="gramEnd"/>
      <w:r w:rsidRPr="007853E2">
        <w:t xml:space="preserve"> “High Risk” functions within the Victorian </w:t>
      </w:r>
      <w:r w:rsidR="00B531F5" w:rsidRPr="007853E2">
        <w:t>Public Sector</w:t>
      </w:r>
      <w:r w:rsidRPr="007853E2">
        <w:t>.</w:t>
      </w:r>
    </w:p>
    <w:p w14:paraId="6BBAC969" w14:textId="77777777" w:rsidR="00A07553" w:rsidRPr="007853E2" w:rsidRDefault="0041147B" w:rsidP="008023A2">
      <w:pPr>
        <w:pStyle w:val="LDStandard4"/>
        <w:jc w:val="both"/>
      </w:pPr>
      <w:r w:rsidRPr="007853E2">
        <w:t>The VSB, in consultation with the Victorian Government Purchasing Board, will investigate means to ensure commercial partners and suppliers act in an ethical manner when dealing with government. VSB will explore the imposition of ethical attestation requirements on major suppliers and the introduction of integrity commitments.</w:t>
      </w:r>
      <w:r w:rsidR="00A07553" w:rsidRPr="007853E2">
        <w:t xml:space="preserve"> </w:t>
      </w:r>
    </w:p>
    <w:p w14:paraId="77CDC40B" w14:textId="77777777" w:rsidR="00A07553" w:rsidRPr="007853E2" w:rsidRDefault="00A07553" w:rsidP="008023A2">
      <w:pPr>
        <w:pStyle w:val="LDStandard2"/>
        <w:numPr>
          <w:ilvl w:val="0"/>
          <w:numId w:val="0"/>
        </w:numPr>
        <w:ind w:left="851"/>
        <w:jc w:val="both"/>
        <w:rPr>
          <w:b/>
        </w:rPr>
      </w:pPr>
      <w:r w:rsidRPr="007853E2">
        <w:rPr>
          <w:b/>
          <w:i/>
        </w:rPr>
        <w:t xml:space="preserve">Gifts, Benefits and Hospitality </w:t>
      </w:r>
      <w:r w:rsidRPr="007853E2">
        <w:rPr>
          <w:b/>
        </w:rPr>
        <w:t xml:space="preserve"> </w:t>
      </w:r>
    </w:p>
    <w:p w14:paraId="2BE6D75A" w14:textId="77777777" w:rsidR="00A07553" w:rsidRPr="007853E2" w:rsidRDefault="00A07553">
      <w:pPr>
        <w:pStyle w:val="LDStandard2"/>
        <w:jc w:val="both"/>
      </w:pPr>
      <w:r w:rsidRPr="007853E2">
        <w:t>Within 6 months:</w:t>
      </w:r>
    </w:p>
    <w:p w14:paraId="51E06D30" w14:textId="77777777" w:rsidR="00A07553" w:rsidRPr="007853E2" w:rsidRDefault="0041147B" w:rsidP="008023A2">
      <w:pPr>
        <w:pStyle w:val="LDStandard4"/>
        <w:jc w:val="both"/>
      </w:pPr>
      <w:r w:rsidRPr="007853E2">
        <w:t>The VSB, through the VPSC, will review and revise Gifts, Benefits and Hospitality policies and guidance to ensure appropriate distinctions are drawn between inducements for favourable decisions and basic hospitality or courtesies</w:t>
      </w:r>
      <w:r w:rsidR="00A07553" w:rsidRPr="007853E2">
        <w:t>.</w:t>
      </w:r>
    </w:p>
    <w:p w14:paraId="29C9ADF2" w14:textId="77777777" w:rsidR="00A07553" w:rsidRPr="007853E2" w:rsidRDefault="0041147B" w:rsidP="008023A2">
      <w:pPr>
        <w:pStyle w:val="LDStandard4"/>
        <w:jc w:val="both"/>
      </w:pPr>
      <w:r w:rsidRPr="007853E2">
        <w:t xml:space="preserve">The VSB, through the VPSC, will identify and recommend appropriate Australian and/or international better practice </w:t>
      </w:r>
      <w:r w:rsidR="005B236E">
        <w:t>standards</w:t>
      </w:r>
      <w:r w:rsidRPr="007853E2">
        <w:t xml:space="preserve"> with respect to preventing the acceptance of inducements</w:t>
      </w:r>
      <w:r w:rsidR="00A07553" w:rsidRPr="007853E2">
        <w:t>.</w:t>
      </w:r>
    </w:p>
    <w:p w14:paraId="3922D8C8" w14:textId="77777777" w:rsidR="00A07553" w:rsidRPr="007853E2" w:rsidRDefault="00A07553" w:rsidP="008023A2">
      <w:pPr>
        <w:pStyle w:val="LDStandard2"/>
        <w:numPr>
          <w:ilvl w:val="0"/>
          <w:numId w:val="0"/>
        </w:numPr>
        <w:ind w:left="851"/>
        <w:jc w:val="both"/>
        <w:rPr>
          <w:b/>
        </w:rPr>
      </w:pPr>
      <w:r w:rsidRPr="007853E2">
        <w:rPr>
          <w:b/>
          <w:i/>
        </w:rPr>
        <w:t xml:space="preserve">Tendering and Procurement </w:t>
      </w:r>
    </w:p>
    <w:p w14:paraId="08E34F85" w14:textId="77777777" w:rsidR="00A07553" w:rsidRPr="007853E2" w:rsidRDefault="00A07553" w:rsidP="003B65CA">
      <w:pPr>
        <w:pStyle w:val="LDStandard2"/>
        <w:jc w:val="both"/>
      </w:pPr>
      <w:r w:rsidRPr="007853E2">
        <w:t>Within 9 months:</w:t>
      </w:r>
      <w:r w:rsidR="007E3A26">
        <w:t xml:space="preserve"> t</w:t>
      </w:r>
      <w:r w:rsidR="0041147B" w:rsidRPr="007853E2">
        <w:t xml:space="preserve">he VSB, through </w:t>
      </w:r>
      <w:r w:rsidR="00997272" w:rsidRPr="007853E2">
        <w:t>the Department of Treasury and Finance (</w:t>
      </w:r>
      <w:r w:rsidR="0041147B" w:rsidRPr="003B65CA">
        <w:rPr>
          <w:b/>
        </w:rPr>
        <w:t>DTF</w:t>
      </w:r>
      <w:r w:rsidR="00997272" w:rsidRPr="007853E2">
        <w:t>)</w:t>
      </w:r>
      <w:r w:rsidR="0041147B" w:rsidRPr="007853E2">
        <w:t xml:space="preserve"> and </w:t>
      </w:r>
      <w:r w:rsidR="00997272" w:rsidRPr="007853E2">
        <w:t>the Department of Premier and Cabinet (</w:t>
      </w:r>
      <w:r w:rsidR="0041147B" w:rsidRPr="003B65CA">
        <w:rPr>
          <w:b/>
        </w:rPr>
        <w:t>DPC</w:t>
      </w:r>
      <w:r w:rsidR="00997272" w:rsidRPr="007853E2">
        <w:t>)</w:t>
      </w:r>
      <w:r w:rsidR="0041147B" w:rsidRPr="007853E2">
        <w:t>, will develop options to improve assurance for major ICT projects, including requirements for independent project experts to provide ongoing quality assurance at key points and, where needed, provide advice to government</w:t>
      </w:r>
      <w:r w:rsidRPr="007853E2">
        <w:t xml:space="preserve">. </w:t>
      </w:r>
    </w:p>
    <w:p w14:paraId="136E5326" w14:textId="77777777" w:rsidR="00A07553" w:rsidRPr="007853E2" w:rsidRDefault="00A07553" w:rsidP="008023A2">
      <w:pPr>
        <w:pStyle w:val="LDStandard2"/>
        <w:numPr>
          <w:ilvl w:val="0"/>
          <w:numId w:val="0"/>
        </w:numPr>
        <w:ind w:left="851"/>
        <w:jc w:val="both"/>
        <w:rPr>
          <w:b/>
        </w:rPr>
      </w:pPr>
      <w:r w:rsidRPr="007853E2">
        <w:rPr>
          <w:b/>
          <w:i/>
        </w:rPr>
        <w:t xml:space="preserve">Code of Conduct </w:t>
      </w:r>
      <w:r w:rsidRPr="007853E2">
        <w:rPr>
          <w:b/>
        </w:rPr>
        <w:t xml:space="preserve"> </w:t>
      </w:r>
    </w:p>
    <w:p w14:paraId="0A788444" w14:textId="77777777" w:rsidR="00A07553" w:rsidRPr="007853E2" w:rsidRDefault="00A07553" w:rsidP="003B65CA">
      <w:pPr>
        <w:pStyle w:val="LDStandard2"/>
        <w:jc w:val="both"/>
      </w:pPr>
      <w:r w:rsidRPr="007853E2">
        <w:t>Within 9 months</w:t>
      </w:r>
      <w:r w:rsidR="007E3A26">
        <w:t>: t</w:t>
      </w:r>
      <w:r w:rsidR="0041147B" w:rsidRPr="007853E2">
        <w:t xml:space="preserve">he VPSC will review the guidance given to Departments for managing breaches of the </w:t>
      </w:r>
      <w:r w:rsidR="00CE613D" w:rsidRPr="003B65CA">
        <w:rPr>
          <w:i/>
        </w:rPr>
        <w:t>Code of Conduct for Victorian Public Sector Employees 2015</w:t>
      </w:r>
      <w:r w:rsidR="00CE613D" w:rsidRPr="007853E2">
        <w:t xml:space="preserve"> (</w:t>
      </w:r>
      <w:r w:rsidR="0041147B" w:rsidRPr="003B65CA">
        <w:rPr>
          <w:b/>
        </w:rPr>
        <w:t>Code of Conduct</w:t>
      </w:r>
      <w:r w:rsidR="00CE613D" w:rsidRPr="007853E2">
        <w:t>)</w:t>
      </w:r>
      <w:r w:rsidRPr="007853E2">
        <w:t xml:space="preserve">. </w:t>
      </w:r>
    </w:p>
    <w:p w14:paraId="4C76E5AA" w14:textId="77777777" w:rsidR="00A07553" w:rsidRPr="007853E2" w:rsidRDefault="00A07553" w:rsidP="008023A2">
      <w:pPr>
        <w:pStyle w:val="LDStandard2"/>
        <w:numPr>
          <w:ilvl w:val="0"/>
          <w:numId w:val="0"/>
        </w:numPr>
        <w:ind w:left="851"/>
        <w:jc w:val="both"/>
        <w:rPr>
          <w:b/>
        </w:rPr>
      </w:pPr>
      <w:r w:rsidRPr="007853E2">
        <w:rPr>
          <w:b/>
          <w:i/>
        </w:rPr>
        <w:t xml:space="preserve">Integrity Structure and Governance </w:t>
      </w:r>
      <w:r w:rsidRPr="007853E2">
        <w:rPr>
          <w:b/>
        </w:rPr>
        <w:t xml:space="preserve"> </w:t>
      </w:r>
    </w:p>
    <w:p w14:paraId="0855971C" w14:textId="77777777" w:rsidR="00A07553" w:rsidRPr="007853E2" w:rsidRDefault="0041147B">
      <w:pPr>
        <w:pStyle w:val="LDStandard2"/>
        <w:jc w:val="both"/>
      </w:pPr>
      <w:r w:rsidRPr="007853E2">
        <w:t xml:space="preserve">The VSB has launched a redesigned People Matter Survey for 2016 developed by the VPSC reflecting and focused on the refreshed Code of Conduct for the Victorian Public Sector. The survey will </w:t>
      </w:r>
      <w:r w:rsidR="00286761">
        <w:t>include information about the level of integrity and ethical behaviour literacy across Victorian Public Sector employees.</w:t>
      </w:r>
    </w:p>
    <w:p w14:paraId="5692B34F" w14:textId="77777777" w:rsidR="007F48EB" w:rsidRPr="007853E2" w:rsidRDefault="00C4287E" w:rsidP="008023A2">
      <w:pPr>
        <w:pStyle w:val="LDStandard2"/>
        <w:jc w:val="both"/>
      </w:pPr>
      <w:r w:rsidRPr="007853E2">
        <w:t xml:space="preserve">In addition, VSB is engaged in a </w:t>
      </w:r>
      <w:r w:rsidR="007F48EB" w:rsidRPr="007853E2">
        <w:t>whole of government integrity reform</w:t>
      </w:r>
      <w:r w:rsidRPr="007853E2">
        <w:t xml:space="preserve"> work plan which includes</w:t>
      </w:r>
      <w:r w:rsidR="007F48EB" w:rsidRPr="007853E2">
        <w:t>:</w:t>
      </w:r>
    </w:p>
    <w:p w14:paraId="54F5C8FF" w14:textId="77777777" w:rsidR="007F48EB" w:rsidRPr="007853E2" w:rsidRDefault="007F48EB" w:rsidP="008023A2">
      <w:pPr>
        <w:pStyle w:val="LDStandard4"/>
        <w:jc w:val="both"/>
      </w:pPr>
      <w:r w:rsidRPr="007853E2">
        <w:t>building a robust, integrity culture across the Victorian Public Sector</w:t>
      </w:r>
      <w:r w:rsidR="00C4287E" w:rsidRPr="007853E2">
        <w:t xml:space="preserve">; and </w:t>
      </w:r>
    </w:p>
    <w:p w14:paraId="742CBCAB" w14:textId="77777777" w:rsidR="007F48EB" w:rsidRPr="007853E2" w:rsidRDefault="007F48EB" w:rsidP="008023A2">
      <w:pPr>
        <w:pStyle w:val="LDStandard4"/>
        <w:jc w:val="both"/>
      </w:pPr>
      <w:proofErr w:type="gramStart"/>
      <w:r w:rsidRPr="007853E2">
        <w:t>demonstrating</w:t>
      </w:r>
      <w:proofErr w:type="gramEnd"/>
      <w:r w:rsidRPr="007853E2">
        <w:t xml:space="preserve"> ethical leadership and championing integrity reforms</w:t>
      </w:r>
      <w:r w:rsidR="005531CC" w:rsidRPr="007853E2">
        <w:t>.</w:t>
      </w:r>
    </w:p>
    <w:p w14:paraId="734EEABF" w14:textId="77777777" w:rsidR="00A07553" w:rsidRPr="007853E2" w:rsidRDefault="006D18C1" w:rsidP="0074638F">
      <w:pPr>
        <w:pStyle w:val="VGSOHdg2"/>
        <w:jc w:val="both"/>
        <w:rPr>
          <w:i w:val="0"/>
        </w:rPr>
      </w:pPr>
      <w:bookmarkStart w:id="3" w:name="_Toc445877693"/>
      <w:proofErr w:type="spellStart"/>
      <w:r>
        <w:rPr>
          <w:i w:val="0"/>
        </w:rPr>
        <w:lastRenderedPageBreak/>
        <w:t>Protiviti</w:t>
      </w:r>
      <w:proofErr w:type="spellEnd"/>
      <w:r w:rsidRPr="007853E2">
        <w:rPr>
          <w:i w:val="0"/>
        </w:rPr>
        <w:t xml:space="preserve"> </w:t>
      </w:r>
      <w:r w:rsidR="000F1E28" w:rsidRPr="007853E2">
        <w:rPr>
          <w:i w:val="0"/>
        </w:rPr>
        <w:t>report commissioned by DET</w:t>
      </w:r>
      <w:bookmarkEnd w:id="3"/>
      <w:r w:rsidR="000F1E28" w:rsidRPr="007853E2">
        <w:rPr>
          <w:i w:val="0"/>
        </w:rPr>
        <w:t xml:space="preserve"> </w:t>
      </w:r>
    </w:p>
    <w:p w14:paraId="3590A0B1" w14:textId="77777777" w:rsidR="00DA1356" w:rsidRPr="007853E2" w:rsidRDefault="005A649A">
      <w:pPr>
        <w:pStyle w:val="LDStandard2"/>
        <w:jc w:val="both"/>
      </w:pPr>
      <w:r w:rsidRPr="007853E2">
        <w:t>Building on</w:t>
      </w:r>
      <w:r w:rsidR="007F2745" w:rsidRPr="007853E2">
        <w:t xml:space="preserve"> </w:t>
      </w:r>
      <w:r w:rsidR="00AC3EB0" w:rsidRPr="007853E2">
        <w:t>the</w:t>
      </w:r>
      <w:r w:rsidR="007F2745" w:rsidRPr="007853E2">
        <w:t xml:space="preserve"> approach</w:t>
      </w:r>
      <w:r w:rsidR="00EC10CF" w:rsidRPr="007853E2">
        <w:t xml:space="preserve"> </w:t>
      </w:r>
      <w:r w:rsidR="005D452A" w:rsidRPr="007853E2">
        <w:t xml:space="preserve">that I </w:t>
      </w:r>
      <w:r w:rsidRPr="007853E2">
        <w:t xml:space="preserve">adopted </w:t>
      </w:r>
      <w:r w:rsidR="00EC10CF" w:rsidRPr="007853E2">
        <w:t xml:space="preserve">during Operation Ord, </w:t>
      </w:r>
      <w:r w:rsidR="00AC3EB0" w:rsidRPr="007853E2">
        <w:t>the Department</w:t>
      </w:r>
      <w:r w:rsidR="00EC10CF" w:rsidRPr="007853E2">
        <w:t xml:space="preserve"> engaged an independent </w:t>
      </w:r>
      <w:r w:rsidR="002E4F7D" w:rsidRPr="007853E2">
        <w:t>expert advisor</w:t>
      </w:r>
      <w:r w:rsidR="00870559" w:rsidRPr="007853E2">
        <w:t>y firm</w:t>
      </w:r>
      <w:r w:rsidR="00EC10CF" w:rsidRPr="007853E2">
        <w:t xml:space="preserve">, </w:t>
      </w:r>
      <w:proofErr w:type="spellStart"/>
      <w:r w:rsidR="00EC10CF" w:rsidRPr="007853E2">
        <w:t>Protiviti</w:t>
      </w:r>
      <w:proofErr w:type="spellEnd"/>
      <w:r w:rsidR="00EC10CF" w:rsidRPr="007853E2">
        <w:t xml:space="preserve">, to provide </w:t>
      </w:r>
      <w:r w:rsidR="005D452A" w:rsidRPr="007853E2">
        <w:t>me</w:t>
      </w:r>
      <w:r w:rsidR="00EC10CF" w:rsidRPr="007853E2">
        <w:t xml:space="preserve"> with objective advice </w:t>
      </w:r>
      <w:r w:rsidR="005D452A" w:rsidRPr="007853E2">
        <w:t>about</w:t>
      </w:r>
      <w:r w:rsidR="00EC10CF" w:rsidRPr="007853E2">
        <w:t xml:space="preserve"> </w:t>
      </w:r>
      <w:r w:rsidR="005D452A" w:rsidRPr="007853E2">
        <w:t xml:space="preserve">the </w:t>
      </w:r>
      <w:r w:rsidR="00EC10CF" w:rsidRPr="007853E2">
        <w:t xml:space="preserve">issues raised during the Dunham hearings.  </w:t>
      </w:r>
    </w:p>
    <w:p w14:paraId="08717128" w14:textId="77777777" w:rsidR="0041702B" w:rsidRPr="007853E2" w:rsidRDefault="005D452A">
      <w:pPr>
        <w:pStyle w:val="LDStandard2"/>
        <w:jc w:val="both"/>
      </w:pPr>
      <w:proofErr w:type="spellStart"/>
      <w:r w:rsidRPr="007853E2">
        <w:t>Protiviti’s</w:t>
      </w:r>
      <w:proofErr w:type="spellEnd"/>
      <w:r w:rsidRPr="007853E2">
        <w:t xml:space="preserve"> advice broadly falls into three categories</w:t>
      </w:r>
      <w:r w:rsidR="004C092A" w:rsidRPr="007853E2">
        <w:t>:</w:t>
      </w:r>
      <w:r w:rsidRPr="007853E2">
        <w:t xml:space="preserve"> </w:t>
      </w:r>
      <w:r w:rsidR="00517C2C">
        <w:t xml:space="preserve">issues surrounding the </w:t>
      </w:r>
      <w:r w:rsidRPr="007853E2">
        <w:t xml:space="preserve">use of consultants </w:t>
      </w:r>
      <w:r w:rsidR="00CE613D" w:rsidRPr="007853E2">
        <w:t xml:space="preserve">and </w:t>
      </w:r>
      <w:r w:rsidRPr="007853E2">
        <w:t>private sector contract</w:t>
      </w:r>
      <w:r w:rsidR="00517C2C">
        <w:t>or</w:t>
      </w:r>
      <w:r w:rsidRPr="007853E2">
        <w:t>s; conflicts of interest and Code of Conduct; and large or high risk projects.</w:t>
      </w:r>
    </w:p>
    <w:p w14:paraId="030ED09F" w14:textId="77777777" w:rsidR="00EC10CF" w:rsidRPr="007853E2" w:rsidRDefault="0041702B">
      <w:pPr>
        <w:pStyle w:val="LDStandard2"/>
        <w:jc w:val="both"/>
      </w:pPr>
      <w:r w:rsidRPr="007853E2">
        <w:t>In that context, I am now examining</w:t>
      </w:r>
      <w:r w:rsidR="004D56A1" w:rsidRPr="007853E2">
        <w:t xml:space="preserve"> the following</w:t>
      </w:r>
      <w:r w:rsidR="005D452A" w:rsidRPr="007853E2">
        <w:t xml:space="preserve">: </w:t>
      </w:r>
    </w:p>
    <w:p w14:paraId="6A660301" w14:textId="77777777" w:rsidR="00E81A54" w:rsidRPr="007853E2" w:rsidRDefault="00517C2C" w:rsidP="0041702B">
      <w:pPr>
        <w:pStyle w:val="LDStandard4"/>
        <w:jc w:val="both"/>
      </w:pPr>
      <w:r w:rsidRPr="003B65CA">
        <w:rPr>
          <w:i/>
        </w:rPr>
        <w:t>Issues surrounding the use of</w:t>
      </w:r>
      <w:r>
        <w:t xml:space="preserve"> </w:t>
      </w:r>
      <w:r w:rsidR="00E81A54" w:rsidRPr="007853E2">
        <w:rPr>
          <w:i/>
        </w:rPr>
        <w:t>consultants/private sector</w:t>
      </w:r>
      <w:r w:rsidR="005D452A" w:rsidRPr="007853E2">
        <w:rPr>
          <w:i/>
        </w:rPr>
        <w:t xml:space="preserve"> contracts</w:t>
      </w:r>
      <w:r w:rsidR="00E81A54" w:rsidRPr="007853E2">
        <w:rPr>
          <w:i/>
        </w:rPr>
        <w:t>.</w:t>
      </w:r>
      <w:r w:rsidR="00E81A54" w:rsidRPr="007853E2">
        <w:t xml:space="preserve"> </w:t>
      </w:r>
      <w:r w:rsidR="003242A4" w:rsidRPr="007853E2">
        <w:t xml:space="preserve">Operation Dunham has </w:t>
      </w:r>
      <w:r w:rsidR="004E0D4C" w:rsidRPr="007853E2">
        <w:t>identified</w:t>
      </w:r>
      <w:r w:rsidR="003242A4" w:rsidRPr="007853E2">
        <w:t xml:space="preserve"> significant gifts </w:t>
      </w:r>
      <w:r w:rsidR="00E4165D">
        <w:t>from</w:t>
      </w:r>
      <w:r w:rsidR="00E4165D" w:rsidRPr="007853E2">
        <w:t xml:space="preserve"> </w:t>
      </w:r>
      <w:r w:rsidR="003242A4" w:rsidRPr="007853E2">
        <w:t>the private sector, consulting and accounting firms</w:t>
      </w:r>
      <w:r w:rsidR="00A26F51" w:rsidRPr="007853E2">
        <w:t xml:space="preserve">. It is reasonable to assume that these gifts are for the purpose of gaining significant revenue for their organisation. DET now has a consistent internal framework for staff around policy awareness and monitoring of gifts and </w:t>
      </w:r>
      <w:r w:rsidR="004E0D4C" w:rsidRPr="007853E2">
        <w:t>hospitality</w:t>
      </w:r>
      <w:r w:rsidR="00A26F51" w:rsidRPr="007853E2">
        <w:t xml:space="preserve"> from external bodies. However, there are limited external requirements placed on these external parties to attest that they have not breached DET guidelines. </w:t>
      </w:r>
      <w:r w:rsidR="00E81A54" w:rsidRPr="007853E2">
        <w:t xml:space="preserve">Other jurisdictions require </w:t>
      </w:r>
      <w:r w:rsidR="001F7C35" w:rsidRPr="007853E2">
        <w:t xml:space="preserve">such </w:t>
      </w:r>
      <w:r w:rsidR="00E81A54" w:rsidRPr="007853E2">
        <w:t xml:space="preserve">attestation. </w:t>
      </w:r>
      <w:r w:rsidR="00A26F51" w:rsidRPr="007853E2">
        <w:t xml:space="preserve">DET could consider, among other things, requiring external parties to attest that their organisation and staff have complied with Department ethical behaviour guidelines. </w:t>
      </w:r>
    </w:p>
    <w:p w14:paraId="668E33C0" w14:textId="77777777" w:rsidR="00E81A54" w:rsidRPr="007853E2" w:rsidRDefault="00E81A54" w:rsidP="0074638F">
      <w:pPr>
        <w:pStyle w:val="LDStandard4"/>
        <w:jc w:val="both"/>
      </w:pPr>
      <w:r w:rsidRPr="007853E2">
        <w:rPr>
          <w:rStyle w:val="Heading3Char"/>
          <w:i/>
        </w:rPr>
        <w:t>Conflict of interest</w:t>
      </w:r>
      <w:r w:rsidR="00535D05" w:rsidRPr="007853E2">
        <w:rPr>
          <w:rStyle w:val="Heading3Char"/>
          <w:i/>
        </w:rPr>
        <w:t>s</w:t>
      </w:r>
      <w:r w:rsidRPr="007853E2">
        <w:rPr>
          <w:rStyle w:val="Heading3Char"/>
          <w:i/>
        </w:rPr>
        <w:t xml:space="preserve"> and </w:t>
      </w:r>
      <w:r w:rsidR="00535D05" w:rsidRPr="007853E2">
        <w:rPr>
          <w:rStyle w:val="Heading3Char"/>
          <w:i/>
        </w:rPr>
        <w:t xml:space="preserve">Code </w:t>
      </w:r>
      <w:r w:rsidRPr="007853E2">
        <w:rPr>
          <w:rStyle w:val="Heading3Char"/>
          <w:i/>
        </w:rPr>
        <w:t xml:space="preserve">of </w:t>
      </w:r>
      <w:r w:rsidR="00535D05" w:rsidRPr="007853E2">
        <w:rPr>
          <w:rStyle w:val="Heading3Char"/>
          <w:i/>
        </w:rPr>
        <w:t>Conduct</w:t>
      </w:r>
      <w:r w:rsidRPr="007853E2">
        <w:rPr>
          <w:rStyle w:val="Heading3Char"/>
          <w:i/>
        </w:rPr>
        <w:t>.</w:t>
      </w:r>
      <w:r w:rsidRPr="007853E2">
        <w:rPr>
          <w:rStyle w:val="Heading3Char"/>
        </w:rPr>
        <w:t xml:space="preserve"> </w:t>
      </w:r>
      <w:r w:rsidR="00A26F51" w:rsidRPr="007853E2">
        <w:rPr>
          <w:rStyle w:val="Heading3Char"/>
        </w:rPr>
        <w:t>A suite of policies and processes exist that cover Conflict of Interest and employees’ Code of Conduct. DET could consider how to bring an on-going and continued focus to these for all staff as part of business as usual.</w:t>
      </w:r>
    </w:p>
    <w:p w14:paraId="78643D4A" w14:textId="77777777" w:rsidR="00E81A54" w:rsidRPr="007853E2" w:rsidRDefault="00E81A54" w:rsidP="0074638F">
      <w:pPr>
        <w:pStyle w:val="LDStandard4"/>
        <w:jc w:val="both"/>
        <w:rPr>
          <w:rStyle w:val="Heading3Char"/>
          <w:b/>
          <w:bCs w:val="0"/>
        </w:rPr>
      </w:pPr>
      <w:r w:rsidRPr="007853E2">
        <w:rPr>
          <w:rStyle w:val="Heading3Char"/>
          <w:i/>
        </w:rPr>
        <w:t xml:space="preserve">Large </w:t>
      </w:r>
      <w:r w:rsidR="00652F0F" w:rsidRPr="007853E2">
        <w:rPr>
          <w:rStyle w:val="Heading3Char"/>
          <w:i/>
        </w:rPr>
        <w:t xml:space="preserve">or high risk </w:t>
      </w:r>
      <w:r w:rsidRPr="007853E2">
        <w:rPr>
          <w:rStyle w:val="Heading3Char"/>
          <w:i/>
        </w:rPr>
        <w:t>projects.</w:t>
      </w:r>
      <w:r w:rsidRPr="007853E2">
        <w:rPr>
          <w:rStyle w:val="Heading3Char"/>
        </w:rPr>
        <w:t xml:space="preserve"> </w:t>
      </w:r>
      <w:r w:rsidR="00A26F51" w:rsidRPr="007853E2">
        <w:rPr>
          <w:rStyle w:val="Heading3Char"/>
        </w:rPr>
        <w:t xml:space="preserve">Operation Dunham highlighted significant failings in large scale project management. </w:t>
      </w:r>
      <w:r w:rsidRPr="007853E2">
        <w:rPr>
          <w:rStyle w:val="Heading3Char"/>
        </w:rPr>
        <w:t xml:space="preserve">Other jurisdictions have implemented </w:t>
      </w:r>
      <w:r w:rsidR="00A26F51" w:rsidRPr="007853E2">
        <w:rPr>
          <w:rStyle w:val="Heading3Char"/>
        </w:rPr>
        <w:t>stronger</w:t>
      </w:r>
      <w:r w:rsidRPr="007853E2">
        <w:rPr>
          <w:rStyle w:val="Heading3Char"/>
        </w:rPr>
        <w:t xml:space="preserve"> assurance mechanisms</w:t>
      </w:r>
      <w:r w:rsidR="002E7DC7" w:rsidRPr="007853E2">
        <w:rPr>
          <w:rStyle w:val="Heading3Char"/>
        </w:rPr>
        <w:t xml:space="preserve"> for large scale projects</w:t>
      </w:r>
      <w:r w:rsidRPr="007853E2">
        <w:rPr>
          <w:rStyle w:val="Heading3Char"/>
        </w:rPr>
        <w:t xml:space="preserve">. </w:t>
      </w:r>
      <w:r w:rsidR="00A26F51" w:rsidRPr="007853E2">
        <w:rPr>
          <w:rStyle w:val="Heading3Char"/>
        </w:rPr>
        <w:t xml:space="preserve">In addition to the recent and on-going reforms, and subject to materiality, risk and cost-benefit return considerations, DET could consider / confirm: </w:t>
      </w:r>
    </w:p>
    <w:p w14:paraId="38903958" w14:textId="77777777" w:rsidR="00E81A54" w:rsidRPr="007853E2" w:rsidRDefault="00E81A54" w:rsidP="0074638F">
      <w:pPr>
        <w:pStyle w:val="LDStandard5"/>
        <w:jc w:val="both"/>
      </w:pPr>
      <w:r w:rsidRPr="007853E2">
        <w:t xml:space="preserve">Defining what </w:t>
      </w:r>
      <w:r w:rsidR="00A26F51" w:rsidRPr="007853E2">
        <w:t xml:space="preserve">is </w:t>
      </w:r>
      <w:r w:rsidRPr="007853E2">
        <w:t xml:space="preserve">a </w:t>
      </w:r>
      <w:r w:rsidR="00652F0F" w:rsidRPr="007853E2">
        <w:t>“</w:t>
      </w:r>
      <w:r w:rsidRPr="007853E2">
        <w:t xml:space="preserve">large </w:t>
      </w:r>
      <w:r w:rsidR="00652F0F" w:rsidRPr="007853E2">
        <w:t xml:space="preserve">or high risk” </w:t>
      </w:r>
      <w:r w:rsidRPr="007853E2">
        <w:t xml:space="preserve">project that requires greater assurance mechanisms. </w:t>
      </w:r>
    </w:p>
    <w:p w14:paraId="0FF4A962" w14:textId="77777777" w:rsidR="00E81A54" w:rsidRPr="007853E2" w:rsidRDefault="00A26F51" w:rsidP="0074638F">
      <w:pPr>
        <w:pStyle w:val="LDStandard5"/>
        <w:jc w:val="both"/>
      </w:pPr>
      <w:r w:rsidRPr="007853E2">
        <w:t>Audits to be consistently performed</w:t>
      </w:r>
      <w:r w:rsidR="000E3BB4" w:rsidRPr="007853E2">
        <w:t xml:space="preserve"> </w:t>
      </w:r>
      <w:r w:rsidR="00E81A54" w:rsidRPr="007853E2">
        <w:t xml:space="preserve">at key stages of </w:t>
      </w:r>
      <w:r w:rsidRPr="007853E2">
        <w:t xml:space="preserve">large or high risk </w:t>
      </w:r>
      <w:r w:rsidR="00E81A54" w:rsidRPr="007853E2">
        <w:t>project</w:t>
      </w:r>
      <w:r w:rsidRPr="007853E2">
        <w:t>s</w:t>
      </w:r>
      <w:r w:rsidR="000E3BB4" w:rsidRPr="007853E2">
        <w:t xml:space="preserve">, </w:t>
      </w:r>
      <w:r w:rsidRPr="007853E2">
        <w:t>particularly to review</w:t>
      </w:r>
      <w:r w:rsidR="00E81A54" w:rsidRPr="007853E2">
        <w:t xml:space="preserve"> the business case and </w:t>
      </w:r>
      <w:r w:rsidRPr="007853E2">
        <w:t xml:space="preserve">to test </w:t>
      </w:r>
      <w:r w:rsidR="00E81A54" w:rsidRPr="007853E2">
        <w:t>the benefits</w:t>
      </w:r>
      <w:r w:rsidR="00F47E56" w:rsidRPr="007853E2">
        <w:t xml:space="preserve">, </w:t>
      </w:r>
      <w:r w:rsidR="007F2745" w:rsidRPr="007853E2">
        <w:t xml:space="preserve">the </w:t>
      </w:r>
      <w:r w:rsidR="00E81A54" w:rsidRPr="007853E2">
        <w:t xml:space="preserve">robustness of </w:t>
      </w:r>
      <w:r w:rsidR="00F47E56" w:rsidRPr="007853E2">
        <w:t xml:space="preserve">the </w:t>
      </w:r>
      <w:r w:rsidR="00E81A54" w:rsidRPr="007853E2">
        <w:t xml:space="preserve">budget and </w:t>
      </w:r>
      <w:r w:rsidR="007F2745" w:rsidRPr="007853E2">
        <w:t>the post-project benefit realis</w:t>
      </w:r>
      <w:r w:rsidR="00E81A54" w:rsidRPr="007853E2">
        <w:t>ation</w:t>
      </w:r>
      <w:r w:rsidR="006F3CBB" w:rsidRPr="007853E2">
        <w:t>.</w:t>
      </w:r>
      <w:r w:rsidR="00E81A54" w:rsidRPr="007853E2">
        <w:t xml:space="preserve"> </w:t>
      </w:r>
    </w:p>
    <w:p w14:paraId="3812C1DC" w14:textId="77777777" w:rsidR="00652F0F" w:rsidRPr="007853E2" w:rsidRDefault="00652F0F" w:rsidP="0074638F">
      <w:pPr>
        <w:pStyle w:val="LDStandard5"/>
        <w:jc w:val="both"/>
      </w:pPr>
      <w:r w:rsidRPr="007853E2">
        <w:t>Develop</w:t>
      </w:r>
      <w:r w:rsidR="00E62B26" w:rsidRPr="007853E2">
        <w:t>ing</w:t>
      </w:r>
      <w:r w:rsidRPr="007853E2">
        <w:t xml:space="preserve"> a formal project/program management methodology for the Department to guide the delivery of project</w:t>
      </w:r>
      <w:r w:rsidR="00E62B26" w:rsidRPr="007853E2">
        <w:t>s</w:t>
      </w:r>
      <w:r w:rsidRPr="007853E2">
        <w:t>/program</w:t>
      </w:r>
      <w:r w:rsidR="00E62B26" w:rsidRPr="007853E2">
        <w:t>s</w:t>
      </w:r>
      <w:r w:rsidRPr="007853E2">
        <w:t xml:space="preserve">. </w:t>
      </w:r>
    </w:p>
    <w:p w14:paraId="42A3E3AC" w14:textId="77777777" w:rsidR="00E81A54" w:rsidRPr="007853E2" w:rsidRDefault="00A26F51" w:rsidP="0074638F">
      <w:pPr>
        <w:pStyle w:val="LDStandard5"/>
        <w:jc w:val="both"/>
      </w:pPr>
      <w:r w:rsidRPr="007853E2">
        <w:t>Requiring the</w:t>
      </w:r>
      <w:r w:rsidR="005C46C3" w:rsidRPr="007853E2">
        <w:t xml:space="preserve"> </w:t>
      </w:r>
      <w:r w:rsidR="00E81A54" w:rsidRPr="007853E2">
        <w:t>project board</w:t>
      </w:r>
      <w:r w:rsidRPr="007853E2">
        <w:t xml:space="preserve">s for large or high risk projects to have independent members and confirming that the project board is </w:t>
      </w:r>
      <w:r w:rsidR="000A5976" w:rsidRPr="007853E2">
        <w:t xml:space="preserve">responsible for </w:t>
      </w:r>
      <w:r w:rsidR="000E3BB4" w:rsidRPr="007853E2">
        <w:t>delivering the project outcomes</w:t>
      </w:r>
      <w:r w:rsidR="00E81A54" w:rsidRPr="007853E2">
        <w:t>.</w:t>
      </w:r>
    </w:p>
    <w:p w14:paraId="246213A7" w14:textId="77777777" w:rsidR="001F7C35" w:rsidRPr="007853E2" w:rsidRDefault="00A26F51" w:rsidP="0074638F">
      <w:pPr>
        <w:pStyle w:val="LDStandard5"/>
        <w:jc w:val="both"/>
      </w:pPr>
      <w:proofErr w:type="gramStart"/>
      <w:r w:rsidRPr="007853E2">
        <w:t xml:space="preserve">That </w:t>
      </w:r>
      <w:r w:rsidR="004E0D4C" w:rsidRPr="007853E2">
        <w:t>probity</w:t>
      </w:r>
      <w:r w:rsidRPr="007853E2">
        <w:t xml:space="preserve"> advisors</w:t>
      </w:r>
      <w:proofErr w:type="gramEnd"/>
      <w:r w:rsidRPr="007853E2">
        <w:t xml:space="preserve"> have reporting lines other than to the project board. </w:t>
      </w:r>
    </w:p>
    <w:p w14:paraId="6198C329" w14:textId="77777777" w:rsidR="00C4287E" w:rsidRPr="007853E2" w:rsidRDefault="005A649A" w:rsidP="0074638F">
      <w:pPr>
        <w:pStyle w:val="VGSOHdg2"/>
        <w:jc w:val="both"/>
        <w:rPr>
          <w:i w:val="0"/>
        </w:rPr>
      </w:pPr>
      <w:bookmarkStart w:id="4" w:name="_Toc445877694"/>
      <w:r w:rsidRPr="007853E2">
        <w:rPr>
          <w:i w:val="0"/>
        </w:rPr>
        <w:lastRenderedPageBreak/>
        <w:t>DET c</w:t>
      </w:r>
      <w:r w:rsidR="00C4287E" w:rsidRPr="007853E2">
        <w:rPr>
          <w:i w:val="0"/>
        </w:rPr>
        <w:t>ommitments</w:t>
      </w:r>
      <w:bookmarkEnd w:id="4"/>
      <w:r w:rsidR="00C4287E" w:rsidRPr="007853E2">
        <w:rPr>
          <w:i w:val="0"/>
        </w:rPr>
        <w:t xml:space="preserve"> </w:t>
      </w:r>
      <w:r w:rsidR="003B7B71" w:rsidRPr="007853E2">
        <w:rPr>
          <w:b w:val="0"/>
          <w:i w:val="0"/>
          <w:color w:val="FF0000"/>
        </w:rPr>
        <w:t xml:space="preserve"> </w:t>
      </w:r>
    </w:p>
    <w:p w14:paraId="3C83DF66" w14:textId="77777777" w:rsidR="00C4287E" w:rsidRPr="007853E2" w:rsidRDefault="00C4287E">
      <w:pPr>
        <w:pStyle w:val="LDStandard2"/>
        <w:jc w:val="both"/>
        <w:rPr>
          <w:rFonts w:cstheme="minorBidi"/>
        </w:rPr>
      </w:pPr>
      <w:r w:rsidRPr="007853E2">
        <w:rPr>
          <w:rFonts w:cstheme="minorBidi"/>
        </w:rPr>
        <w:t xml:space="preserve">In </w:t>
      </w:r>
      <w:r w:rsidR="00C00BF1" w:rsidRPr="007853E2">
        <w:rPr>
          <w:rFonts w:cstheme="minorBidi"/>
        </w:rPr>
        <w:t>addition to the “who</w:t>
      </w:r>
      <w:r w:rsidR="000F1E28" w:rsidRPr="007853E2">
        <w:rPr>
          <w:rFonts w:cstheme="minorBidi"/>
        </w:rPr>
        <w:t>l</w:t>
      </w:r>
      <w:r w:rsidR="00C00BF1" w:rsidRPr="007853E2">
        <w:rPr>
          <w:rFonts w:cstheme="minorBidi"/>
        </w:rPr>
        <w:t>e of government” reforms outlined above</w:t>
      </w:r>
      <w:r w:rsidRPr="007853E2">
        <w:rPr>
          <w:rFonts w:cstheme="minorBidi"/>
        </w:rPr>
        <w:t>,</w:t>
      </w:r>
      <w:r w:rsidR="00C00BF1" w:rsidRPr="007853E2">
        <w:rPr>
          <w:rFonts w:cstheme="minorBidi"/>
        </w:rPr>
        <w:t xml:space="preserve"> and building </w:t>
      </w:r>
      <w:r w:rsidR="0041702B" w:rsidRPr="007853E2">
        <w:rPr>
          <w:rFonts w:cstheme="minorBidi"/>
        </w:rPr>
        <w:t xml:space="preserve">on the </w:t>
      </w:r>
      <w:proofErr w:type="spellStart"/>
      <w:r w:rsidR="0041702B" w:rsidRPr="007853E2">
        <w:rPr>
          <w:rFonts w:cstheme="minorBidi"/>
        </w:rPr>
        <w:t>Protiviti</w:t>
      </w:r>
      <w:proofErr w:type="spellEnd"/>
      <w:r w:rsidR="0041702B" w:rsidRPr="007853E2">
        <w:rPr>
          <w:rFonts w:cstheme="minorBidi"/>
        </w:rPr>
        <w:t xml:space="preserve"> advice</w:t>
      </w:r>
      <w:r w:rsidR="00C00BF1" w:rsidRPr="007853E2">
        <w:rPr>
          <w:rFonts w:cstheme="minorBidi"/>
        </w:rPr>
        <w:t>,</w:t>
      </w:r>
      <w:r w:rsidRPr="007853E2">
        <w:rPr>
          <w:rFonts w:cstheme="minorBidi"/>
        </w:rPr>
        <w:t xml:space="preserve"> I make the following </w:t>
      </w:r>
      <w:r w:rsidR="000E0053">
        <w:rPr>
          <w:rFonts w:cstheme="minorBidi"/>
        </w:rPr>
        <w:t xml:space="preserve">initial </w:t>
      </w:r>
      <w:r w:rsidRPr="007853E2">
        <w:rPr>
          <w:rFonts w:cstheme="minorBidi"/>
        </w:rPr>
        <w:t xml:space="preserve">commitments on behalf of the Department: </w:t>
      </w:r>
    </w:p>
    <w:p w14:paraId="2A1E2E4A" w14:textId="77777777" w:rsidR="00541391" w:rsidRPr="007853E2" w:rsidRDefault="00541391" w:rsidP="00541391">
      <w:pPr>
        <w:pStyle w:val="LDStandard4"/>
        <w:jc w:val="both"/>
        <w:rPr>
          <w:rFonts w:cstheme="minorBidi"/>
        </w:rPr>
      </w:pPr>
      <w:r w:rsidRPr="007853E2">
        <w:t xml:space="preserve">The Department will introduce a requirement that contractors </w:t>
      </w:r>
      <w:r w:rsidR="00CE613D" w:rsidRPr="007853E2">
        <w:t xml:space="preserve">and </w:t>
      </w:r>
      <w:r w:rsidRPr="007853E2">
        <w:t>suppliers</w:t>
      </w:r>
      <w:r w:rsidR="00184902" w:rsidRPr="007853E2">
        <w:t xml:space="preserve"> </w:t>
      </w:r>
      <w:r w:rsidRPr="007853E2">
        <w:t>refrain from offering inducements to public sector employees.</w:t>
      </w:r>
    </w:p>
    <w:p w14:paraId="62E28560" w14:textId="77777777" w:rsidR="001A0921" w:rsidRPr="007853E2" w:rsidRDefault="00541391" w:rsidP="001A0921">
      <w:pPr>
        <w:pStyle w:val="LDStandard4"/>
        <w:jc w:val="both"/>
        <w:rPr>
          <w:b/>
        </w:rPr>
      </w:pPr>
      <w:r w:rsidRPr="007853E2">
        <w:t xml:space="preserve">The Department </w:t>
      </w:r>
      <w:r w:rsidR="00DE1CDB" w:rsidRPr="007853E2">
        <w:t xml:space="preserve">has established Terms of Reference to conduct an audit of the </w:t>
      </w:r>
      <w:r w:rsidRPr="007853E2">
        <w:t>Declaration</w:t>
      </w:r>
      <w:r w:rsidR="00DE1CDB" w:rsidRPr="007853E2">
        <w:t xml:space="preserve"> of Private Interest</w:t>
      </w:r>
      <w:r w:rsidR="006A39C0" w:rsidRPr="007853E2">
        <w:t>s</w:t>
      </w:r>
      <w:r w:rsidR="00DE1CDB" w:rsidRPr="007853E2">
        <w:t xml:space="preserve"> system which affects close to 2,000 employees including executives, managers (with a delegation to spend over $50,000) and all school principals. </w:t>
      </w:r>
      <w:r w:rsidR="001A0921" w:rsidRPr="007853E2">
        <w:t xml:space="preserve">The audit will consider current policy, compliance gaps, controls and the Department’s response to the information received in the Declarations. It will also consider whether the current point-in-time policy should be replaced with a requirement to update private interests in real time. </w:t>
      </w:r>
    </w:p>
    <w:p w14:paraId="2723B26E" w14:textId="77777777" w:rsidR="006742FD" w:rsidRDefault="006742FD" w:rsidP="006742FD">
      <w:pPr>
        <w:pStyle w:val="LDStandard4"/>
        <w:jc w:val="both"/>
      </w:pPr>
      <w:r w:rsidRPr="006742FD">
        <w:t>The Department will introduce criteria to define large and high risk projects, and review and strengthen assurance mechanisms for this category of projects. This will i</w:t>
      </w:r>
      <w:r>
        <w:t xml:space="preserve">nclude, but not be limited to, </w:t>
      </w:r>
      <w:r w:rsidRPr="006742FD">
        <w:t>consideration of requirements for project board membership, and an increased role for internal audit with r</w:t>
      </w:r>
      <w:r>
        <w:t>espect to key stages of project</w:t>
      </w:r>
      <w:r w:rsidRPr="006742FD">
        <w:t xml:space="preserve"> development and delivery. </w:t>
      </w:r>
    </w:p>
    <w:p w14:paraId="1F80F7C9" w14:textId="77777777" w:rsidR="00C531E5" w:rsidRPr="00C531E5" w:rsidRDefault="00C531E5" w:rsidP="003B65CA">
      <w:pPr>
        <w:pStyle w:val="LDStandard4"/>
        <w:numPr>
          <w:ilvl w:val="3"/>
          <w:numId w:val="16"/>
        </w:numPr>
        <w:jc w:val="both"/>
        <w:rPr>
          <w:b/>
        </w:rPr>
      </w:pPr>
      <w:r w:rsidRPr="007853E2">
        <w:t xml:space="preserve">As part of planned Procurement and Financial Management Reforms, the Department will: </w:t>
      </w:r>
    </w:p>
    <w:p w14:paraId="31AE9AFC" w14:textId="77777777" w:rsidR="00C531E5" w:rsidRPr="007853E2" w:rsidRDefault="00C531E5" w:rsidP="003B65CA">
      <w:pPr>
        <w:pStyle w:val="LDStandard5"/>
        <w:jc w:val="both"/>
      </w:pPr>
      <w:r>
        <w:t>i</w:t>
      </w:r>
      <w:r w:rsidRPr="007853E2">
        <w:t xml:space="preserve">mprove funding acquittal and assurance processes;   </w:t>
      </w:r>
    </w:p>
    <w:p w14:paraId="127C7B88" w14:textId="77777777" w:rsidR="00C531E5" w:rsidRPr="007853E2" w:rsidRDefault="00C531E5" w:rsidP="003B65CA">
      <w:pPr>
        <w:pStyle w:val="LDStandard5"/>
        <w:jc w:val="both"/>
      </w:pPr>
      <w:r w:rsidRPr="007853E2">
        <w:t xml:space="preserve">improve financial reporting; </w:t>
      </w:r>
    </w:p>
    <w:p w14:paraId="4C9BDCE8" w14:textId="77777777" w:rsidR="00C531E5" w:rsidRPr="007853E2" w:rsidRDefault="00C531E5" w:rsidP="003B65CA">
      <w:pPr>
        <w:pStyle w:val="LDStandard5"/>
        <w:jc w:val="both"/>
      </w:pPr>
      <w:r w:rsidRPr="007853E2">
        <w:t xml:space="preserve">establish an operating structure within </w:t>
      </w:r>
      <w:r>
        <w:t>the Financial Services Division (</w:t>
      </w:r>
      <w:r w:rsidRPr="003B65CA">
        <w:rPr>
          <w:b/>
        </w:rPr>
        <w:t>FSD</w:t>
      </w:r>
      <w:r>
        <w:t>)</w:t>
      </w:r>
      <w:r w:rsidRPr="007853E2">
        <w:t xml:space="preserve">  that supports financial controls within the three lines of defence model whic</w:t>
      </w:r>
      <w:r>
        <w:t>h are well defined and articulate</w:t>
      </w:r>
      <w:r w:rsidRPr="007853E2">
        <w:t xml:space="preserve"> the finance function role as a second line of defence; and</w:t>
      </w:r>
    </w:p>
    <w:p w14:paraId="12769B95" w14:textId="77777777" w:rsidR="00C531E5" w:rsidRPr="007853E2" w:rsidRDefault="00C531E5" w:rsidP="003B65CA">
      <w:pPr>
        <w:pStyle w:val="LDStandard5"/>
        <w:jc w:val="both"/>
      </w:pPr>
      <w:proofErr w:type="gramStart"/>
      <w:r>
        <w:t>b</w:t>
      </w:r>
      <w:r w:rsidRPr="007853E2">
        <w:t>uild</w:t>
      </w:r>
      <w:proofErr w:type="gramEnd"/>
      <w:r w:rsidRPr="007853E2">
        <w:t xml:space="preserve"> a stronger foundation for effective risk management through implementation of a robust financial monitoring framework, including a data analytics strategy for </w:t>
      </w:r>
      <w:r>
        <w:t>FSD</w:t>
      </w:r>
      <w:r w:rsidRPr="007853E2">
        <w:t xml:space="preserve"> to enable more sophisticated monitoring of compliance with relevant policies and procedures.</w:t>
      </w:r>
    </w:p>
    <w:p w14:paraId="6B3B5ACC" w14:textId="77777777" w:rsidR="006D6D4F" w:rsidRPr="007853E2" w:rsidRDefault="006D6D4F" w:rsidP="006742FD">
      <w:pPr>
        <w:pStyle w:val="LDStandard4"/>
        <w:jc w:val="both"/>
      </w:pPr>
      <w:r w:rsidRPr="007853E2">
        <w:t>I will implement</w:t>
      </w:r>
      <w:r w:rsidR="00C00BF1" w:rsidRPr="007853E2">
        <w:t xml:space="preserve"> (and continue to implement)</w:t>
      </w:r>
      <w:r w:rsidRPr="007853E2">
        <w:t xml:space="preserve">: </w:t>
      </w:r>
    </w:p>
    <w:p w14:paraId="5F1742BD" w14:textId="77777777" w:rsidR="00AC04F2" w:rsidRPr="007853E2" w:rsidRDefault="006D6D4F" w:rsidP="008023A2">
      <w:pPr>
        <w:pStyle w:val="LDStandard5"/>
        <w:jc w:val="both"/>
      </w:pPr>
      <w:r w:rsidRPr="007853E2">
        <w:t xml:space="preserve">the recently endorsed Executive </w:t>
      </w:r>
      <w:r w:rsidR="0011055C" w:rsidRPr="007853E2">
        <w:t xml:space="preserve">Rotation </w:t>
      </w:r>
      <w:r w:rsidR="000E1ECE" w:rsidRPr="007853E2">
        <w:t xml:space="preserve">Program </w:t>
      </w:r>
      <w:r w:rsidR="00AC04F2" w:rsidRPr="007853E2">
        <w:t>which aims to maximise leadership capability through a short term placement in a new area</w:t>
      </w:r>
      <w:r w:rsidR="00184902" w:rsidRPr="007853E2">
        <w:t>,</w:t>
      </w:r>
      <w:r w:rsidRPr="007853E2">
        <w:t xml:space="preserve"> and </w:t>
      </w:r>
      <w:r w:rsidR="00184902" w:rsidRPr="007853E2">
        <w:t xml:space="preserve">encourages </w:t>
      </w:r>
      <w:r w:rsidR="00AC04F2" w:rsidRPr="007853E2">
        <w:t>e</w:t>
      </w:r>
      <w:r w:rsidR="00184902" w:rsidRPr="007853E2">
        <w:t xml:space="preserve">xpressions of interests </w:t>
      </w:r>
      <w:r w:rsidR="006E1F8F" w:rsidRPr="007853E2">
        <w:t>from staff other than</w:t>
      </w:r>
      <w:r w:rsidR="00AC04F2" w:rsidRPr="007853E2">
        <w:t xml:space="preserve"> the </w:t>
      </w:r>
      <w:r w:rsidR="00764CD2" w:rsidRPr="007853E2">
        <w:t>next in line</w:t>
      </w:r>
      <w:r w:rsidRPr="007853E2">
        <w:t xml:space="preserve"> where there are short-term vacancies; </w:t>
      </w:r>
      <w:r w:rsidR="00E4165D">
        <w:t>and</w:t>
      </w:r>
    </w:p>
    <w:p w14:paraId="1A68259A" w14:textId="77777777" w:rsidR="0099089E" w:rsidRPr="007853E2" w:rsidRDefault="006D6D4F" w:rsidP="00541391">
      <w:pPr>
        <w:pStyle w:val="LDStandard5"/>
        <w:jc w:val="both"/>
        <w:rPr>
          <w:rFonts w:cstheme="minorBidi"/>
        </w:rPr>
      </w:pPr>
      <w:proofErr w:type="gramStart"/>
      <w:r w:rsidRPr="007853E2">
        <w:t>the</w:t>
      </w:r>
      <w:proofErr w:type="gramEnd"/>
      <w:r w:rsidRPr="007853E2">
        <w:t xml:space="preserve"> planned rotation of senior staff who have been in their role for </w:t>
      </w:r>
      <w:r w:rsidR="00B77FEB" w:rsidRPr="007853E2">
        <w:t>an extended period</w:t>
      </w:r>
      <w:r w:rsidRPr="007853E2">
        <w:t xml:space="preserve">.  </w:t>
      </w:r>
    </w:p>
    <w:p w14:paraId="28774FBA" w14:textId="77777777" w:rsidR="00C00BF1" w:rsidRDefault="0099089E">
      <w:pPr>
        <w:pStyle w:val="LDStandard2"/>
        <w:jc w:val="both"/>
      </w:pPr>
      <w:r w:rsidRPr="007853E2">
        <w:t xml:space="preserve">The Department will also examine other options, particularly those </w:t>
      </w:r>
      <w:r w:rsidR="002631BD" w:rsidRPr="007853E2">
        <w:t>observations of</w:t>
      </w:r>
      <w:r w:rsidRPr="007853E2">
        <w:t xml:space="preserve"> </w:t>
      </w:r>
      <w:proofErr w:type="spellStart"/>
      <w:r w:rsidRPr="007853E2">
        <w:t>Protiviti</w:t>
      </w:r>
      <w:proofErr w:type="spellEnd"/>
      <w:r w:rsidRPr="007853E2">
        <w:t xml:space="preserve">, to require potential suppliers to adhere to DET guidelines.    </w:t>
      </w:r>
    </w:p>
    <w:p w14:paraId="043A50B1" w14:textId="77777777" w:rsidR="0099089E" w:rsidRPr="007853E2" w:rsidRDefault="00C00BF1" w:rsidP="00C00BF1">
      <w:pPr>
        <w:jc w:val="left"/>
        <w:rPr>
          <w:rFonts w:eastAsiaTheme="minorHAnsi" w:cs="Arial"/>
          <w:kern w:val="0"/>
        </w:rPr>
      </w:pPr>
      <w:r w:rsidRPr="007853E2">
        <w:br w:type="page"/>
      </w:r>
    </w:p>
    <w:p w14:paraId="4C3639AB" w14:textId="77777777" w:rsidR="00A60E66" w:rsidRPr="007853E2" w:rsidRDefault="00B44BCE" w:rsidP="008023A2">
      <w:pPr>
        <w:pStyle w:val="VGSOHdg1"/>
        <w:jc w:val="both"/>
      </w:pPr>
      <w:bookmarkStart w:id="5" w:name="_Toc445877695"/>
      <w:r w:rsidRPr="007853E2">
        <w:lastRenderedPageBreak/>
        <w:t>B</w:t>
      </w:r>
      <w:r w:rsidR="00491FC1" w:rsidRPr="007853E2">
        <w:t>.</w:t>
      </w:r>
      <w:r w:rsidR="00491FC1" w:rsidRPr="007853E2">
        <w:tab/>
      </w:r>
      <w:r w:rsidR="00C00BF1" w:rsidRPr="007853E2">
        <w:t>DETAILED DISCUSSION: LEARNINGS FROM DUNHAM</w:t>
      </w:r>
      <w:bookmarkEnd w:id="5"/>
    </w:p>
    <w:p w14:paraId="574F24C5" w14:textId="77777777" w:rsidR="00CA58A3" w:rsidRPr="007853E2" w:rsidRDefault="000B62E2" w:rsidP="008023A2">
      <w:pPr>
        <w:pStyle w:val="VGSOHdg1"/>
        <w:jc w:val="both"/>
        <w:rPr>
          <w:u w:val="single"/>
        </w:rPr>
      </w:pPr>
      <w:bookmarkStart w:id="6" w:name="_Toc445877696"/>
      <w:r w:rsidRPr="007853E2">
        <w:rPr>
          <w:u w:val="single"/>
        </w:rPr>
        <w:t>1</w:t>
      </w:r>
      <w:r w:rsidR="00CA58A3" w:rsidRPr="007853E2">
        <w:rPr>
          <w:u w:val="single"/>
        </w:rPr>
        <w:t>.</w:t>
      </w:r>
      <w:r w:rsidR="00CA58A3" w:rsidRPr="007853E2">
        <w:rPr>
          <w:u w:val="single"/>
        </w:rPr>
        <w:tab/>
        <w:t>Leadership</w:t>
      </w:r>
      <w:bookmarkEnd w:id="6"/>
      <w:r w:rsidR="00CA58A3" w:rsidRPr="007853E2">
        <w:rPr>
          <w:u w:val="single"/>
        </w:rPr>
        <w:t xml:space="preserve"> </w:t>
      </w:r>
    </w:p>
    <w:p w14:paraId="124276A1" w14:textId="77777777" w:rsidR="00CA58A3" w:rsidRPr="007853E2" w:rsidRDefault="00CA58A3" w:rsidP="008023A2">
      <w:pPr>
        <w:pStyle w:val="VGSOHdg2"/>
        <w:jc w:val="both"/>
      </w:pPr>
      <w:bookmarkStart w:id="7" w:name="_Toc445877697"/>
      <w:r w:rsidRPr="007853E2">
        <w:t>Investing in good, ethical leadership at all levels</w:t>
      </w:r>
      <w:bookmarkEnd w:id="7"/>
      <w:r w:rsidRPr="007853E2">
        <w:t xml:space="preserve"> </w:t>
      </w:r>
    </w:p>
    <w:p w14:paraId="1ACDC8E5" w14:textId="77777777" w:rsidR="00153D78" w:rsidRPr="007853E2" w:rsidRDefault="006064E0">
      <w:pPr>
        <w:pStyle w:val="LDStandard2"/>
        <w:jc w:val="both"/>
      </w:pPr>
      <w:r w:rsidRPr="007853E2">
        <w:t xml:space="preserve">The Department is committed to ensuring that our leaders </w:t>
      </w:r>
      <w:r w:rsidR="00764CD2" w:rsidRPr="007853E2">
        <w:t xml:space="preserve">– at all levels of the Department – </w:t>
      </w:r>
      <w:r w:rsidRPr="007853E2">
        <w:t xml:space="preserve">‘live’ public sector values, lead with integrity and build a culture of high performance. </w:t>
      </w:r>
    </w:p>
    <w:p w14:paraId="63A0BAD4" w14:textId="77777777" w:rsidR="001643B1" w:rsidRPr="007853E2" w:rsidRDefault="00CA58A3">
      <w:pPr>
        <w:pStyle w:val="VGSOHdg3"/>
      </w:pPr>
      <w:r w:rsidRPr="007853E2">
        <w:t xml:space="preserve">Disrupting networks </w:t>
      </w:r>
    </w:p>
    <w:p w14:paraId="282C355A" w14:textId="77777777" w:rsidR="00990CDF" w:rsidRPr="007853E2" w:rsidRDefault="00EB1A41">
      <w:pPr>
        <w:pStyle w:val="LDStandard2"/>
        <w:jc w:val="both"/>
      </w:pPr>
      <w:r w:rsidRPr="007853E2">
        <w:t>The Department</w:t>
      </w:r>
      <w:r w:rsidR="003E69A3" w:rsidRPr="007853E2">
        <w:t xml:space="preserve"> ha</w:t>
      </w:r>
      <w:r w:rsidRPr="007853E2">
        <w:t>s</w:t>
      </w:r>
      <w:r w:rsidR="003E69A3" w:rsidRPr="007853E2">
        <w:t xml:space="preserve"> </w:t>
      </w:r>
      <w:r w:rsidR="00E11516" w:rsidRPr="007853E2">
        <w:t xml:space="preserve">put in place </w:t>
      </w:r>
      <w:r w:rsidR="003E69A3" w:rsidRPr="007853E2">
        <w:t xml:space="preserve">strategies </w:t>
      </w:r>
      <w:r w:rsidR="00764CD2" w:rsidRPr="007853E2">
        <w:t>to prevent</w:t>
      </w:r>
      <w:r w:rsidR="00E11516" w:rsidRPr="007853E2">
        <w:t xml:space="preserve"> unhealthy networks </w:t>
      </w:r>
      <w:r w:rsidR="00764CD2" w:rsidRPr="007853E2">
        <w:t xml:space="preserve">from </w:t>
      </w:r>
      <w:r w:rsidR="00E11516" w:rsidRPr="007853E2">
        <w:t>form</w:t>
      </w:r>
      <w:r w:rsidR="00764CD2" w:rsidRPr="007853E2">
        <w:t>ing</w:t>
      </w:r>
      <w:r w:rsidR="00120571" w:rsidRPr="007853E2">
        <w:t xml:space="preserve">. </w:t>
      </w:r>
    </w:p>
    <w:p w14:paraId="43078B79" w14:textId="77777777" w:rsidR="00B77FEB" w:rsidRPr="007853E2" w:rsidRDefault="00370BE1">
      <w:pPr>
        <w:pStyle w:val="LDStandard2"/>
        <w:jc w:val="both"/>
      </w:pPr>
      <w:r w:rsidRPr="007853E2">
        <w:t xml:space="preserve">As </w:t>
      </w:r>
      <w:r w:rsidR="00B77FEB" w:rsidRPr="007853E2">
        <w:t xml:space="preserve">outlined </w:t>
      </w:r>
      <w:r w:rsidRPr="007853E2">
        <w:t xml:space="preserve">above, </w:t>
      </w:r>
      <w:r w:rsidR="00AC3EB0" w:rsidRPr="007853E2">
        <w:t xml:space="preserve">the Department </w:t>
      </w:r>
      <w:r w:rsidR="00B77FEB" w:rsidRPr="007853E2">
        <w:t>ha</w:t>
      </w:r>
      <w:r w:rsidR="00AC3EB0" w:rsidRPr="007853E2">
        <w:t>s</w:t>
      </w:r>
      <w:r w:rsidR="00B77FEB" w:rsidRPr="007853E2">
        <w:t xml:space="preserve"> formally committed to implementing the</w:t>
      </w:r>
      <w:r w:rsidR="00871B9B" w:rsidRPr="007853E2">
        <w:t xml:space="preserve"> Executive Rotation </w:t>
      </w:r>
      <w:r w:rsidR="00990CDF" w:rsidRPr="007853E2">
        <w:t>Program</w:t>
      </w:r>
      <w:r w:rsidR="00AC04F2" w:rsidRPr="007853E2">
        <w:t>.</w:t>
      </w:r>
      <w:r w:rsidR="00990CDF" w:rsidRPr="007853E2">
        <w:t xml:space="preserve"> </w:t>
      </w:r>
      <w:r w:rsidR="00E227D0" w:rsidRPr="007853E2">
        <w:t xml:space="preserve">This program involves </w:t>
      </w:r>
      <w:r w:rsidR="00CD1EB8" w:rsidRPr="007853E2">
        <w:t xml:space="preserve">a </w:t>
      </w:r>
      <w:r w:rsidR="00E227D0" w:rsidRPr="007853E2">
        <w:t>short</w:t>
      </w:r>
      <w:r w:rsidR="00CD1EB8" w:rsidRPr="007853E2">
        <w:t>-</w:t>
      </w:r>
      <w:r w:rsidR="00E227D0" w:rsidRPr="007853E2">
        <w:t>term placement</w:t>
      </w:r>
      <w:r w:rsidR="00CD1EB8" w:rsidRPr="007853E2">
        <w:t xml:space="preserve"> to</w:t>
      </w:r>
      <w:r w:rsidR="00E227D0" w:rsidRPr="007853E2">
        <w:t xml:space="preserve"> an area outside the executive</w:t>
      </w:r>
      <w:r w:rsidR="00CD1EB8" w:rsidRPr="007853E2">
        <w:t>’</w:t>
      </w:r>
      <w:r w:rsidR="00E227D0" w:rsidRPr="007853E2">
        <w:t xml:space="preserve">s current role. </w:t>
      </w:r>
      <w:r w:rsidR="00AC04F2" w:rsidRPr="007853E2">
        <w:t>The expectation is that all executives will participate in th</w:t>
      </w:r>
      <w:r w:rsidR="00707184" w:rsidRPr="007853E2">
        <w:t>is</w:t>
      </w:r>
      <w:r w:rsidR="00AC04F2" w:rsidRPr="007853E2">
        <w:t xml:space="preserve"> </w:t>
      </w:r>
      <w:r w:rsidR="00707184" w:rsidRPr="007853E2">
        <w:t>p</w:t>
      </w:r>
      <w:r w:rsidR="00AC04F2" w:rsidRPr="007853E2">
        <w:t>rogram</w:t>
      </w:r>
      <w:r w:rsidR="00707184" w:rsidRPr="007853E2">
        <w:t xml:space="preserve">, which will be used in leadership development plans in the next performance cycle. </w:t>
      </w:r>
    </w:p>
    <w:p w14:paraId="137E6944" w14:textId="77777777" w:rsidR="00871B9B" w:rsidRPr="007853E2" w:rsidRDefault="00AC3EB0">
      <w:pPr>
        <w:pStyle w:val="LDStandard2"/>
        <w:jc w:val="both"/>
      </w:pPr>
      <w:r w:rsidRPr="007853E2">
        <w:t xml:space="preserve">The Department has </w:t>
      </w:r>
      <w:r w:rsidR="00B77FEB" w:rsidRPr="007853E2">
        <w:t xml:space="preserve">also formally committed to implementing the planned rotation of senior staff </w:t>
      </w:r>
      <w:proofErr w:type="gramStart"/>
      <w:r w:rsidR="00B77FEB" w:rsidRPr="007853E2">
        <w:t>who</w:t>
      </w:r>
      <w:proofErr w:type="gramEnd"/>
      <w:r w:rsidR="00B77FEB" w:rsidRPr="007853E2">
        <w:t xml:space="preserve"> have been in their roles for an extended period.    </w:t>
      </w:r>
    </w:p>
    <w:p w14:paraId="7399140A" w14:textId="77777777" w:rsidR="00370BE1" w:rsidRPr="007853E2" w:rsidRDefault="00990CDF">
      <w:pPr>
        <w:pStyle w:val="LDStandard2"/>
        <w:jc w:val="both"/>
      </w:pPr>
      <w:r w:rsidRPr="007853E2">
        <w:t xml:space="preserve">Aside from preventing unhealthy networks, there are </w:t>
      </w:r>
      <w:r w:rsidR="00370BE1" w:rsidRPr="007853E2">
        <w:t>real benefit</w:t>
      </w:r>
      <w:r w:rsidRPr="007853E2">
        <w:t>s</w:t>
      </w:r>
      <w:r w:rsidR="00370BE1" w:rsidRPr="007853E2">
        <w:t xml:space="preserve"> in rotating senior staff</w:t>
      </w:r>
      <w:r w:rsidRPr="007853E2">
        <w:t xml:space="preserve">: </w:t>
      </w:r>
      <w:r w:rsidR="0025034B" w:rsidRPr="007853E2">
        <w:t xml:space="preserve">it </w:t>
      </w:r>
      <w:r w:rsidR="0061468C" w:rsidRPr="007853E2">
        <w:t>will enhance skills</w:t>
      </w:r>
      <w:r w:rsidR="004B69DC" w:rsidRPr="007853E2">
        <w:t xml:space="preserve">, </w:t>
      </w:r>
      <w:r w:rsidR="00153D78" w:rsidRPr="007853E2">
        <w:t xml:space="preserve">introduce new ways of working and </w:t>
      </w:r>
      <w:r w:rsidR="004B69DC" w:rsidRPr="007853E2">
        <w:t xml:space="preserve">create stronger organisational understanding.  </w:t>
      </w:r>
    </w:p>
    <w:p w14:paraId="52A2C8A1" w14:textId="77777777" w:rsidR="00D25FFF" w:rsidRPr="007853E2" w:rsidRDefault="00CA58A3">
      <w:pPr>
        <w:pStyle w:val="VGSOHdg3"/>
      </w:pPr>
      <w:r w:rsidRPr="007853E2">
        <w:t xml:space="preserve">Embedding integrity </w:t>
      </w:r>
    </w:p>
    <w:p w14:paraId="49F7B236" w14:textId="77777777" w:rsidR="003E69A3" w:rsidRPr="007853E2" w:rsidRDefault="003E69A3">
      <w:pPr>
        <w:pStyle w:val="LDStandard2"/>
        <w:jc w:val="both"/>
      </w:pPr>
      <w:r w:rsidRPr="007853E2">
        <w:t xml:space="preserve">The Department is in the process of </w:t>
      </w:r>
      <w:r w:rsidR="00BA0502" w:rsidRPr="007853E2">
        <w:t>a continuous improvement</w:t>
      </w:r>
      <w:r w:rsidR="000465A0" w:rsidRPr="007853E2">
        <w:t xml:space="preserve"> Integrity Reform Program</w:t>
      </w:r>
      <w:r w:rsidRPr="007853E2">
        <w:t xml:space="preserve"> </w:t>
      </w:r>
      <w:r w:rsidR="00226424" w:rsidRPr="007853E2">
        <w:t>where</w:t>
      </w:r>
      <w:r w:rsidR="000E0053">
        <w:t>, over time,</w:t>
      </w:r>
      <w:r w:rsidR="00226424" w:rsidRPr="007853E2">
        <w:t xml:space="preserve"> </w:t>
      </w:r>
      <w:r w:rsidRPr="007853E2">
        <w:t>integrity b</w:t>
      </w:r>
      <w:r w:rsidR="000E0053">
        <w:t>ecomes a cultural norm.</w:t>
      </w:r>
      <w:r w:rsidRPr="007853E2">
        <w:t xml:space="preserve">  </w:t>
      </w:r>
      <w:r w:rsidR="008023A2" w:rsidRPr="007853E2">
        <w:rPr>
          <w:i/>
        </w:rPr>
        <w:t xml:space="preserve"> </w:t>
      </w:r>
      <w:r w:rsidRPr="007853E2">
        <w:t xml:space="preserve">   </w:t>
      </w:r>
      <w:r w:rsidR="000465A0" w:rsidRPr="007853E2">
        <w:t xml:space="preserve">  </w:t>
      </w:r>
    </w:p>
    <w:p w14:paraId="3E7CA6C5" w14:textId="77777777" w:rsidR="00BA0502" w:rsidRPr="007853E2" w:rsidRDefault="001D66BE" w:rsidP="003B65CA">
      <w:pPr>
        <w:pStyle w:val="LDStandard2"/>
        <w:jc w:val="both"/>
      </w:pPr>
      <w:r w:rsidRPr="007853E2">
        <w:t xml:space="preserve">Relevantly, the </w:t>
      </w:r>
      <w:r w:rsidR="0021745C" w:rsidRPr="007853E2">
        <w:t xml:space="preserve">Integrity Reform Program </w:t>
      </w:r>
      <w:r w:rsidR="007C31E0" w:rsidRPr="007853E2">
        <w:t>is guided and supported by</w:t>
      </w:r>
      <w:r w:rsidR="003E69A3" w:rsidRPr="007853E2">
        <w:t xml:space="preserve"> </w:t>
      </w:r>
      <w:r w:rsidR="00E04E89" w:rsidRPr="007853E2">
        <w:t xml:space="preserve">a Statement of Strategic Intent, a new DET operating model, an Integrity Leadership Group Initiative and a new governance model. </w:t>
      </w:r>
      <w:r w:rsidR="00E4161C" w:rsidRPr="007853E2">
        <w:t>These initiatives are discussed further, below.</w:t>
      </w:r>
    </w:p>
    <w:p w14:paraId="4F16B5A6" w14:textId="77777777" w:rsidR="00E43536" w:rsidRPr="007853E2" w:rsidRDefault="008A137E">
      <w:pPr>
        <w:pStyle w:val="LDStandard2"/>
        <w:jc w:val="both"/>
      </w:pPr>
      <w:r w:rsidRPr="007853E2">
        <w:t>In 2015</w:t>
      </w:r>
      <w:r w:rsidR="005541CA" w:rsidRPr="007853E2">
        <w:t>,</w:t>
      </w:r>
      <w:r w:rsidRPr="007853E2">
        <w:t xml:space="preserve"> the Department introduced </w:t>
      </w:r>
      <w:r w:rsidR="00951B0E" w:rsidRPr="007853E2">
        <w:t xml:space="preserve">the </w:t>
      </w:r>
      <w:r w:rsidR="00020D51" w:rsidRPr="007853E2">
        <w:t>Integrity Leadership Group</w:t>
      </w:r>
      <w:r w:rsidRPr="007853E2">
        <w:t xml:space="preserve"> </w:t>
      </w:r>
      <w:r w:rsidR="000465A0" w:rsidRPr="007853E2">
        <w:t xml:space="preserve">Initiative. </w:t>
      </w:r>
      <w:r w:rsidRPr="007853E2">
        <w:t>These groups</w:t>
      </w:r>
      <w:r w:rsidR="00020D51" w:rsidRPr="007853E2">
        <w:t xml:space="preserve"> comprise school-based and corporate staff, </w:t>
      </w:r>
      <w:r w:rsidR="000465A0" w:rsidRPr="007853E2">
        <w:t xml:space="preserve">who have been peer nominated due to their </w:t>
      </w:r>
      <w:r w:rsidR="00020D51" w:rsidRPr="007853E2">
        <w:t xml:space="preserve">integrity and capacity to lead change. </w:t>
      </w:r>
      <w:r w:rsidR="009F4057" w:rsidRPr="007853E2">
        <w:t>The groups have been developed to support the new Portfolio Integrity Committee build and maintain the highest standards of integrity and public trust</w:t>
      </w:r>
      <w:r w:rsidR="005541CA" w:rsidRPr="007853E2">
        <w:t xml:space="preserve"> across the Department</w:t>
      </w:r>
      <w:r w:rsidR="009F4057" w:rsidRPr="007853E2">
        <w:t xml:space="preserve">. </w:t>
      </w:r>
    </w:p>
    <w:p w14:paraId="3543723A" w14:textId="77777777" w:rsidR="00020D51" w:rsidRPr="007853E2" w:rsidRDefault="00020D51">
      <w:pPr>
        <w:pStyle w:val="LDStandard2"/>
        <w:jc w:val="both"/>
      </w:pPr>
      <w:r w:rsidRPr="007853E2">
        <w:t xml:space="preserve">The </w:t>
      </w:r>
      <w:r w:rsidR="00BA0502" w:rsidRPr="007853E2">
        <w:t xml:space="preserve">newly formed </w:t>
      </w:r>
      <w:r w:rsidRPr="007853E2">
        <w:t>Integrity Leadership Groups</w:t>
      </w:r>
      <w:r w:rsidR="00BA0502" w:rsidRPr="007853E2">
        <w:t xml:space="preserve"> will</w:t>
      </w:r>
      <w:r w:rsidRPr="007853E2">
        <w:t xml:space="preserve"> support the work of the Portfolio Integrity Committee by:</w:t>
      </w:r>
    </w:p>
    <w:p w14:paraId="7781FB80" w14:textId="77777777" w:rsidR="00020D51" w:rsidRPr="007853E2" w:rsidRDefault="00622D59">
      <w:pPr>
        <w:pStyle w:val="LDStandard4"/>
        <w:jc w:val="both"/>
      </w:pPr>
      <w:r>
        <w:t>Promoting</w:t>
      </w:r>
      <w:r w:rsidRPr="007853E2">
        <w:t xml:space="preserve"> </w:t>
      </w:r>
      <w:r w:rsidR="00020D51" w:rsidRPr="007853E2">
        <w:t xml:space="preserve">the integrity reforms across teams, groups and divisions, networks, schools, </w:t>
      </w:r>
      <w:r w:rsidR="005541CA" w:rsidRPr="007853E2">
        <w:t xml:space="preserve">school clusters, </w:t>
      </w:r>
      <w:r w:rsidR="00020D51" w:rsidRPr="007853E2">
        <w:t>professional networks and regional offices</w:t>
      </w:r>
      <w:r w:rsidR="005541CA" w:rsidRPr="007853E2">
        <w:t xml:space="preserve">; </w:t>
      </w:r>
      <w:r w:rsidR="008023A2" w:rsidRPr="007853E2">
        <w:rPr>
          <w:i/>
        </w:rPr>
        <w:t xml:space="preserve"> </w:t>
      </w:r>
    </w:p>
    <w:p w14:paraId="509A54EF" w14:textId="77777777" w:rsidR="00020D51" w:rsidRPr="007853E2" w:rsidRDefault="00020D51" w:rsidP="008023A2">
      <w:pPr>
        <w:pStyle w:val="LDStandard4"/>
        <w:jc w:val="both"/>
      </w:pPr>
      <w:r w:rsidRPr="007853E2">
        <w:t>Contributing ideas and expertise to support the Portfolio Integrity Committee’s decision making</w:t>
      </w:r>
      <w:r w:rsidR="005541CA" w:rsidRPr="007853E2">
        <w:t>;</w:t>
      </w:r>
    </w:p>
    <w:p w14:paraId="4BB94358" w14:textId="77777777" w:rsidR="00020D51" w:rsidRPr="007853E2" w:rsidRDefault="00020D51" w:rsidP="008023A2">
      <w:pPr>
        <w:pStyle w:val="LDStandard4"/>
        <w:jc w:val="both"/>
      </w:pPr>
      <w:r w:rsidRPr="007853E2">
        <w:lastRenderedPageBreak/>
        <w:t xml:space="preserve">Bringing integrity </w:t>
      </w:r>
      <w:r w:rsidR="00622D59">
        <w:t>concerns</w:t>
      </w:r>
      <w:r w:rsidR="00622D59" w:rsidRPr="007853E2">
        <w:t xml:space="preserve"> </w:t>
      </w:r>
      <w:r w:rsidRPr="007853E2">
        <w:t>at central office, in schools, networks and regions to the attention of the Committee</w:t>
      </w:r>
      <w:r w:rsidR="005541CA" w:rsidRPr="007853E2">
        <w:t>;</w:t>
      </w:r>
    </w:p>
    <w:p w14:paraId="1D595DBD" w14:textId="77777777" w:rsidR="00020D51" w:rsidRPr="007853E2" w:rsidRDefault="00020D51" w:rsidP="008023A2">
      <w:pPr>
        <w:pStyle w:val="LDStandard4"/>
        <w:jc w:val="both"/>
      </w:pPr>
      <w:r w:rsidRPr="007853E2">
        <w:t>Proposing and leading activities to promote the reforms and influence change</w:t>
      </w:r>
      <w:r w:rsidR="005541CA" w:rsidRPr="007853E2">
        <w:t>; and</w:t>
      </w:r>
    </w:p>
    <w:p w14:paraId="086DDC2D" w14:textId="77777777" w:rsidR="00020D51" w:rsidRPr="007853E2" w:rsidRDefault="0001463D">
      <w:pPr>
        <w:pStyle w:val="LDStandard4"/>
        <w:jc w:val="both"/>
      </w:pPr>
      <w:r>
        <w:t xml:space="preserve">Promoting reforms across whole of </w:t>
      </w:r>
      <w:r w:rsidR="00020D51" w:rsidRPr="007853E2">
        <w:t xml:space="preserve">government and external networks, schools, early </w:t>
      </w:r>
      <w:proofErr w:type="gramStart"/>
      <w:r w:rsidR="00020D51" w:rsidRPr="007853E2">
        <w:t>years</w:t>
      </w:r>
      <w:proofErr w:type="gramEnd"/>
      <w:r w:rsidR="00020D51" w:rsidRPr="007853E2">
        <w:t xml:space="preserve"> services</w:t>
      </w:r>
      <w:r w:rsidR="008E267B" w:rsidRPr="007853E2">
        <w:t xml:space="preserve">, </w:t>
      </w:r>
      <w:r w:rsidR="00020D51" w:rsidRPr="007853E2">
        <w:t xml:space="preserve">training providers, community groups and local government, and bringing ideas from other agencies and organisations back to the </w:t>
      </w:r>
      <w:r w:rsidR="009F4057" w:rsidRPr="007853E2">
        <w:t>Committee</w:t>
      </w:r>
      <w:r w:rsidR="00020D51" w:rsidRPr="007853E2">
        <w:t>.</w:t>
      </w:r>
    </w:p>
    <w:p w14:paraId="79A46CE1" w14:textId="77777777" w:rsidR="003E69A3" w:rsidRPr="007853E2" w:rsidRDefault="003E69A3">
      <w:pPr>
        <w:pStyle w:val="VGSOHdg3"/>
      </w:pPr>
      <w:r w:rsidRPr="007853E2">
        <w:t xml:space="preserve">Culture of contestable ideas and frank and fearless advice </w:t>
      </w:r>
    </w:p>
    <w:p w14:paraId="33F1FF55" w14:textId="77777777" w:rsidR="003E69A3" w:rsidRPr="007853E2" w:rsidRDefault="003E69A3">
      <w:pPr>
        <w:pStyle w:val="LDStandard2"/>
        <w:jc w:val="both"/>
      </w:pPr>
      <w:r w:rsidRPr="007853E2">
        <w:t>The public service</w:t>
      </w:r>
      <w:r w:rsidR="008E267B" w:rsidRPr="007853E2">
        <w:t xml:space="preserve"> </w:t>
      </w:r>
      <w:r w:rsidRPr="007853E2">
        <w:t>must be underpinned by the values of integrity and impartiality – an apolitical professional class providing “frank and fearless” advice to the government of the day.</w:t>
      </w:r>
      <w:r w:rsidR="00254EA7" w:rsidRPr="007853E2">
        <w:t xml:space="preserve"> </w:t>
      </w:r>
    </w:p>
    <w:p w14:paraId="65DD22A3" w14:textId="77777777" w:rsidR="003E69A3" w:rsidRPr="007853E2" w:rsidRDefault="00BA0502">
      <w:pPr>
        <w:pStyle w:val="LDStandard2"/>
        <w:jc w:val="both"/>
      </w:pPr>
      <w:r w:rsidRPr="007853E2">
        <w:t>In a speech to the IPAA Victoria Annual Fellows Dinner</w:t>
      </w:r>
      <w:r w:rsidR="00F31348">
        <w:t xml:space="preserve"> in 2015</w:t>
      </w:r>
      <w:r w:rsidR="00CE613D" w:rsidRPr="007853E2">
        <w:t>,</w:t>
      </w:r>
      <w:r w:rsidRPr="007853E2">
        <w:t xml:space="preserve"> Chris Eccles, Secretary of the Department of Premier and Cabinet, said that f</w:t>
      </w:r>
      <w:r w:rsidR="005541CA" w:rsidRPr="007853E2">
        <w:t xml:space="preserve">rank </w:t>
      </w:r>
      <w:r w:rsidR="003E69A3" w:rsidRPr="007853E2">
        <w:t>and fearless advice:</w:t>
      </w:r>
    </w:p>
    <w:p w14:paraId="6F86C158" w14:textId="77777777" w:rsidR="003E69A3" w:rsidRPr="00F31348" w:rsidRDefault="003E69A3">
      <w:pPr>
        <w:pStyle w:val="LDStandard4"/>
        <w:jc w:val="both"/>
      </w:pPr>
      <w:r w:rsidRPr="00F31348">
        <w:t>provides</w:t>
      </w:r>
      <w:r w:rsidRPr="003B65CA">
        <w:rPr>
          <w:szCs w:val="22"/>
          <w:lang w:val="en-US"/>
        </w:rPr>
        <w:t xml:space="preserve"> the information Ministers need, as well as the information they might want, to </w:t>
      </w:r>
      <w:r w:rsidRPr="00F31348">
        <w:t>make</w:t>
      </w:r>
      <w:r w:rsidRPr="003B65CA">
        <w:rPr>
          <w:szCs w:val="22"/>
          <w:lang w:val="en-US"/>
        </w:rPr>
        <w:t xml:space="preserve"> a decision;</w:t>
      </w:r>
    </w:p>
    <w:p w14:paraId="1FB45005" w14:textId="77777777" w:rsidR="003E69A3" w:rsidRPr="00F31348" w:rsidRDefault="003E69A3">
      <w:pPr>
        <w:pStyle w:val="LDStandard4"/>
        <w:jc w:val="both"/>
      </w:pPr>
      <w:r w:rsidRPr="003B65CA">
        <w:rPr>
          <w:szCs w:val="22"/>
          <w:lang w:val="en-US"/>
        </w:rPr>
        <w:t>deals honestly with issues, including those that are difficult and complex;</w:t>
      </w:r>
    </w:p>
    <w:p w14:paraId="636E9DD1" w14:textId="77777777" w:rsidR="003E69A3" w:rsidRPr="00F31348" w:rsidRDefault="003E69A3">
      <w:pPr>
        <w:pStyle w:val="LDStandard4"/>
        <w:jc w:val="both"/>
      </w:pPr>
      <w:r w:rsidRPr="003B65CA">
        <w:rPr>
          <w:szCs w:val="22"/>
          <w:lang w:val="en-US"/>
        </w:rPr>
        <w:t>is fair, objective, and ignores a public servant’s own private or political interests;</w:t>
      </w:r>
    </w:p>
    <w:p w14:paraId="25A93823" w14:textId="77777777" w:rsidR="003E69A3" w:rsidRPr="00F31348" w:rsidRDefault="003E69A3">
      <w:pPr>
        <w:pStyle w:val="LDStandard4"/>
        <w:jc w:val="both"/>
      </w:pPr>
      <w:r w:rsidRPr="003B65CA">
        <w:rPr>
          <w:szCs w:val="22"/>
          <w:lang w:val="en-US"/>
        </w:rPr>
        <w:t xml:space="preserve">advises </w:t>
      </w:r>
      <w:r w:rsidR="008E267B" w:rsidRPr="003B65CA">
        <w:rPr>
          <w:szCs w:val="22"/>
          <w:lang w:val="en-US"/>
        </w:rPr>
        <w:t>M</w:t>
      </w:r>
      <w:r w:rsidRPr="003B65CA">
        <w:rPr>
          <w:szCs w:val="22"/>
          <w:lang w:val="en-US"/>
        </w:rPr>
        <w:t>inisters of risks and potential outcomes;</w:t>
      </w:r>
    </w:p>
    <w:p w14:paraId="67DB6F0E" w14:textId="77777777" w:rsidR="003E69A3" w:rsidRPr="00F31348" w:rsidRDefault="003E69A3">
      <w:pPr>
        <w:pStyle w:val="LDStandard4"/>
        <w:jc w:val="both"/>
      </w:pPr>
      <w:r w:rsidRPr="003B65CA">
        <w:rPr>
          <w:szCs w:val="22"/>
          <w:lang w:val="en-US"/>
        </w:rPr>
        <w:t>adds apolitical value to the commitments of the government of the day;</w:t>
      </w:r>
    </w:p>
    <w:p w14:paraId="68404BD8" w14:textId="77777777" w:rsidR="003E69A3" w:rsidRPr="00F31348" w:rsidRDefault="003E69A3">
      <w:pPr>
        <w:pStyle w:val="LDStandard4"/>
        <w:jc w:val="both"/>
      </w:pPr>
      <w:r w:rsidRPr="003B65CA">
        <w:rPr>
          <w:szCs w:val="22"/>
          <w:lang w:val="en-US"/>
        </w:rPr>
        <w:t>is politically neutral, but not naïve, allowing the public service to provide trusted advice to successive governments; and</w:t>
      </w:r>
    </w:p>
    <w:p w14:paraId="05AA7C8E" w14:textId="77777777" w:rsidR="003E69A3" w:rsidRPr="00F31348" w:rsidRDefault="003E69A3">
      <w:pPr>
        <w:pStyle w:val="LDStandard4"/>
        <w:jc w:val="both"/>
      </w:pPr>
      <w:proofErr w:type="gramStart"/>
      <w:r w:rsidRPr="003B65CA">
        <w:rPr>
          <w:szCs w:val="22"/>
          <w:lang w:val="en-US"/>
        </w:rPr>
        <w:t>above</w:t>
      </w:r>
      <w:proofErr w:type="gramEnd"/>
      <w:r w:rsidRPr="003B65CA">
        <w:rPr>
          <w:szCs w:val="22"/>
          <w:lang w:val="en-US"/>
        </w:rPr>
        <w:t xml:space="preserve"> all, respects the right of democratically elected governments, having received that advice, to pursue their lawful policy agenda, with the expectation that their agenda will be implemented faithfully and diligently. </w:t>
      </w:r>
    </w:p>
    <w:p w14:paraId="78791A51" w14:textId="77777777" w:rsidR="00503D89" w:rsidRPr="007853E2" w:rsidRDefault="00503D89" w:rsidP="00503D89">
      <w:pPr>
        <w:pStyle w:val="LDStandard2"/>
        <w:jc w:val="both"/>
      </w:pPr>
      <w:r w:rsidRPr="007853E2">
        <w:t>The Department is working hard to foster an environment where critical reflection and debate is expected and encouraged, and is building a culture that encourages staff to escalate issues at the earliest opportunity. The Department is developing strong, system-wide safeguards that</w:t>
      </w:r>
      <w:r w:rsidR="005B1B21">
        <w:t>, as far as possible,</w:t>
      </w:r>
      <w:r w:rsidRPr="007853E2">
        <w:t xml:space="preserve"> cannot be manipulated or circumvented, and is raising awareness of how staff can voice their concerns. </w:t>
      </w:r>
    </w:p>
    <w:p w14:paraId="58F3813F" w14:textId="77777777" w:rsidR="00CA58A3" w:rsidRPr="007853E2" w:rsidRDefault="00CA58A3" w:rsidP="008023A2">
      <w:pPr>
        <w:pStyle w:val="VGSOHdg2"/>
        <w:jc w:val="both"/>
      </w:pPr>
      <w:bookmarkStart w:id="8" w:name="_Toc445877698"/>
      <w:r w:rsidRPr="007853E2">
        <w:t>Commitment to transparency and accountability by our leaders</w:t>
      </w:r>
      <w:bookmarkEnd w:id="8"/>
      <w:r w:rsidRPr="007853E2">
        <w:t xml:space="preserve"> </w:t>
      </w:r>
    </w:p>
    <w:p w14:paraId="10B2366A" w14:textId="77777777" w:rsidR="00923ABB" w:rsidRPr="007853E2" w:rsidRDefault="0055519A">
      <w:pPr>
        <w:pStyle w:val="LDStandard2"/>
        <w:jc w:val="both"/>
      </w:pPr>
      <w:r w:rsidRPr="007853E2">
        <w:t xml:space="preserve">In 2015, all Department executives signed up to a Leadership </w:t>
      </w:r>
      <w:r w:rsidR="00923ABB" w:rsidRPr="007853E2">
        <w:t xml:space="preserve">Charter and set of capabilities, as a signal of our commitment to cultural change. </w:t>
      </w:r>
    </w:p>
    <w:p w14:paraId="1FDE42E6" w14:textId="77777777" w:rsidR="00923ABB" w:rsidRPr="007853E2" w:rsidRDefault="00923ABB" w:rsidP="003B65CA">
      <w:pPr>
        <w:pStyle w:val="LDStandard2"/>
        <w:jc w:val="both"/>
      </w:pPr>
      <w:r w:rsidRPr="007853E2">
        <w:t xml:space="preserve">The </w:t>
      </w:r>
      <w:r w:rsidR="009A29EB" w:rsidRPr="007853E2">
        <w:t>C</w:t>
      </w:r>
      <w:r w:rsidRPr="007853E2">
        <w:t>harter makes clear to Victorians that our leaders will:</w:t>
      </w:r>
      <w:r w:rsidR="00AE21B4">
        <w:t xml:space="preserve"> </w:t>
      </w:r>
      <w:r w:rsidRPr="007853E2">
        <w:t>work as one</w:t>
      </w:r>
      <w:r w:rsidR="009A29EB" w:rsidRPr="007853E2">
        <w:t>;</w:t>
      </w:r>
      <w:r w:rsidR="00AE21B4">
        <w:t xml:space="preserve"> </w:t>
      </w:r>
      <w:r w:rsidRPr="007853E2">
        <w:t>be accountable – and work with integrity</w:t>
      </w:r>
      <w:r w:rsidR="009A29EB" w:rsidRPr="007853E2">
        <w:t>;</w:t>
      </w:r>
      <w:r w:rsidR="00AE21B4">
        <w:t xml:space="preserve"> </w:t>
      </w:r>
      <w:r w:rsidRPr="007853E2">
        <w:t>invest in and empower staff</w:t>
      </w:r>
      <w:r w:rsidR="009A29EB" w:rsidRPr="007853E2">
        <w:t>; and</w:t>
      </w:r>
      <w:r w:rsidR="00AE21B4">
        <w:t xml:space="preserve"> </w:t>
      </w:r>
      <w:r w:rsidRPr="007853E2">
        <w:t>always focus on the children, young people and families they serve.</w:t>
      </w:r>
    </w:p>
    <w:p w14:paraId="2CB9227C" w14:textId="77777777" w:rsidR="0055519A" w:rsidRPr="007853E2" w:rsidRDefault="0055519A">
      <w:pPr>
        <w:pStyle w:val="LDStandard2"/>
        <w:jc w:val="both"/>
      </w:pPr>
      <w:r w:rsidRPr="007853E2">
        <w:lastRenderedPageBreak/>
        <w:t xml:space="preserve">The Leadership Charter and capabilities form the foundation of a broader leadership development </w:t>
      </w:r>
      <w:r w:rsidR="007C31E0" w:rsidRPr="007853E2">
        <w:t xml:space="preserve">and assessment </w:t>
      </w:r>
      <w:r w:rsidRPr="007853E2">
        <w:t xml:space="preserve">program to be delivered in 2016. </w:t>
      </w:r>
      <w:r w:rsidR="00120571" w:rsidRPr="007853E2">
        <w:t xml:space="preserve">This includes a tailored development program for </w:t>
      </w:r>
      <w:r w:rsidR="001F0640" w:rsidRPr="007853E2">
        <w:t xml:space="preserve">each </w:t>
      </w:r>
      <w:r w:rsidR="00120571" w:rsidRPr="007853E2">
        <w:t>executive officer</w:t>
      </w:r>
      <w:r w:rsidR="0053640F" w:rsidRPr="007853E2">
        <w:t xml:space="preserve"> across the Department</w:t>
      </w:r>
      <w:r w:rsidR="00120571" w:rsidRPr="007853E2">
        <w:t xml:space="preserve">. </w:t>
      </w:r>
    </w:p>
    <w:p w14:paraId="556CB9F9" w14:textId="77777777" w:rsidR="00503D89" w:rsidRPr="007853E2" w:rsidRDefault="00AC3EB0">
      <w:pPr>
        <w:pStyle w:val="LDStandard2"/>
        <w:jc w:val="both"/>
      </w:pPr>
      <w:r w:rsidRPr="007853E2">
        <w:t>In</w:t>
      </w:r>
      <w:r w:rsidR="00923ABB" w:rsidRPr="007853E2">
        <w:t xml:space="preserve"> April 2016,</w:t>
      </w:r>
      <w:r w:rsidR="00EF57C8" w:rsidRPr="007853E2">
        <w:t xml:space="preserve"> </w:t>
      </w:r>
      <w:r w:rsidR="00866BD2" w:rsidRPr="007853E2">
        <w:t xml:space="preserve">the </w:t>
      </w:r>
      <w:r w:rsidR="00EF57C8" w:rsidRPr="007853E2">
        <w:t xml:space="preserve">Deputy Secretaries and I </w:t>
      </w:r>
      <w:r w:rsidRPr="007853E2">
        <w:t>will</w:t>
      </w:r>
      <w:r w:rsidR="00EB1A41" w:rsidRPr="007853E2">
        <w:t xml:space="preserve"> mov</w:t>
      </w:r>
      <w:r w:rsidRPr="007853E2">
        <w:t>e</w:t>
      </w:r>
      <w:r w:rsidR="00503D89" w:rsidRPr="007853E2">
        <w:t xml:space="preserve"> to an open plan environment</w:t>
      </w:r>
      <w:r w:rsidR="00EB1A41" w:rsidRPr="007853E2">
        <w:t>.</w:t>
      </w:r>
      <w:r w:rsidR="00EF57C8" w:rsidRPr="007853E2">
        <w:t xml:space="preserve"> This change </w:t>
      </w:r>
      <w:r w:rsidR="00E07AB2" w:rsidRPr="007853E2">
        <w:t>will</w:t>
      </w:r>
      <w:r w:rsidR="00EF57C8" w:rsidRPr="007853E2">
        <w:t xml:space="preserve"> break down barriers between </w:t>
      </w:r>
      <w:r w:rsidR="000C220C" w:rsidRPr="007853E2">
        <w:t>groups</w:t>
      </w:r>
      <w:r w:rsidR="00EF57C8" w:rsidRPr="007853E2">
        <w:t xml:space="preserve">, </w:t>
      </w:r>
      <w:r w:rsidR="00E07AB2" w:rsidRPr="007853E2">
        <w:t>provide</w:t>
      </w:r>
      <w:r w:rsidR="00EF57C8" w:rsidRPr="007853E2">
        <w:t xml:space="preserve"> opportunities to work together and learn from each other, and </w:t>
      </w:r>
      <w:r w:rsidR="00E07AB2" w:rsidRPr="007853E2">
        <w:t>bring</w:t>
      </w:r>
      <w:r w:rsidR="00EF57C8" w:rsidRPr="007853E2">
        <w:t xml:space="preserve"> a strategic vision to </w:t>
      </w:r>
      <w:r w:rsidR="005541CA" w:rsidRPr="007853E2">
        <w:t xml:space="preserve">our </w:t>
      </w:r>
      <w:r w:rsidR="004814C2" w:rsidRPr="007853E2">
        <w:t>work</w:t>
      </w:r>
      <w:r w:rsidR="00EF57C8" w:rsidRPr="007853E2">
        <w:t xml:space="preserve">. </w:t>
      </w:r>
      <w:r w:rsidR="00923ABB" w:rsidRPr="007853E2">
        <w:t xml:space="preserve"> </w:t>
      </w:r>
    </w:p>
    <w:p w14:paraId="472777DF" w14:textId="77777777" w:rsidR="00503D89" w:rsidRPr="007853E2" w:rsidRDefault="00503D89" w:rsidP="00503D89">
      <w:pPr>
        <w:pStyle w:val="LDStandard2"/>
        <w:jc w:val="both"/>
      </w:pPr>
      <w:r w:rsidRPr="007853E2">
        <w:t xml:space="preserve">The Department’s senior </w:t>
      </w:r>
      <w:r w:rsidR="00AE21B4">
        <w:t>executive</w:t>
      </w:r>
      <w:r w:rsidR="00AE21B4" w:rsidRPr="007853E2">
        <w:t xml:space="preserve"> </w:t>
      </w:r>
      <w:r w:rsidRPr="007853E2">
        <w:t>will visibly model robust and collaborative leadership.</w:t>
      </w:r>
    </w:p>
    <w:p w14:paraId="502E8DDD" w14:textId="77777777" w:rsidR="00CA58A3" w:rsidRPr="007853E2" w:rsidRDefault="000B62E2" w:rsidP="008023A2">
      <w:pPr>
        <w:pStyle w:val="VGSOHdg1"/>
        <w:jc w:val="both"/>
        <w:rPr>
          <w:u w:val="single"/>
        </w:rPr>
      </w:pPr>
      <w:bookmarkStart w:id="9" w:name="_Toc445877699"/>
      <w:r w:rsidRPr="007853E2">
        <w:rPr>
          <w:u w:val="single"/>
        </w:rPr>
        <w:t>2</w:t>
      </w:r>
      <w:r w:rsidR="00CA58A3" w:rsidRPr="007853E2">
        <w:rPr>
          <w:u w:val="single"/>
        </w:rPr>
        <w:t>.</w:t>
      </w:r>
      <w:r w:rsidR="00CA58A3" w:rsidRPr="007853E2">
        <w:rPr>
          <w:u w:val="single"/>
        </w:rPr>
        <w:tab/>
        <w:t>Procurement</w:t>
      </w:r>
      <w:bookmarkEnd w:id="9"/>
      <w:r w:rsidR="00CA58A3" w:rsidRPr="007853E2">
        <w:rPr>
          <w:u w:val="single"/>
        </w:rPr>
        <w:t xml:space="preserve"> </w:t>
      </w:r>
    </w:p>
    <w:p w14:paraId="250527AF" w14:textId="77777777" w:rsidR="007D14C1" w:rsidRPr="007853E2" w:rsidRDefault="00292C44">
      <w:pPr>
        <w:pStyle w:val="LDStandard2"/>
        <w:jc w:val="both"/>
      </w:pPr>
      <w:bookmarkStart w:id="10" w:name="_Toc444862821"/>
      <w:r w:rsidRPr="007853E2">
        <w:t xml:space="preserve">Since </w:t>
      </w:r>
      <w:r w:rsidR="00CE0E99" w:rsidRPr="007853E2">
        <w:t xml:space="preserve">1995, </w:t>
      </w:r>
      <w:r w:rsidRPr="007853E2">
        <w:t>t</w:t>
      </w:r>
      <w:r w:rsidR="007D14C1" w:rsidRPr="007853E2">
        <w:t>he Victorian Government Purchasing Board (</w:t>
      </w:r>
      <w:r w:rsidR="007D14C1" w:rsidRPr="007853E2">
        <w:rPr>
          <w:b/>
        </w:rPr>
        <w:t>VGPB</w:t>
      </w:r>
      <w:r w:rsidR="007D14C1" w:rsidRPr="007853E2">
        <w:t xml:space="preserve">) has set government procurement policies, </w:t>
      </w:r>
      <w:r w:rsidR="00CE0E99" w:rsidRPr="007853E2">
        <w:t xml:space="preserve">advised </w:t>
      </w:r>
      <w:r w:rsidR="007D14C1" w:rsidRPr="007853E2">
        <w:t xml:space="preserve">on and </w:t>
      </w:r>
      <w:r w:rsidR="000F0B34" w:rsidRPr="007853E2">
        <w:t xml:space="preserve">monitored </w:t>
      </w:r>
      <w:r w:rsidR="007D14C1" w:rsidRPr="007853E2">
        <w:t>compliance with those policies</w:t>
      </w:r>
      <w:r w:rsidR="0053640F" w:rsidRPr="007853E2">
        <w:t>,</w:t>
      </w:r>
      <w:r w:rsidR="007D14C1" w:rsidRPr="007853E2">
        <w:t xml:space="preserve"> and </w:t>
      </w:r>
      <w:r w:rsidR="00CE0E99" w:rsidRPr="007853E2">
        <w:t xml:space="preserve">reported </w:t>
      </w:r>
      <w:r w:rsidR="007D14C1" w:rsidRPr="007853E2">
        <w:t xml:space="preserve">irregularities to Government. It is independent of </w:t>
      </w:r>
      <w:r w:rsidR="00CE613D" w:rsidRPr="007853E2">
        <w:t xml:space="preserve">DTF </w:t>
      </w:r>
      <w:r w:rsidR="007D14C1" w:rsidRPr="007853E2">
        <w:t>and reports directly to the Minister for Finance.</w:t>
      </w:r>
    </w:p>
    <w:p w14:paraId="51D03A97" w14:textId="77777777" w:rsidR="00292C44" w:rsidRPr="007853E2" w:rsidRDefault="00292C44" w:rsidP="008023A2">
      <w:pPr>
        <w:pStyle w:val="VGSOHdg2"/>
        <w:jc w:val="both"/>
      </w:pPr>
      <w:bookmarkStart w:id="11" w:name="_Toc445877700"/>
      <w:r w:rsidRPr="007853E2">
        <w:t>Past Procurement policy and practice</w:t>
      </w:r>
      <w:bookmarkEnd w:id="11"/>
      <w:r w:rsidRPr="007853E2">
        <w:t xml:space="preserve"> </w:t>
      </w:r>
    </w:p>
    <w:p w14:paraId="3C64A0C7" w14:textId="77777777" w:rsidR="005D1661" w:rsidRPr="007853E2" w:rsidRDefault="005D1661">
      <w:pPr>
        <w:pStyle w:val="LDStandard2"/>
        <w:jc w:val="both"/>
      </w:pPr>
      <w:r w:rsidRPr="007853E2">
        <w:t xml:space="preserve">At the time of the </w:t>
      </w:r>
      <w:proofErr w:type="spellStart"/>
      <w:r w:rsidRPr="007853E2">
        <w:t>Ultranet</w:t>
      </w:r>
      <w:proofErr w:type="spellEnd"/>
      <w:r w:rsidRPr="007853E2">
        <w:t xml:space="preserve"> tender, the </w:t>
      </w:r>
      <w:r w:rsidR="007D14C1" w:rsidRPr="007853E2">
        <w:t xml:space="preserve">VGPB </w:t>
      </w:r>
      <w:r w:rsidRPr="007853E2">
        <w:t xml:space="preserve">had </w:t>
      </w:r>
      <w:r w:rsidR="007D14C1" w:rsidRPr="007853E2">
        <w:t xml:space="preserve">accredited the Department’s </w:t>
      </w:r>
      <w:r w:rsidR="00153D78" w:rsidRPr="007853E2">
        <w:t xml:space="preserve">Accredited Purchasing Unit </w:t>
      </w:r>
      <w:r w:rsidRPr="007853E2">
        <w:t xml:space="preserve">with </w:t>
      </w:r>
      <w:r w:rsidR="00153D78" w:rsidRPr="007853E2">
        <w:t>responsibility for the Department’s procurement activities up to $1</w:t>
      </w:r>
      <w:r w:rsidRPr="007853E2">
        <w:t xml:space="preserve"> </w:t>
      </w:r>
      <w:r w:rsidR="00153D78" w:rsidRPr="007853E2">
        <w:t>million</w:t>
      </w:r>
      <w:r w:rsidR="000F0B34" w:rsidRPr="007853E2">
        <w:t xml:space="preserve"> in value</w:t>
      </w:r>
      <w:r w:rsidR="00153D78" w:rsidRPr="007853E2">
        <w:t xml:space="preserve">. Goods and services </w:t>
      </w:r>
      <w:r w:rsidRPr="007853E2">
        <w:t xml:space="preserve">valued above this amount </w:t>
      </w:r>
      <w:r w:rsidR="00153D78" w:rsidRPr="007853E2">
        <w:t xml:space="preserve">required approval from the VGPB. </w:t>
      </w:r>
      <w:r w:rsidRPr="007853E2">
        <w:t xml:space="preserve">VGPB approval was complementary to, rather than a replacement of, internal assurance processes. </w:t>
      </w:r>
    </w:p>
    <w:p w14:paraId="7B78B7AC" w14:textId="77777777" w:rsidR="00153D78" w:rsidRPr="007853E2" w:rsidRDefault="00153D78">
      <w:pPr>
        <w:pStyle w:val="LDStandard2"/>
        <w:jc w:val="both"/>
      </w:pPr>
      <w:r w:rsidRPr="007853E2">
        <w:t>The $1</w:t>
      </w:r>
      <w:r w:rsidR="009F4057" w:rsidRPr="007853E2">
        <w:t xml:space="preserve"> </w:t>
      </w:r>
      <w:r w:rsidRPr="007853E2">
        <w:t xml:space="preserve">million threshold operated in isolation from any qualitative analysis of the risk, profile or strategic purpose of the procurement. </w:t>
      </w:r>
      <w:r w:rsidR="005D1661" w:rsidRPr="007853E2">
        <w:t xml:space="preserve"> </w:t>
      </w:r>
      <w:r w:rsidRPr="007853E2">
        <w:t xml:space="preserve"> </w:t>
      </w:r>
    </w:p>
    <w:p w14:paraId="612B4954" w14:textId="77777777" w:rsidR="00327192" w:rsidRPr="007853E2" w:rsidRDefault="005D1661">
      <w:pPr>
        <w:pStyle w:val="LDStandard2"/>
        <w:jc w:val="both"/>
      </w:pPr>
      <w:r w:rsidRPr="007853E2">
        <w:t xml:space="preserve">The </w:t>
      </w:r>
      <w:proofErr w:type="spellStart"/>
      <w:r w:rsidR="00153D78" w:rsidRPr="007853E2">
        <w:t>Ultranet</w:t>
      </w:r>
      <w:proofErr w:type="spellEnd"/>
      <w:r w:rsidR="00153D78" w:rsidRPr="007853E2">
        <w:t xml:space="preserve"> </w:t>
      </w:r>
      <w:r w:rsidR="00CE613D" w:rsidRPr="007853E2">
        <w:t xml:space="preserve">Project </w:t>
      </w:r>
      <w:r w:rsidR="00153D78" w:rsidRPr="007853E2">
        <w:t xml:space="preserve">was subject to </w:t>
      </w:r>
      <w:r w:rsidR="007D14C1" w:rsidRPr="007853E2">
        <w:t>the DTF</w:t>
      </w:r>
      <w:r w:rsidR="00153D78" w:rsidRPr="007853E2">
        <w:t xml:space="preserve"> Gateway Review process</w:t>
      </w:r>
      <w:r w:rsidR="00327192" w:rsidRPr="007853E2">
        <w:t>.</w:t>
      </w:r>
      <w:r w:rsidR="00153D78" w:rsidRPr="007853E2">
        <w:t xml:space="preserve"> </w:t>
      </w:r>
      <w:r w:rsidR="00327192" w:rsidRPr="007853E2">
        <w:t xml:space="preserve">A “Gateway Review” is a review by independent reviewers (appointed by the Infrastructure Policy and Assurance Branch of DTF) who provide independent and confidential advice in relation to project progress and the likelihood of delivery success.    </w:t>
      </w:r>
      <w:r w:rsidR="00153D78" w:rsidRPr="007853E2">
        <w:t xml:space="preserve"> </w:t>
      </w:r>
    </w:p>
    <w:p w14:paraId="54A9017E" w14:textId="77777777" w:rsidR="00153D78" w:rsidRPr="007853E2" w:rsidRDefault="00327192">
      <w:pPr>
        <w:pStyle w:val="LDStandard2"/>
        <w:jc w:val="both"/>
      </w:pPr>
      <w:r w:rsidRPr="007853E2">
        <w:t xml:space="preserve">The </w:t>
      </w:r>
      <w:proofErr w:type="spellStart"/>
      <w:r w:rsidR="00153D78" w:rsidRPr="007853E2">
        <w:t>Ultranet</w:t>
      </w:r>
      <w:proofErr w:type="spellEnd"/>
      <w:r w:rsidR="00153D78" w:rsidRPr="007853E2">
        <w:t xml:space="preserve"> received four </w:t>
      </w:r>
      <w:r w:rsidR="003E146B" w:rsidRPr="007853E2">
        <w:t>“</w:t>
      </w:r>
      <w:r w:rsidR="00153D78" w:rsidRPr="007853E2">
        <w:t>Red</w:t>
      </w:r>
      <w:r w:rsidR="003E146B" w:rsidRPr="007853E2">
        <w:t>”</w:t>
      </w:r>
      <w:r w:rsidR="00153D78" w:rsidRPr="007853E2">
        <w:t xml:space="preserve"> ratings and one </w:t>
      </w:r>
      <w:r w:rsidR="003E146B" w:rsidRPr="007853E2">
        <w:t>“</w:t>
      </w:r>
      <w:r w:rsidR="00153D78" w:rsidRPr="007853E2">
        <w:t>Amber</w:t>
      </w:r>
      <w:r w:rsidR="003E146B" w:rsidRPr="007853E2">
        <w:t>”</w:t>
      </w:r>
      <w:r w:rsidR="00153D78" w:rsidRPr="007853E2">
        <w:t xml:space="preserve"> rating </w:t>
      </w:r>
      <w:r w:rsidR="003E146B" w:rsidRPr="007853E2">
        <w:t xml:space="preserve">in </w:t>
      </w:r>
      <w:r w:rsidR="00153D78" w:rsidRPr="007853E2">
        <w:t>its Gateway Reviews.</w:t>
      </w:r>
      <w:r w:rsidR="00153D78" w:rsidRPr="007853E2">
        <w:rPr>
          <w:vertAlign w:val="superscript"/>
        </w:rPr>
        <w:footnoteReference w:id="1"/>
      </w:r>
      <w:r w:rsidR="00153D78" w:rsidRPr="007853E2">
        <w:t xml:space="preserve"> </w:t>
      </w:r>
    </w:p>
    <w:p w14:paraId="1174DF4E" w14:textId="77777777" w:rsidR="00153D78" w:rsidRPr="007853E2" w:rsidRDefault="00153D78">
      <w:pPr>
        <w:pStyle w:val="LDStandard2"/>
        <w:jc w:val="both"/>
        <w:rPr>
          <w:i/>
        </w:rPr>
      </w:pPr>
      <w:r w:rsidRPr="007853E2">
        <w:t xml:space="preserve">The Gateway Review process was not designed to elevate the concerns of the independent reviews regarding the project to central agencies or </w:t>
      </w:r>
      <w:r w:rsidR="00847712">
        <w:t>M</w:t>
      </w:r>
      <w:r w:rsidR="00847712" w:rsidRPr="007853E2">
        <w:t>inisters</w:t>
      </w:r>
      <w:r w:rsidRPr="007853E2">
        <w:t>. Recommendations arising from Gateway Reviews were confidential to the Senior Responsible Owner (</w:t>
      </w:r>
      <w:r w:rsidRPr="007853E2">
        <w:rPr>
          <w:b/>
        </w:rPr>
        <w:t>SRO</w:t>
      </w:r>
      <w:r w:rsidRPr="007853E2">
        <w:t xml:space="preserve">). As a result, DTF had no monitoring role with respect to the implementation of individual recommendations coming out of the Gateway </w:t>
      </w:r>
      <w:r w:rsidR="00CE613D" w:rsidRPr="007853E2">
        <w:t>Reviews</w:t>
      </w:r>
      <w:r w:rsidRPr="007853E2">
        <w:t xml:space="preserve">. The onus was on the SRO to action any recommendations made by the Gateway </w:t>
      </w:r>
      <w:r w:rsidR="00CE613D" w:rsidRPr="007853E2">
        <w:t xml:space="preserve">Review </w:t>
      </w:r>
      <w:r w:rsidRPr="007853E2">
        <w:t xml:space="preserve">team. The SRO for </w:t>
      </w:r>
      <w:r w:rsidR="00847712">
        <w:t xml:space="preserve">the </w:t>
      </w:r>
      <w:proofErr w:type="spellStart"/>
      <w:r w:rsidRPr="007853E2">
        <w:t>Ultranet</w:t>
      </w:r>
      <w:proofErr w:type="spellEnd"/>
      <w:r w:rsidRPr="007853E2">
        <w:t xml:space="preserve"> was shared between Jeff </w:t>
      </w:r>
      <w:proofErr w:type="spellStart"/>
      <w:r w:rsidRPr="007853E2">
        <w:t>Rosewarne</w:t>
      </w:r>
      <w:proofErr w:type="spellEnd"/>
      <w:r w:rsidRPr="007853E2">
        <w:t xml:space="preserve"> and Darrell Fraser. </w:t>
      </w:r>
    </w:p>
    <w:p w14:paraId="4BA764A3" w14:textId="77777777" w:rsidR="00153D78" w:rsidRPr="007853E2" w:rsidRDefault="006843EC">
      <w:pPr>
        <w:pStyle w:val="LDStandard2"/>
        <w:jc w:val="both"/>
      </w:pPr>
      <w:r w:rsidRPr="007853E2">
        <w:t xml:space="preserve">However, the Department cannot and should not rely on central agency scrutiny of its procurement activities in order to be assured that it is transparent, accountable and contracting for value for money. </w:t>
      </w:r>
      <w:r w:rsidR="00153D78" w:rsidRPr="007853E2">
        <w:t>Since 2013</w:t>
      </w:r>
      <w:r w:rsidR="00CE613D" w:rsidRPr="007853E2">
        <w:t>,</w:t>
      </w:r>
      <w:r w:rsidR="00153D78" w:rsidRPr="007853E2">
        <w:t xml:space="preserve"> there have been significant advances in procurement management at both a whole of government level and within the Department.</w:t>
      </w:r>
    </w:p>
    <w:p w14:paraId="6FCCAEFB" w14:textId="77777777" w:rsidR="00D4475A" w:rsidRPr="007853E2" w:rsidRDefault="00C8616E" w:rsidP="00B56EC3">
      <w:pPr>
        <w:pStyle w:val="VGSOHdg2"/>
        <w:jc w:val="both"/>
      </w:pPr>
      <w:bookmarkStart w:id="12" w:name="_Toc445877701"/>
      <w:r w:rsidRPr="007853E2">
        <w:lastRenderedPageBreak/>
        <w:t xml:space="preserve">Current </w:t>
      </w:r>
      <w:r w:rsidR="006D18C1">
        <w:t>P</w:t>
      </w:r>
      <w:r w:rsidR="006D18C1" w:rsidRPr="007853E2">
        <w:t xml:space="preserve">rocurement </w:t>
      </w:r>
      <w:r w:rsidRPr="007853E2">
        <w:t>policy and practice</w:t>
      </w:r>
      <w:bookmarkEnd w:id="10"/>
      <w:bookmarkEnd w:id="12"/>
      <w:r w:rsidRPr="007853E2">
        <w:t xml:space="preserve"> </w:t>
      </w:r>
    </w:p>
    <w:p w14:paraId="1A61D75C" w14:textId="77777777" w:rsidR="007E49E0" w:rsidRPr="007853E2" w:rsidRDefault="007E49E0">
      <w:pPr>
        <w:pStyle w:val="VGSOHdg3"/>
      </w:pPr>
      <w:r w:rsidRPr="007853E2">
        <w:t xml:space="preserve">Central agency monitoring  </w:t>
      </w:r>
    </w:p>
    <w:p w14:paraId="368FA7C9" w14:textId="77777777" w:rsidR="00E21193" w:rsidRPr="007853E2" w:rsidRDefault="00E21193">
      <w:pPr>
        <w:pStyle w:val="LDStandard2"/>
        <w:jc w:val="both"/>
      </w:pPr>
      <w:bookmarkStart w:id="13" w:name="_Ref319444467"/>
      <w:r w:rsidRPr="007853E2">
        <w:t>In February 2013</w:t>
      </w:r>
      <w:r w:rsidR="00923ABB" w:rsidRPr="007853E2">
        <w:t>,</w:t>
      </w:r>
      <w:r w:rsidRPr="007853E2">
        <w:t xml:space="preserve"> </w:t>
      </w:r>
      <w:r w:rsidR="00286CC1" w:rsidRPr="007853E2">
        <w:t xml:space="preserve">the </w:t>
      </w:r>
      <w:r w:rsidR="00652F0F" w:rsidRPr="007853E2">
        <w:t xml:space="preserve">VGPB </w:t>
      </w:r>
      <w:r w:rsidRPr="007853E2">
        <w:t>introduced a new policy frame</w:t>
      </w:r>
      <w:r w:rsidR="00F83581" w:rsidRPr="007853E2">
        <w:t>work for government procurement</w:t>
      </w:r>
      <w:r w:rsidR="00D912A7" w:rsidRPr="007853E2">
        <w:t>, which emphasises</w:t>
      </w:r>
      <w:r w:rsidR="004B1621" w:rsidRPr="007853E2">
        <w:t xml:space="preserve"> good governance, accountability and strategic planning.</w:t>
      </w:r>
      <w:r w:rsidR="00D912A7" w:rsidRPr="007853E2">
        <w:t xml:space="preserve"> </w:t>
      </w:r>
      <w:r w:rsidRPr="007853E2">
        <w:t xml:space="preserve">The new framework </w:t>
      </w:r>
      <w:r w:rsidR="00F83581" w:rsidRPr="007853E2">
        <w:t>consists of</w:t>
      </w:r>
      <w:r w:rsidRPr="007853E2">
        <w:t xml:space="preserve"> five clear principles-based policies.</w:t>
      </w:r>
      <w:bookmarkEnd w:id="13"/>
      <w:r w:rsidRPr="007853E2">
        <w:t>  </w:t>
      </w:r>
    </w:p>
    <w:p w14:paraId="402488CF" w14:textId="77777777" w:rsidR="008853BC" w:rsidRPr="007853E2" w:rsidRDefault="00E21193" w:rsidP="008023A2">
      <w:pPr>
        <w:pStyle w:val="LDStandard2"/>
        <w:jc w:val="both"/>
      </w:pPr>
      <w:r w:rsidRPr="007853E2">
        <w:t>DET transition</w:t>
      </w:r>
      <w:r w:rsidR="003B6CC0" w:rsidRPr="007853E2">
        <w:t>ed</w:t>
      </w:r>
      <w:r w:rsidRPr="007853E2">
        <w:t xml:space="preserve"> to the new policy framework on 1 July 2014. </w:t>
      </w:r>
      <w:r w:rsidR="00D912A7" w:rsidRPr="007853E2">
        <w:t>A</w:t>
      </w:r>
      <w:r w:rsidRPr="007853E2">
        <w:t xml:space="preserve">ccountability for procurement </w:t>
      </w:r>
      <w:r w:rsidR="00D912A7" w:rsidRPr="007853E2">
        <w:t xml:space="preserve">now </w:t>
      </w:r>
      <w:r w:rsidRPr="007853E2">
        <w:t>lies with the Secretary</w:t>
      </w:r>
      <w:r w:rsidR="00F83581" w:rsidRPr="007853E2">
        <w:t xml:space="preserve"> as the Accountable Officer</w:t>
      </w:r>
      <w:r w:rsidR="003B6CC0" w:rsidRPr="007853E2">
        <w:t>.</w:t>
      </w:r>
      <w:r w:rsidR="00D912A7" w:rsidRPr="007853E2">
        <w:t xml:space="preserve"> </w:t>
      </w:r>
      <w:r w:rsidR="003B6CC0" w:rsidRPr="007853E2">
        <w:t xml:space="preserve">The VGPB has </w:t>
      </w:r>
      <w:r w:rsidRPr="007853E2">
        <w:t xml:space="preserve">a strategic oversight role for procurements of goods and services that are complex or high risk. </w:t>
      </w:r>
    </w:p>
    <w:p w14:paraId="54A14F48" w14:textId="77777777" w:rsidR="008853BC" w:rsidRPr="007853E2" w:rsidRDefault="00D912A7" w:rsidP="003B65CA">
      <w:pPr>
        <w:pStyle w:val="LDStandard2"/>
        <w:jc w:val="both"/>
      </w:pPr>
      <w:bookmarkStart w:id="14" w:name="_Ref319444577"/>
      <w:r w:rsidRPr="007853E2">
        <w:t>M</w:t>
      </w:r>
      <w:r w:rsidR="008853BC" w:rsidRPr="007853E2">
        <w:t xml:space="preserve">ajor ICT projects </w:t>
      </w:r>
      <w:r w:rsidRPr="007853E2">
        <w:t xml:space="preserve">now </w:t>
      </w:r>
      <w:r w:rsidR="008853BC" w:rsidRPr="007853E2">
        <w:t xml:space="preserve">receive project </w:t>
      </w:r>
      <w:r w:rsidR="00344489" w:rsidRPr="007853E2">
        <w:t xml:space="preserve">advice and assurance </w:t>
      </w:r>
      <w:r w:rsidR="00375777" w:rsidRPr="007853E2">
        <w:t xml:space="preserve">from DTF </w:t>
      </w:r>
      <w:r w:rsidR="00D940D1" w:rsidRPr="007853E2">
        <w:t xml:space="preserve">that </w:t>
      </w:r>
      <w:r w:rsidR="00344489" w:rsidRPr="007853E2">
        <w:t xml:space="preserve">the project can </w:t>
      </w:r>
      <w:proofErr w:type="gramStart"/>
      <w:r w:rsidR="00344489" w:rsidRPr="007853E2">
        <w:t>proceed</w:t>
      </w:r>
      <w:proofErr w:type="gramEnd"/>
      <w:r w:rsidR="00344489" w:rsidRPr="007853E2">
        <w:t xml:space="preserve"> successfully to the next stage</w:t>
      </w:r>
      <w:r w:rsidR="008853BC" w:rsidRPr="007853E2">
        <w:t>. Since 2012,</w:t>
      </w:r>
      <w:r w:rsidR="00E21193" w:rsidRPr="007853E2">
        <w:t xml:space="preserve"> </w:t>
      </w:r>
      <w:r w:rsidR="00AE21B4" w:rsidRPr="007853E2">
        <w:t>infrastructure or ICT procurement</w:t>
      </w:r>
      <w:r w:rsidR="00AE21B4" w:rsidRPr="007853E2" w:rsidDel="00AE21B4">
        <w:t xml:space="preserve"> </w:t>
      </w:r>
      <w:r w:rsidRPr="007853E2">
        <w:t xml:space="preserve">that meets </w:t>
      </w:r>
      <w:r w:rsidR="0053640F" w:rsidRPr="007853E2">
        <w:t xml:space="preserve">any of </w:t>
      </w:r>
      <w:r w:rsidRPr="007853E2">
        <w:t>the following criteria can be nominated to receive the additional scrutiny and support of DTF under the High Risk and/or High Value (</w:t>
      </w:r>
      <w:r w:rsidRPr="00F31348">
        <w:rPr>
          <w:b/>
        </w:rPr>
        <w:t>HRHV</w:t>
      </w:r>
      <w:r w:rsidRPr="007853E2">
        <w:t>) Gateway process:</w:t>
      </w:r>
      <w:bookmarkEnd w:id="14"/>
      <w:r w:rsidRPr="007853E2">
        <w:t xml:space="preserve">  </w:t>
      </w:r>
      <w:r w:rsidR="00344489" w:rsidRPr="007853E2">
        <w:t xml:space="preserve"> </w:t>
      </w:r>
    </w:p>
    <w:p w14:paraId="4B6B4E14" w14:textId="77777777" w:rsidR="008853BC" w:rsidRPr="007853E2" w:rsidRDefault="008853BC" w:rsidP="008023A2">
      <w:pPr>
        <w:pStyle w:val="LDStandard4"/>
        <w:jc w:val="both"/>
      </w:pPr>
      <w:r w:rsidRPr="007853E2">
        <w:t>a total estimated investment greater than $100 million; </w:t>
      </w:r>
      <w:r w:rsidR="00344489" w:rsidRPr="007853E2">
        <w:t xml:space="preserve"> </w:t>
      </w:r>
      <w:r w:rsidR="0053640F" w:rsidRPr="007853E2">
        <w:t xml:space="preserve"> </w:t>
      </w:r>
      <w:r w:rsidR="00344489" w:rsidRPr="007853E2">
        <w:t xml:space="preserve"> </w:t>
      </w:r>
    </w:p>
    <w:p w14:paraId="6E9F35B2" w14:textId="77777777" w:rsidR="00344489" w:rsidRPr="007853E2" w:rsidRDefault="008853BC" w:rsidP="008023A2">
      <w:pPr>
        <w:pStyle w:val="LDStandard4"/>
        <w:jc w:val="both"/>
      </w:pPr>
      <w:r w:rsidRPr="007853E2">
        <w:t>identified as high risk using an approved risk assessment tool</w:t>
      </w:r>
      <w:r w:rsidR="00344489" w:rsidRPr="007853E2">
        <w:t>;</w:t>
      </w:r>
      <w:r w:rsidRPr="007853E2">
        <w:t xml:space="preserve"> </w:t>
      </w:r>
      <w:r w:rsidR="00AE21B4">
        <w:t>or</w:t>
      </w:r>
    </w:p>
    <w:p w14:paraId="6CDBE519" w14:textId="77777777" w:rsidR="008853BC" w:rsidRPr="007853E2" w:rsidRDefault="008853BC" w:rsidP="008023A2">
      <w:pPr>
        <w:pStyle w:val="LDStandard4"/>
        <w:jc w:val="both"/>
      </w:pPr>
      <w:proofErr w:type="gramStart"/>
      <w:r w:rsidRPr="007853E2">
        <w:t>determined</w:t>
      </w:r>
      <w:proofErr w:type="gramEnd"/>
      <w:r w:rsidRPr="007853E2">
        <w:t xml:space="preserve"> by the Government </w:t>
      </w:r>
      <w:r w:rsidR="00D912A7" w:rsidRPr="007853E2">
        <w:t xml:space="preserve">as requiring </w:t>
      </w:r>
      <w:r w:rsidRPr="007853E2">
        <w:t>increased oversight. </w:t>
      </w:r>
    </w:p>
    <w:p w14:paraId="4AF0DE9A" w14:textId="77777777" w:rsidR="00652F0F" w:rsidRPr="007853E2" w:rsidRDefault="00652F0F">
      <w:pPr>
        <w:pStyle w:val="LDStandard2"/>
        <w:jc w:val="both"/>
      </w:pPr>
      <w:r w:rsidRPr="007853E2">
        <w:t xml:space="preserve">The HVHR framework </w:t>
      </w:r>
      <w:r w:rsidR="00593021">
        <w:t xml:space="preserve">is designed to </w:t>
      </w:r>
      <w:r w:rsidRPr="007853E2">
        <w:t xml:space="preserve">provide the Government with greater confidence that major infrastructure and ICT investments will be successfully delivered. The HVHR framework requires additional DTF scrutiny and Treasurer </w:t>
      </w:r>
      <w:proofErr w:type="gramStart"/>
      <w:r w:rsidRPr="007853E2">
        <w:t>approval</w:t>
      </w:r>
      <w:proofErr w:type="gramEnd"/>
      <w:r w:rsidRPr="007853E2">
        <w:t xml:space="preserve"> at key milestones throughout a project’s lifecycle to provide increased assurance that projects have robust business cases</w:t>
      </w:r>
      <w:r w:rsidR="00375777" w:rsidRPr="007853E2">
        <w:t>,</w:t>
      </w:r>
      <w:r w:rsidRPr="007853E2">
        <w:t xml:space="preserve"> will be completed within </w:t>
      </w:r>
      <w:r w:rsidR="00375777" w:rsidRPr="007853E2">
        <w:t xml:space="preserve">the </w:t>
      </w:r>
      <w:r w:rsidRPr="007853E2">
        <w:t>approved budget and schedule</w:t>
      </w:r>
      <w:r w:rsidR="00E13C49" w:rsidRPr="007853E2">
        <w:t>,</w:t>
      </w:r>
      <w:r w:rsidRPr="007853E2">
        <w:t xml:space="preserve"> and will deliver the intended benefits.</w:t>
      </w:r>
    </w:p>
    <w:p w14:paraId="159890CA" w14:textId="77777777" w:rsidR="00C01E7B" w:rsidRPr="007853E2" w:rsidRDefault="00D4475A">
      <w:pPr>
        <w:pStyle w:val="LDStandard2"/>
        <w:jc w:val="both"/>
      </w:pPr>
      <w:r w:rsidRPr="007853E2">
        <w:t xml:space="preserve">Pursuant to DTF’s Investment Lifecycle Guidelines, </w:t>
      </w:r>
      <w:r w:rsidR="00E21193" w:rsidRPr="007853E2">
        <w:t>HRHV ICT investments now require the Treasurer’s approval</w:t>
      </w:r>
      <w:r w:rsidR="00E13C49" w:rsidRPr="007853E2">
        <w:t xml:space="preserve"> at the following stages</w:t>
      </w:r>
      <w:r w:rsidR="00C01E7B" w:rsidRPr="007853E2">
        <w:t>:</w:t>
      </w:r>
      <w:r w:rsidR="007E49E0" w:rsidRPr="007853E2">
        <w:t xml:space="preserve"> </w:t>
      </w:r>
    </w:p>
    <w:p w14:paraId="18F75CDE" w14:textId="77777777" w:rsidR="00C01E7B" w:rsidRPr="007853E2" w:rsidRDefault="007E49E0" w:rsidP="008023A2">
      <w:pPr>
        <w:pStyle w:val="LDStandard4"/>
        <w:jc w:val="both"/>
      </w:pPr>
      <w:r w:rsidRPr="007853E2">
        <w:t xml:space="preserve">business case </w:t>
      </w:r>
      <w:r w:rsidR="00C01E7B" w:rsidRPr="007853E2">
        <w:t xml:space="preserve">– assessing the project’s deliverability before government funding </w:t>
      </w:r>
      <w:r w:rsidR="00375777" w:rsidRPr="007853E2">
        <w:t xml:space="preserve">is </w:t>
      </w:r>
      <w:r w:rsidR="00C01E7B" w:rsidRPr="007853E2">
        <w:t>consider</w:t>
      </w:r>
      <w:r w:rsidR="00375777" w:rsidRPr="007853E2">
        <w:t>ed</w:t>
      </w:r>
      <w:r w:rsidR="00C01E7B" w:rsidRPr="007853E2">
        <w:t xml:space="preserve">; </w:t>
      </w:r>
      <w:r w:rsidR="001A0418">
        <w:t>and</w:t>
      </w:r>
      <w:r w:rsidR="00C01E7B" w:rsidRPr="007853E2">
        <w:t xml:space="preserve"> </w:t>
      </w:r>
      <w:r w:rsidRPr="007853E2">
        <w:t xml:space="preserve"> </w:t>
      </w:r>
    </w:p>
    <w:p w14:paraId="64B26F10" w14:textId="77777777" w:rsidR="00C01E7B" w:rsidRPr="007853E2" w:rsidRDefault="007E49E0" w:rsidP="008023A2">
      <w:pPr>
        <w:pStyle w:val="LDStandard4"/>
        <w:jc w:val="both"/>
      </w:pPr>
      <w:r w:rsidRPr="007853E2">
        <w:t>tender</w:t>
      </w:r>
      <w:r w:rsidR="00C01E7B" w:rsidRPr="007853E2">
        <w:t>ing:</w:t>
      </w:r>
    </w:p>
    <w:p w14:paraId="2C5B9E6B" w14:textId="77777777" w:rsidR="00C01E7B" w:rsidRPr="007853E2" w:rsidRDefault="00C01E7B" w:rsidP="008023A2">
      <w:pPr>
        <w:pStyle w:val="LDStandard5"/>
        <w:jc w:val="both"/>
      </w:pPr>
      <w:r w:rsidRPr="007853E2">
        <w:t xml:space="preserve">prior to the release of </w:t>
      </w:r>
      <w:r w:rsidR="007E49E0" w:rsidRPr="007853E2">
        <w:t>expression</w:t>
      </w:r>
      <w:r w:rsidRPr="007853E2">
        <w:t>s</w:t>
      </w:r>
      <w:r w:rsidR="007E49E0" w:rsidRPr="007853E2">
        <w:t xml:space="preserve"> of interests</w:t>
      </w:r>
      <w:r w:rsidRPr="007853E2">
        <w:t xml:space="preserve">; </w:t>
      </w:r>
    </w:p>
    <w:p w14:paraId="51D92E09" w14:textId="77777777" w:rsidR="00C01E7B" w:rsidRPr="007853E2" w:rsidRDefault="00C01E7B" w:rsidP="008023A2">
      <w:pPr>
        <w:pStyle w:val="LDStandard5"/>
        <w:jc w:val="both"/>
      </w:pPr>
      <w:r w:rsidRPr="007853E2">
        <w:t>prior to the release of requests for tender;</w:t>
      </w:r>
    </w:p>
    <w:p w14:paraId="13C7EDD5" w14:textId="77777777" w:rsidR="00C01E7B" w:rsidRPr="007853E2" w:rsidRDefault="00C01E7B" w:rsidP="008023A2">
      <w:pPr>
        <w:pStyle w:val="LDStandard5"/>
        <w:jc w:val="both"/>
      </w:pPr>
      <w:r w:rsidRPr="007853E2">
        <w:t>prior to the announcement of the preferred bid;</w:t>
      </w:r>
    </w:p>
    <w:p w14:paraId="77FBC0B1" w14:textId="77777777" w:rsidR="007E49E0" w:rsidRPr="007853E2" w:rsidRDefault="00C01E7B" w:rsidP="008023A2">
      <w:pPr>
        <w:pStyle w:val="LDStandard5"/>
        <w:jc w:val="both"/>
      </w:pPr>
      <w:proofErr w:type="gramStart"/>
      <w:r w:rsidRPr="007853E2">
        <w:t>prior</w:t>
      </w:r>
      <w:proofErr w:type="gramEnd"/>
      <w:r w:rsidRPr="007853E2">
        <w:t xml:space="preserve"> to signing contracts and any major </w:t>
      </w:r>
      <w:r w:rsidR="00375777" w:rsidRPr="007853E2">
        <w:t xml:space="preserve">contract </w:t>
      </w:r>
      <w:r w:rsidRPr="007853E2">
        <w:t xml:space="preserve">variation. </w:t>
      </w:r>
    </w:p>
    <w:p w14:paraId="101C4EF9" w14:textId="77777777" w:rsidR="00652F0F" w:rsidRPr="007853E2" w:rsidRDefault="0020138D">
      <w:pPr>
        <w:pStyle w:val="LDStandard2"/>
        <w:jc w:val="both"/>
      </w:pPr>
      <w:r w:rsidRPr="007853E2">
        <w:t>Gateway Reviews</w:t>
      </w:r>
      <w:r w:rsidR="00CE613D" w:rsidRPr="007853E2">
        <w:t xml:space="preserve"> </w:t>
      </w:r>
      <w:r w:rsidR="00E21193" w:rsidRPr="007853E2">
        <w:t>are now mandatory for HVHR pr</w:t>
      </w:r>
      <w:r w:rsidR="00D4475A" w:rsidRPr="007853E2">
        <w:t>ojects</w:t>
      </w:r>
      <w:r w:rsidR="007E49E0" w:rsidRPr="007853E2">
        <w:t xml:space="preserve"> (</w:t>
      </w:r>
      <w:r w:rsidR="00D4475A" w:rsidRPr="007853E2">
        <w:t>including ICT projects</w:t>
      </w:r>
      <w:r w:rsidR="007E49E0" w:rsidRPr="007853E2">
        <w:t>) at all six procurement stages</w:t>
      </w:r>
      <w:r w:rsidR="00237F04" w:rsidRPr="007853E2">
        <w:t>.</w:t>
      </w:r>
      <w:r w:rsidR="00237F04" w:rsidRPr="007853E2">
        <w:rPr>
          <w:rStyle w:val="FootnoteReference"/>
        </w:rPr>
        <w:footnoteReference w:id="2"/>
      </w:r>
      <w:r w:rsidR="00237F04" w:rsidRPr="007853E2">
        <w:t xml:space="preserve"> </w:t>
      </w:r>
      <w:r w:rsidR="00403E4B" w:rsidRPr="007853E2">
        <w:t xml:space="preserve">All individual recommendations in Gates 1 to 4 in a Gateway report with a </w:t>
      </w:r>
      <w:r w:rsidR="007E49E0" w:rsidRPr="007853E2">
        <w:t>“</w:t>
      </w:r>
      <w:r w:rsidR="003E146B" w:rsidRPr="007853E2">
        <w:t>Red</w:t>
      </w:r>
      <w:r w:rsidR="007E49E0" w:rsidRPr="007853E2">
        <w:t>”</w:t>
      </w:r>
      <w:r w:rsidR="00E21193" w:rsidRPr="007853E2">
        <w:t xml:space="preserve"> rating must be reported to the Treasurer outlining the risk mitigation</w:t>
      </w:r>
      <w:r w:rsidR="00EA16AC" w:rsidRPr="007853E2">
        <w:t xml:space="preserve"> strategy</w:t>
      </w:r>
      <w:r w:rsidR="00E21193" w:rsidRPr="007853E2">
        <w:t xml:space="preserve">. </w:t>
      </w:r>
    </w:p>
    <w:p w14:paraId="2868E2CE" w14:textId="77777777" w:rsidR="00652F0F" w:rsidRPr="007853E2" w:rsidRDefault="00652F0F">
      <w:pPr>
        <w:pStyle w:val="LDStandard2"/>
        <w:jc w:val="both"/>
      </w:pPr>
      <w:r w:rsidRPr="007853E2">
        <w:lastRenderedPageBreak/>
        <w:t>This is a significant change in DTF’s policy. Previously</w:t>
      </w:r>
      <w:r w:rsidR="00CF0099" w:rsidRPr="007853E2">
        <w:t>,</w:t>
      </w:r>
      <w:r w:rsidRPr="007853E2">
        <w:t xml:space="preserve"> recommendations arising from Gateway Reviews were confidential to the </w:t>
      </w:r>
      <w:r w:rsidR="00E13C49" w:rsidRPr="007853E2">
        <w:t>SRO</w:t>
      </w:r>
      <w:r w:rsidRPr="007853E2">
        <w:t xml:space="preserve"> for the project within the Department. The removal of confidentiality from assurance advice on projects is a welcome reform that allows appropriate escalation where the risk ratings warrant such action.  </w:t>
      </w:r>
    </w:p>
    <w:p w14:paraId="5AD1CB08" w14:textId="77777777" w:rsidR="00E21193" w:rsidRPr="00F31348" w:rsidRDefault="00E21193">
      <w:pPr>
        <w:pStyle w:val="LDStandard2"/>
        <w:jc w:val="both"/>
      </w:pPr>
      <w:bookmarkStart w:id="15" w:name="_Ref319444503"/>
      <w:r w:rsidRPr="007853E2">
        <w:t xml:space="preserve">DTF </w:t>
      </w:r>
      <w:r w:rsidR="00E13C49" w:rsidRPr="007853E2">
        <w:t xml:space="preserve">now </w:t>
      </w:r>
      <w:r w:rsidRPr="007853E2">
        <w:t xml:space="preserve">prepares Major Project Performance Reporting quarterly for Cabinet </w:t>
      </w:r>
      <w:r w:rsidR="007E49E0" w:rsidRPr="007853E2">
        <w:t xml:space="preserve">which </w:t>
      </w:r>
      <w:r w:rsidRPr="007853E2">
        <w:t>focus</w:t>
      </w:r>
      <w:r w:rsidR="007E49E0" w:rsidRPr="007853E2">
        <w:t>es</w:t>
      </w:r>
      <w:r w:rsidRPr="007853E2">
        <w:t xml:space="preserve"> on HVHR </w:t>
      </w:r>
      <w:r w:rsidRPr="00F31348">
        <w:t>projects.</w:t>
      </w:r>
      <w:bookmarkEnd w:id="15"/>
      <w:r w:rsidRPr="00F31348">
        <w:t> </w:t>
      </w:r>
    </w:p>
    <w:p w14:paraId="3D66D5B6" w14:textId="77777777" w:rsidR="00923ABB" w:rsidRPr="007853E2" w:rsidRDefault="007E49E0">
      <w:pPr>
        <w:pStyle w:val="VGSOHdg3"/>
      </w:pPr>
      <w:r w:rsidRPr="007853E2">
        <w:t>Department processes</w:t>
      </w:r>
      <w:r w:rsidR="00923ABB" w:rsidRPr="007853E2">
        <w:t xml:space="preserve"> strengthened </w:t>
      </w:r>
    </w:p>
    <w:p w14:paraId="2D217EDC" w14:textId="77777777" w:rsidR="007E49E0" w:rsidRPr="007853E2" w:rsidRDefault="007E49E0">
      <w:pPr>
        <w:pStyle w:val="LDStandard2"/>
        <w:jc w:val="both"/>
      </w:pPr>
      <w:r w:rsidRPr="007853E2">
        <w:t xml:space="preserve">In addition to the increased central agency monitoring and advice, the new </w:t>
      </w:r>
      <w:r w:rsidR="009C00EC" w:rsidRPr="007853E2">
        <w:t xml:space="preserve">VGPB </w:t>
      </w:r>
      <w:r w:rsidRPr="007853E2">
        <w:t>framework has resulted in the following changes to the Department’s procurement processes.   </w:t>
      </w:r>
    </w:p>
    <w:p w14:paraId="790C8C4B" w14:textId="77777777" w:rsidR="009C00EC" w:rsidRPr="007853E2" w:rsidRDefault="009C00EC">
      <w:pPr>
        <w:pStyle w:val="LDStandard2"/>
        <w:jc w:val="both"/>
      </w:pPr>
      <w:r w:rsidRPr="007853E2">
        <w:t>The Department applies the following VGPB principles to all of its procurement activity: value for money, accountability, probity, and scalability.   </w:t>
      </w:r>
    </w:p>
    <w:p w14:paraId="716F194C" w14:textId="77777777" w:rsidR="004E5556" w:rsidRPr="007853E2" w:rsidRDefault="004E5556">
      <w:pPr>
        <w:pStyle w:val="LDStandard2"/>
        <w:jc w:val="both"/>
      </w:pPr>
      <w:r w:rsidRPr="007853E2">
        <w:t>The approval framework for procurement activity is scaled according to the level of procurement, complexity, risk and value.</w:t>
      </w:r>
      <w:r w:rsidR="006A6CC8" w:rsidRPr="007853E2">
        <w:t xml:space="preserve"> Procurement of greater risk, complexity or value must be approved by the Procurement and Probity Committee </w:t>
      </w:r>
      <w:r w:rsidR="007D1A7F" w:rsidRPr="007853E2">
        <w:t>(</w:t>
      </w:r>
      <w:r w:rsidR="007D1A7F" w:rsidRPr="007853E2">
        <w:rPr>
          <w:b/>
        </w:rPr>
        <w:t>PPC</w:t>
      </w:r>
      <w:r w:rsidR="007D1A7F" w:rsidRPr="007853E2">
        <w:t xml:space="preserve">) </w:t>
      </w:r>
      <w:r w:rsidR="006A6CC8" w:rsidRPr="007853E2">
        <w:t>or the Chief Procurement Officer</w:t>
      </w:r>
      <w:r w:rsidR="004C2527" w:rsidRPr="007853E2">
        <w:t xml:space="preserve"> (</w:t>
      </w:r>
      <w:r w:rsidR="004C2527" w:rsidRPr="007853E2">
        <w:rPr>
          <w:b/>
        </w:rPr>
        <w:t>CPO</w:t>
      </w:r>
      <w:r w:rsidR="004C2527" w:rsidRPr="007853E2">
        <w:t>)</w:t>
      </w:r>
      <w:r w:rsidR="006A6CC8" w:rsidRPr="007853E2">
        <w:t>. Procurement of low value, complexity or risk is approved by the Procurement Owner and Financial Delegate</w:t>
      </w:r>
      <w:r w:rsidR="003E146B" w:rsidRPr="007853E2">
        <w:t>,</w:t>
      </w:r>
      <w:r w:rsidR="006A6CC8" w:rsidRPr="007853E2">
        <w:t xml:space="preserve"> in accordance with a pre-determined market approach and governance process. </w:t>
      </w:r>
    </w:p>
    <w:p w14:paraId="4E2A62C8" w14:textId="77777777" w:rsidR="000F5472" w:rsidRPr="007853E2" w:rsidRDefault="00D4475A">
      <w:pPr>
        <w:pStyle w:val="LDStandard2"/>
        <w:jc w:val="both"/>
      </w:pPr>
      <w:r w:rsidRPr="007853E2">
        <w:t xml:space="preserve">The </w:t>
      </w:r>
      <w:r w:rsidR="00E21193" w:rsidRPr="007853E2">
        <w:t>Procurement Division</w:t>
      </w:r>
      <w:r w:rsidR="007E49E0" w:rsidRPr="007853E2">
        <w:t xml:space="preserve">: </w:t>
      </w:r>
    </w:p>
    <w:p w14:paraId="4B1C7B55" w14:textId="77777777" w:rsidR="007E49E0" w:rsidRPr="007853E2" w:rsidRDefault="007E49E0" w:rsidP="008023A2">
      <w:pPr>
        <w:pStyle w:val="LDStandard4"/>
        <w:jc w:val="both"/>
      </w:pPr>
      <w:r w:rsidRPr="007853E2">
        <w:t xml:space="preserve">is now led by a </w:t>
      </w:r>
      <w:r w:rsidR="009C00EC" w:rsidRPr="007853E2">
        <w:t>CPO</w:t>
      </w:r>
      <w:r w:rsidRPr="007853E2">
        <w:t xml:space="preserve"> and Procurement Director, </w:t>
      </w:r>
      <w:r w:rsidR="009C00EC" w:rsidRPr="007853E2">
        <w:t xml:space="preserve">both of </w:t>
      </w:r>
      <w:r w:rsidRPr="007853E2">
        <w:t>who</w:t>
      </w:r>
      <w:r w:rsidR="009C00EC" w:rsidRPr="007853E2">
        <w:t>m</w:t>
      </w:r>
      <w:r w:rsidRPr="007853E2">
        <w:t xml:space="preserve"> must have specialist procurement expertise</w:t>
      </w:r>
      <w:r w:rsidR="00B74479" w:rsidRPr="007853E2">
        <w:t>;</w:t>
      </w:r>
    </w:p>
    <w:p w14:paraId="1EB43C34" w14:textId="77777777" w:rsidR="00E21193" w:rsidRPr="007853E2" w:rsidRDefault="00AA192D" w:rsidP="008023A2">
      <w:pPr>
        <w:pStyle w:val="LDStandard4"/>
        <w:jc w:val="both"/>
      </w:pPr>
      <w:r w:rsidRPr="007853E2">
        <w:t xml:space="preserve">publicly </w:t>
      </w:r>
      <w:r w:rsidR="007E49E0" w:rsidRPr="007853E2">
        <w:t xml:space="preserve">releases a </w:t>
      </w:r>
      <w:r w:rsidR="00E21193" w:rsidRPr="007853E2">
        <w:t>procurement forecast activity plan twice annually to alert the market to impending tenders</w:t>
      </w:r>
      <w:r w:rsidR="00B74479" w:rsidRPr="007853E2">
        <w:t>;   </w:t>
      </w:r>
    </w:p>
    <w:p w14:paraId="037665F2" w14:textId="77777777" w:rsidR="00E21193" w:rsidRPr="007853E2" w:rsidRDefault="00494DC5" w:rsidP="008023A2">
      <w:pPr>
        <w:pStyle w:val="LDStandard4"/>
        <w:jc w:val="both"/>
      </w:pPr>
      <w:r w:rsidRPr="007853E2">
        <w:t>periodically undertakes r</w:t>
      </w:r>
      <w:r w:rsidR="00E21193" w:rsidRPr="007853E2">
        <w:t>andomised audits of procurement activities</w:t>
      </w:r>
      <w:r w:rsidR="00B74479" w:rsidRPr="007853E2">
        <w:t>;</w:t>
      </w:r>
      <w:r w:rsidR="00DC196C" w:rsidRPr="007853E2">
        <w:t xml:space="preserve"> and</w:t>
      </w:r>
    </w:p>
    <w:p w14:paraId="70319A3A" w14:textId="77777777" w:rsidR="00E21193" w:rsidRPr="007853E2" w:rsidRDefault="00E21193" w:rsidP="008023A2">
      <w:pPr>
        <w:pStyle w:val="LDStandard4"/>
        <w:jc w:val="both"/>
      </w:pPr>
      <w:proofErr w:type="gramStart"/>
      <w:r w:rsidRPr="007853E2">
        <w:t>is</w:t>
      </w:r>
      <w:proofErr w:type="gramEnd"/>
      <w:r w:rsidRPr="007853E2">
        <w:t xml:space="preserve"> developing </w:t>
      </w:r>
      <w:r w:rsidR="009D5511" w:rsidRPr="007853E2">
        <w:t>improved procurement capability and accountability across the Department.  </w:t>
      </w:r>
      <w:r w:rsidRPr="007853E2">
        <w:t>  </w:t>
      </w:r>
    </w:p>
    <w:p w14:paraId="39F68E71" w14:textId="77777777" w:rsidR="000F5472" w:rsidRPr="007853E2" w:rsidRDefault="000F5472">
      <w:pPr>
        <w:pStyle w:val="LDStandard2"/>
        <w:jc w:val="both"/>
      </w:pPr>
      <w:r w:rsidRPr="007853E2">
        <w:t xml:space="preserve">Procurement Category Managers </w:t>
      </w:r>
      <w:r w:rsidR="007E49E0" w:rsidRPr="007853E2">
        <w:t>are</w:t>
      </w:r>
      <w:r w:rsidRPr="007853E2">
        <w:t xml:space="preserve"> responsible for different categories of procurement and provide </w:t>
      </w:r>
      <w:r w:rsidR="00921E1F" w:rsidRPr="007853E2">
        <w:t xml:space="preserve">advice and oversight </w:t>
      </w:r>
      <w:r w:rsidR="003E146B" w:rsidRPr="007853E2">
        <w:t>for</w:t>
      </w:r>
      <w:r w:rsidR="00921E1F" w:rsidRPr="007853E2">
        <w:t xml:space="preserve"> procurement plans and actions throughout the life </w:t>
      </w:r>
      <w:r w:rsidR="00AA192D" w:rsidRPr="007853E2">
        <w:t xml:space="preserve">of </w:t>
      </w:r>
      <w:r w:rsidR="00921E1F" w:rsidRPr="007853E2">
        <w:t>the procurement processes in each of their respective categories</w:t>
      </w:r>
      <w:r w:rsidRPr="007853E2">
        <w:t xml:space="preserve">. This </w:t>
      </w:r>
      <w:r w:rsidR="00593021">
        <w:t xml:space="preserve">is designed to </w:t>
      </w:r>
      <w:r w:rsidR="00B74479" w:rsidRPr="007853E2">
        <w:t xml:space="preserve">enable </w:t>
      </w:r>
      <w:r w:rsidR="00593021">
        <w:t>Category Managers</w:t>
      </w:r>
      <w:r w:rsidR="00B74479" w:rsidRPr="007853E2">
        <w:t xml:space="preserve"> to </w:t>
      </w:r>
      <w:r w:rsidR="00DC196C" w:rsidRPr="007853E2">
        <w:t>see</w:t>
      </w:r>
      <w:r w:rsidR="00B74479" w:rsidRPr="007853E2">
        <w:t xml:space="preserve"> </w:t>
      </w:r>
      <w:r w:rsidRPr="007853E2">
        <w:t>trends and behaviours</w:t>
      </w:r>
      <w:r w:rsidR="00DC196C" w:rsidRPr="007853E2">
        <w:t xml:space="preserve"> and identify irregularities</w:t>
      </w:r>
      <w:r w:rsidRPr="007853E2">
        <w:t xml:space="preserve">. </w:t>
      </w:r>
      <w:r w:rsidR="007E49E0" w:rsidRPr="007853E2">
        <w:t xml:space="preserve"> </w:t>
      </w:r>
    </w:p>
    <w:p w14:paraId="42C36A21" w14:textId="77777777" w:rsidR="00E21193" w:rsidRPr="007853E2" w:rsidRDefault="00E21193">
      <w:pPr>
        <w:pStyle w:val="LDStandard2"/>
        <w:jc w:val="both"/>
      </w:pPr>
      <w:r w:rsidRPr="007853E2">
        <w:t>Since 2014</w:t>
      </w:r>
      <w:r w:rsidR="00AA192D" w:rsidRPr="007853E2">
        <w:t>,</w:t>
      </w:r>
      <w:r w:rsidRPr="007853E2">
        <w:t xml:space="preserve"> the Department has operated an interactive intranet portal which centralises and standardises all procurement activity in the Department. The system has the following advantages: </w:t>
      </w:r>
    </w:p>
    <w:p w14:paraId="5DCB4F19" w14:textId="77777777" w:rsidR="00E21193" w:rsidRPr="007853E2" w:rsidRDefault="00E21193" w:rsidP="009A018C">
      <w:pPr>
        <w:pStyle w:val="LDStandard4"/>
        <w:jc w:val="both"/>
      </w:pPr>
      <w:r w:rsidRPr="007853E2">
        <w:t xml:space="preserve">all procurement activity </w:t>
      </w:r>
      <w:r w:rsidR="00921E1F" w:rsidRPr="007853E2">
        <w:t xml:space="preserve">must </w:t>
      </w:r>
      <w:r w:rsidRPr="007853E2">
        <w:t>be commenced on the central portal</w:t>
      </w:r>
      <w:r w:rsidR="00494DC5" w:rsidRPr="007853E2">
        <w:t xml:space="preserve">, </w:t>
      </w:r>
      <w:r w:rsidR="00CC41AD" w:rsidRPr="007853E2">
        <w:t xml:space="preserve">which </w:t>
      </w:r>
      <w:r w:rsidR="00494DC5" w:rsidRPr="007853E2">
        <w:t>enables the Procurement Division to see all procurement</w:t>
      </w:r>
      <w:r w:rsidR="00921E1F" w:rsidRPr="007853E2">
        <w:t xml:space="preserve"> across the Department</w:t>
      </w:r>
      <w:r w:rsidR="009A018C" w:rsidRPr="007853E2">
        <w:t>;</w:t>
      </w:r>
      <w:r w:rsidR="00921E1F" w:rsidRPr="007853E2">
        <w:t xml:space="preserve"> </w:t>
      </w:r>
    </w:p>
    <w:p w14:paraId="5BA66D7D" w14:textId="77777777" w:rsidR="00E21193" w:rsidRPr="007853E2" w:rsidRDefault="00494DC5" w:rsidP="009A018C">
      <w:pPr>
        <w:pStyle w:val="LDStandard4"/>
        <w:jc w:val="both"/>
      </w:pPr>
      <w:proofErr w:type="gramStart"/>
      <w:r w:rsidRPr="007853E2">
        <w:t>it</w:t>
      </w:r>
      <w:proofErr w:type="gramEnd"/>
      <w:r w:rsidRPr="007853E2">
        <w:t xml:space="preserve"> d</w:t>
      </w:r>
      <w:r w:rsidR="00E21193" w:rsidRPr="007853E2">
        <w:t xml:space="preserve">ictates </w:t>
      </w:r>
      <w:r w:rsidRPr="007853E2">
        <w:t xml:space="preserve">the </w:t>
      </w:r>
      <w:r w:rsidR="00E21193" w:rsidRPr="007853E2">
        <w:t xml:space="preserve">steps </w:t>
      </w:r>
      <w:r w:rsidRPr="007853E2">
        <w:t xml:space="preserve">that must be </w:t>
      </w:r>
      <w:r w:rsidR="00E21193" w:rsidRPr="007853E2">
        <w:t>taken in a procurement activity</w:t>
      </w:r>
      <w:r w:rsidRPr="007853E2">
        <w:t xml:space="preserve">. </w:t>
      </w:r>
      <w:r w:rsidR="00CC41AD" w:rsidRPr="007853E2">
        <w:t xml:space="preserve"> </w:t>
      </w:r>
      <w:r w:rsidR="009D5511" w:rsidRPr="007853E2">
        <w:t>The steps will differ depending on the specific features and complexity of the procurement</w:t>
      </w:r>
      <w:r w:rsidR="00B74479" w:rsidRPr="007853E2">
        <w:t>;</w:t>
      </w:r>
    </w:p>
    <w:p w14:paraId="1AC33479" w14:textId="77777777" w:rsidR="00E21193" w:rsidRPr="007853E2" w:rsidRDefault="00CC41AD" w:rsidP="009A018C">
      <w:pPr>
        <w:pStyle w:val="LDStandard4"/>
        <w:jc w:val="both"/>
      </w:pPr>
      <w:r w:rsidRPr="007853E2">
        <w:lastRenderedPageBreak/>
        <w:t>it</w:t>
      </w:r>
      <w:r w:rsidR="00593021">
        <w:t xml:space="preserve"> removes, as far as is possible, </w:t>
      </w:r>
      <w:r w:rsidR="00E21193" w:rsidRPr="007853E2">
        <w:t xml:space="preserve">subjectivity and discretion by requiring that a business unit take all </w:t>
      </w:r>
      <w:r w:rsidR="00494DC5" w:rsidRPr="007853E2">
        <w:t>of the required</w:t>
      </w:r>
      <w:r w:rsidR="00E21193" w:rsidRPr="007853E2">
        <w:t xml:space="preserve"> steps in the procurement process, in the appropriate </w:t>
      </w:r>
      <w:r w:rsidR="00494DC5" w:rsidRPr="007853E2">
        <w:t>order</w:t>
      </w:r>
      <w:r w:rsidR="00E21193" w:rsidRPr="007853E2">
        <w:t>, before a purchase requisition can be made</w:t>
      </w:r>
      <w:r w:rsidR="00B74479" w:rsidRPr="007853E2">
        <w:t>; and  </w:t>
      </w:r>
    </w:p>
    <w:p w14:paraId="4DC0B430" w14:textId="77777777" w:rsidR="000F5472" w:rsidRPr="007853E2" w:rsidRDefault="009D5511" w:rsidP="009A018C">
      <w:pPr>
        <w:pStyle w:val="LDStandard4"/>
        <w:jc w:val="both"/>
      </w:pPr>
      <w:proofErr w:type="gramStart"/>
      <w:r w:rsidRPr="007853E2">
        <w:t>i</w:t>
      </w:r>
      <w:r w:rsidR="00CC41AD" w:rsidRPr="007853E2">
        <w:t>t</w:t>
      </w:r>
      <w:proofErr w:type="gramEnd"/>
      <w:r w:rsidR="00CC41AD" w:rsidRPr="007853E2">
        <w:t xml:space="preserve"> alerts the </w:t>
      </w:r>
      <w:r w:rsidR="000F5472" w:rsidRPr="007853E2">
        <w:t>Procurement Division when a business unit has made two or more financial variations to a contract representing over 10% of the total value of the contract. </w:t>
      </w:r>
      <w:r w:rsidR="009A018C" w:rsidRPr="007853E2">
        <w:rPr>
          <w:i/>
        </w:rPr>
        <w:t xml:space="preserve"> </w:t>
      </w:r>
    </w:p>
    <w:p w14:paraId="74CD720C" w14:textId="77777777" w:rsidR="003D2835" w:rsidRPr="007853E2" w:rsidRDefault="007D1A7F">
      <w:pPr>
        <w:pStyle w:val="LDStandard2"/>
        <w:jc w:val="both"/>
      </w:pPr>
      <w:r w:rsidRPr="007853E2">
        <w:t xml:space="preserve">The </w:t>
      </w:r>
      <w:r w:rsidR="003E146B" w:rsidRPr="007853E2">
        <w:t>Procurement and Probity Committee</w:t>
      </w:r>
      <w:r w:rsidR="00E21193" w:rsidRPr="007853E2">
        <w:t xml:space="preserve"> </w:t>
      </w:r>
      <w:r w:rsidR="008C0E88" w:rsidRPr="007853E2">
        <w:t xml:space="preserve">now </w:t>
      </w:r>
      <w:r w:rsidR="00E21193" w:rsidRPr="007853E2">
        <w:t xml:space="preserve">provides strategic oversight </w:t>
      </w:r>
      <w:r w:rsidR="003D2835" w:rsidRPr="007853E2">
        <w:t>to</w:t>
      </w:r>
      <w:r w:rsidR="00E21193" w:rsidRPr="007853E2">
        <w:t xml:space="preserve"> </w:t>
      </w:r>
      <w:r w:rsidR="002D57F9" w:rsidRPr="007853E2">
        <w:t>the Department’s corporate and regional offices</w:t>
      </w:r>
      <w:r w:rsidR="000E0C65" w:rsidRPr="007853E2">
        <w:t>’ procurement activities</w:t>
      </w:r>
      <w:r w:rsidR="002D57F9" w:rsidRPr="007853E2">
        <w:t xml:space="preserve"> </w:t>
      </w:r>
      <w:r w:rsidR="00E21193" w:rsidRPr="007853E2">
        <w:t xml:space="preserve">to ensure </w:t>
      </w:r>
      <w:r w:rsidR="00311B20" w:rsidRPr="007853E2">
        <w:t xml:space="preserve">value for money, accountability and probity. </w:t>
      </w:r>
      <w:r w:rsidR="003D2835" w:rsidRPr="007853E2">
        <w:t xml:space="preserve">This includes: </w:t>
      </w:r>
    </w:p>
    <w:p w14:paraId="089D23AF" w14:textId="77777777" w:rsidR="003D2835" w:rsidRPr="007853E2" w:rsidRDefault="00D3708B" w:rsidP="009A018C">
      <w:pPr>
        <w:pStyle w:val="LDStandard4"/>
        <w:jc w:val="both"/>
      </w:pPr>
      <w:r w:rsidRPr="007853E2">
        <w:t>e</w:t>
      </w:r>
      <w:r w:rsidR="003D2835" w:rsidRPr="007853E2">
        <w:t xml:space="preserve">nsuring appropriate policies, systems and processes are applied; </w:t>
      </w:r>
    </w:p>
    <w:p w14:paraId="0F6EA4A7" w14:textId="77777777" w:rsidR="003D5670" w:rsidRPr="007853E2" w:rsidRDefault="003D5670" w:rsidP="009A018C">
      <w:pPr>
        <w:pStyle w:val="LDStandard4"/>
        <w:jc w:val="both"/>
      </w:pPr>
      <w:r w:rsidRPr="007853E2">
        <w:t xml:space="preserve">reviewing procurement activity for compliance with policies, procedures and probity and approving: </w:t>
      </w:r>
    </w:p>
    <w:p w14:paraId="22AF575D" w14:textId="77777777" w:rsidR="003D5670" w:rsidRPr="007853E2" w:rsidRDefault="003D5670" w:rsidP="009A018C">
      <w:pPr>
        <w:pStyle w:val="LDStandard5"/>
        <w:jc w:val="both"/>
      </w:pPr>
      <w:r w:rsidRPr="007853E2">
        <w:t xml:space="preserve">individual procurement activity that is “strategic, leveraged and focused” within the Department’s risk framework;  </w:t>
      </w:r>
    </w:p>
    <w:p w14:paraId="3BB74335" w14:textId="77777777" w:rsidR="003D5670" w:rsidRPr="007853E2" w:rsidRDefault="003D5670" w:rsidP="009A018C">
      <w:pPr>
        <w:pStyle w:val="LDStandard5"/>
        <w:jc w:val="both"/>
      </w:pPr>
      <w:r w:rsidRPr="007853E2">
        <w:t xml:space="preserve">“significant procurements” that have not been identified in the </w:t>
      </w:r>
      <w:r w:rsidR="00847712">
        <w:t>C</w:t>
      </w:r>
      <w:r w:rsidR="00847712" w:rsidRPr="007853E2">
        <w:t xml:space="preserve">ommittee’s </w:t>
      </w:r>
      <w:r w:rsidRPr="007853E2">
        <w:t xml:space="preserve">published procurement activity plan; </w:t>
      </w:r>
    </w:p>
    <w:p w14:paraId="009A197B" w14:textId="77777777" w:rsidR="003D5670" w:rsidRPr="007853E2" w:rsidRDefault="003D5670" w:rsidP="009A018C">
      <w:pPr>
        <w:pStyle w:val="LDStandard5"/>
        <w:jc w:val="both"/>
      </w:pPr>
      <w:r w:rsidRPr="007853E2">
        <w:t>procurement activity the CPO determines require</w:t>
      </w:r>
      <w:r w:rsidR="00AA192D" w:rsidRPr="007853E2">
        <w:t>s</w:t>
      </w:r>
      <w:r w:rsidRPr="007853E2">
        <w:t xml:space="preserve"> PPC endorsement; </w:t>
      </w:r>
    </w:p>
    <w:p w14:paraId="32D03344" w14:textId="77777777" w:rsidR="003D5670" w:rsidRPr="007853E2" w:rsidRDefault="003D5670" w:rsidP="009A018C">
      <w:pPr>
        <w:pStyle w:val="LDStandard4"/>
        <w:jc w:val="both"/>
        <w:rPr>
          <w:i/>
        </w:rPr>
      </w:pPr>
      <w:r w:rsidRPr="007853E2">
        <w:t xml:space="preserve">approving the procurement of certain goods and services before they can be procured by the relevant business unit; </w:t>
      </w:r>
    </w:p>
    <w:p w14:paraId="784B784A" w14:textId="77777777" w:rsidR="00F37FA1" w:rsidRPr="007853E2" w:rsidRDefault="00F37FA1" w:rsidP="009A018C">
      <w:pPr>
        <w:pStyle w:val="LDStandard4"/>
        <w:jc w:val="both"/>
      </w:pPr>
      <w:r w:rsidRPr="007853E2">
        <w:t xml:space="preserve">providing assurance to the Secretary (the Accountable Officer) that procurement activities comply with the VGPB supply policies and the </w:t>
      </w:r>
      <w:r w:rsidRPr="007853E2">
        <w:rPr>
          <w:i/>
        </w:rPr>
        <w:t>Financial Management Act 1994</w:t>
      </w:r>
      <w:r w:rsidRPr="007853E2">
        <w:t>;</w:t>
      </w:r>
      <w:r w:rsidR="002D57F9" w:rsidRPr="007853E2">
        <w:t xml:space="preserve"> and</w:t>
      </w:r>
      <w:r w:rsidRPr="007853E2">
        <w:rPr>
          <w:i/>
        </w:rPr>
        <w:t xml:space="preserve">  </w:t>
      </w:r>
    </w:p>
    <w:p w14:paraId="0252AA42" w14:textId="77777777" w:rsidR="006453D8" w:rsidRPr="007853E2" w:rsidRDefault="00D3708B" w:rsidP="009A018C">
      <w:pPr>
        <w:pStyle w:val="LDStandard4"/>
        <w:jc w:val="both"/>
      </w:pPr>
      <w:proofErr w:type="gramStart"/>
      <w:r w:rsidRPr="007853E2">
        <w:t>p</w:t>
      </w:r>
      <w:r w:rsidR="003D2835" w:rsidRPr="007853E2">
        <w:t>roviding</w:t>
      </w:r>
      <w:proofErr w:type="gramEnd"/>
      <w:r w:rsidR="003D2835" w:rsidRPr="007853E2">
        <w:t xml:space="preserve"> guidance in relation to </w:t>
      </w:r>
      <w:r w:rsidR="00EC6D2E" w:rsidRPr="007853E2">
        <w:t xml:space="preserve">the </w:t>
      </w:r>
      <w:r w:rsidR="003D2835" w:rsidRPr="007853E2">
        <w:t xml:space="preserve">prioritisation of procurement activities, procurement capability of staff and the resources required to support procurement activity.  </w:t>
      </w:r>
    </w:p>
    <w:p w14:paraId="385A491E" w14:textId="77777777" w:rsidR="00E21193" w:rsidRPr="007853E2" w:rsidRDefault="00494DC5">
      <w:pPr>
        <w:pStyle w:val="LDStandard2"/>
        <w:jc w:val="both"/>
      </w:pPr>
      <w:r w:rsidRPr="007853E2">
        <w:t>T</w:t>
      </w:r>
      <w:r w:rsidR="00E21193" w:rsidRPr="007853E2">
        <w:t xml:space="preserve">he </w:t>
      </w:r>
      <w:r w:rsidR="003273E7" w:rsidRPr="007853E2">
        <w:t>Procurement and Probity Committee</w:t>
      </w:r>
      <w:r w:rsidR="003273E7" w:rsidRPr="007853E2" w:rsidDel="003273E7">
        <w:t xml:space="preserve"> </w:t>
      </w:r>
      <w:r w:rsidRPr="007853E2">
        <w:t xml:space="preserve">has the following </w:t>
      </w:r>
      <w:r w:rsidR="003D5670" w:rsidRPr="007853E2">
        <w:t xml:space="preserve">governance </w:t>
      </w:r>
      <w:r w:rsidRPr="007853E2">
        <w:t xml:space="preserve">features:  </w:t>
      </w:r>
    </w:p>
    <w:p w14:paraId="7AB3E501" w14:textId="77777777" w:rsidR="00570216" w:rsidRPr="007853E2" w:rsidRDefault="00570216" w:rsidP="009A018C">
      <w:pPr>
        <w:pStyle w:val="LDStandard4"/>
        <w:jc w:val="both"/>
      </w:pPr>
      <w:r w:rsidRPr="007853E2">
        <w:t xml:space="preserve">it is comprised of executive class members from all Department Groups and </w:t>
      </w:r>
      <w:r w:rsidR="00E21193" w:rsidRPr="007853E2">
        <w:t>reports to the Executive Board</w:t>
      </w:r>
      <w:r w:rsidRPr="007853E2">
        <w:t>;</w:t>
      </w:r>
      <w:r w:rsidR="0020138D" w:rsidRPr="007853E2">
        <w:t xml:space="preserve"> </w:t>
      </w:r>
    </w:p>
    <w:p w14:paraId="626557CA" w14:textId="77777777" w:rsidR="00E21193" w:rsidRPr="007853E2" w:rsidRDefault="00570216" w:rsidP="009A018C">
      <w:pPr>
        <w:pStyle w:val="LDStandard4"/>
        <w:jc w:val="both"/>
      </w:pPr>
      <w:r w:rsidRPr="007853E2">
        <w:t xml:space="preserve">it </w:t>
      </w:r>
      <w:r w:rsidR="0020138D" w:rsidRPr="007853E2">
        <w:t>is chaired by the</w:t>
      </w:r>
      <w:r w:rsidR="00E21193" w:rsidRPr="007853E2">
        <w:t xml:space="preserve"> Deputy Secretary</w:t>
      </w:r>
      <w:r w:rsidR="0020138D" w:rsidRPr="007853E2">
        <w:t>, People and Executive Services Group</w:t>
      </w:r>
      <w:r w:rsidR="005809CE" w:rsidRPr="007853E2">
        <w:t>, who</w:t>
      </w:r>
      <w:r w:rsidRPr="007853E2">
        <w:t xml:space="preserve"> does not </w:t>
      </w:r>
      <w:r w:rsidR="008C0E88" w:rsidRPr="007853E2">
        <w:t>have management responsibility</w:t>
      </w:r>
      <w:r w:rsidR="009D5511" w:rsidRPr="007853E2">
        <w:t xml:space="preserve"> for the Procurement Division</w:t>
      </w:r>
      <w:r w:rsidR="003D5670" w:rsidRPr="007853E2">
        <w:t xml:space="preserve">; </w:t>
      </w:r>
    </w:p>
    <w:p w14:paraId="64E5C71C" w14:textId="77777777" w:rsidR="00E21193" w:rsidRPr="007853E2" w:rsidRDefault="003D5670" w:rsidP="009A018C">
      <w:pPr>
        <w:pStyle w:val="LDStandard4"/>
        <w:jc w:val="both"/>
      </w:pPr>
      <w:r w:rsidRPr="007853E2">
        <w:t>i</w:t>
      </w:r>
      <w:r w:rsidR="008C0E88" w:rsidRPr="007853E2">
        <w:t>t</w:t>
      </w:r>
      <w:r w:rsidR="00E21193" w:rsidRPr="007853E2">
        <w:t xml:space="preserve"> </w:t>
      </w:r>
      <w:r w:rsidR="001939AD" w:rsidRPr="007853E2">
        <w:t>develop</w:t>
      </w:r>
      <w:r w:rsidR="008C0E88" w:rsidRPr="007853E2">
        <w:t>s</w:t>
      </w:r>
      <w:r w:rsidR="001939AD" w:rsidRPr="007853E2">
        <w:t xml:space="preserve"> an annual </w:t>
      </w:r>
      <w:r w:rsidR="00E21193" w:rsidRPr="007853E2">
        <w:t>work plan</w:t>
      </w:r>
      <w:r w:rsidR="001939AD" w:rsidRPr="007853E2">
        <w:t>,</w:t>
      </w:r>
      <w:r w:rsidR="00E21193" w:rsidRPr="007853E2">
        <w:t xml:space="preserve"> outlining its key areas of focus and </w:t>
      </w:r>
      <w:r w:rsidR="008C0E88" w:rsidRPr="007853E2">
        <w:t>“</w:t>
      </w:r>
      <w:r w:rsidR="00E21193" w:rsidRPr="007853E2">
        <w:t>significant projects</w:t>
      </w:r>
      <w:r w:rsidR="008C0E88" w:rsidRPr="007853E2">
        <w:t>”</w:t>
      </w:r>
      <w:r w:rsidR="00E21193" w:rsidRPr="007853E2">
        <w:t xml:space="preserve"> for the year</w:t>
      </w:r>
      <w:r w:rsidR="00EC6D2E" w:rsidRPr="007853E2">
        <w:t xml:space="preserve">; and  </w:t>
      </w:r>
    </w:p>
    <w:p w14:paraId="5E145822" w14:textId="77777777" w:rsidR="00E21193" w:rsidRPr="007853E2" w:rsidRDefault="00EC6D2E" w:rsidP="009A018C">
      <w:pPr>
        <w:pStyle w:val="LDStandard4"/>
        <w:jc w:val="both"/>
      </w:pPr>
      <w:proofErr w:type="gramStart"/>
      <w:r w:rsidRPr="007853E2">
        <w:t>can</w:t>
      </w:r>
      <w:proofErr w:type="gramEnd"/>
      <w:r w:rsidRPr="007853E2">
        <w:t xml:space="preserve"> </w:t>
      </w:r>
      <w:r w:rsidR="00570216" w:rsidRPr="007853E2">
        <w:t xml:space="preserve">refer </w:t>
      </w:r>
      <w:r w:rsidR="00E21193" w:rsidRPr="007853E2">
        <w:t xml:space="preserve">any new procurement activity </w:t>
      </w:r>
      <w:r w:rsidR="009D5511" w:rsidRPr="007853E2">
        <w:t xml:space="preserve">that is not in the procurement forecast activity plan but which is </w:t>
      </w:r>
      <w:r w:rsidR="00E21193" w:rsidRPr="007853E2">
        <w:t>considered to be particularly complex or high risk</w:t>
      </w:r>
      <w:r w:rsidR="00A0511D" w:rsidRPr="007853E2">
        <w:t xml:space="preserve"> to the Secretary</w:t>
      </w:r>
      <w:r w:rsidR="00E21193" w:rsidRPr="007853E2">
        <w:t xml:space="preserve">. </w:t>
      </w:r>
      <w:r w:rsidR="00570216" w:rsidRPr="007853E2">
        <w:t xml:space="preserve"> </w:t>
      </w:r>
    </w:p>
    <w:p w14:paraId="4D85FDD2" w14:textId="77777777" w:rsidR="00C8616E" w:rsidRPr="007853E2" w:rsidRDefault="00C8616E" w:rsidP="009A018C">
      <w:pPr>
        <w:pStyle w:val="VGSOHdg2"/>
        <w:jc w:val="both"/>
      </w:pPr>
      <w:bookmarkStart w:id="16" w:name="_Toc444862822"/>
      <w:bookmarkStart w:id="17" w:name="_Toc445877702"/>
      <w:r w:rsidRPr="007853E2">
        <w:lastRenderedPageBreak/>
        <w:t>Better Governance</w:t>
      </w:r>
      <w:bookmarkEnd w:id="16"/>
      <w:bookmarkEnd w:id="17"/>
      <w:r w:rsidRPr="007853E2">
        <w:t xml:space="preserve"> </w:t>
      </w:r>
    </w:p>
    <w:p w14:paraId="28674997" w14:textId="77777777" w:rsidR="00923ABB" w:rsidRPr="007853E2" w:rsidRDefault="00C8616E">
      <w:pPr>
        <w:pStyle w:val="LDStandard2"/>
        <w:numPr>
          <w:ilvl w:val="1"/>
          <w:numId w:val="16"/>
        </w:numPr>
        <w:jc w:val="both"/>
      </w:pPr>
      <w:r w:rsidRPr="007853E2">
        <w:t xml:space="preserve">The new DET operating model, approved in November 2015, places a strong focus on integrity and accountability. The eleven new governance committees are </w:t>
      </w:r>
      <w:r w:rsidR="00EC6D2E" w:rsidRPr="007853E2">
        <w:t xml:space="preserve">central </w:t>
      </w:r>
      <w:r w:rsidRPr="007853E2">
        <w:t xml:space="preserve">to the Department’s new operating model. </w:t>
      </w:r>
    </w:p>
    <w:p w14:paraId="1D7EF9B4" w14:textId="77777777" w:rsidR="00C8616E" w:rsidRPr="007853E2" w:rsidRDefault="00C8616E">
      <w:pPr>
        <w:pStyle w:val="LDStandard2"/>
        <w:numPr>
          <w:ilvl w:val="1"/>
          <w:numId w:val="16"/>
        </w:numPr>
        <w:jc w:val="both"/>
      </w:pPr>
      <w:r w:rsidRPr="007853E2">
        <w:t xml:space="preserve">The committee structure has been designed to increase the accountability </w:t>
      </w:r>
      <w:proofErr w:type="gramStart"/>
      <w:r w:rsidRPr="007853E2">
        <w:t>of,</w:t>
      </w:r>
      <w:proofErr w:type="gramEnd"/>
      <w:r w:rsidRPr="007853E2">
        <w:t xml:space="preserve"> and scrutiny over, business units, to encourage enterprise decision making, and </w:t>
      </w:r>
      <w:r w:rsidR="00A0511D" w:rsidRPr="007853E2">
        <w:t xml:space="preserve">to </w:t>
      </w:r>
      <w:r w:rsidRPr="007853E2">
        <w:t>support more collaborative leadership. The</w:t>
      </w:r>
      <w:r w:rsidR="002274FC" w:rsidRPr="007853E2">
        <w:t xml:space="preserve"> committees</w:t>
      </w:r>
      <w:r w:rsidRPr="007853E2">
        <w:t xml:space="preserve"> do this in the following ways:</w:t>
      </w:r>
    </w:p>
    <w:p w14:paraId="2B3E2BAF" w14:textId="77777777" w:rsidR="00C8616E" w:rsidRPr="007853E2" w:rsidRDefault="002274FC" w:rsidP="009A018C">
      <w:pPr>
        <w:pStyle w:val="LDStandard4"/>
        <w:jc w:val="both"/>
      </w:pPr>
      <w:r w:rsidRPr="007853E2">
        <w:t xml:space="preserve">committee </w:t>
      </w:r>
      <w:r w:rsidR="00C8616E" w:rsidRPr="007853E2">
        <w:t>membership is drawn from a cross-section of Groups,</w:t>
      </w:r>
      <w:r w:rsidRPr="007853E2">
        <w:t xml:space="preserve"> to avoid </w:t>
      </w:r>
      <w:r w:rsidR="00C8616E" w:rsidRPr="007853E2">
        <w:t xml:space="preserve">self-interested decision-making and </w:t>
      </w:r>
      <w:r w:rsidR="00EC6D2E" w:rsidRPr="007853E2">
        <w:t xml:space="preserve">to </w:t>
      </w:r>
      <w:r w:rsidR="00C8616E" w:rsidRPr="007853E2">
        <w:t>allow for fresh, critical eyes;</w:t>
      </w:r>
    </w:p>
    <w:p w14:paraId="0B1EA262" w14:textId="77777777" w:rsidR="00C8616E" w:rsidRPr="007853E2" w:rsidRDefault="002274FC" w:rsidP="009A018C">
      <w:pPr>
        <w:pStyle w:val="LDStandard4"/>
        <w:jc w:val="both"/>
      </w:pPr>
      <w:r w:rsidRPr="007853E2">
        <w:t xml:space="preserve">the </w:t>
      </w:r>
      <w:r w:rsidR="00AA192D" w:rsidRPr="007853E2">
        <w:t xml:space="preserve">Chair </w:t>
      </w:r>
      <w:r w:rsidR="00C8616E" w:rsidRPr="007853E2">
        <w:t>does not have management responsibility</w:t>
      </w:r>
      <w:r w:rsidR="00921E1F" w:rsidRPr="007853E2">
        <w:t xml:space="preserve"> </w:t>
      </w:r>
      <w:r w:rsidR="005809CE" w:rsidRPr="007853E2">
        <w:t xml:space="preserve">for the remit of the committee, </w:t>
      </w:r>
      <w:r w:rsidRPr="007853E2">
        <w:t xml:space="preserve">which reduces </w:t>
      </w:r>
      <w:r w:rsidR="00C8616E" w:rsidRPr="007853E2">
        <w:t>the risk of conflict</w:t>
      </w:r>
      <w:r w:rsidRPr="007853E2">
        <w:t>s</w:t>
      </w:r>
      <w:r w:rsidR="00C8616E" w:rsidRPr="007853E2">
        <w:t xml:space="preserve"> of interest in decision-making;</w:t>
      </w:r>
    </w:p>
    <w:p w14:paraId="314839DB" w14:textId="77777777" w:rsidR="00C8616E" w:rsidRPr="007853E2" w:rsidRDefault="002274FC" w:rsidP="009A018C">
      <w:pPr>
        <w:pStyle w:val="LDStandard4"/>
        <w:jc w:val="both"/>
      </w:pPr>
      <w:r w:rsidRPr="007853E2">
        <w:t xml:space="preserve">clear </w:t>
      </w:r>
      <w:r w:rsidR="00C8616E" w:rsidRPr="007853E2">
        <w:t xml:space="preserve">behavioural expectations </w:t>
      </w:r>
      <w:r w:rsidR="00570216" w:rsidRPr="007853E2">
        <w:t>(</w:t>
      </w:r>
      <w:r w:rsidR="00424DC5" w:rsidRPr="007853E2">
        <w:t>such as implementing and promoting public sector values, acting in the public interest</w:t>
      </w:r>
      <w:r w:rsidR="00A0511D" w:rsidRPr="007853E2">
        <w:t>,</w:t>
      </w:r>
      <w:r w:rsidR="00424DC5" w:rsidRPr="007853E2">
        <w:t xml:space="preserve"> </w:t>
      </w:r>
      <w:r w:rsidR="00A0511D" w:rsidRPr="007853E2">
        <w:t>acting</w:t>
      </w:r>
      <w:r w:rsidR="00424DC5" w:rsidRPr="007853E2">
        <w:t xml:space="preserve"> according to their public duty, and supporting the integrity culture through transparency and accountability) </w:t>
      </w:r>
      <w:r w:rsidR="00C8616E" w:rsidRPr="007853E2">
        <w:t xml:space="preserve">are included in each </w:t>
      </w:r>
      <w:r w:rsidR="002767F7" w:rsidRPr="007853E2">
        <w:t xml:space="preserve">committee’s </w:t>
      </w:r>
      <w:r w:rsidR="00C8616E" w:rsidRPr="007853E2">
        <w:t>Terms of Reference, setting a high standard of conduct for all members;</w:t>
      </w:r>
    </w:p>
    <w:p w14:paraId="3AE05F80" w14:textId="77777777" w:rsidR="00C8616E" w:rsidRPr="007853E2" w:rsidRDefault="002274FC" w:rsidP="009A018C">
      <w:pPr>
        <w:pStyle w:val="LDStandard4"/>
        <w:jc w:val="both"/>
      </w:pPr>
      <w:r w:rsidRPr="007853E2">
        <w:t xml:space="preserve">conflict </w:t>
      </w:r>
      <w:r w:rsidR="00C8616E" w:rsidRPr="007853E2">
        <w:t xml:space="preserve">of </w:t>
      </w:r>
      <w:r w:rsidR="002767F7" w:rsidRPr="007853E2">
        <w:t>i</w:t>
      </w:r>
      <w:r w:rsidR="00C8616E" w:rsidRPr="007853E2">
        <w:t xml:space="preserve">nterest processes have been strengthened and are a </w:t>
      </w:r>
      <w:r w:rsidRPr="007853E2">
        <w:t xml:space="preserve">standing </w:t>
      </w:r>
      <w:r w:rsidR="00C8616E" w:rsidRPr="007853E2">
        <w:t>agenda item for each meeting;</w:t>
      </w:r>
    </w:p>
    <w:p w14:paraId="4CBC7C47" w14:textId="77777777" w:rsidR="00C8616E" w:rsidRPr="007853E2" w:rsidRDefault="002274FC" w:rsidP="009A018C">
      <w:pPr>
        <w:pStyle w:val="LDStandard4"/>
        <w:jc w:val="both"/>
      </w:pPr>
      <w:r w:rsidRPr="007853E2">
        <w:t xml:space="preserve">committees </w:t>
      </w:r>
      <w:r w:rsidR="00C8616E" w:rsidRPr="007853E2">
        <w:t xml:space="preserve">have the ability to co-opt </w:t>
      </w:r>
      <w:r w:rsidR="00A0511D" w:rsidRPr="007853E2">
        <w:t xml:space="preserve">the expertise of </w:t>
      </w:r>
      <w:r w:rsidR="00C8616E" w:rsidRPr="007853E2">
        <w:t>external specialist</w:t>
      </w:r>
      <w:r w:rsidR="00A0511D" w:rsidRPr="007853E2">
        <w:t>s</w:t>
      </w:r>
      <w:r w:rsidR="00C8616E" w:rsidRPr="007853E2">
        <w:t xml:space="preserve"> to ensure that the Department draws on the best available expertise to build and maintain understanding of leading </w:t>
      </w:r>
      <w:r w:rsidR="002767F7" w:rsidRPr="007853E2">
        <w:t xml:space="preserve">market </w:t>
      </w:r>
      <w:r w:rsidR="00C8616E" w:rsidRPr="007853E2">
        <w:t xml:space="preserve">practice and knowledge; </w:t>
      </w:r>
    </w:p>
    <w:p w14:paraId="75F89445" w14:textId="77777777" w:rsidR="00C8616E" w:rsidRPr="007853E2" w:rsidRDefault="002274FC" w:rsidP="009A018C">
      <w:pPr>
        <w:pStyle w:val="LDStandard4"/>
        <w:jc w:val="both"/>
      </w:pPr>
      <w:r w:rsidRPr="007853E2">
        <w:t xml:space="preserve">committees </w:t>
      </w:r>
      <w:r w:rsidR="00C8616E" w:rsidRPr="007853E2">
        <w:t>have direct oversight of project governance and management within their portfolios</w:t>
      </w:r>
      <w:r w:rsidR="00EC6D2E" w:rsidRPr="007853E2">
        <w:t>,</w:t>
      </w:r>
      <w:r w:rsidR="00C8616E" w:rsidRPr="007853E2">
        <w:t xml:space="preserve"> and are accountable for project delivery; and</w:t>
      </w:r>
    </w:p>
    <w:p w14:paraId="5C5D0B28" w14:textId="77777777" w:rsidR="00C8616E" w:rsidRPr="007853E2" w:rsidRDefault="002767F7" w:rsidP="009A018C">
      <w:pPr>
        <w:pStyle w:val="LDStandard4"/>
        <w:jc w:val="both"/>
      </w:pPr>
      <w:proofErr w:type="gramStart"/>
      <w:r w:rsidRPr="007853E2">
        <w:t>from</w:t>
      </w:r>
      <w:proofErr w:type="gramEnd"/>
      <w:r w:rsidRPr="007853E2">
        <w:t xml:space="preserve"> April 2016, c</w:t>
      </w:r>
      <w:r w:rsidR="00C8616E" w:rsidRPr="007853E2">
        <w:t>ross-committee reporting will be introduced</w:t>
      </w:r>
      <w:r w:rsidRPr="007853E2">
        <w:t xml:space="preserve">, </w:t>
      </w:r>
      <w:r w:rsidR="00C8616E" w:rsidRPr="007853E2">
        <w:t>providing additional specialist scrutiny</w:t>
      </w:r>
      <w:r w:rsidR="00DC196C" w:rsidRPr="007853E2">
        <w:t xml:space="preserve"> in certain circumstances</w:t>
      </w:r>
      <w:r w:rsidR="00C8616E" w:rsidRPr="007853E2">
        <w:t xml:space="preserve">.  </w:t>
      </w:r>
    </w:p>
    <w:p w14:paraId="7881F38A" w14:textId="77777777" w:rsidR="00C8616E" w:rsidRPr="007853E2" w:rsidRDefault="002767F7">
      <w:pPr>
        <w:pStyle w:val="LDStandard2"/>
        <w:numPr>
          <w:ilvl w:val="1"/>
          <w:numId w:val="16"/>
        </w:numPr>
        <w:jc w:val="both"/>
      </w:pPr>
      <w:r w:rsidRPr="007853E2">
        <w:t>In 2015,</w:t>
      </w:r>
      <w:r w:rsidR="00C8616E" w:rsidRPr="007853E2">
        <w:t xml:space="preserve"> </w:t>
      </w:r>
      <w:r w:rsidR="00C912FE">
        <w:t xml:space="preserve">I appointed </w:t>
      </w:r>
      <w:r w:rsidR="00C8616E" w:rsidRPr="007853E2">
        <w:t xml:space="preserve">a Principal Governance Advisor to the Office of the Secretary. </w:t>
      </w:r>
      <w:r w:rsidR="00D2188B" w:rsidRPr="007853E2">
        <w:t xml:space="preserve">The Principal Governance Advisor will assist each Committee to review its performance, and will build staff capability. </w:t>
      </w:r>
      <w:r w:rsidR="00C8616E" w:rsidRPr="007853E2">
        <w:t xml:space="preserve">This specialist role is responsible for ensuring information flows between </w:t>
      </w:r>
      <w:r w:rsidR="00CE613D" w:rsidRPr="007853E2">
        <w:t xml:space="preserve">Departmental </w:t>
      </w:r>
      <w:r w:rsidR="00C8616E" w:rsidRPr="007853E2">
        <w:t xml:space="preserve">committees and </w:t>
      </w:r>
      <w:r w:rsidRPr="007853E2">
        <w:t xml:space="preserve">the </w:t>
      </w:r>
      <w:r w:rsidR="00C8616E" w:rsidRPr="007853E2">
        <w:t xml:space="preserve">Executive Board; managing and further developing the </w:t>
      </w:r>
      <w:r w:rsidRPr="007853E2">
        <w:t xml:space="preserve">Department's </w:t>
      </w:r>
      <w:r w:rsidR="00C8616E" w:rsidRPr="007853E2">
        <w:t xml:space="preserve">corporate governance structure and processes; regularly reviewing </w:t>
      </w:r>
      <w:r w:rsidR="00D2188B" w:rsidRPr="007853E2">
        <w:t>the alignment between members</w:t>
      </w:r>
      <w:r w:rsidR="006D371E" w:rsidRPr="007853E2">
        <w:t>’</w:t>
      </w:r>
      <w:r w:rsidR="00D2188B" w:rsidRPr="007853E2">
        <w:t xml:space="preserve"> </w:t>
      </w:r>
      <w:r w:rsidR="00C8616E" w:rsidRPr="007853E2">
        <w:t xml:space="preserve">capabilities and </w:t>
      </w:r>
      <w:r w:rsidR="00D2188B" w:rsidRPr="007853E2">
        <w:t>the Committee’s requirements</w:t>
      </w:r>
      <w:r w:rsidR="00C8616E" w:rsidRPr="007853E2">
        <w:t xml:space="preserve">; </w:t>
      </w:r>
      <w:r w:rsidR="00DC196C" w:rsidRPr="007853E2">
        <w:t xml:space="preserve">and </w:t>
      </w:r>
      <w:r w:rsidR="00C8616E" w:rsidRPr="007853E2">
        <w:t>identifying issues and providing governance advice.</w:t>
      </w:r>
      <w:r w:rsidRPr="007853E2">
        <w:t xml:space="preserve"> </w:t>
      </w:r>
    </w:p>
    <w:p w14:paraId="2C68F88F" w14:textId="77777777" w:rsidR="00C8616E" w:rsidRPr="007853E2" w:rsidRDefault="002767F7">
      <w:pPr>
        <w:pStyle w:val="LDStandard2"/>
        <w:numPr>
          <w:ilvl w:val="1"/>
          <w:numId w:val="16"/>
        </w:numPr>
        <w:jc w:val="both"/>
      </w:pPr>
      <w:r w:rsidRPr="007853E2">
        <w:t xml:space="preserve">In addition, transparency </w:t>
      </w:r>
      <w:r w:rsidR="00C8616E" w:rsidRPr="007853E2">
        <w:t xml:space="preserve">around Executive Board decision-making </w:t>
      </w:r>
      <w:r w:rsidR="0020138D" w:rsidRPr="007853E2">
        <w:t>has been</w:t>
      </w:r>
      <w:r w:rsidR="00C8616E" w:rsidRPr="007853E2">
        <w:t xml:space="preserve"> enhanced </w:t>
      </w:r>
      <w:r w:rsidRPr="007853E2">
        <w:t xml:space="preserve">through </w:t>
      </w:r>
      <w:r w:rsidR="00C8616E" w:rsidRPr="007853E2">
        <w:t>the development of a governance portal where</w:t>
      </w:r>
      <w:r w:rsidR="00DC196C" w:rsidRPr="007853E2">
        <w:t xml:space="preserve"> certain</w:t>
      </w:r>
      <w:r w:rsidR="00C8616E" w:rsidRPr="007853E2">
        <w:t xml:space="preserve"> decisions and communiques from Executive Board </w:t>
      </w:r>
      <w:r w:rsidR="00DC196C" w:rsidRPr="007853E2">
        <w:t>can</w:t>
      </w:r>
      <w:r w:rsidR="00C8616E" w:rsidRPr="007853E2">
        <w:t xml:space="preserve"> be published</w:t>
      </w:r>
      <w:r w:rsidR="00AA192D" w:rsidRPr="007853E2">
        <w:t xml:space="preserve"> </w:t>
      </w:r>
      <w:r w:rsidR="004D56A1" w:rsidRPr="007853E2">
        <w:t>for access by</w:t>
      </w:r>
      <w:r w:rsidR="006D371E" w:rsidRPr="007853E2">
        <w:t xml:space="preserve"> </w:t>
      </w:r>
      <w:r w:rsidR="00AA192D" w:rsidRPr="007853E2">
        <w:t>all Department staff</w:t>
      </w:r>
      <w:r w:rsidR="00C8616E" w:rsidRPr="007853E2">
        <w:rPr>
          <w:i/>
        </w:rPr>
        <w:t>.</w:t>
      </w:r>
      <w:r w:rsidR="00C8616E" w:rsidRPr="007853E2">
        <w:t xml:space="preserve">  </w:t>
      </w:r>
    </w:p>
    <w:p w14:paraId="52145081" w14:textId="77777777" w:rsidR="00C8616E" w:rsidRPr="007853E2" w:rsidRDefault="00C8616E">
      <w:pPr>
        <w:pStyle w:val="VGSOHdg3"/>
      </w:pPr>
      <w:r w:rsidRPr="007853E2">
        <w:t xml:space="preserve">Financial management, authorisations and delegations </w:t>
      </w:r>
    </w:p>
    <w:p w14:paraId="7061346F" w14:textId="77777777" w:rsidR="00C8616E" w:rsidRPr="007853E2" w:rsidRDefault="00C8616E">
      <w:pPr>
        <w:pStyle w:val="LDStandard2"/>
        <w:numPr>
          <w:ilvl w:val="1"/>
          <w:numId w:val="16"/>
        </w:numPr>
        <w:jc w:val="both"/>
      </w:pPr>
      <w:r w:rsidRPr="007853E2">
        <w:t xml:space="preserve">The ability </w:t>
      </w:r>
      <w:r w:rsidR="002767F7" w:rsidRPr="007853E2">
        <w:t xml:space="preserve">of </w:t>
      </w:r>
      <w:r w:rsidRPr="007853E2">
        <w:t xml:space="preserve">former senior officials to </w:t>
      </w:r>
      <w:r w:rsidR="002767F7" w:rsidRPr="007853E2">
        <w:t>hide</w:t>
      </w:r>
      <w:r w:rsidRPr="007853E2">
        <w:t xml:space="preserve"> </w:t>
      </w:r>
      <w:r w:rsidR="002767F7" w:rsidRPr="007853E2">
        <w:t>the actual</w:t>
      </w:r>
      <w:r w:rsidRPr="007853E2">
        <w:t xml:space="preserve"> </w:t>
      </w:r>
      <w:r w:rsidR="002767F7" w:rsidRPr="007853E2">
        <w:t xml:space="preserve">cost of the </w:t>
      </w:r>
      <w:proofErr w:type="spellStart"/>
      <w:r w:rsidR="002767F7" w:rsidRPr="007853E2">
        <w:t>Ultranet</w:t>
      </w:r>
      <w:proofErr w:type="spellEnd"/>
      <w:r w:rsidR="002767F7" w:rsidRPr="007853E2">
        <w:t xml:space="preserve"> Project</w:t>
      </w:r>
      <w:r w:rsidRPr="007853E2">
        <w:t xml:space="preserve"> </w:t>
      </w:r>
      <w:r w:rsidR="00DC196C" w:rsidRPr="007853E2">
        <w:t xml:space="preserve">underscores the criticality of the reforms to the Department’s governance and </w:t>
      </w:r>
      <w:r w:rsidRPr="007853E2">
        <w:t xml:space="preserve">financial management practices. </w:t>
      </w:r>
    </w:p>
    <w:p w14:paraId="5C2582C7" w14:textId="77777777" w:rsidR="00C8616E" w:rsidRPr="007853E2" w:rsidRDefault="00DD3EE5">
      <w:pPr>
        <w:pStyle w:val="LDStandard2"/>
        <w:numPr>
          <w:ilvl w:val="1"/>
          <w:numId w:val="16"/>
        </w:numPr>
        <w:jc w:val="both"/>
      </w:pPr>
      <w:r w:rsidRPr="007853E2">
        <w:lastRenderedPageBreak/>
        <w:t xml:space="preserve">The Department has </w:t>
      </w:r>
      <w:r w:rsidR="00C8616E" w:rsidRPr="007853E2">
        <w:t xml:space="preserve">already </w:t>
      </w:r>
      <w:r w:rsidRPr="007853E2">
        <w:t xml:space="preserve">taken steps </w:t>
      </w:r>
      <w:r w:rsidR="00C8616E" w:rsidRPr="007853E2">
        <w:t>to ensure that those with financial delegations</w:t>
      </w:r>
      <w:r w:rsidRPr="007853E2">
        <w:t xml:space="preserve"> are</w:t>
      </w:r>
      <w:r w:rsidR="002767F7" w:rsidRPr="007853E2">
        <w:t xml:space="preserve"> </w:t>
      </w:r>
      <w:r w:rsidR="00C8616E" w:rsidRPr="007853E2">
        <w:t>aware of the</w:t>
      </w:r>
      <w:r w:rsidRPr="007853E2">
        <w:t>ir</w:t>
      </w:r>
      <w:r w:rsidR="00C8616E" w:rsidRPr="007853E2">
        <w:t xml:space="preserve"> responsibilities when approving expenditure. </w:t>
      </w:r>
      <w:r w:rsidR="00EB1A41" w:rsidRPr="007853E2">
        <w:t>The Department</w:t>
      </w:r>
      <w:r w:rsidRPr="007853E2">
        <w:t xml:space="preserve"> ha</w:t>
      </w:r>
      <w:r w:rsidR="00EB1A41" w:rsidRPr="007853E2">
        <w:t>s</w:t>
      </w:r>
      <w:r w:rsidRPr="007853E2">
        <w:t xml:space="preserve"> put in place tighter </w:t>
      </w:r>
      <w:r w:rsidR="00C8616E" w:rsidRPr="007853E2">
        <w:t xml:space="preserve">controls for month end processes to ensure that </w:t>
      </w:r>
      <w:r w:rsidRPr="007853E2">
        <w:t xml:space="preserve">transferred costs are supported by </w:t>
      </w:r>
      <w:r w:rsidR="00C8616E" w:rsidRPr="007853E2">
        <w:t>sufficient documentation and approvals.</w:t>
      </w:r>
    </w:p>
    <w:p w14:paraId="26170142" w14:textId="77777777" w:rsidR="00253900" w:rsidRPr="007853E2" w:rsidRDefault="00253900">
      <w:pPr>
        <w:pStyle w:val="LDStandard2"/>
        <w:numPr>
          <w:ilvl w:val="1"/>
          <w:numId w:val="16"/>
        </w:numPr>
        <w:jc w:val="both"/>
      </w:pPr>
      <w:r w:rsidRPr="007853E2">
        <w:t>With respect to the use of corporate credit cards:</w:t>
      </w:r>
    </w:p>
    <w:p w14:paraId="5B980935" w14:textId="77777777" w:rsidR="00C8616E" w:rsidRPr="007853E2" w:rsidRDefault="00F31348" w:rsidP="00253900">
      <w:pPr>
        <w:pStyle w:val="LDStandard4"/>
        <w:jc w:val="both"/>
      </w:pPr>
      <w:r>
        <w:t>I</w:t>
      </w:r>
      <w:r w:rsidR="00253900" w:rsidRPr="007853E2">
        <w:t xml:space="preserve">t is a condition of issuance that </w:t>
      </w:r>
      <w:r w:rsidR="00C8616E" w:rsidRPr="007853E2">
        <w:t xml:space="preserve">credit cards </w:t>
      </w:r>
      <w:r w:rsidR="004F6F98" w:rsidRPr="007853E2">
        <w:t xml:space="preserve">only </w:t>
      </w:r>
      <w:r w:rsidR="00C8616E" w:rsidRPr="007853E2">
        <w:t xml:space="preserve">be used to pay for </w:t>
      </w:r>
      <w:r w:rsidR="00EB19DA" w:rsidRPr="007853E2">
        <w:t xml:space="preserve">Department </w:t>
      </w:r>
      <w:r w:rsidR="00C8616E" w:rsidRPr="007853E2">
        <w:t>business</w:t>
      </w:r>
      <w:r w:rsidR="00EB19DA" w:rsidRPr="007853E2">
        <w:t>,</w:t>
      </w:r>
      <w:r w:rsidR="00C8616E" w:rsidRPr="007853E2">
        <w:t xml:space="preserve"> goods and services. Only staff with a financial delegation can be a cardholder. </w:t>
      </w:r>
    </w:p>
    <w:p w14:paraId="72A613FD" w14:textId="77777777" w:rsidR="00C8616E" w:rsidRPr="007853E2" w:rsidRDefault="00C8616E" w:rsidP="00253900">
      <w:pPr>
        <w:pStyle w:val="LDStandard4"/>
        <w:jc w:val="both"/>
      </w:pPr>
      <w:r w:rsidRPr="007853E2">
        <w:t>In 2015</w:t>
      </w:r>
      <w:r w:rsidR="004F6F98" w:rsidRPr="007853E2">
        <w:t>,</w:t>
      </w:r>
      <w:r w:rsidRPr="007853E2">
        <w:t xml:space="preserve"> the Department instituted tighter controls over credit cards. The </w:t>
      </w:r>
      <w:r w:rsidR="004F6F98" w:rsidRPr="007853E2">
        <w:t>FSD</w:t>
      </w:r>
      <w:r w:rsidRPr="007853E2">
        <w:t xml:space="preserve"> undertakes monthly checks of a sample of cardholders’ transactions to validate business use, appropriate approval and supporting documentation. Any excessive use of statutory declarations in lieu of original invoices is captured </w:t>
      </w:r>
      <w:r w:rsidR="00230463" w:rsidRPr="007853E2">
        <w:t>through</w:t>
      </w:r>
      <w:r w:rsidRPr="007853E2">
        <w:t xml:space="preserve"> this process. </w:t>
      </w:r>
    </w:p>
    <w:p w14:paraId="6859B3AA" w14:textId="77777777" w:rsidR="00C8616E" w:rsidRPr="007853E2" w:rsidRDefault="00AA192D" w:rsidP="00253900">
      <w:pPr>
        <w:pStyle w:val="LDStandard4"/>
        <w:jc w:val="both"/>
      </w:pPr>
      <w:r w:rsidRPr="007853E2">
        <w:t>F</w:t>
      </w:r>
      <w:r w:rsidR="00494DC5" w:rsidRPr="007853E2">
        <w:t>urther</w:t>
      </w:r>
      <w:r w:rsidR="00C8616E" w:rsidRPr="007853E2">
        <w:t xml:space="preserve">, Internal Audit undertakes </w:t>
      </w:r>
      <w:r w:rsidR="00793D7D" w:rsidRPr="007853E2">
        <w:t xml:space="preserve">bi-annual </w:t>
      </w:r>
      <w:r w:rsidR="00C8616E" w:rsidRPr="007853E2">
        <w:t xml:space="preserve">checks of credit card transactions and usage through data analytics. This exercise identifies anomalous transactions and validates adherence to business rules. </w:t>
      </w:r>
    </w:p>
    <w:p w14:paraId="544E6A2E" w14:textId="77777777" w:rsidR="00C8616E" w:rsidRPr="007853E2" w:rsidRDefault="001F2E1C">
      <w:pPr>
        <w:pStyle w:val="VGSOHdg3"/>
      </w:pPr>
      <w:r w:rsidRPr="007853E2">
        <w:t xml:space="preserve">Three </w:t>
      </w:r>
      <w:r w:rsidR="00EB19DA" w:rsidRPr="007853E2">
        <w:t xml:space="preserve">Lines </w:t>
      </w:r>
      <w:r w:rsidR="00C8616E" w:rsidRPr="007853E2">
        <w:t xml:space="preserve">of </w:t>
      </w:r>
      <w:r w:rsidR="00EB19DA" w:rsidRPr="007853E2">
        <w:t xml:space="preserve">Defence </w:t>
      </w:r>
    </w:p>
    <w:p w14:paraId="5F4C565A" w14:textId="77777777" w:rsidR="00C8616E" w:rsidRPr="007853E2" w:rsidRDefault="00C8616E">
      <w:pPr>
        <w:pStyle w:val="LDStandard2"/>
        <w:numPr>
          <w:ilvl w:val="1"/>
          <w:numId w:val="16"/>
        </w:numPr>
        <w:jc w:val="both"/>
      </w:pPr>
      <w:r w:rsidRPr="007853E2">
        <w:t xml:space="preserve">The </w:t>
      </w:r>
      <w:r w:rsidR="00230463" w:rsidRPr="007853E2">
        <w:t>“</w:t>
      </w:r>
      <w:r w:rsidRPr="007853E2">
        <w:t>Three Lines of Defence</w:t>
      </w:r>
      <w:r w:rsidR="00230463" w:rsidRPr="007853E2">
        <w:t>”</w:t>
      </w:r>
      <w:r w:rsidRPr="007853E2">
        <w:t xml:space="preserve"> is a comprehensive risk management framework that helps clarify roles and responsibilities related to risk management.</w:t>
      </w:r>
      <w:r w:rsidR="004F6F98" w:rsidRPr="007853E2">
        <w:t xml:space="preserve"> </w:t>
      </w:r>
      <w:r w:rsidRPr="007853E2">
        <w:t xml:space="preserve">The first line is operational, embedding risk and control in day to day operations. The second line is an oversight function, requiring effective policies and procedures. The third line is internal and external audit. </w:t>
      </w:r>
    </w:p>
    <w:p w14:paraId="0E99AD44" w14:textId="77777777" w:rsidR="00E4161C" w:rsidRPr="007853E2" w:rsidRDefault="00C8616E">
      <w:pPr>
        <w:pStyle w:val="LDStandard2"/>
        <w:numPr>
          <w:ilvl w:val="1"/>
          <w:numId w:val="16"/>
        </w:numPr>
        <w:jc w:val="both"/>
        <w:rPr>
          <w:b/>
        </w:rPr>
      </w:pPr>
      <w:r w:rsidRPr="007853E2">
        <w:t xml:space="preserve">DET </w:t>
      </w:r>
      <w:r w:rsidR="00F31348">
        <w:t xml:space="preserve">is </w:t>
      </w:r>
      <w:r w:rsidR="00C531E5">
        <w:t>strengthening</w:t>
      </w:r>
      <w:r w:rsidR="00F31348">
        <w:t xml:space="preserve"> the</w:t>
      </w:r>
      <w:r w:rsidRPr="007853E2">
        <w:t xml:space="preserve"> three lines of defence model. </w:t>
      </w:r>
      <w:r w:rsidR="00E4161C" w:rsidRPr="007853E2">
        <w:t>For example:</w:t>
      </w:r>
    </w:p>
    <w:p w14:paraId="3898B2C4" w14:textId="77777777" w:rsidR="00E4161C" w:rsidRPr="007853E2" w:rsidRDefault="00E4165D" w:rsidP="007853E2">
      <w:pPr>
        <w:pStyle w:val="LDStandard4"/>
        <w:jc w:val="both"/>
        <w:rPr>
          <w:b/>
        </w:rPr>
      </w:pPr>
      <w:r>
        <w:t>T</w:t>
      </w:r>
      <w:r w:rsidR="00C8616E" w:rsidRPr="007853E2">
        <w:t>he Risk and Decision Unit is now physically and organisationally separated from the Integrity and Assurance Division (including Internal Audit), creating a stronger delineation between the second and third lines of defence.</w:t>
      </w:r>
      <w:r w:rsidR="000A46A1" w:rsidRPr="007853E2">
        <w:t xml:space="preserve"> </w:t>
      </w:r>
    </w:p>
    <w:p w14:paraId="550ED15C" w14:textId="77777777" w:rsidR="00C8616E" w:rsidRPr="007853E2" w:rsidRDefault="00E4161C" w:rsidP="007853E2">
      <w:pPr>
        <w:pStyle w:val="LDStandard4"/>
        <w:jc w:val="both"/>
        <w:rPr>
          <w:b/>
        </w:rPr>
      </w:pPr>
      <w:r w:rsidRPr="007853E2">
        <w:t xml:space="preserve">The Department’s Procurement and Financial Management Reform </w:t>
      </w:r>
      <w:proofErr w:type="gramStart"/>
      <w:r w:rsidRPr="007853E2">
        <w:t>Program,</w:t>
      </w:r>
      <w:proofErr w:type="gramEnd"/>
      <w:r w:rsidRPr="007853E2">
        <w:t xml:space="preserve"> led by the new Deputy Secretary, Infrastructure and Financial Services Group and new Chief Financial Officer, is strengthening our second line of defence by shifting the focus of the FSD from a transactional and processing role to one of active oversight and control.  </w:t>
      </w:r>
      <w:r w:rsidRPr="007853E2">
        <w:rPr>
          <w:b/>
        </w:rPr>
        <w:t xml:space="preserve"> </w:t>
      </w:r>
    </w:p>
    <w:p w14:paraId="34828D31" w14:textId="77777777" w:rsidR="00C8616E" w:rsidRPr="007853E2" w:rsidRDefault="00E4161C">
      <w:pPr>
        <w:pStyle w:val="LDStandard2"/>
        <w:numPr>
          <w:ilvl w:val="1"/>
          <w:numId w:val="16"/>
        </w:numPr>
        <w:jc w:val="both"/>
      </w:pPr>
      <w:r w:rsidRPr="007853E2">
        <w:t>As its next step, t</w:t>
      </w:r>
      <w:r w:rsidR="00EB1A41" w:rsidRPr="007853E2">
        <w:t>he Department</w:t>
      </w:r>
      <w:r w:rsidR="004F6F98" w:rsidRPr="007853E2">
        <w:t xml:space="preserve"> will</w:t>
      </w:r>
      <w:r w:rsidR="00C8616E" w:rsidRPr="007853E2">
        <w:t xml:space="preserve"> build risk management capacity and capability in </w:t>
      </w:r>
      <w:r w:rsidR="00C531E5">
        <w:t>priority</w:t>
      </w:r>
      <w:r w:rsidR="00F31348">
        <w:t xml:space="preserve"> </w:t>
      </w:r>
      <w:r w:rsidR="00C8616E" w:rsidRPr="007853E2">
        <w:t>business unit</w:t>
      </w:r>
      <w:r w:rsidR="00C531E5">
        <w:t>s</w:t>
      </w:r>
      <w:r w:rsidR="00C8616E" w:rsidRPr="007853E2">
        <w:t>, including a greater focus on control</w:t>
      </w:r>
      <w:r w:rsidR="009646B4" w:rsidRPr="007853E2">
        <w:t>s</w:t>
      </w:r>
      <w:r w:rsidR="00F31348">
        <w:t>,</w:t>
      </w:r>
      <w:r w:rsidR="009646B4" w:rsidRPr="007853E2">
        <w:t xml:space="preserve"> </w:t>
      </w:r>
      <w:r w:rsidR="00C8616E" w:rsidRPr="007853E2">
        <w:t xml:space="preserve">self-assessment and training for the first line of defence. </w:t>
      </w:r>
      <w:r w:rsidR="0082332D" w:rsidRPr="007853E2">
        <w:t>This work is connected to the Department’s ongoing integrity reform agenda.</w:t>
      </w:r>
    </w:p>
    <w:p w14:paraId="0F6F5151" w14:textId="77777777" w:rsidR="00C8616E" w:rsidRPr="007853E2" w:rsidRDefault="00C8616E">
      <w:pPr>
        <w:pStyle w:val="VGSOHdg3"/>
      </w:pPr>
      <w:r w:rsidRPr="007853E2">
        <w:t xml:space="preserve">Qualified/capable people </w:t>
      </w:r>
    </w:p>
    <w:p w14:paraId="3C8F52F6" w14:textId="77777777" w:rsidR="00921E1F" w:rsidRPr="007853E2" w:rsidRDefault="00C8616E" w:rsidP="009A018C">
      <w:pPr>
        <w:pStyle w:val="LDStandard2"/>
        <w:numPr>
          <w:ilvl w:val="1"/>
          <w:numId w:val="16"/>
        </w:numPr>
        <w:jc w:val="both"/>
      </w:pPr>
      <w:r w:rsidRPr="007853E2">
        <w:t xml:space="preserve">Financial delegates </w:t>
      </w:r>
      <w:r w:rsidR="001F2E1C" w:rsidRPr="007853E2">
        <w:t>must</w:t>
      </w:r>
      <w:r w:rsidRPr="007853E2">
        <w:t xml:space="preserve"> understand the obligations that come with </w:t>
      </w:r>
      <w:r w:rsidR="001F2E1C" w:rsidRPr="007853E2">
        <w:t xml:space="preserve">spending </w:t>
      </w:r>
      <w:r w:rsidRPr="007853E2">
        <w:t>public money. Since 2013</w:t>
      </w:r>
      <w:r w:rsidR="00863F19" w:rsidRPr="007853E2">
        <w:t>,</w:t>
      </w:r>
      <w:r w:rsidRPr="007853E2">
        <w:t xml:space="preserve"> financial delegation training has been mandatory for all financial delegates. </w:t>
      </w:r>
      <w:r w:rsidR="009A018C" w:rsidRPr="007853E2">
        <w:rPr>
          <w:i/>
        </w:rPr>
        <w:t xml:space="preserve"> </w:t>
      </w:r>
    </w:p>
    <w:p w14:paraId="616E8C98" w14:textId="77777777" w:rsidR="008F75AE" w:rsidRPr="007853E2" w:rsidRDefault="008F75AE">
      <w:pPr>
        <w:pStyle w:val="LDStandard2"/>
        <w:numPr>
          <w:ilvl w:val="1"/>
          <w:numId w:val="16"/>
        </w:numPr>
        <w:jc w:val="both"/>
      </w:pPr>
      <w:r w:rsidRPr="007853E2">
        <w:t>Specialist external advice, particularly where the advice is technical and where independence from the administration is required, will always have its place in the management of the Department. However</w:t>
      </w:r>
      <w:r w:rsidR="00AA192D" w:rsidRPr="007853E2">
        <w:t>,</w:t>
      </w:r>
      <w:r w:rsidRPr="007853E2">
        <w:t xml:space="preserve"> </w:t>
      </w:r>
      <w:r w:rsidR="00AC3EB0" w:rsidRPr="007853E2">
        <w:t>the Department is</w:t>
      </w:r>
      <w:r w:rsidRPr="007853E2">
        <w:t xml:space="preserve"> committed to building </w:t>
      </w:r>
      <w:r w:rsidRPr="007853E2">
        <w:lastRenderedPageBreak/>
        <w:t xml:space="preserve">the core competencies of staff so that the Department’s use of external advisors is strategic and deliberate. </w:t>
      </w:r>
    </w:p>
    <w:p w14:paraId="69148C44" w14:textId="77777777" w:rsidR="0020138D" w:rsidRPr="007853E2" w:rsidRDefault="00ED4C21">
      <w:pPr>
        <w:pStyle w:val="LDStandard2"/>
        <w:numPr>
          <w:ilvl w:val="1"/>
          <w:numId w:val="16"/>
        </w:numPr>
        <w:jc w:val="both"/>
      </w:pPr>
      <w:r w:rsidRPr="007853E2">
        <w:t>The</w:t>
      </w:r>
      <w:r w:rsidR="0020138D" w:rsidRPr="007853E2">
        <w:t xml:space="preserve"> Department’s project management capacity has </w:t>
      </w:r>
      <w:r w:rsidR="0045362F" w:rsidRPr="007853E2">
        <w:t xml:space="preserve">recently </w:t>
      </w:r>
      <w:r w:rsidR="0020138D" w:rsidRPr="007853E2">
        <w:t>been enhanced by the creation of a Program Management Office (</w:t>
      </w:r>
      <w:r w:rsidR="0020138D" w:rsidRPr="007853E2">
        <w:rPr>
          <w:b/>
        </w:rPr>
        <w:t>PMO</w:t>
      </w:r>
      <w:r w:rsidR="0020138D" w:rsidRPr="007853E2">
        <w:t>). A key aspect of the PMO’s role is to build project management capability across the Department to support the delivery of key initiatives. To facilitate this, the PMO has developed a range of guides, tools and templates for use by Project Boards</w:t>
      </w:r>
      <w:r w:rsidR="00EF2BF4" w:rsidRPr="007853E2">
        <w:t xml:space="preserve"> and is </w:t>
      </w:r>
      <w:r w:rsidR="00360EA1" w:rsidRPr="007853E2">
        <w:t>examining</w:t>
      </w:r>
      <w:r w:rsidR="008954A3" w:rsidRPr="007853E2">
        <w:t xml:space="preserve"> ways t</w:t>
      </w:r>
      <w:r w:rsidRPr="007853E2">
        <w:t xml:space="preserve">o ensure Project Board members </w:t>
      </w:r>
      <w:r w:rsidR="008954A3" w:rsidRPr="007853E2">
        <w:t xml:space="preserve">are appropriately supported to perform their role and responsibilities. </w:t>
      </w:r>
      <w:r w:rsidR="009A018C" w:rsidRPr="007853E2">
        <w:t xml:space="preserve"> </w:t>
      </w:r>
    </w:p>
    <w:p w14:paraId="5455FFDE" w14:textId="77777777" w:rsidR="000B4ED1" w:rsidRPr="007853E2" w:rsidRDefault="000B4ED1">
      <w:pPr>
        <w:pStyle w:val="LDStandard2"/>
        <w:numPr>
          <w:ilvl w:val="1"/>
          <w:numId w:val="16"/>
        </w:numPr>
        <w:jc w:val="both"/>
      </w:pPr>
      <w:r w:rsidRPr="007853E2">
        <w:t>For project owners</w:t>
      </w:r>
      <w:r w:rsidR="00921E1F" w:rsidRPr="007853E2">
        <w:t>,</w:t>
      </w:r>
      <w:r w:rsidRPr="007853E2">
        <w:t xml:space="preserve"> the PMO provides a framework to support the ability to identify project aims, objectives, deliverables and benefits that can be monitored and evaluated during the project lifecycle including inception, delivery and conclusion. </w:t>
      </w:r>
      <w:r w:rsidR="0045362F" w:rsidRPr="007853E2">
        <w:t xml:space="preserve"> </w:t>
      </w:r>
    </w:p>
    <w:p w14:paraId="0245C876" w14:textId="77777777" w:rsidR="00C8616E" w:rsidRPr="007853E2" w:rsidRDefault="00C8616E">
      <w:pPr>
        <w:pStyle w:val="VGSOHdg3"/>
      </w:pPr>
      <w:r w:rsidRPr="007853E2">
        <w:t xml:space="preserve">ICT project management and delivery </w:t>
      </w:r>
    </w:p>
    <w:p w14:paraId="4A27FE0E" w14:textId="77777777" w:rsidR="000B4ED1" w:rsidRPr="007853E2" w:rsidRDefault="00C8616E">
      <w:pPr>
        <w:pStyle w:val="LDStandard2"/>
        <w:jc w:val="both"/>
      </w:pPr>
      <w:r w:rsidRPr="007853E2">
        <w:t xml:space="preserve">ICT projects present </w:t>
      </w:r>
      <w:r w:rsidR="00923ABB" w:rsidRPr="007853E2">
        <w:t>particular</w:t>
      </w:r>
      <w:r w:rsidRPr="007853E2">
        <w:t xml:space="preserve"> </w:t>
      </w:r>
      <w:r w:rsidR="00F43B8B" w:rsidRPr="007853E2">
        <w:t xml:space="preserve">project-management </w:t>
      </w:r>
      <w:r w:rsidRPr="007853E2">
        <w:t xml:space="preserve">challenges due to the fast </w:t>
      </w:r>
      <w:r w:rsidR="000E0C65" w:rsidRPr="007853E2">
        <w:t xml:space="preserve">changing market, </w:t>
      </w:r>
      <w:r w:rsidRPr="007853E2">
        <w:t xml:space="preserve">the need to decide between commercial off-the-shelf and custom-built products, and </w:t>
      </w:r>
      <w:r w:rsidR="00F43B8B" w:rsidRPr="007853E2">
        <w:t xml:space="preserve">the need </w:t>
      </w:r>
      <w:r w:rsidRPr="007853E2">
        <w:t xml:space="preserve">to reliably estimate </w:t>
      </w:r>
      <w:r w:rsidR="00F43B8B" w:rsidRPr="007853E2">
        <w:t xml:space="preserve">the total project cost.  </w:t>
      </w:r>
    </w:p>
    <w:p w14:paraId="7B4A38D9" w14:textId="77777777" w:rsidR="000B4ED1" w:rsidRPr="007853E2" w:rsidRDefault="000B4ED1">
      <w:pPr>
        <w:pStyle w:val="LDStandard2"/>
        <w:jc w:val="both"/>
      </w:pPr>
      <w:r w:rsidRPr="007853E2">
        <w:t xml:space="preserve">DET is implementing a range of controls to ensure it obtains the best value from public investment in information and/or technology enabled projects. These changes focus on two key areas: choosing the right investments and ensuring </w:t>
      </w:r>
      <w:r w:rsidR="00EB1A41" w:rsidRPr="007853E2">
        <w:t>the Department</w:t>
      </w:r>
      <w:r w:rsidRPr="007853E2">
        <w:t xml:space="preserve"> implement</w:t>
      </w:r>
      <w:r w:rsidR="00EB1A41" w:rsidRPr="007853E2">
        <w:t>s</w:t>
      </w:r>
      <w:r w:rsidRPr="007853E2">
        <w:t xml:space="preserve"> those things </w:t>
      </w:r>
      <w:r w:rsidR="00EB1A41" w:rsidRPr="007853E2">
        <w:t>it</w:t>
      </w:r>
      <w:r w:rsidRPr="007853E2">
        <w:t xml:space="preserve"> choose</w:t>
      </w:r>
      <w:r w:rsidR="00EB1A41" w:rsidRPr="007853E2">
        <w:t>s</w:t>
      </w:r>
      <w:r w:rsidRPr="007853E2">
        <w:t xml:space="preserve"> to do</w:t>
      </w:r>
      <w:r w:rsidR="00EB1A41" w:rsidRPr="007853E2">
        <w:t>,</w:t>
      </w:r>
      <w:r w:rsidRPr="007853E2">
        <w:t xml:space="preserve"> in the right way.</w:t>
      </w:r>
    </w:p>
    <w:p w14:paraId="6973E4E6" w14:textId="77777777" w:rsidR="000B4ED1" w:rsidRPr="007853E2" w:rsidRDefault="000B4ED1">
      <w:pPr>
        <w:pStyle w:val="LDStandard2"/>
        <w:jc w:val="both"/>
      </w:pPr>
      <w:r w:rsidRPr="007853E2">
        <w:t xml:space="preserve">The Department’s ICT project management capacity is assisted by the new governance arrangements, including </w:t>
      </w:r>
      <w:r w:rsidR="003273E7" w:rsidRPr="007853E2">
        <w:t xml:space="preserve">the </w:t>
      </w:r>
      <w:r w:rsidRPr="007853E2">
        <w:t xml:space="preserve">Information Management and Technology Committee, </w:t>
      </w:r>
      <w:r w:rsidR="003273E7" w:rsidRPr="007853E2">
        <w:t xml:space="preserve">the </w:t>
      </w:r>
      <w:r w:rsidRPr="007853E2">
        <w:t>Budget and Financial Management Committee</w:t>
      </w:r>
      <w:r w:rsidR="00CD7DDD" w:rsidRPr="007853E2">
        <w:t>,</w:t>
      </w:r>
      <w:r w:rsidRPr="007853E2">
        <w:t xml:space="preserve"> and </w:t>
      </w:r>
      <w:r w:rsidR="003273E7" w:rsidRPr="007853E2">
        <w:t xml:space="preserve">the </w:t>
      </w:r>
      <w:r w:rsidRPr="007853E2">
        <w:t xml:space="preserve">Procurement and Probity Committee. In addition, the </w:t>
      </w:r>
      <w:r w:rsidR="00CD7DDD" w:rsidRPr="007853E2">
        <w:t>PMO</w:t>
      </w:r>
      <w:r w:rsidRPr="007853E2">
        <w:t xml:space="preserve"> supports best practice project management throughout the Department.  </w:t>
      </w:r>
    </w:p>
    <w:p w14:paraId="1E21465D" w14:textId="77777777" w:rsidR="00F43B8B" w:rsidRPr="007853E2" w:rsidRDefault="00C531E5">
      <w:pPr>
        <w:pStyle w:val="LDStandard2"/>
        <w:widowControl w:val="0"/>
        <w:jc w:val="both"/>
      </w:pPr>
      <w:r w:rsidRPr="007853E2">
        <w:t xml:space="preserve">DTF has developed </w:t>
      </w:r>
      <w:r w:rsidRPr="00C531E5">
        <w:t>specific ICT technical guidance to address recurring problems identified for ICT projects</w:t>
      </w:r>
      <w:r w:rsidR="00636747">
        <w:t xml:space="preserve"> and </w:t>
      </w:r>
      <w:r w:rsidR="000B4ED1" w:rsidRPr="007853E2">
        <w:t xml:space="preserve">can assist the Department with additional assurance on </w:t>
      </w:r>
      <w:r w:rsidR="00636747">
        <w:t>such</w:t>
      </w:r>
      <w:r w:rsidR="00636747" w:rsidRPr="007853E2">
        <w:t xml:space="preserve"> </w:t>
      </w:r>
      <w:r w:rsidR="000B4ED1" w:rsidRPr="007853E2">
        <w:t xml:space="preserve">projects. These are dealt with as a special case HVHR category. </w:t>
      </w:r>
      <w:r w:rsidR="000B4ED1" w:rsidRPr="00C531E5">
        <w:t>This guidance informs the close central agency monitoring that these projects receive.</w:t>
      </w:r>
      <w:r w:rsidR="000B4ED1" w:rsidRPr="00636747">
        <w:t xml:space="preserve"> </w:t>
      </w:r>
    </w:p>
    <w:p w14:paraId="7D952C75" w14:textId="77777777" w:rsidR="00D555BD" w:rsidRPr="007853E2" w:rsidRDefault="006C7D4F" w:rsidP="009A018C">
      <w:pPr>
        <w:pStyle w:val="LDStandard2"/>
        <w:widowControl w:val="0"/>
        <w:jc w:val="both"/>
        <w:rPr>
          <w:b/>
        </w:rPr>
      </w:pPr>
      <w:r>
        <w:t xml:space="preserve">As stated above, </w:t>
      </w:r>
      <w:r w:rsidR="00C8616E" w:rsidRPr="007853E2">
        <w:t xml:space="preserve">DTF and DPC </w:t>
      </w:r>
      <w:r>
        <w:t>will</w:t>
      </w:r>
      <w:r w:rsidR="00C8616E" w:rsidRPr="007853E2">
        <w:t xml:space="preserve"> develop options to improve assurance for </w:t>
      </w:r>
      <w:r w:rsidR="00EB3DE7" w:rsidRPr="007853E2">
        <w:t xml:space="preserve">major </w:t>
      </w:r>
      <w:r w:rsidR="00C8616E" w:rsidRPr="007853E2">
        <w:t>ICT projects including</w:t>
      </w:r>
      <w:r w:rsidR="00225819" w:rsidRPr="007853E2">
        <w:t>:</w:t>
      </w:r>
      <w:r w:rsidR="00C8616E" w:rsidRPr="007853E2">
        <w:t xml:space="preserve"> </w:t>
      </w:r>
      <w:r w:rsidR="00225819" w:rsidRPr="007853E2">
        <w:t xml:space="preserve">requiring </w:t>
      </w:r>
      <w:r w:rsidR="00C8616E" w:rsidRPr="007853E2">
        <w:t xml:space="preserve">independent project experts </w:t>
      </w:r>
      <w:r w:rsidR="00225819" w:rsidRPr="007853E2">
        <w:t xml:space="preserve">to provide </w:t>
      </w:r>
      <w:r w:rsidR="00C8616E" w:rsidRPr="007853E2">
        <w:t xml:space="preserve">ongoing quality assurance </w:t>
      </w:r>
      <w:r w:rsidR="00B656FD" w:rsidRPr="007853E2">
        <w:t xml:space="preserve">to </w:t>
      </w:r>
      <w:r w:rsidR="00C8616E" w:rsidRPr="007853E2">
        <w:t>the project governance team a</w:t>
      </w:r>
      <w:r>
        <w:t>t</w:t>
      </w:r>
      <w:r w:rsidR="00C8616E" w:rsidRPr="007853E2">
        <w:t xml:space="preserve"> </w:t>
      </w:r>
      <w:r w:rsidR="00225819" w:rsidRPr="007853E2">
        <w:t xml:space="preserve">key points of the </w:t>
      </w:r>
      <w:r w:rsidR="00C8616E" w:rsidRPr="007853E2">
        <w:t>Project Assurance Review and</w:t>
      </w:r>
      <w:r>
        <w:t>, where needed,</w:t>
      </w:r>
      <w:r w:rsidR="00C8616E" w:rsidRPr="007853E2">
        <w:t xml:space="preserve"> provide independent advice to Government.</w:t>
      </w:r>
      <w:r w:rsidR="000B4ED1" w:rsidRPr="007853E2">
        <w:t xml:space="preserve"> </w:t>
      </w:r>
    </w:p>
    <w:p w14:paraId="5ED77A11" w14:textId="77777777" w:rsidR="00CA58A3" w:rsidRPr="007853E2" w:rsidRDefault="000B62E2" w:rsidP="00B56EC3">
      <w:pPr>
        <w:pStyle w:val="VGSOHdg1"/>
        <w:jc w:val="both"/>
        <w:rPr>
          <w:u w:val="single"/>
        </w:rPr>
      </w:pPr>
      <w:bookmarkStart w:id="18" w:name="_Toc445877703"/>
      <w:r w:rsidRPr="007853E2">
        <w:rPr>
          <w:u w:val="single"/>
        </w:rPr>
        <w:t>3.</w:t>
      </w:r>
      <w:r w:rsidRPr="007853E2">
        <w:rPr>
          <w:u w:val="single"/>
        </w:rPr>
        <w:tab/>
      </w:r>
      <w:r w:rsidR="00CA58A3" w:rsidRPr="007853E2">
        <w:rPr>
          <w:u w:val="single"/>
        </w:rPr>
        <w:t>Public sector employment</w:t>
      </w:r>
      <w:bookmarkEnd w:id="18"/>
      <w:r w:rsidR="00CA58A3" w:rsidRPr="007853E2">
        <w:rPr>
          <w:u w:val="single"/>
        </w:rPr>
        <w:t xml:space="preserve"> </w:t>
      </w:r>
    </w:p>
    <w:p w14:paraId="0B72B7DE" w14:textId="77777777" w:rsidR="000B62E2" w:rsidRPr="007853E2" w:rsidRDefault="004B1611" w:rsidP="00B56EC3">
      <w:pPr>
        <w:pStyle w:val="VGSOHdg2"/>
        <w:jc w:val="both"/>
      </w:pPr>
      <w:bookmarkStart w:id="19" w:name="_Toc445877704"/>
      <w:r w:rsidRPr="007853E2">
        <w:t>Values and ethics</w:t>
      </w:r>
      <w:bookmarkEnd w:id="19"/>
      <w:r w:rsidRPr="007853E2">
        <w:t xml:space="preserve"> </w:t>
      </w:r>
    </w:p>
    <w:p w14:paraId="4B048362" w14:textId="77777777" w:rsidR="00BE299C" w:rsidRPr="007853E2" w:rsidRDefault="00BE299C">
      <w:pPr>
        <w:pStyle w:val="LDStandard2"/>
        <w:jc w:val="both"/>
        <w:rPr>
          <w:i/>
          <w:color w:val="0070C0"/>
        </w:rPr>
      </w:pPr>
      <w:r w:rsidRPr="007853E2">
        <w:t xml:space="preserve">Operation Dunham revealed </w:t>
      </w:r>
      <w:r w:rsidR="00D555BD" w:rsidRPr="007853E2">
        <w:t>a</w:t>
      </w:r>
      <w:r w:rsidR="009B0293" w:rsidRPr="007853E2">
        <w:t xml:space="preserve"> </w:t>
      </w:r>
      <w:r w:rsidRPr="007853E2">
        <w:t>disregard</w:t>
      </w:r>
      <w:r w:rsidR="00636747">
        <w:t xml:space="preserve"> by certain senior executives</w:t>
      </w:r>
      <w:r w:rsidR="00B42EE2">
        <w:t xml:space="preserve"> </w:t>
      </w:r>
      <w:r w:rsidRPr="007853E2">
        <w:t xml:space="preserve">for </w:t>
      </w:r>
      <w:r w:rsidR="008F7BF5" w:rsidRPr="007853E2">
        <w:t xml:space="preserve">core </w:t>
      </w:r>
      <w:r w:rsidRPr="007853E2">
        <w:t xml:space="preserve">public </w:t>
      </w:r>
      <w:r w:rsidR="006D371E" w:rsidRPr="007853E2">
        <w:t xml:space="preserve">sector </w:t>
      </w:r>
      <w:r w:rsidRPr="007853E2">
        <w:t xml:space="preserve">values, particularly integrity, accountability, and leadership. </w:t>
      </w:r>
      <w:r w:rsidR="00D555BD" w:rsidRPr="007853E2">
        <w:t xml:space="preserve"> </w:t>
      </w:r>
      <w:r w:rsidRPr="007853E2">
        <w:t xml:space="preserve"> </w:t>
      </w:r>
    </w:p>
    <w:p w14:paraId="0731283D" w14:textId="77777777" w:rsidR="009B0293" w:rsidRPr="007853E2" w:rsidRDefault="00485E94">
      <w:pPr>
        <w:pStyle w:val="LDStandard2"/>
        <w:jc w:val="both"/>
      </w:pPr>
      <w:r w:rsidRPr="007853E2">
        <w:t xml:space="preserve">All employees in the Victorian Public Service and the Government Teaching Service are bound by the Code of Conduct. </w:t>
      </w:r>
      <w:r w:rsidR="000347F1" w:rsidRPr="007853E2">
        <w:t xml:space="preserve">In June 2015, all staff </w:t>
      </w:r>
      <w:proofErr w:type="gramStart"/>
      <w:r w:rsidR="000347F1" w:rsidRPr="007853E2">
        <w:t>were</w:t>
      </w:r>
      <w:proofErr w:type="gramEnd"/>
      <w:r w:rsidR="000347F1" w:rsidRPr="007853E2">
        <w:t xml:space="preserve"> informed of the updated Code, where to find it and who to ask for further information. </w:t>
      </w:r>
      <w:r w:rsidR="009B0293" w:rsidRPr="007853E2">
        <w:t xml:space="preserve">   </w:t>
      </w:r>
    </w:p>
    <w:p w14:paraId="03E15347" w14:textId="77777777" w:rsidR="00184C1B" w:rsidRPr="007853E2" w:rsidRDefault="00184C1B">
      <w:pPr>
        <w:pStyle w:val="LDStandard2"/>
        <w:jc w:val="both"/>
      </w:pPr>
      <w:r w:rsidRPr="007853E2">
        <w:t xml:space="preserve">The Code of Conduct seeks to reinforce and protect the key attributes of the public service: its apolitical nature, responsiveness, effectiveness and accountability. It also seeks to promote the seven public sector values contained in </w:t>
      </w:r>
      <w:r w:rsidR="00565488" w:rsidRPr="007853E2">
        <w:br/>
      </w:r>
      <w:r w:rsidRPr="007853E2">
        <w:lastRenderedPageBreak/>
        <w:t xml:space="preserve">s 7 of the </w:t>
      </w:r>
      <w:r w:rsidRPr="007853E2">
        <w:rPr>
          <w:i/>
        </w:rPr>
        <w:t>Public Administration Act 2004</w:t>
      </w:r>
      <w:r w:rsidRPr="007853E2">
        <w:t xml:space="preserve">: responsiveness, integrity, impartiality, accountability, respect, leadership and human rights. </w:t>
      </w:r>
    </w:p>
    <w:p w14:paraId="76447739" w14:textId="77777777" w:rsidR="009B0293" w:rsidRPr="007853E2" w:rsidRDefault="005D349C">
      <w:pPr>
        <w:pStyle w:val="LDStandard2"/>
        <w:jc w:val="both"/>
      </w:pPr>
      <w:r w:rsidRPr="007853E2">
        <w:t xml:space="preserve">In 2015, </w:t>
      </w:r>
      <w:r w:rsidR="00431888" w:rsidRPr="007853E2">
        <w:t xml:space="preserve">the Public Sector Commissioner relaunched the </w:t>
      </w:r>
      <w:r w:rsidRPr="007853E2">
        <w:t>Code of Conduct</w:t>
      </w:r>
      <w:r w:rsidR="009B0293" w:rsidRPr="007853E2">
        <w:t xml:space="preserve"> and</w:t>
      </w:r>
      <w:r w:rsidR="00184C1B" w:rsidRPr="007853E2">
        <w:t xml:space="preserve"> </w:t>
      </w:r>
      <w:r w:rsidR="00A2226E" w:rsidRPr="007853E2">
        <w:t>clarified</w:t>
      </w:r>
      <w:r w:rsidRPr="007853E2">
        <w:t xml:space="preserve"> each </w:t>
      </w:r>
      <w:r w:rsidR="004F3A72" w:rsidRPr="007853E2">
        <w:t>employee’s obligations in relation to c</w:t>
      </w:r>
      <w:r w:rsidR="00075F08" w:rsidRPr="007853E2">
        <w:t>onflicts</w:t>
      </w:r>
      <w:r w:rsidR="00CF4384" w:rsidRPr="007853E2">
        <w:t xml:space="preserve"> of interests and gifts</w:t>
      </w:r>
      <w:r w:rsidR="00AF7807" w:rsidRPr="007853E2">
        <w:t xml:space="preserve">, two </w:t>
      </w:r>
      <w:r w:rsidR="008363F0" w:rsidRPr="007853E2">
        <w:t xml:space="preserve">issues </w:t>
      </w:r>
      <w:r w:rsidR="009B0293" w:rsidRPr="007853E2">
        <w:t xml:space="preserve">that </w:t>
      </w:r>
      <w:r w:rsidR="008363F0" w:rsidRPr="007853E2">
        <w:t xml:space="preserve">featured prominently in the corruption surrounding the </w:t>
      </w:r>
      <w:proofErr w:type="spellStart"/>
      <w:r w:rsidR="008363F0" w:rsidRPr="007853E2">
        <w:t>Ultranet</w:t>
      </w:r>
      <w:proofErr w:type="spellEnd"/>
      <w:r w:rsidR="008363F0" w:rsidRPr="007853E2">
        <w:t xml:space="preserve">.  </w:t>
      </w:r>
    </w:p>
    <w:p w14:paraId="3B9EBAE5" w14:textId="77777777" w:rsidR="004F3A72" w:rsidRPr="007853E2" w:rsidRDefault="009B0293" w:rsidP="009A018C">
      <w:pPr>
        <w:pStyle w:val="LDStandard2"/>
        <w:jc w:val="both"/>
      </w:pPr>
      <w:r w:rsidRPr="007853E2">
        <w:t>Relevantly, t</w:t>
      </w:r>
      <w:r w:rsidR="004F3A72" w:rsidRPr="007853E2">
        <w:t>he Code of Conduct requires that Department</w:t>
      </w:r>
      <w:r w:rsidR="0077026F" w:rsidRPr="007853E2">
        <w:t>al</w:t>
      </w:r>
      <w:r w:rsidR="004F3A72" w:rsidRPr="007853E2">
        <w:t xml:space="preserve"> employees: </w:t>
      </w:r>
    </w:p>
    <w:p w14:paraId="5374C054" w14:textId="77777777" w:rsidR="004F3A72" w:rsidRPr="007853E2" w:rsidRDefault="004F3A72">
      <w:pPr>
        <w:pStyle w:val="LDStandard4"/>
        <w:jc w:val="both"/>
      </w:pPr>
      <w:r w:rsidRPr="007853E2">
        <w:t>do not use their power at work to provide a private benefit to themselves, their family, friends or associates</w:t>
      </w:r>
      <w:r w:rsidR="009B0293" w:rsidRPr="007853E2">
        <w:t xml:space="preserve">; </w:t>
      </w:r>
    </w:p>
    <w:p w14:paraId="410327E3" w14:textId="77777777" w:rsidR="004F3A72" w:rsidRPr="007853E2" w:rsidRDefault="004F3A72">
      <w:pPr>
        <w:pStyle w:val="LDStandard4"/>
        <w:jc w:val="both"/>
      </w:pPr>
      <w:r w:rsidRPr="007853E2">
        <w:t>observe the highest standards of integrity in financial matters</w:t>
      </w:r>
      <w:r w:rsidR="009B0293" w:rsidRPr="007853E2">
        <w:t>;</w:t>
      </w:r>
    </w:p>
    <w:p w14:paraId="311E1358" w14:textId="77777777" w:rsidR="004F3A72" w:rsidRPr="007853E2" w:rsidRDefault="004F3A72">
      <w:pPr>
        <w:pStyle w:val="LDStandard4"/>
        <w:jc w:val="both"/>
      </w:pPr>
      <w:r w:rsidRPr="007853E2">
        <w:t>report behaviour that violates any law, rule or regulation, or represents corrupt conduct or mismanagement of public resources</w:t>
      </w:r>
      <w:r w:rsidR="009B0293" w:rsidRPr="007853E2">
        <w:t xml:space="preserve">; </w:t>
      </w:r>
    </w:p>
    <w:p w14:paraId="69D8F5AD" w14:textId="77777777" w:rsidR="004F3A72" w:rsidRPr="007853E2" w:rsidRDefault="004F3A72">
      <w:pPr>
        <w:pStyle w:val="LDStandard4"/>
        <w:jc w:val="both"/>
      </w:pPr>
      <w:r w:rsidRPr="007853E2">
        <w:t xml:space="preserve">avoid, declare, and manage conflicts of interest (actual, potential or perceived) wherever possible, and seek advice if </w:t>
      </w:r>
      <w:r w:rsidR="009B0293" w:rsidRPr="007853E2">
        <w:t xml:space="preserve">they are </w:t>
      </w:r>
      <w:r w:rsidRPr="007853E2">
        <w:t>unsure</w:t>
      </w:r>
      <w:r w:rsidR="009B0293" w:rsidRPr="007853E2">
        <w:t xml:space="preserve">; </w:t>
      </w:r>
    </w:p>
    <w:p w14:paraId="4355DE77" w14:textId="77777777" w:rsidR="004F3A72" w:rsidRPr="007853E2" w:rsidRDefault="004F3A72">
      <w:pPr>
        <w:pStyle w:val="LDStandard4"/>
        <w:jc w:val="both"/>
      </w:pPr>
      <w:r w:rsidRPr="007853E2">
        <w:t>only engage in other employment that does not conflict with their Departmental role</w:t>
      </w:r>
      <w:r w:rsidR="009B0293" w:rsidRPr="007853E2">
        <w:t xml:space="preserve">; and  </w:t>
      </w:r>
    </w:p>
    <w:p w14:paraId="5044554B" w14:textId="77777777" w:rsidR="004F3A72" w:rsidRPr="007853E2" w:rsidRDefault="004F3A72">
      <w:pPr>
        <w:pStyle w:val="LDStandard4"/>
        <w:jc w:val="both"/>
      </w:pPr>
      <w:proofErr w:type="gramStart"/>
      <w:r w:rsidRPr="007853E2">
        <w:t>do</w:t>
      </w:r>
      <w:proofErr w:type="gramEnd"/>
      <w:r w:rsidRPr="007853E2">
        <w:t xml:space="preserve"> not</w:t>
      </w:r>
      <w:r w:rsidR="008363F0" w:rsidRPr="007853E2">
        <w:t xml:space="preserve"> </w:t>
      </w:r>
      <w:r w:rsidRPr="007853E2">
        <w:t xml:space="preserve">– for themselves or others </w:t>
      </w:r>
      <w:r w:rsidR="008363F0" w:rsidRPr="007853E2">
        <w:t xml:space="preserve">– </w:t>
      </w:r>
      <w:r w:rsidRPr="007853E2">
        <w:t>seek or accept gifts or benefits (including hospitality) that could be reasonably perceived as influencing them, and declare such gifts or benefits.</w:t>
      </w:r>
    </w:p>
    <w:p w14:paraId="688904D2" w14:textId="77777777" w:rsidR="00184C1B" w:rsidRPr="007853E2" w:rsidRDefault="00184C1B">
      <w:pPr>
        <w:pStyle w:val="LDStandard2"/>
        <w:jc w:val="both"/>
      </w:pPr>
      <w:r w:rsidRPr="007853E2">
        <w:t xml:space="preserve">Simply, every single employee in the Department – without exception – is required to behave in the manner prescribed by the Code of Conduct. </w:t>
      </w:r>
    </w:p>
    <w:p w14:paraId="6B8ADFAD" w14:textId="77777777" w:rsidR="005D349C" w:rsidRPr="007853E2" w:rsidRDefault="005D349C">
      <w:pPr>
        <w:pStyle w:val="VGSOHdg3"/>
      </w:pPr>
      <w:r w:rsidRPr="007853E2">
        <w:t xml:space="preserve">Visibility and awareness of the Code of Conduct </w:t>
      </w:r>
    </w:p>
    <w:p w14:paraId="49B3E58F" w14:textId="77777777" w:rsidR="008804D8" w:rsidRPr="007853E2" w:rsidRDefault="00AF7807">
      <w:pPr>
        <w:pStyle w:val="LDStandard2"/>
        <w:jc w:val="both"/>
      </w:pPr>
      <w:r w:rsidRPr="007853E2">
        <w:t xml:space="preserve">To hold employees to </w:t>
      </w:r>
      <w:r w:rsidR="00F22D52" w:rsidRPr="007853E2">
        <w:t xml:space="preserve">the </w:t>
      </w:r>
      <w:r w:rsidR="009B0293" w:rsidRPr="007853E2">
        <w:t>standard required by</w:t>
      </w:r>
      <w:r w:rsidR="00F22D52" w:rsidRPr="007853E2">
        <w:t xml:space="preserve"> the Code of Conduct</w:t>
      </w:r>
      <w:r w:rsidRPr="007853E2">
        <w:t xml:space="preserve">, the Department must ensure that </w:t>
      </w:r>
      <w:r w:rsidR="00B60E40" w:rsidRPr="007853E2">
        <w:t xml:space="preserve">all </w:t>
      </w:r>
      <w:r w:rsidRPr="007853E2">
        <w:t xml:space="preserve">staff know where to find </w:t>
      </w:r>
      <w:r w:rsidR="004C092A" w:rsidRPr="007853E2">
        <w:t>it</w:t>
      </w:r>
      <w:r w:rsidR="006C5C23" w:rsidRPr="007853E2">
        <w:t>,</w:t>
      </w:r>
      <w:r w:rsidRPr="007853E2">
        <w:t xml:space="preserve"> and </w:t>
      </w:r>
      <w:r w:rsidR="004C092A" w:rsidRPr="007853E2">
        <w:t xml:space="preserve">that they </w:t>
      </w:r>
      <w:r w:rsidR="00184C1B" w:rsidRPr="007853E2">
        <w:t>‘live and breath</w:t>
      </w:r>
      <w:r w:rsidR="00742199" w:rsidRPr="007853E2">
        <w:t>e</w:t>
      </w:r>
      <w:r w:rsidR="00184C1B" w:rsidRPr="007853E2">
        <w:t>’ the values enshrined in the Code</w:t>
      </w:r>
      <w:r w:rsidR="004C092A" w:rsidRPr="007853E2">
        <w:t xml:space="preserve"> of Conduct</w:t>
      </w:r>
      <w:r w:rsidR="00184C1B" w:rsidRPr="007853E2">
        <w:t xml:space="preserve">.  </w:t>
      </w:r>
    </w:p>
    <w:p w14:paraId="157A8694" w14:textId="77777777" w:rsidR="00203D6D" w:rsidRPr="007853E2" w:rsidRDefault="008363F0">
      <w:pPr>
        <w:pStyle w:val="LDStandard2"/>
        <w:jc w:val="both"/>
      </w:pPr>
      <w:r w:rsidRPr="007853E2">
        <w:t xml:space="preserve">To </w:t>
      </w:r>
      <w:r w:rsidR="00184C1B" w:rsidRPr="007853E2">
        <w:t>this end</w:t>
      </w:r>
      <w:r w:rsidRPr="007853E2">
        <w:t>, t</w:t>
      </w:r>
      <w:r w:rsidR="00377DDA" w:rsidRPr="007853E2">
        <w:t>he Department has embarked on a Values Project</w:t>
      </w:r>
      <w:r w:rsidR="005907BB" w:rsidRPr="007853E2">
        <w:t xml:space="preserve"> </w:t>
      </w:r>
      <w:r w:rsidR="009B0293" w:rsidRPr="007853E2">
        <w:t>as part of the Department’s cultural reform program</w:t>
      </w:r>
      <w:r w:rsidR="00203D6D" w:rsidRPr="007853E2">
        <w:t xml:space="preserve">. The Values Project </w:t>
      </w:r>
      <w:r w:rsidR="00377DDA" w:rsidRPr="007853E2">
        <w:t xml:space="preserve">will raise awareness of public sector values and </w:t>
      </w:r>
      <w:r w:rsidR="001124FF" w:rsidRPr="007853E2">
        <w:t xml:space="preserve">firmly </w:t>
      </w:r>
      <w:r w:rsidR="00377DDA" w:rsidRPr="007853E2">
        <w:t>embed th</w:t>
      </w:r>
      <w:r w:rsidR="001124FF" w:rsidRPr="007853E2">
        <w:t>e</w:t>
      </w:r>
      <w:r w:rsidR="00377DDA" w:rsidRPr="007853E2">
        <w:t xml:space="preserve">se values in the Department. </w:t>
      </w:r>
      <w:r w:rsidR="008465D6" w:rsidRPr="007853E2">
        <w:t>Best practice initiatives from New South Wales</w:t>
      </w:r>
      <w:r w:rsidR="009B0293" w:rsidRPr="007853E2">
        <w:t>,</w:t>
      </w:r>
      <w:r w:rsidR="008465D6" w:rsidRPr="007853E2">
        <w:t xml:space="preserve"> South Australia </w:t>
      </w:r>
      <w:r w:rsidR="009B0293" w:rsidRPr="007853E2">
        <w:t xml:space="preserve">and Tasmania </w:t>
      </w:r>
      <w:r w:rsidR="008465D6" w:rsidRPr="007853E2">
        <w:t xml:space="preserve">have been tailored to match </w:t>
      </w:r>
      <w:r w:rsidR="00464E2F" w:rsidRPr="007853E2">
        <w:t>the Department’s specific operating environments</w:t>
      </w:r>
      <w:r w:rsidR="00203D6D" w:rsidRPr="007853E2">
        <w:t xml:space="preserve">. </w:t>
      </w:r>
    </w:p>
    <w:p w14:paraId="18899743" w14:textId="77777777" w:rsidR="00203D6D" w:rsidRPr="007853E2" w:rsidRDefault="008363F0">
      <w:pPr>
        <w:pStyle w:val="LDStandard2"/>
        <w:jc w:val="both"/>
      </w:pPr>
      <w:r w:rsidRPr="007853E2">
        <w:t>Through the Values Project, t</w:t>
      </w:r>
      <w:r w:rsidR="00571CAA" w:rsidRPr="007853E2">
        <w:t xml:space="preserve">he public sector values </w:t>
      </w:r>
      <w:r w:rsidR="009B0293" w:rsidRPr="007853E2">
        <w:t xml:space="preserve">have </w:t>
      </w:r>
      <w:r w:rsidR="00203D6D" w:rsidRPr="007853E2">
        <w:t>been incorporated into existing systems and processes</w:t>
      </w:r>
      <w:r w:rsidR="006D371E" w:rsidRPr="007853E2">
        <w:t>,</w:t>
      </w:r>
      <w:r w:rsidR="00203D6D" w:rsidRPr="007853E2">
        <w:t xml:space="preserve"> including: </w:t>
      </w:r>
    </w:p>
    <w:p w14:paraId="717CA15B" w14:textId="77777777" w:rsidR="00B445CA" w:rsidRPr="007853E2" w:rsidRDefault="00203D6D" w:rsidP="00B56EC3">
      <w:pPr>
        <w:pStyle w:val="LDStandard4"/>
        <w:jc w:val="both"/>
      </w:pPr>
      <w:r w:rsidRPr="007853E2">
        <w:t xml:space="preserve">Executive performance plans (as of the 2015-16 </w:t>
      </w:r>
      <w:r w:rsidR="009B0293" w:rsidRPr="007853E2">
        <w:t xml:space="preserve">performance </w:t>
      </w:r>
      <w:r w:rsidRPr="007853E2">
        <w:t xml:space="preserve">cycle). </w:t>
      </w:r>
    </w:p>
    <w:p w14:paraId="55470CDA" w14:textId="77777777" w:rsidR="009B0293" w:rsidRPr="007853E2" w:rsidRDefault="00145F88" w:rsidP="002264FB">
      <w:pPr>
        <w:pStyle w:val="LDStandard5"/>
        <w:numPr>
          <w:ilvl w:val="0"/>
          <w:numId w:val="0"/>
        </w:numPr>
        <w:ind w:left="1701"/>
        <w:jc w:val="both"/>
      </w:pPr>
      <w:r w:rsidRPr="007853E2">
        <w:t xml:space="preserve">Executives </w:t>
      </w:r>
      <w:r w:rsidR="002264FB" w:rsidRPr="007853E2">
        <w:t>are</w:t>
      </w:r>
      <w:r w:rsidRPr="007853E2">
        <w:t xml:space="preserve"> required to demonstrate the public sector values, with a specific focus on integrity</w:t>
      </w:r>
      <w:r w:rsidR="00B57166" w:rsidRPr="007853E2">
        <w:t>,</w:t>
      </w:r>
      <w:r w:rsidRPr="007853E2">
        <w:t xml:space="preserve"> and this has </w:t>
      </w:r>
      <w:r w:rsidR="006D371E" w:rsidRPr="007853E2">
        <w:t xml:space="preserve">now </w:t>
      </w:r>
      <w:r w:rsidRPr="007853E2">
        <w:t xml:space="preserve">been embedded into executive performance plans. </w:t>
      </w:r>
      <w:r w:rsidR="009B0293" w:rsidRPr="007853E2">
        <w:t xml:space="preserve">This will ensure that every leader models high standards of integrity and ethical conduct and actively requires that standard from their staff. </w:t>
      </w:r>
      <w:r w:rsidRPr="007853E2">
        <w:t xml:space="preserve">Human resources tools and guidance materials have been updated accordingly. </w:t>
      </w:r>
    </w:p>
    <w:p w14:paraId="21C4FD82" w14:textId="77777777" w:rsidR="006F47E4" w:rsidRPr="007853E2" w:rsidRDefault="00E6288B" w:rsidP="00B56EC3">
      <w:pPr>
        <w:pStyle w:val="LDStandard4"/>
        <w:jc w:val="both"/>
      </w:pPr>
      <w:r w:rsidRPr="007853E2">
        <w:t>DET</w:t>
      </w:r>
      <w:r w:rsidR="00203D6D" w:rsidRPr="007853E2">
        <w:t xml:space="preserve"> </w:t>
      </w:r>
      <w:r w:rsidR="00B57166" w:rsidRPr="007853E2">
        <w:t xml:space="preserve">Victorian Public </w:t>
      </w:r>
      <w:r w:rsidR="002264FB" w:rsidRPr="007853E2">
        <w:t>Service</w:t>
      </w:r>
      <w:r w:rsidR="00B57166" w:rsidRPr="007853E2">
        <w:t xml:space="preserve"> </w:t>
      </w:r>
      <w:r w:rsidR="002264FB" w:rsidRPr="007853E2">
        <w:t xml:space="preserve">employee </w:t>
      </w:r>
      <w:r w:rsidR="00203D6D" w:rsidRPr="007853E2">
        <w:t xml:space="preserve">performance plans for the 2016-2017 cycle. </w:t>
      </w:r>
    </w:p>
    <w:p w14:paraId="1D3E36CD" w14:textId="77777777" w:rsidR="002264FB" w:rsidRPr="007853E2" w:rsidRDefault="00203D6D" w:rsidP="002264FB">
      <w:pPr>
        <w:pStyle w:val="LDStandard4"/>
        <w:jc w:val="both"/>
      </w:pPr>
      <w:r w:rsidRPr="007853E2">
        <w:lastRenderedPageBreak/>
        <w:t>Recruitment</w:t>
      </w:r>
      <w:r w:rsidR="00145F88" w:rsidRPr="007853E2">
        <w:t>,</w:t>
      </w:r>
      <w:r w:rsidRPr="007853E2">
        <w:t xml:space="preserve"> selection </w:t>
      </w:r>
      <w:r w:rsidR="00145F88" w:rsidRPr="007853E2">
        <w:t xml:space="preserve">and </w:t>
      </w:r>
      <w:r w:rsidRPr="007853E2">
        <w:t>processes</w:t>
      </w:r>
      <w:r w:rsidR="002264FB" w:rsidRPr="007853E2">
        <w:t xml:space="preserve">. </w:t>
      </w:r>
    </w:p>
    <w:p w14:paraId="76C91064" w14:textId="77777777" w:rsidR="002264FB" w:rsidRPr="007853E2" w:rsidRDefault="002264FB" w:rsidP="002264FB">
      <w:pPr>
        <w:pStyle w:val="LDStandard4"/>
        <w:numPr>
          <w:ilvl w:val="0"/>
          <w:numId w:val="0"/>
        </w:numPr>
        <w:ind w:left="1701"/>
        <w:jc w:val="both"/>
      </w:pPr>
      <w:r w:rsidRPr="007853E2">
        <w:t>The public sector values and the Code of Conduct will be incorporated into all new staff induction programs and manager induction programs. This has already occurred for graduate and Senior Education Improvement Leaders</w:t>
      </w:r>
      <w:r w:rsidR="00E6288B" w:rsidRPr="007853E2">
        <w:t xml:space="preserve"> induction</w:t>
      </w:r>
      <w:r w:rsidRPr="007853E2">
        <w:t xml:space="preserve">.  </w:t>
      </w:r>
    </w:p>
    <w:p w14:paraId="1A86B5D4" w14:textId="77777777" w:rsidR="00F46085" w:rsidRPr="007853E2" w:rsidRDefault="00203D6D" w:rsidP="00B56EC3">
      <w:pPr>
        <w:pStyle w:val="LDStandard4"/>
        <w:jc w:val="both"/>
      </w:pPr>
      <w:r w:rsidRPr="007853E2">
        <w:t xml:space="preserve">Position descriptions. </w:t>
      </w:r>
    </w:p>
    <w:p w14:paraId="3CFA5644" w14:textId="77777777" w:rsidR="00B445CA" w:rsidRPr="007853E2" w:rsidRDefault="00E6288B" w:rsidP="00E6288B">
      <w:pPr>
        <w:pStyle w:val="LDStandard4"/>
        <w:jc w:val="both"/>
      </w:pPr>
      <w:r w:rsidRPr="007853E2">
        <w:t xml:space="preserve">Updated </w:t>
      </w:r>
      <w:r w:rsidR="00B445CA" w:rsidRPr="007853E2">
        <w:t xml:space="preserve">training programs </w:t>
      </w:r>
      <w:r w:rsidRPr="007853E2">
        <w:t>which now</w:t>
      </w:r>
      <w:r w:rsidR="00B445CA" w:rsidRPr="007853E2">
        <w:t xml:space="preserve"> include integrity content</w:t>
      </w:r>
      <w:r w:rsidR="002264FB" w:rsidRPr="007853E2">
        <w:t xml:space="preserve">. </w:t>
      </w:r>
      <w:r w:rsidR="004E0D4C" w:rsidRPr="007853E2">
        <w:t xml:space="preserve">For example, the “Talking finance, dollars and sense” training program, which is delivered to an audience comprising principals, </w:t>
      </w:r>
      <w:proofErr w:type="gramStart"/>
      <w:r w:rsidR="004E0D4C" w:rsidRPr="007853E2">
        <w:t>aspiring</w:t>
      </w:r>
      <w:proofErr w:type="gramEnd"/>
      <w:r w:rsidR="004E0D4C" w:rsidRPr="007853E2">
        <w:t xml:space="preserve"> principals and school business managers. </w:t>
      </w:r>
    </w:p>
    <w:p w14:paraId="6ACC36C8" w14:textId="77777777" w:rsidR="00E056C5" w:rsidRPr="007853E2" w:rsidRDefault="00E72A53">
      <w:pPr>
        <w:pStyle w:val="LDStandard2"/>
        <w:jc w:val="both"/>
      </w:pPr>
      <w:r w:rsidRPr="007853E2">
        <w:t xml:space="preserve">Communicating and embedding the </w:t>
      </w:r>
      <w:r w:rsidR="006D371E" w:rsidRPr="007853E2">
        <w:t xml:space="preserve">public sector </w:t>
      </w:r>
      <w:r w:rsidRPr="007853E2">
        <w:t xml:space="preserve">values in the Department is a program of continuous communication and quality improvement, not simply a point in time assessment. </w:t>
      </w:r>
    </w:p>
    <w:p w14:paraId="375E8CD2" w14:textId="77777777" w:rsidR="000B4ED1" w:rsidRPr="007853E2" w:rsidRDefault="00EB1A41" w:rsidP="002716BD">
      <w:pPr>
        <w:pStyle w:val="LDStandard2"/>
        <w:jc w:val="both"/>
      </w:pPr>
      <w:r w:rsidRPr="007853E2">
        <w:t>The Department</w:t>
      </w:r>
      <w:r w:rsidR="000D5D79" w:rsidRPr="007853E2">
        <w:t xml:space="preserve"> </w:t>
      </w:r>
      <w:r w:rsidRPr="007853E2">
        <w:t>is</w:t>
      </w:r>
      <w:r w:rsidR="000D5D79" w:rsidRPr="007853E2">
        <w:t xml:space="preserve"> developing a number of integrity tools so that the concepts in the Code of Conduct are readily understood </w:t>
      </w:r>
      <w:r w:rsidR="006D371E" w:rsidRPr="007853E2">
        <w:t xml:space="preserve">by </w:t>
      </w:r>
      <w:r w:rsidR="000D5D79" w:rsidRPr="007853E2">
        <w:t xml:space="preserve">all employees, and can be meaningfully applied </w:t>
      </w:r>
      <w:r w:rsidR="00382EBB" w:rsidRPr="007853E2">
        <w:t>to their job</w:t>
      </w:r>
      <w:r w:rsidR="000D5D79" w:rsidRPr="007853E2">
        <w:t xml:space="preserve">. </w:t>
      </w:r>
      <w:r w:rsidR="00382EBB" w:rsidRPr="007853E2">
        <w:t>The tools include eLearning, “working with integrity” booklets, conversation cards that present dilemmas for resolution</w:t>
      </w:r>
      <w:r w:rsidR="0088739D" w:rsidRPr="007853E2">
        <w:t xml:space="preserve">, manager discussion sheets and bookmarks. </w:t>
      </w:r>
      <w:r w:rsidR="00E056C5" w:rsidRPr="007853E2">
        <w:t>These tools are in addition to existing training such as the Department’s “Respectful Workplaces” program which addresses discrimination, harassment, victimisation and workplace bullying</w:t>
      </w:r>
      <w:r w:rsidR="00565488" w:rsidRPr="007853E2">
        <w:t>.</w:t>
      </w:r>
      <w:r w:rsidR="00382EBB" w:rsidRPr="007853E2">
        <w:t xml:space="preserve"> </w:t>
      </w:r>
      <w:r w:rsidR="000D5D79" w:rsidRPr="007853E2">
        <w:t xml:space="preserve"> </w:t>
      </w:r>
    </w:p>
    <w:p w14:paraId="414D1900" w14:textId="77777777" w:rsidR="00E056C5" w:rsidRPr="007853E2" w:rsidRDefault="00E056C5">
      <w:pPr>
        <w:pStyle w:val="LDStandard2"/>
        <w:jc w:val="both"/>
      </w:pPr>
      <w:r w:rsidRPr="007853E2">
        <w:t xml:space="preserve">To support staff to comply with their obligation under the Code of Conduct to report unethical behaviour, a new ‘Speak Up’ service has been launched and </w:t>
      </w:r>
      <w:r w:rsidR="003A415C" w:rsidRPr="007853E2">
        <w:t xml:space="preserve">was </w:t>
      </w:r>
      <w:r w:rsidRPr="007853E2">
        <w:t>communicated to all DET staff</w:t>
      </w:r>
      <w:r w:rsidR="00025478" w:rsidRPr="007853E2">
        <w:t xml:space="preserve"> in a video message from the Secretary in December 2015</w:t>
      </w:r>
      <w:r w:rsidRPr="007853E2">
        <w:t xml:space="preserve">. </w:t>
      </w:r>
      <w:r w:rsidR="003A415C" w:rsidRPr="007853E2">
        <w:t xml:space="preserve">‘Speak Up’ </w:t>
      </w:r>
      <w:r w:rsidRPr="007853E2">
        <w:t xml:space="preserve">is an independently hosted </w:t>
      </w:r>
      <w:proofErr w:type="spellStart"/>
      <w:r w:rsidRPr="007853E2">
        <w:t>whistleblower</w:t>
      </w:r>
      <w:proofErr w:type="spellEnd"/>
      <w:r w:rsidRPr="007853E2">
        <w:t xml:space="preserve"> style service that allows staff in schools and corporate offices to raise concerns about suspected illegal, corrupt, unethical or negligent conduct. </w:t>
      </w:r>
      <w:r w:rsidR="00025478" w:rsidRPr="007853E2">
        <w:t xml:space="preserve">The Secretary reminded DET staff of the availability of the Speak Up service in February this year, and </w:t>
      </w:r>
      <w:r w:rsidR="00836585" w:rsidRPr="007853E2">
        <w:t xml:space="preserve">the service </w:t>
      </w:r>
      <w:r w:rsidR="00025478" w:rsidRPr="007853E2">
        <w:t xml:space="preserve">was </w:t>
      </w:r>
      <w:r w:rsidR="00836585" w:rsidRPr="007853E2">
        <w:t>reinforced via</w:t>
      </w:r>
      <w:r w:rsidR="00025478" w:rsidRPr="007853E2">
        <w:t xml:space="preserve"> a School Bulletin in March this year.</w:t>
      </w:r>
    </w:p>
    <w:p w14:paraId="45C4DE21" w14:textId="77777777" w:rsidR="00621230" w:rsidRPr="007853E2" w:rsidRDefault="009438F7" w:rsidP="00B56EC3">
      <w:pPr>
        <w:pStyle w:val="LDStandard2"/>
        <w:jc w:val="both"/>
      </w:pPr>
      <w:r w:rsidRPr="007853E2">
        <w:t>Finally, t</w:t>
      </w:r>
      <w:r w:rsidR="00B60E40" w:rsidRPr="007853E2">
        <w:t xml:space="preserve">he Code of Conduct </w:t>
      </w:r>
      <w:r w:rsidR="008465D6" w:rsidRPr="007853E2">
        <w:t xml:space="preserve">is </w:t>
      </w:r>
      <w:r w:rsidRPr="007853E2">
        <w:t xml:space="preserve">accessible to all staff via the </w:t>
      </w:r>
      <w:r w:rsidR="00B60E40" w:rsidRPr="007853E2">
        <w:t xml:space="preserve">Department’s Human Resources </w:t>
      </w:r>
      <w:r w:rsidR="008804D8" w:rsidRPr="007853E2">
        <w:t>w</w:t>
      </w:r>
      <w:r w:rsidR="00B60E40" w:rsidRPr="007853E2">
        <w:t xml:space="preserve">ebpage. </w:t>
      </w:r>
      <w:r w:rsidRPr="007853E2">
        <w:t>All schools were notified of the updated Code in June 2015 via an all-school circula</w:t>
      </w:r>
      <w:r w:rsidR="00793D7D" w:rsidRPr="007853E2">
        <w:t>r</w:t>
      </w:r>
      <w:r w:rsidR="0001463D">
        <w:t xml:space="preserve"> and</w:t>
      </w:r>
      <w:r w:rsidR="00863F19" w:rsidRPr="007853E2">
        <w:t xml:space="preserve"> </w:t>
      </w:r>
      <w:r w:rsidR="00621230" w:rsidRPr="007853E2">
        <w:t xml:space="preserve">all corporate staff </w:t>
      </w:r>
      <w:proofErr w:type="gramStart"/>
      <w:r w:rsidR="00621230" w:rsidRPr="007853E2">
        <w:t>were</w:t>
      </w:r>
      <w:proofErr w:type="gramEnd"/>
      <w:r w:rsidR="00621230" w:rsidRPr="007853E2">
        <w:t xml:space="preserve"> informed of the updated Code via Corporate News in June 2015. </w:t>
      </w:r>
      <w:r w:rsidR="00774137" w:rsidRPr="007853E2">
        <w:t xml:space="preserve">Both school and corporate staff were </w:t>
      </w:r>
      <w:r w:rsidR="00863F19" w:rsidRPr="007853E2">
        <w:t xml:space="preserve">reminded they could find the Code </w:t>
      </w:r>
      <w:r w:rsidR="004C092A" w:rsidRPr="007853E2">
        <w:t xml:space="preserve">of Conduct </w:t>
      </w:r>
      <w:r w:rsidR="00863F19" w:rsidRPr="007853E2">
        <w:t>on the Department’s HRWeb</w:t>
      </w:r>
      <w:r w:rsidR="002716BD" w:rsidRPr="007853E2">
        <w:t>.</w:t>
      </w:r>
      <w:r w:rsidR="00A04605" w:rsidRPr="007853E2">
        <w:t xml:space="preserve"> </w:t>
      </w:r>
    </w:p>
    <w:p w14:paraId="2C8A7C9E" w14:textId="77777777" w:rsidR="00AF7807" w:rsidRPr="007853E2" w:rsidRDefault="00550B89">
      <w:pPr>
        <w:pStyle w:val="LDStandard2"/>
        <w:jc w:val="both"/>
      </w:pPr>
      <w:r w:rsidRPr="007853E2">
        <w:t>D</w:t>
      </w:r>
      <w:r w:rsidR="00AF7807" w:rsidRPr="007853E2">
        <w:t xml:space="preserve">ecisive employment action will be taken against staff </w:t>
      </w:r>
      <w:proofErr w:type="gramStart"/>
      <w:r w:rsidR="00AF7807" w:rsidRPr="007853E2">
        <w:t>who</w:t>
      </w:r>
      <w:proofErr w:type="gramEnd"/>
      <w:r w:rsidR="00AF7807" w:rsidRPr="007853E2">
        <w:t xml:space="preserve"> breach the Code of Conduct. </w:t>
      </w:r>
    </w:p>
    <w:p w14:paraId="57DB9110" w14:textId="77777777" w:rsidR="00CA58A3" w:rsidRPr="007853E2" w:rsidRDefault="00CA58A3" w:rsidP="00B56EC3">
      <w:pPr>
        <w:pStyle w:val="VGSOHdg2"/>
        <w:jc w:val="both"/>
      </w:pPr>
      <w:bookmarkStart w:id="20" w:name="_Toc445877705"/>
      <w:r w:rsidRPr="007853E2">
        <w:t>Conflict of Interest</w:t>
      </w:r>
      <w:r w:rsidR="007928E0" w:rsidRPr="007853E2">
        <w:t>s</w:t>
      </w:r>
      <w:r w:rsidRPr="007853E2">
        <w:t xml:space="preserve"> and </w:t>
      </w:r>
      <w:r w:rsidR="007928E0" w:rsidRPr="007853E2">
        <w:t>Declaration of Private I</w:t>
      </w:r>
      <w:r w:rsidRPr="007853E2">
        <w:t>nterests</w:t>
      </w:r>
      <w:bookmarkEnd w:id="20"/>
      <w:r w:rsidR="000B62E2" w:rsidRPr="007853E2">
        <w:t xml:space="preserve"> </w:t>
      </w:r>
    </w:p>
    <w:p w14:paraId="1D590096" w14:textId="77777777" w:rsidR="001B5476" w:rsidRPr="007853E2" w:rsidRDefault="00F22D52">
      <w:pPr>
        <w:pStyle w:val="LDStandard2"/>
        <w:jc w:val="both"/>
      </w:pPr>
      <w:r w:rsidRPr="007853E2">
        <w:t>T</w:t>
      </w:r>
      <w:r w:rsidR="00046844" w:rsidRPr="007853E2">
        <w:t xml:space="preserve">he </w:t>
      </w:r>
      <w:r w:rsidR="002B3355" w:rsidRPr="007853E2">
        <w:t xml:space="preserve">Department’s Conflict of </w:t>
      </w:r>
      <w:r w:rsidR="001B5476" w:rsidRPr="007853E2">
        <w:t xml:space="preserve">Interests </w:t>
      </w:r>
      <w:r w:rsidR="002B3355" w:rsidRPr="007853E2">
        <w:t xml:space="preserve">Framework </w:t>
      </w:r>
      <w:r w:rsidR="00046844" w:rsidRPr="007853E2">
        <w:t>was revised in 2015</w:t>
      </w:r>
      <w:r w:rsidR="00AC55A7" w:rsidRPr="007853E2">
        <w:t xml:space="preserve"> in line with changes made by the VPSC to its Managing Conflicts of Interest Guide</w:t>
      </w:r>
      <w:r w:rsidR="00046844" w:rsidRPr="007853E2">
        <w:t xml:space="preserve">. </w:t>
      </w:r>
      <w:r w:rsidR="001B5476" w:rsidRPr="007853E2">
        <w:t>It comprises the Conflicts of Interests Policy (</w:t>
      </w:r>
      <w:r w:rsidR="001B5476" w:rsidRPr="007853E2">
        <w:rPr>
          <w:b/>
        </w:rPr>
        <w:t>Conflicts Policy</w:t>
      </w:r>
      <w:r w:rsidR="001B5476" w:rsidRPr="007853E2">
        <w:t xml:space="preserve">) and the Conflict of Interests Toolkit. </w:t>
      </w:r>
      <w:r w:rsidR="00284949" w:rsidRPr="007853E2">
        <w:t xml:space="preserve">The Toolkit gives practical examples of when a conflict may arise. </w:t>
      </w:r>
      <w:r w:rsidR="00B713C0" w:rsidRPr="007853E2">
        <w:t xml:space="preserve"> </w:t>
      </w:r>
    </w:p>
    <w:p w14:paraId="7A7831F0" w14:textId="77777777" w:rsidR="0008554A" w:rsidRPr="007853E2" w:rsidRDefault="0008554A">
      <w:pPr>
        <w:pStyle w:val="LDStandard2"/>
        <w:jc w:val="both"/>
      </w:pPr>
      <w:r w:rsidRPr="007853E2">
        <w:t xml:space="preserve">This Framework is in addition to the obligation to avoid conflicts of interests imposed by the Code of Conduct, </w:t>
      </w:r>
      <w:r w:rsidR="007928E0" w:rsidRPr="007853E2">
        <w:t xml:space="preserve">the </w:t>
      </w:r>
      <w:r w:rsidR="007928E0" w:rsidRPr="007853E2">
        <w:rPr>
          <w:i/>
        </w:rPr>
        <w:t>Public Administration Act 2004</w:t>
      </w:r>
      <w:r w:rsidR="007928E0" w:rsidRPr="007853E2">
        <w:t xml:space="preserve">, </w:t>
      </w:r>
      <w:r w:rsidRPr="007853E2">
        <w:rPr>
          <w:i/>
        </w:rPr>
        <w:t xml:space="preserve">Ministerial Order 1999 </w:t>
      </w:r>
      <w:r w:rsidRPr="007853E2">
        <w:t xml:space="preserve">and the </w:t>
      </w:r>
      <w:r w:rsidRPr="007853E2">
        <w:rPr>
          <w:i/>
        </w:rPr>
        <w:t>Victorian Teaching Institute Code of Conduct</w:t>
      </w:r>
      <w:r w:rsidRPr="007853E2">
        <w:t xml:space="preserve">.   </w:t>
      </w:r>
    </w:p>
    <w:p w14:paraId="7020ADE9" w14:textId="77777777" w:rsidR="001B5476" w:rsidRPr="007853E2" w:rsidRDefault="001B5476" w:rsidP="00B56EC3">
      <w:pPr>
        <w:pStyle w:val="LDStandard2"/>
        <w:jc w:val="both"/>
      </w:pPr>
      <w:r w:rsidRPr="007853E2">
        <w:t xml:space="preserve">The Conflicts Policy emphasises that the test for identifying a conflict of interests is: </w:t>
      </w:r>
    </w:p>
    <w:p w14:paraId="30BCA8E0" w14:textId="77777777" w:rsidR="002B3355" w:rsidRPr="007853E2" w:rsidRDefault="001B5476">
      <w:pPr>
        <w:pStyle w:val="Quotation2"/>
      </w:pPr>
      <w:r w:rsidRPr="007853E2">
        <w:lastRenderedPageBreak/>
        <w:t>“</w:t>
      </w:r>
      <w:proofErr w:type="gramStart"/>
      <w:r w:rsidRPr="007853E2">
        <w:t>whether</w:t>
      </w:r>
      <w:proofErr w:type="gramEnd"/>
      <w:r w:rsidRPr="007853E2">
        <w:t xml:space="preserve"> reasonable and fair minded people would consider that the private interest is likely to influence the public duty such that it would undermine public sector values” </w:t>
      </w:r>
    </w:p>
    <w:p w14:paraId="50A75C23" w14:textId="77777777" w:rsidR="003827A0" w:rsidRPr="007853E2" w:rsidRDefault="00A80DC8">
      <w:pPr>
        <w:pStyle w:val="LDStandard2"/>
        <w:jc w:val="both"/>
      </w:pPr>
      <w:r w:rsidRPr="007853E2">
        <w:t xml:space="preserve">The Conflicts Policy </w:t>
      </w:r>
      <w:r w:rsidR="00722B12" w:rsidRPr="007853E2">
        <w:t>(</w:t>
      </w:r>
      <w:r w:rsidR="00650076" w:rsidRPr="007853E2">
        <w:t>and the Terms of Reference for each of the new governance committees</w:t>
      </w:r>
      <w:r w:rsidR="00722B12" w:rsidRPr="007853E2">
        <w:t>)</w:t>
      </w:r>
      <w:r w:rsidR="00650076" w:rsidRPr="007853E2">
        <w:t xml:space="preserve">, </w:t>
      </w:r>
      <w:r w:rsidR="009642D6" w:rsidRPr="007853E2">
        <w:t xml:space="preserve">requires </w:t>
      </w:r>
      <w:r w:rsidR="003827A0" w:rsidRPr="007853E2">
        <w:t>increased scrutiny of confli</w:t>
      </w:r>
      <w:r w:rsidR="00722B12" w:rsidRPr="007853E2">
        <w:t>cts of interests for members of</w:t>
      </w:r>
      <w:r w:rsidR="003827A0" w:rsidRPr="007853E2">
        <w:t xml:space="preserve"> Committees. </w:t>
      </w:r>
      <w:r w:rsidR="00F22D52" w:rsidRPr="007853E2">
        <w:t xml:space="preserve">For example, each </w:t>
      </w:r>
      <w:r w:rsidR="00650076" w:rsidRPr="007853E2">
        <w:t xml:space="preserve">governance </w:t>
      </w:r>
      <w:r w:rsidR="003827A0" w:rsidRPr="007853E2">
        <w:t xml:space="preserve">Committee must: </w:t>
      </w:r>
    </w:p>
    <w:p w14:paraId="3F867E7C" w14:textId="77777777" w:rsidR="003827A0" w:rsidRPr="007853E2" w:rsidRDefault="003827A0" w:rsidP="00B56EC3">
      <w:pPr>
        <w:pStyle w:val="LDStandard4"/>
        <w:jc w:val="both"/>
      </w:pPr>
      <w:r w:rsidRPr="007853E2">
        <w:t>include an assessment of the risk of conflicts of interests in their terms of reference</w:t>
      </w:r>
      <w:r w:rsidR="00166EEA" w:rsidRPr="007853E2">
        <w:t xml:space="preserve"> and how they are to be mitigated</w:t>
      </w:r>
      <w:r w:rsidR="00D901E9" w:rsidRPr="007853E2">
        <w:t xml:space="preserve">; </w:t>
      </w:r>
    </w:p>
    <w:p w14:paraId="25AF37BC" w14:textId="77777777" w:rsidR="003827A0" w:rsidRPr="007853E2" w:rsidRDefault="003827A0" w:rsidP="00B56EC3">
      <w:pPr>
        <w:pStyle w:val="LDStandard4"/>
        <w:jc w:val="both"/>
      </w:pPr>
      <w:r w:rsidRPr="007853E2">
        <w:t>address, as a standing agenda item in each meeting, reporting and managing members’ conflicts of interests</w:t>
      </w:r>
      <w:r w:rsidR="00D901E9" w:rsidRPr="007853E2">
        <w:t xml:space="preserve">; </w:t>
      </w:r>
    </w:p>
    <w:p w14:paraId="4DF9F539" w14:textId="77777777" w:rsidR="00166EEA" w:rsidRPr="007853E2" w:rsidRDefault="003827A0" w:rsidP="00B56EC3">
      <w:pPr>
        <w:pStyle w:val="LDStandard4"/>
        <w:jc w:val="both"/>
      </w:pPr>
      <w:r w:rsidRPr="007853E2">
        <w:t>record any steps taken to mana</w:t>
      </w:r>
      <w:r w:rsidR="00166EEA" w:rsidRPr="007853E2">
        <w:t xml:space="preserve">ge the conflict in the minutes; and  </w:t>
      </w:r>
    </w:p>
    <w:p w14:paraId="094161F4" w14:textId="77777777" w:rsidR="008746F7" w:rsidRPr="007853E2" w:rsidRDefault="00166EEA" w:rsidP="00B56EC3">
      <w:pPr>
        <w:pStyle w:val="LDStandard4"/>
        <w:jc w:val="both"/>
      </w:pPr>
      <w:proofErr w:type="gramStart"/>
      <w:r w:rsidRPr="007853E2">
        <w:t>in</w:t>
      </w:r>
      <w:proofErr w:type="gramEnd"/>
      <w:r w:rsidRPr="007853E2">
        <w:t xml:space="preserve"> instances where the Chair declares a conflict of interest, the Deputy Chair will take on the Conflict of Interests responsibilities of the Chair. </w:t>
      </w:r>
      <w:r w:rsidR="003827A0" w:rsidRPr="007853E2">
        <w:t xml:space="preserve">  </w:t>
      </w:r>
    </w:p>
    <w:p w14:paraId="2C5783BE" w14:textId="77777777" w:rsidR="006E19DE" w:rsidRPr="007853E2" w:rsidRDefault="006E19DE">
      <w:pPr>
        <w:pStyle w:val="LDStandard2"/>
        <w:jc w:val="both"/>
      </w:pPr>
      <w:bookmarkStart w:id="21" w:name="_Ref319440700"/>
      <w:r w:rsidRPr="007853E2">
        <w:t xml:space="preserve">The Department expects contractors and organisations it partners </w:t>
      </w:r>
      <w:r w:rsidR="003A415C" w:rsidRPr="007853E2">
        <w:t xml:space="preserve">with </w:t>
      </w:r>
      <w:r w:rsidRPr="007853E2">
        <w:t xml:space="preserve">to comply with responsible practices in relation to managing conflict of interests. </w:t>
      </w:r>
      <w:bookmarkEnd w:id="21"/>
    </w:p>
    <w:p w14:paraId="3465C90B" w14:textId="77777777" w:rsidR="00527070" w:rsidRPr="007853E2" w:rsidRDefault="00046844">
      <w:pPr>
        <w:pStyle w:val="LDStandard2"/>
        <w:jc w:val="both"/>
      </w:pPr>
      <w:r w:rsidRPr="007853E2">
        <w:t xml:space="preserve">The </w:t>
      </w:r>
      <w:r w:rsidR="008804D8" w:rsidRPr="007853E2">
        <w:t xml:space="preserve">Conflict of Interests Framework, including the Conflicts Policy and Toolkit, </w:t>
      </w:r>
      <w:r w:rsidR="00A80DC8" w:rsidRPr="007853E2">
        <w:t xml:space="preserve">are accessible to all staff via </w:t>
      </w:r>
      <w:r w:rsidR="00527070" w:rsidRPr="007853E2">
        <w:t>the Department’s Human Resources page</w:t>
      </w:r>
      <w:r w:rsidR="008804D8" w:rsidRPr="007853E2">
        <w:t>.</w:t>
      </w:r>
      <w:r w:rsidR="00527070" w:rsidRPr="007853E2">
        <w:t xml:space="preserve"> </w:t>
      </w:r>
      <w:r w:rsidR="00A80DC8" w:rsidRPr="007853E2">
        <w:t xml:space="preserve"> </w:t>
      </w:r>
      <w:r w:rsidR="00B713C0" w:rsidRPr="007853E2">
        <w:t xml:space="preserve">The Toolkit </w:t>
      </w:r>
      <w:r w:rsidR="000A6CBA">
        <w:t>i</w:t>
      </w:r>
      <w:r w:rsidR="00B713C0" w:rsidRPr="007853E2">
        <w:t xml:space="preserve">s promoted to principals through ongoing </w:t>
      </w:r>
      <w:r w:rsidR="003F6953" w:rsidRPr="007853E2">
        <w:t xml:space="preserve">Conduct and Ethics Branch presentations. </w:t>
      </w:r>
    </w:p>
    <w:p w14:paraId="3FDE8D9A" w14:textId="77777777" w:rsidR="00284949" w:rsidRPr="007853E2" w:rsidRDefault="00284949" w:rsidP="00722B12">
      <w:pPr>
        <w:pStyle w:val="LDStandard2"/>
        <w:jc w:val="both"/>
      </w:pPr>
      <w:r w:rsidRPr="007853E2">
        <w:t xml:space="preserve">Managers and members of the </w:t>
      </w:r>
      <w:r w:rsidR="00A80DC8" w:rsidRPr="007853E2">
        <w:t xml:space="preserve">Principal Class can contact </w:t>
      </w:r>
      <w:r w:rsidRPr="007853E2">
        <w:t>the Conduct and Ethics Branch to seek guidance and advice on managing a conflict of interest.</w:t>
      </w:r>
      <w:r w:rsidR="004712E2" w:rsidRPr="007853E2">
        <w:t xml:space="preserve"> </w:t>
      </w:r>
      <w:r w:rsidR="000347F1" w:rsidRPr="007853E2">
        <w:t xml:space="preserve"> </w:t>
      </w:r>
      <w:r w:rsidRPr="007853E2">
        <w:t xml:space="preserve">Employees who do not want to raise the conflict directly with their manager can </w:t>
      </w:r>
      <w:r w:rsidR="00440371" w:rsidRPr="007853E2">
        <w:t xml:space="preserve">also </w:t>
      </w:r>
      <w:r w:rsidRPr="007853E2">
        <w:t>seek advice from the Conduct and Ethics Branch</w:t>
      </w:r>
      <w:r w:rsidR="00793D7D" w:rsidRPr="007853E2">
        <w:t>.</w:t>
      </w:r>
    </w:p>
    <w:p w14:paraId="57EB2848" w14:textId="77777777" w:rsidR="00284949" w:rsidRPr="007853E2" w:rsidRDefault="006E19DE" w:rsidP="00722B12">
      <w:pPr>
        <w:pStyle w:val="LDStandard2"/>
        <w:jc w:val="both"/>
      </w:pPr>
      <w:r w:rsidRPr="007853E2">
        <w:t>A failure to avoid, declare and manage a conflict of interests is a breach of the Conflicts Policy and the Code of Conduct</w:t>
      </w:r>
      <w:r w:rsidR="00722B12" w:rsidRPr="007853E2">
        <w:t xml:space="preserve">. </w:t>
      </w:r>
      <w:r w:rsidR="00ED2B0F" w:rsidRPr="007853E2">
        <w:t>All employees will be held to strict standards of accountability. Disciplinary action, including</w:t>
      </w:r>
      <w:r w:rsidR="008916EC" w:rsidRPr="007853E2">
        <w:t xml:space="preserve"> potential</w:t>
      </w:r>
      <w:r w:rsidR="00ED2B0F" w:rsidRPr="007853E2">
        <w:t xml:space="preserve"> dismissal, will be taken against </w:t>
      </w:r>
      <w:proofErr w:type="gramStart"/>
      <w:r w:rsidR="00ED2B0F" w:rsidRPr="007853E2">
        <w:t xml:space="preserve">staff who </w:t>
      </w:r>
      <w:r w:rsidR="005223A6" w:rsidRPr="007853E2">
        <w:t>fail</w:t>
      </w:r>
      <w:proofErr w:type="gramEnd"/>
      <w:r w:rsidR="005223A6" w:rsidRPr="007853E2">
        <w:t xml:space="preserve"> to avoid, declare or appropriately manage </w:t>
      </w:r>
      <w:r w:rsidR="0001463D">
        <w:t>a conflict</w:t>
      </w:r>
      <w:r w:rsidR="005223A6" w:rsidRPr="007853E2">
        <w:t xml:space="preserve"> of interests. </w:t>
      </w:r>
    </w:p>
    <w:p w14:paraId="73753C1A" w14:textId="77777777" w:rsidR="00A1187D" w:rsidRPr="007853E2" w:rsidRDefault="00A1187D">
      <w:pPr>
        <w:pStyle w:val="VGSOHdg3"/>
      </w:pPr>
      <w:r w:rsidRPr="007853E2">
        <w:t xml:space="preserve">Declaration of Private Interests </w:t>
      </w:r>
    </w:p>
    <w:p w14:paraId="738FAB80" w14:textId="77777777" w:rsidR="008E0A4B" w:rsidRPr="007853E2" w:rsidRDefault="00FB51EB">
      <w:pPr>
        <w:pStyle w:val="LDStandard2"/>
        <w:jc w:val="both"/>
      </w:pPr>
      <w:r w:rsidRPr="007853E2">
        <w:t>All Executive Officers and</w:t>
      </w:r>
      <w:r w:rsidR="004A0104" w:rsidRPr="007853E2">
        <w:t xml:space="preserve"> </w:t>
      </w:r>
      <w:r w:rsidR="007928E0" w:rsidRPr="007853E2">
        <w:t>principals</w:t>
      </w:r>
      <w:r w:rsidRPr="007853E2">
        <w:t>,</w:t>
      </w:r>
      <w:r w:rsidR="007928E0" w:rsidRPr="007853E2">
        <w:t xml:space="preserve"> and </w:t>
      </w:r>
      <w:r w:rsidR="004A0104" w:rsidRPr="007853E2">
        <w:t>any staff members with delegations over $50,000</w:t>
      </w:r>
      <w:r w:rsidRPr="007853E2">
        <w:t>,</w:t>
      </w:r>
      <w:r w:rsidR="004A0104" w:rsidRPr="007853E2">
        <w:t xml:space="preserve"> are required to make a declaration of private interests </w:t>
      </w:r>
      <w:r w:rsidR="00620958" w:rsidRPr="007853E2">
        <w:t>(</w:t>
      </w:r>
      <w:r w:rsidR="00620958" w:rsidRPr="007853E2">
        <w:rPr>
          <w:b/>
        </w:rPr>
        <w:t>DPI</w:t>
      </w:r>
      <w:r w:rsidR="00620958" w:rsidRPr="007853E2">
        <w:t xml:space="preserve">) </w:t>
      </w:r>
      <w:r w:rsidR="004A0104" w:rsidRPr="007853E2">
        <w:t>on their appointment, and then annually thereafter</w:t>
      </w:r>
      <w:r w:rsidRPr="007853E2">
        <w:t xml:space="preserve">, by completing </w:t>
      </w:r>
      <w:r w:rsidR="00076CE0" w:rsidRPr="007853E2">
        <w:t xml:space="preserve">the </w:t>
      </w:r>
      <w:r w:rsidRPr="007853E2">
        <w:t xml:space="preserve">DPI </w:t>
      </w:r>
      <w:r w:rsidR="00076CE0" w:rsidRPr="007853E2">
        <w:t>process</w:t>
      </w:r>
      <w:r w:rsidRPr="007853E2">
        <w:t xml:space="preserve">. </w:t>
      </w:r>
      <w:r w:rsidR="004A0104" w:rsidRPr="007853E2">
        <w:t xml:space="preserve"> </w:t>
      </w:r>
    </w:p>
    <w:p w14:paraId="69B349A7" w14:textId="77777777" w:rsidR="00F80B4D" w:rsidRPr="007853E2" w:rsidRDefault="007928E0" w:rsidP="00F80B4D">
      <w:pPr>
        <w:pStyle w:val="LDStandard2"/>
        <w:jc w:val="both"/>
      </w:pPr>
      <w:r w:rsidRPr="007853E2">
        <w:t xml:space="preserve">As </w:t>
      </w:r>
      <w:r w:rsidR="00F80B4D" w:rsidRPr="007853E2">
        <w:t xml:space="preserve">previously stated, the Department has established Terms of Reference to conduct an audit of the </w:t>
      </w:r>
      <w:r w:rsidR="006D371E" w:rsidRPr="007853E2">
        <w:t xml:space="preserve">DPI </w:t>
      </w:r>
      <w:r w:rsidR="00F80B4D" w:rsidRPr="007853E2">
        <w:t xml:space="preserve">system which affects close to 2,000 employees including executives, managers (with a delegation to spend over $50,000) and all school principals. The audit will consider current policy, compliance, gaps, controls and the Department’s response to the information received in the Declarations. It will also consider whether the current point-in-time policy should be replaced with a requirement to update private interests in real time. </w:t>
      </w:r>
    </w:p>
    <w:p w14:paraId="1E1D8B20" w14:textId="77777777" w:rsidR="0020255E" w:rsidRPr="007853E2" w:rsidRDefault="00F80B4D">
      <w:pPr>
        <w:pStyle w:val="LDStandard2"/>
        <w:jc w:val="both"/>
      </w:pPr>
      <w:r w:rsidRPr="007853E2">
        <w:t>Further, t</w:t>
      </w:r>
      <w:r w:rsidR="00A21FC5" w:rsidRPr="007853E2">
        <w:t>he audit</w:t>
      </w:r>
      <w:r w:rsidR="0020255E" w:rsidRPr="007853E2">
        <w:t xml:space="preserve"> will analyse the 2015-2016 DPI data</w:t>
      </w:r>
      <w:r w:rsidR="002033EB" w:rsidRPr="007853E2">
        <w:t xml:space="preserve">, focusing on the high risk areas, </w:t>
      </w:r>
      <w:r w:rsidR="0020255E" w:rsidRPr="007853E2">
        <w:t xml:space="preserve">to identify anomalies that could indicate fraud, corruption or unmanaged conflicts of interests. </w:t>
      </w:r>
      <w:r w:rsidR="00A21FC5" w:rsidRPr="007853E2">
        <w:t>The auditor</w:t>
      </w:r>
      <w:r w:rsidR="0020255E" w:rsidRPr="007853E2">
        <w:t xml:space="preserve"> will investigate these anomalies and recommend improvements for reporting DPIs.     </w:t>
      </w:r>
    </w:p>
    <w:p w14:paraId="6E6EFCF9" w14:textId="77777777" w:rsidR="00CA58A3" w:rsidRPr="007853E2" w:rsidRDefault="00CA58A3" w:rsidP="00B56EC3">
      <w:pPr>
        <w:pStyle w:val="VGSOHdg2"/>
        <w:jc w:val="both"/>
      </w:pPr>
      <w:bookmarkStart w:id="22" w:name="_Toc445877706"/>
      <w:r w:rsidRPr="007853E2">
        <w:lastRenderedPageBreak/>
        <w:t>Gifts, benefits and travel</w:t>
      </w:r>
      <w:bookmarkEnd w:id="22"/>
      <w:r w:rsidR="000B62E2" w:rsidRPr="007853E2">
        <w:t xml:space="preserve"> </w:t>
      </w:r>
    </w:p>
    <w:p w14:paraId="32EBDF0F" w14:textId="77777777" w:rsidR="00DD6AB2" w:rsidRPr="007853E2" w:rsidRDefault="00DD6AB2">
      <w:pPr>
        <w:pStyle w:val="VGSOHdg3"/>
      </w:pPr>
      <w:r w:rsidRPr="007853E2">
        <w:t xml:space="preserve">Gifts and benefits – including hospitality </w:t>
      </w:r>
    </w:p>
    <w:p w14:paraId="1DD90D01" w14:textId="77777777" w:rsidR="00B7601C" w:rsidRPr="007853E2" w:rsidRDefault="00686619">
      <w:pPr>
        <w:pStyle w:val="LDStandard2"/>
        <w:jc w:val="both"/>
      </w:pPr>
      <w:r w:rsidRPr="007853E2">
        <w:t>T</w:t>
      </w:r>
      <w:r w:rsidR="00B7601C" w:rsidRPr="007853E2">
        <w:t xml:space="preserve">he </w:t>
      </w:r>
      <w:proofErr w:type="gramStart"/>
      <w:r w:rsidR="00B7601C" w:rsidRPr="007853E2">
        <w:t>obligation</w:t>
      </w:r>
      <w:r w:rsidR="00822D3C" w:rsidRPr="007853E2">
        <w:t>s</w:t>
      </w:r>
      <w:r w:rsidR="00B7601C" w:rsidRPr="007853E2">
        <w:t xml:space="preserve"> of every single public sector employee in relation to gifts and benefits was</w:t>
      </w:r>
      <w:proofErr w:type="gramEnd"/>
      <w:r w:rsidR="00B7601C" w:rsidRPr="007853E2">
        <w:t xml:space="preserve"> clarified</w:t>
      </w:r>
      <w:r w:rsidR="00DD6AB2" w:rsidRPr="007853E2">
        <w:t xml:space="preserve"> </w:t>
      </w:r>
      <w:r w:rsidRPr="007853E2">
        <w:t>when the VPSC</w:t>
      </w:r>
      <w:r w:rsidR="00DD6AB2" w:rsidRPr="007853E2">
        <w:t xml:space="preserve"> </w:t>
      </w:r>
      <w:r w:rsidR="002F3A39" w:rsidRPr="007853E2">
        <w:t xml:space="preserve">relaunched </w:t>
      </w:r>
      <w:r w:rsidRPr="007853E2">
        <w:t xml:space="preserve">the </w:t>
      </w:r>
      <w:r w:rsidR="00DD6AB2" w:rsidRPr="007853E2">
        <w:t>Code of Conduct</w:t>
      </w:r>
      <w:r w:rsidRPr="007853E2">
        <w:t xml:space="preserve"> in 2015</w:t>
      </w:r>
      <w:r w:rsidR="00AF45CA" w:rsidRPr="007853E2">
        <w:t xml:space="preserve">. </w:t>
      </w:r>
    </w:p>
    <w:p w14:paraId="2AD4AEF0" w14:textId="77777777" w:rsidR="00A23325" w:rsidRPr="007853E2" w:rsidRDefault="00981DDC">
      <w:pPr>
        <w:pStyle w:val="LDStandard2"/>
        <w:jc w:val="both"/>
      </w:pPr>
      <w:r w:rsidRPr="007853E2">
        <w:t>In addition to the Code</w:t>
      </w:r>
      <w:r w:rsidR="004C092A" w:rsidRPr="007853E2">
        <w:t xml:space="preserve"> of Conduct</w:t>
      </w:r>
      <w:r w:rsidRPr="007853E2">
        <w:t xml:space="preserve">, </w:t>
      </w:r>
      <w:r w:rsidR="00DE75B6" w:rsidRPr="007853E2">
        <w:t>various</w:t>
      </w:r>
      <w:r w:rsidR="00B53BD1" w:rsidRPr="007853E2">
        <w:t xml:space="preserve"> obligations are imposed on Department</w:t>
      </w:r>
      <w:r w:rsidRPr="007853E2">
        <w:t>al</w:t>
      </w:r>
      <w:r w:rsidR="00B53BD1" w:rsidRPr="007853E2">
        <w:t xml:space="preserve"> employees through the </w:t>
      </w:r>
      <w:r w:rsidR="00A23325" w:rsidRPr="007853E2">
        <w:t xml:space="preserve">Department’s </w:t>
      </w:r>
      <w:r w:rsidR="00B7601C" w:rsidRPr="007853E2">
        <w:t>Gifts</w:t>
      </w:r>
      <w:r w:rsidR="00380252" w:rsidRPr="007853E2">
        <w:t>, Benefits and Hospitality</w:t>
      </w:r>
      <w:r w:rsidR="00A23325" w:rsidRPr="007853E2">
        <w:t xml:space="preserve"> </w:t>
      </w:r>
      <w:r w:rsidR="00380252" w:rsidRPr="007853E2">
        <w:t>P</w:t>
      </w:r>
      <w:r w:rsidR="00A23325" w:rsidRPr="007853E2">
        <w:t>olicy</w:t>
      </w:r>
      <w:r w:rsidR="00380252" w:rsidRPr="007853E2">
        <w:t xml:space="preserve"> (</w:t>
      </w:r>
      <w:r w:rsidR="00380252" w:rsidRPr="007853E2">
        <w:rPr>
          <w:b/>
        </w:rPr>
        <w:t>Gift</w:t>
      </w:r>
      <w:r w:rsidR="008E189E" w:rsidRPr="007853E2">
        <w:rPr>
          <w:b/>
        </w:rPr>
        <w:t>s</w:t>
      </w:r>
      <w:r w:rsidR="00380252" w:rsidRPr="007853E2">
        <w:rPr>
          <w:b/>
        </w:rPr>
        <w:t xml:space="preserve"> Policy</w:t>
      </w:r>
      <w:r w:rsidR="00380252" w:rsidRPr="007853E2">
        <w:t>)</w:t>
      </w:r>
      <w:r w:rsidR="00B53BD1" w:rsidRPr="007853E2">
        <w:t xml:space="preserve">, which was clarified </w:t>
      </w:r>
      <w:r w:rsidR="00A23325" w:rsidRPr="007853E2">
        <w:t xml:space="preserve">in October 2015. </w:t>
      </w:r>
      <w:r w:rsidR="00F50B62" w:rsidRPr="007853E2">
        <w:t xml:space="preserve">The Gifts Policy defines what constitutes a “gift”, “benefit” or “hospitality”. </w:t>
      </w:r>
    </w:p>
    <w:p w14:paraId="3C480348" w14:textId="77777777" w:rsidR="00D15660" w:rsidRPr="007853E2" w:rsidRDefault="00D15660" w:rsidP="00B56EC3">
      <w:pPr>
        <w:pStyle w:val="LDStandard2"/>
        <w:jc w:val="both"/>
      </w:pPr>
      <w:r w:rsidRPr="007853E2">
        <w:t xml:space="preserve">All offers and acceptance of a gift worth more than $100 (nominal value) must be registered: </w:t>
      </w:r>
    </w:p>
    <w:p w14:paraId="31B2AFAF" w14:textId="77777777" w:rsidR="00D15660" w:rsidRPr="007853E2" w:rsidRDefault="00D15660" w:rsidP="00B56EC3">
      <w:pPr>
        <w:pStyle w:val="LDStandard4"/>
        <w:jc w:val="both"/>
      </w:pPr>
      <w:r w:rsidRPr="007853E2">
        <w:t xml:space="preserve">Non-school-based employees must register the offer or acceptance </w:t>
      </w:r>
      <w:r w:rsidR="009D6C70" w:rsidRPr="007853E2">
        <w:t xml:space="preserve">of a gift </w:t>
      </w:r>
      <w:r w:rsidRPr="007853E2">
        <w:t xml:space="preserve">on the Department’s gift register, </w:t>
      </w:r>
      <w:r w:rsidR="00A7088F" w:rsidRPr="007853E2">
        <w:t>by sending a Gifts Declaration Form to the Executive Director of the Procurement Division. The Procurement Division administers the gift register</w:t>
      </w:r>
      <w:r w:rsidR="009D6C70" w:rsidRPr="007853E2">
        <w:t>,</w:t>
      </w:r>
      <w:r w:rsidR="00991FDA" w:rsidRPr="007853E2">
        <w:t xml:space="preserve"> and </w:t>
      </w:r>
      <w:r w:rsidR="009D6C70" w:rsidRPr="007853E2">
        <w:t xml:space="preserve">the Portfolio Audit and Risk Committee </w:t>
      </w:r>
      <w:r w:rsidR="00991FDA" w:rsidRPr="007853E2">
        <w:t>review</w:t>
      </w:r>
      <w:r w:rsidR="009D6C70" w:rsidRPr="007853E2">
        <w:t>s</w:t>
      </w:r>
      <w:r w:rsidR="00991FDA" w:rsidRPr="007853E2">
        <w:t xml:space="preserve"> the Gifts register </w:t>
      </w:r>
      <w:r w:rsidR="009D6C70" w:rsidRPr="007853E2">
        <w:t xml:space="preserve">annually.  </w:t>
      </w:r>
      <w:r w:rsidR="00991FDA" w:rsidRPr="007853E2">
        <w:t xml:space="preserve">   </w:t>
      </w:r>
    </w:p>
    <w:p w14:paraId="2F0A8DD7" w14:textId="77777777" w:rsidR="00440371" w:rsidRPr="007853E2" w:rsidRDefault="00091C56" w:rsidP="00B56EC3">
      <w:pPr>
        <w:pStyle w:val="LDStandard4"/>
        <w:jc w:val="both"/>
      </w:pPr>
      <w:r w:rsidRPr="007853E2">
        <w:t xml:space="preserve">School-based employees and school councillors must register the offer or acceptance </w:t>
      </w:r>
      <w:r w:rsidR="004A1789" w:rsidRPr="007853E2">
        <w:t xml:space="preserve">of a gift </w:t>
      </w:r>
      <w:r w:rsidRPr="007853E2">
        <w:t xml:space="preserve">on the school’s gift register. The register is monitored by the school principal and annually reviewed by the school council. </w:t>
      </w:r>
    </w:p>
    <w:p w14:paraId="42F02C99" w14:textId="77777777" w:rsidR="002C3DE2" w:rsidRPr="007853E2" w:rsidRDefault="00D15660">
      <w:pPr>
        <w:pStyle w:val="LDStandard2"/>
        <w:jc w:val="both"/>
      </w:pPr>
      <w:r w:rsidRPr="007853E2">
        <w:t xml:space="preserve">All staff </w:t>
      </w:r>
      <w:r w:rsidR="000C0166" w:rsidRPr="007853E2">
        <w:t xml:space="preserve">should adopt a </w:t>
      </w:r>
      <w:r w:rsidR="008E189E" w:rsidRPr="007853E2">
        <w:t>common sense approach</w:t>
      </w:r>
      <w:r w:rsidR="000C0166" w:rsidRPr="007853E2">
        <w:t>, informed by the public sector values of integrity and accountability</w:t>
      </w:r>
      <w:r w:rsidR="008E189E" w:rsidRPr="007853E2">
        <w:t xml:space="preserve">. </w:t>
      </w:r>
      <w:r w:rsidR="000C0166" w:rsidRPr="007853E2">
        <w:t xml:space="preserve">For example, teachers </w:t>
      </w:r>
      <w:r w:rsidR="00CE4080" w:rsidRPr="007853E2">
        <w:t>may keep</w:t>
      </w:r>
      <w:r w:rsidR="000C0166" w:rsidRPr="007853E2">
        <w:t xml:space="preserve"> a thank you gift (under $100), and do not need to register such a gift. </w:t>
      </w:r>
      <w:r w:rsidR="00055EBA" w:rsidRPr="007853E2">
        <w:t xml:space="preserve"> </w:t>
      </w:r>
    </w:p>
    <w:p w14:paraId="12EBCBF7" w14:textId="77777777" w:rsidR="00015BE8" w:rsidRPr="007853E2" w:rsidRDefault="00015BE8" w:rsidP="00015BE8">
      <w:pPr>
        <w:pStyle w:val="LDStandard2"/>
        <w:jc w:val="both"/>
      </w:pPr>
      <w:r w:rsidRPr="007853E2">
        <w:t xml:space="preserve">The Procurement Division and the Portfolio Audit and Risk Committee review the Department’s gift register annually. The Department also attests annually to the VPSC that it has met its obligations in this regard. </w:t>
      </w:r>
    </w:p>
    <w:p w14:paraId="7AFC8929" w14:textId="77777777" w:rsidR="00DD6AB2" w:rsidRPr="007853E2" w:rsidRDefault="00DD6AB2">
      <w:pPr>
        <w:pStyle w:val="VGSOHdg3"/>
      </w:pPr>
      <w:r w:rsidRPr="007853E2">
        <w:t>Travel</w:t>
      </w:r>
    </w:p>
    <w:p w14:paraId="4526E035" w14:textId="77777777" w:rsidR="00AC7447" w:rsidRPr="007853E2" w:rsidRDefault="0022723C" w:rsidP="0022723C">
      <w:pPr>
        <w:pStyle w:val="LDStandard2"/>
        <w:jc w:val="both"/>
      </w:pPr>
      <w:r w:rsidRPr="007853E2">
        <w:t xml:space="preserve">Consistent </w:t>
      </w:r>
      <w:r w:rsidR="006D371E" w:rsidRPr="007853E2">
        <w:t xml:space="preserve">with </w:t>
      </w:r>
      <w:r w:rsidRPr="007853E2">
        <w:t xml:space="preserve">the evidence that I gave to IBAC in </w:t>
      </w:r>
      <w:r w:rsidR="00A05E9C" w:rsidRPr="007853E2">
        <w:t>Operation Ord</w:t>
      </w:r>
      <w:r w:rsidRPr="007853E2">
        <w:t>,</w:t>
      </w:r>
      <w:r w:rsidR="00A05E9C" w:rsidRPr="007853E2">
        <w:t xml:space="preserve"> travel is not</w:t>
      </w:r>
      <w:r w:rsidRPr="007853E2">
        <w:t xml:space="preserve"> an entitlement</w:t>
      </w:r>
      <w:r w:rsidR="00A05E9C" w:rsidRPr="007853E2">
        <w:t xml:space="preserve"> in </w:t>
      </w:r>
      <w:r w:rsidR="00AC3EB0" w:rsidRPr="007853E2">
        <w:t>the</w:t>
      </w:r>
      <w:r w:rsidR="00A05E9C" w:rsidRPr="007853E2">
        <w:t xml:space="preserve"> Department.</w:t>
      </w:r>
      <w:r w:rsidRPr="007853E2">
        <w:t xml:space="preserve"> </w:t>
      </w:r>
      <w:r w:rsidR="00A05E9C" w:rsidRPr="007853E2">
        <w:t>T</w:t>
      </w:r>
      <w:r w:rsidR="00AC7447" w:rsidRPr="007853E2">
        <w:t>ravel must only occur in a manner that contains costs, adheres to the highest probity principles, and reflects clear value and benefit for the education portfolio</w:t>
      </w:r>
      <w:r w:rsidR="00A05E9C" w:rsidRPr="007853E2">
        <w:t>.</w:t>
      </w:r>
      <w:r w:rsidR="00A05E9C" w:rsidRPr="007853E2">
        <w:rPr>
          <w:color w:val="1F497D"/>
        </w:rPr>
        <w:t xml:space="preserve"> </w:t>
      </w:r>
    </w:p>
    <w:p w14:paraId="7F7423E5" w14:textId="77777777" w:rsidR="007829C7" w:rsidRPr="007853E2" w:rsidRDefault="0045362F">
      <w:pPr>
        <w:pStyle w:val="LDStandard2"/>
        <w:jc w:val="both"/>
      </w:pPr>
      <w:r w:rsidRPr="007853E2">
        <w:t>C</w:t>
      </w:r>
      <w:r w:rsidR="009E1622" w:rsidRPr="007853E2">
        <w:t>onferences can be importa</w:t>
      </w:r>
      <w:r w:rsidR="007829C7" w:rsidRPr="007853E2">
        <w:t xml:space="preserve">nt for professional development. </w:t>
      </w:r>
      <w:r w:rsidR="009E1622" w:rsidRPr="007853E2">
        <w:t>However</w:t>
      </w:r>
      <w:r w:rsidR="00633970" w:rsidRPr="007853E2">
        <w:t xml:space="preserve">, </w:t>
      </w:r>
      <w:r w:rsidRPr="007853E2">
        <w:t>t</w:t>
      </w:r>
      <w:r w:rsidR="00806E54" w:rsidRPr="007853E2">
        <w:t xml:space="preserve">he travel must achieve outcomes that are not possible without the travel. </w:t>
      </w:r>
      <w:r w:rsidR="007829C7" w:rsidRPr="007853E2">
        <w:t>Frequent travel for any individual should be limited</w:t>
      </w:r>
      <w:r w:rsidR="00E51B6D" w:rsidRPr="007853E2">
        <w:t xml:space="preserve">. </w:t>
      </w:r>
      <w:r w:rsidR="0041040C" w:rsidRPr="007853E2">
        <w:t xml:space="preserve">Group travel is limited to essential, appropriately skilled staff. </w:t>
      </w:r>
    </w:p>
    <w:p w14:paraId="259215CF" w14:textId="77777777" w:rsidR="007829C7" w:rsidRPr="007853E2" w:rsidRDefault="007829C7" w:rsidP="007829C7">
      <w:pPr>
        <w:pStyle w:val="LDStandard2"/>
        <w:jc w:val="both"/>
      </w:pPr>
      <w:r w:rsidRPr="007853E2">
        <w:t xml:space="preserve">The Department’s revised Travel Policy has the following </w:t>
      </w:r>
      <w:r w:rsidR="00636747">
        <w:t>features</w:t>
      </w:r>
      <w:r w:rsidRPr="007853E2">
        <w:t xml:space="preserve">:   </w:t>
      </w:r>
    </w:p>
    <w:p w14:paraId="705B655C" w14:textId="77777777" w:rsidR="007829C7" w:rsidRPr="007853E2" w:rsidRDefault="007829C7" w:rsidP="007829C7">
      <w:pPr>
        <w:pStyle w:val="LDStandard4"/>
        <w:jc w:val="both"/>
      </w:pPr>
      <w:r w:rsidRPr="007853E2">
        <w:t xml:space="preserve">Staff presenting papers must have their presentation pre-approved for quality and portfolio relevance by the travel approver, or by an expert advisor nominated by the travel approver. </w:t>
      </w:r>
    </w:p>
    <w:p w14:paraId="7D4C7F57" w14:textId="77777777" w:rsidR="007829C7" w:rsidRPr="007853E2" w:rsidRDefault="007829C7" w:rsidP="007829C7">
      <w:pPr>
        <w:pStyle w:val="LDStandard4"/>
        <w:jc w:val="both"/>
      </w:pPr>
      <w:r w:rsidRPr="007853E2">
        <w:t xml:space="preserve">All overseas travel for Departmental staff must be approved by the Secretary. All overseas travel for school-based staff must be approved by the Deputy Secretary, Regional Services Group. </w:t>
      </w:r>
      <w:r w:rsidRPr="007853E2">
        <w:rPr>
          <w:i/>
        </w:rPr>
        <w:t xml:space="preserve"> </w:t>
      </w:r>
      <w:r w:rsidRPr="007853E2">
        <w:t xml:space="preserve">  </w:t>
      </w:r>
    </w:p>
    <w:p w14:paraId="7ABE35CC" w14:textId="77777777" w:rsidR="007829C7" w:rsidRPr="007853E2" w:rsidRDefault="007829C7" w:rsidP="007829C7">
      <w:pPr>
        <w:pStyle w:val="LDStandard4"/>
        <w:jc w:val="both"/>
      </w:pPr>
      <w:r w:rsidRPr="007853E2">
        <w:t xml:space="preserve">Offers of funded travel from any organisation sponsoring conferences or industry tours should be declined unless it can be demonstrated that there </w:t>
      </w:r>
      <w:r w:rsidRPr="007853E2">
        <w:lastRenderedPageBreak/>
        <w:t>is an absence of actual, potential or perceived conflict of interest or improper influence, either direct or indirect.</w:t>
      </w:r>
    </w:p>
    <w:p w14:paraId="6E22C36D" w14:textId="77777777" w:rsidR="007829C7" w:rsidRPr="007853E2" w:rsidRDefault="007829C7" w:rsidP="007829C7">
      <w:pPr>
        <w:pStyle w:val="LDStandard4"/>
        <w:jc w:val="both"/>
      </w:pPr>
      <w:r w:rsidRPr="007853E2">
        <w:t xml:space="preserve">Within fourteen days of return, travellers must submit a travel report – where any costs associated with significant variations from the approved budget must be submitted and explained – and an expense acquittal. </w:t>
      </w:r>
    </w:p>
    <w:p w14:paraId="46B0113A" w14:textId="77777777" w:rsidR="007829C7" w:rsidRPr="007853E2" w:rsidRDefault="007829C7" w:rsidP="007829C7">
      <w:pPr>
        <w:pStyle w:val="LDStandard4"/>
        <w:jc w:val="both"/>
      </w:pPr>
      <w:r w:rsidRPr="007853E2">
        <w:t xml:space="preserve">The travel approver must oversee the complete cycle of travel policy and procedure compliance, and must assess the travel report and expense acquittal for discrepancies and non-compliance.  </w:t>
      </w:r>
    </w:p>
    <w:p w14:paraId="6B91B5CF" w14:textId="77777777" w:rsidR="00B445CA" w:rsidRPr="007853E2" w:rsidRDefault="00055EBA">
      <w:pPr>
        <w:pStyle w:val="LDStandard2"/>
        <w:jc w:val="both"/>
      </w:pPr>
      <w:r w:rsidRPr="007853E2">
        <w:t xml:space="preserve">The Gifts Policy </w:t>
      </w:r>
      <w:r w:rsidR="00A32434" w:rsidRPr="007853E2">
        <w:t xml:space="preserve">and the Travel Policy </w:t>
      </w:r>
      <w:r w:rsidRPr="007853E2">
        <w:t xml:space="preserve">are </w:t>
      </w:r>
      <w:r w:rsidR="0075099A" w:rsidRPr="007853E2">
        <w:t>accessible to all staff</w:t>
      </w:r>
      <w:r w:rsidRPr="007853E2">
        <w:t xml:space="preserve"> on the Department’s Human Resources </w:t>
      </w:r>
      <w:r w:rsidR="00495B03" w:rsidRPr="007853E2">
        <w:t>page (HRWeb)</w:t>
      </w:r>
      <w:r w:rsidR="004A1789" w:rsidRPr="007853E2">
        <w:t>.</w:t>
      </w:r>
    </w:p>
    <w:p w14:paraId="4FF8BAF0" w14:textId="77777777" w:rsidR="00B445CA" w:rsidRPr="007853E2" w:rsidRDefault="00B445CA">
      <w:pPr>
        <w:pStyle w:val="LDStandard2"/>
        <w:jc w:val="both"/>
      </w:pPr>
      <w:r w:rsidRPr="007853E2">
        <w:t xml:space="preserve">The Department has undertaken significant work to promote the Travel Policy. </w:t>
      </w:r>
      <w:r w:rsidR="00DC2F88" w:rsidRPr="007853E2">
        <w:t xml:space="preserve">The Regional Services Group has issued regular advice to schools, established </w:t>
      </w:r>
      <w:r w:rsidR="001D018B">
        <w:t>registrars</w:t>
      </w:r>
      <w:r w:rsidR="000A6CBA" w:rsidRPr="007853E2">
        <w:t xml:space="preserve"> </w:t>
      </w:r>
      <w:r w:rsidR="00420633">
        <w:t>for</w:t>
      </w:r>
      <w:r w:rsidR="00DC2F88" w:rsidRPr="007853E2">
        <w:t xml:space="preserve"> each region to provide support and guidance, developed an online travel log and approval function and has held a number of presentations with principal networks to raise awareness and understanding of the Policy. </w:t>
      </w:r>
    </w:p>
    <w:p w14:paraId="14286308" w14:textId="77777777" w:rsidR="00951343" w:rsidRPr="007853E2" w:rsidRDefault="00055EBA">
      <w:pPr>
        <w:pStyle w:val="LDStandard2"/>
        <w:jc w:val="both"/>
      </w:pPr>
      <w:r w:rsidRPr="007853E2">
        <w:t xml:space="preserve">A breach of the Gifts Policy </w:t>
      </w:r>
      <w:r w:rsidR="00951343" w:rsidRPr="007853E2">
        <w:t xml:space="preserve">or the Travel Policy </w:t>
      </w:r>
      <w:r w:rsidRPr="007853E2">
        <w:t>may constitute misconduct</w:t>
      </w:r>
      <w:r w:rsidR="00080C9C" w:rsidRPr="007853E2">
        <w:t xml:space="preserve"> and </w:t>
      </w:r>
      <w:r w:rsidR="00A05E9C" w:rsidRPr="007853E2">
        <w:t xml:space="preserve">may lead to </w:t>
      </w:r>
      <w:r w:rsidR="00080C9C" w:rsidRPr="007853E2">
        <w:t>disciplinary action</w:t>
      </w:r>
      <w:r w:rsidR="00571CAA" w:rsidRPr="007853E2">
        <w:t>.</w:t>
      </w:r>
      <w:r w:rsidR="00951343" w:rsidRPr="007853E2">
        <w:t xml:space="preserve"> </w:t>
      </w:r>
      <w:r w:rsidR="000347F1" w:rsidRPr="007853E2">
        <w:t xml:space="preserve">In addition, </w:t>
      </w:r>
      <w:r w:rsidR="00015BE8" w:rsidRPr="007853E2">
        <w:t>staff</w:t>
      </w:r>
      <w:r w:rsidR="000347F1" w:rsidRPr="007853E2">
        <w:t xml:space="preserve"> </w:t>
      </w:r>
      <w:proofErr w:type="gramStart"/>
      <w:r w:rsidR="000347F1" w:rsidRPr="007853E2">
        <w:t>who</w:t>
      </w:r>
      <w:proofErr w:type="gramEnd"/>
      <w:r w:rsidR="000347F1" w:rsidRPr="007853E2">
        <w:t xml:space="preserve"> breach or are non-compliant with the Travel Policy may not be eligible for any future travel.</w:t>
      </w:r>
    </w:p>
    <w:p w14:paraId="6C6BD536" w14:textId="77777777" w:rsidR="003F15B1" w:rsidRPr="007853E2" w:rsidRDefault="003F15B1" w:rsidP="00B56EC3">
      <w:pPr>
        <w:pStyle w:val="LDStandard2"/>
        <w:jc w:val="both"/>
      </w:pPr>
      <w:r w:rsidRPr="007853E2">
        <w:t xml:space="preserve">Under the </w:t>
      </w:r>
      <w:r w:rsidR="00E51B6D" w:rsidRPr="007853E2">
        <w:t xml:space="preserve">revised </w:t>
      </w:r>
      <w:r w:rsidR="0053112B" w:rsidRPr="007853E2">
        <w:t xml:space="preserve">Travel </w:t>
      </w:r>
      <w:r w:rsidR="00E51B6D" w:rsidRPr="007853E2">
        <w:t>Policy</w:t>
      </w:r>
      <w:r w:rsidR="00015BE8" w:rsidRPr="007853E2">
        <w:t>, the following measures exist</w:t>
      </w:r>
      <w:r w:rsidRPr="007853E2">
        <w:t xml:space="preserve"> to ensure accountability and transparency: </w:t>
      </w:r>
    </w:p>
    <w:p w14:paraId="7FDF785E" w14:textId="77777777" w:rsidR="00A934BC" w:rsidRPr="007853E2" w:rsidRDefault="008C5B44" w:rsidP="00B56EC3">
      <w:pPr>
        <w:pStyle w:val="LDStandard4"/>
        <w:jc w:val="both"/>
      </w:pPr>
      <w:r w:rsidRPr="007853E2">
        <w:t>The Department provides quarterly travel monitoring reports to</w:t>
      </w:r>
      <w:r w:rsidR="0082332D" w:rsidRPr="007853E2">
        <w:t xml:space="preserve"> the Executive Board. </w:t>
      </w:r>
    </w:p>
    <w:p w14:paraId="3B19A2D0" w14:textId="77777777" w:rsidR="0082332D" w:rsidRPr="007853E2" w:rsidRDefault="0082332D" w:rsidP="0082332D">
      <w:pPr>
        <w:pStyle w:val="LDStandard4"/>
        <w:jc w:val="both"/>
      </w:pPr>
      <w:r w:rsidRPr="007853E2">
        <w:t xml:space="preserve">All international education portfolio travel is collated and will be published in the Department’s annual report. </w:t>
      </w:r>
    </w:p>
    <w:p w14:paraId="6187D85B" w14:textId="77777777" w:rsidR="008775EE" w:rsidRPr="007853E2" w:rsidRDefault="00BD7C29" w:rsidP="001C01AC">
      <w:pPr>
        <w:pStyle w:val="VGSOHdg1"/>
        <w:jc w:val="both"/>
        <w:rPr>
          <w:sz w:val="18"/>
          <w:szCs w:val="18"/>
        </w:rPr>
      </w:pPr>
      <w:bookmarkStart w:id="23" w:name="_Toc445877707"/>
      <w:r w:rsidRPr="007853E2">
        <w:t>C.</w:t>
      </w:r>
      <w:r w:rsidRPr="007853E2">
        <w:tab/>
      </w:r>
      <w:r w:rsidR="00CA58A3" w:rsidRPr="007853E2">
        <w:t>CONCLUSION</w:t>
      </w:r>
      <w:bookmarkEnd w:id="23"/>
      <w:r w:rsidR="00CA58A3" w:rsidRPr="007853E2">
        <w:t xml:space="preserve"> </w:t>
      </w:r>
    </w:p>
    <w:p w14:paraId="3384103F" w14:textId="77777777" w:rsidR="00015BE8" w:rsidRPr="007853E2" w:rsidRDefault="00015BE8" w:rsidP="00015BE8">
      <w:pPr>
        <w:pStyle w:val="LDStandard2"/>
        <w:jc w:val="both"/>
      </w:pPr>
      <w:r w:rsidRPr="007853E2">
        <w:t>Our public education system provides immeasurable value to Victoria’s children and young people, and to the economic and social prosperity of our State. As such, we must uphold the highest ethical standards and ensure that as servants of the public interest, our conduct consistently meets the public’s highest expectations of integrity.</w:t>
      </w:r>
    </w:p>
    <w:p w14:paraId="6C701E05" w14:textId="77777777" w:rsidR="00015BE8" w:rsidRPr="007853E2" w:rsidRDefault="00015BE8" w:rsidP="00015BE8">
      <w:pPr>
        <w:pStyle w:val="LDStandard2"/>
        <w:jc w:val="both"/>
      </w:pPr>
      <w:r w:rsidRPr="007853E2">
        <w:t>This understanding lies at the heart of the trust placed in us by the Victorian community. Without it, confidence in public education is eroded.</w:t>
      </w:r>
    </w:p>
    <w:p w14:paraId="243C9D8E" w14:textId="77777777" w:rsidR="00015BE8" w:rsidRPr="007853E2" w:rsidRDefault="00015BE8" w:rsidP="00015BE8">
      <w:pPr>
        <w:pStyle w:val="LDStandard2"/>
        <w:jc w:val="both"/>
      </w:pPr>
      <w:r w:rsidRPr="007853E2">
        <w:t>Ultimately, integrity and ethical conduct rest</w:t>
      </w:r>
      <w:r w:rsidR="00636747">
        <w:t>s</w:t>
      </w:r>
      <w:r w:rsidRPr="007853E2">
        <w:t xml:space="preserve"> in the hands of every one of us – of every teacher, principal, regional and head office staff member </w:t>
      </w:r>
      <w:r w:rsidR="00636747">
        <w:t xml:space="preserve">and executive officer </w:t>
      </w:r>
      <w:r w:rsidRPr="007853E2">
        <w:t>– and in the way we make decisions about every aspect of our work.</w:t>
      </w:r>
    </w:p>
    <w:p w14:paraId="44750E41" w14:textId="77777777" w:rsidR="00015BE8" w:rsidRPr="007853E2" w:rsidRDefault="00015BE8" w:rsidP="001C01AC">
      <w:pPr>
        <w:pStyle w:val="LDStandard2"/>
        <w:jc w:val="both"/>
      </w:pPr>
      <w:r w:rsidRPr="007853E2">
        <w:t xml:space="preserve">These decisions, from the most basic operational elements of budgeting, travel or employment, through to the oversight of major procurement and strategic policy options, are founded in the same ethical standards. </w:t>
      </w:r>
    </w:p>
    <w:p w14:paraId="59B099E5" w14:textId="77777777" w:rsidR="00015BE8" w:rsidRPr="007853E2" w:rsidRDefault="00015BE8" w:rsidP="00015BE8">
      <w:pPr>
        <w:pStyle w:val="LDStandard2"/>
        <w:jc w:val="both"/>
      </w:pPr>
      <w:r w:rsidRPr="007853E2">
        <w:t xml:space="preserve">More than just compliance with procedural requirements, our adherence to these standards is about demonstrating understanding at every level of our system that public education stands for excellence, equity, public value and integrity.  </w:t>
      </w:r>
    </w:p>
    <w:p w14:paraId="670CCE91" w14:textId="77777777" w:rsidR="00C941B1" w:rsidRDefault="001C01AC" w:rsidP="001D4F8A">
      <w:pPr>
        <w:pStyle w:val="LDStandard2"/>
        <w:jc w:val="both"/>
      </w:pPr>
      <w:r w:rsidRPr="007853E2">
        <w:lastRenderedPageBreak/>
        <w:t xml:space="preserve">Through Operations Ord and Dunham, IBAC has carefully examined and exposed patterns of conduct that have no place in a modern State Government department. Together with my colleagues on the Victorian Secretaries Board, I am committed to reforming the culture and the practices that have contributed to that conduct. </w:t>
      </w:r>
    </w:p>
    <w:p w14:paraId="715D6B7C" w14:textId="77777777" w:rsidR="00C348E7" w:rsidRDefault="00636747" w:rsidP="008775EE">
      <w:pPr>
        <w:pStyle w:val="LDStandard2"/>
        <w:jc w:val="both"/>
      </w:pPr>
      <w:r>
        <w:t>The work undertaken by the Department to date</w:t>
      </w:r>
      <w:r w:rsidR="00C348E7">
        <w:t>,</w:t>
      </w:r>
      <w:r>
        <w:t xml:space="preserve"> and the further</w:t>
      </w:r>
      <w:r w:rsidR="00C348E7">
        <w:t xml:space="preserve"> undertakings</w:t>
      </w:r>
      <w:r>
        <w:t xml:space="preserve"> made in this statement</w:t>
      </w:r>
      <w:r w:rsidR="00C348E7">
        <w:t>,</w:t>
      </w:r>
      <w:r>
        <w:t xml:space="preserve"> are part of a short and long term </w:t>
      </w:r>
      <w:r w:rsidR="00C348E7">
        <w:t>program of</w:t>
      </w:r>
      <w:r>
        <w:t xml:space="preserve"> organisational change.</w:t>
      </w:r>
      <w:r w:rsidR="00C348E7">
        <w:t xml:space="preserve"> We are building a strong ethical framework and culture to underpin the delivery of education in Victoria. </w:t>
      </w:r>
    </w:p>
    <w:p w14:paraId="27F179F2" w14:textId="77777777" w:rsidR="00881BB1" w:rsidRPr="007853E2" w:rsidRDefault="00881BB1">
      <w:pPr>
        <w:jc w:val="left"/>
        <w:rPr>
          <w:rFonts w:eastAsiaTheme="minorHAnsi" w:cs="Arial"/>
          <w:color w:val="4F81BD" w:themeColor="accent1"/>
          <w:kern w:val="0"/>
        </w:rPr>
      </w:pPr>
      <w:r w:rsidRPr="007853E2">
        <w:rPr>
          <w:color w:val="4F81BD" w:themeColor="accent1"/>
        </w:rPr>
        <w:br w:type="page"/>
      </w:r>
    </w:p>
    <w:p w14:paraId="75E0032A" w14:textId="77777777" w:rsidR="00881BB1" w:rsidRPr="007853E2" w:rsidRDefault="00881BB1" w:rsidP="00881BB1">
      <w:pPr>
        <w:pStyle w:val="VGSOHdg1"/>
      </w:pPr>
      <w:bookmarkStart w:id="24" w:name="_Toc445464769"/>
      <w:bookmarkStart w:id="25" w:name="_Toc445877708"/>
      <w:r w:rsidRPr="007853E2">
        <w:lastRenderedPageBreak/>
        <w:t>Appendix A: Glossary of terms</w:t>
      </w:r>
      <w:bookmarkEnd w:id="24"/>
      <w:bookmarkEnd w:id="25"/>
    </w:p>
    <w:p w14:paraId="2DE662B0" w14:textId="77777777" w:rsidR="000E0053" w:rsidRPr="007853E2" w:rsidRDefault="000E0053" w:rsidP="00881BB1">
      <w:pPr>
        <w:spacing w:after="240"/>
        <w:rPr>
          <w:b/>
        </w:rPr>
      </w:pPr>
    </w:p>
    <w:p w14:paraId="7A64BA4C" w14:textId="77777777" w:rsidR="00881BB1" w:rsidRPr="007853E2" w:rsidRDefault="00881BB1" w:rsidP="00881BB1">
      <w:pPr>
        <w:spacing w:after="240"/>
      </w:pPr>
      <w:r w:rsidRPr="007853E2">
        <w:rPr>
          <w:b/>
        </w:rPr>
        <w:t>Alliance Recruitment</w:t>
      </w:r>
      <w:r w:rsidRPr="007853E2">
        <w:t xml:space="preserve"> means Alliance Recruitment Pty Ltd</w:t>
      </w:r>
    </w:p>
    <w:p w14:paraId="054BF6F1" w14:textId="77777777" w:rsidR="00881BB1" w:rsidRPr="007853E2" w:rsidRDefault="00881BB1" w:rsidP="00881BB1">
      <w:r w:rsidRPr="007853E2">
        <w:rPr>
          <w:b/>
        </w:rPr>
        <w:t xml:space="preserve">CSG </w:t>
      </w:r>
      <w:r w:rsidRPr="007853E2">
        <w:t>means CSG Proprietary Limited</w:t>
      </w:r>
    </w:p>
    <w:p w14:paraId="4E4D1C72" w14:textId="77777777" w:rsidR="00881BB1" w:rsidRPr="007853E2" w:rsidRDefault="00881BB1" w:rsidP="00881BB1"/>
    <w:p w14:paraId="7F491149" w14:textId="77777777" w:rsidR="00881BB1" w:rsidRPr="007853E2" w:rsidRDefault="00881BB1" w:rsidP="00881BB1">
      <w:pPr>
        <w:rPr>
          <w:i/>
        </w:rPr>
      </w:pPr>
      <w:r w:rsidRPr="007853E2">
        <w:rPr>
          <w:b/>
        </w:rPr>
        <w:t>Code</w:t>
      </w:r>
      <w:r w:rsidR="004C092A" w:rsidRPr="007853E2">
        <w:rPr>
          <w:b/>
        </w:rPr>
        <w:t xml:space="preserve"> of Conduct</w:t>
      </w:r>
      <w:r w:rsidRPr="007853E2">
        <w:rPr>
          <w:b/>
        </w:rPr>
        <w:t xml:space="preserve"> </w:t>
      </w:r>
      <w:r w:rsidRPr="007853E2">
        <w:t xml:space="preserve">means the </w:t>
      </w:r>
      <w:r w:rsidRPr="007853E2">
        <w:rPr>
          <w:i/>
        </w:rPr>
        <w:t>Code of Conduct for Victorian Public Sector Employees 2015</w:t>
      </w:r>
    </w:p>
    <w:p w14:paraId="31290F7D" w14:textId="77777777" w:rsidR="00881BB1" w:rsidRPr="007853E2" w:rsidRDefault="00881BB1" w:rsidP="00881BB1">
      <w:pPr>
        <w:rPr>
          <w:i/>
        </w:rPr>
      </w:pPr>
    </w:p>
    <w:p w14:paraId="0F43EC87" w14:textId="77777777" w:rsidR="00881BB1" w:rsidRPr="007853E2" w:rsidRDefault="00881BB1" w:rsidP="00881BB1">
      <w:r w:rsidRPr="007853E2">
        <w:rPr>
          <w:b/>
        </w:rPr>
        <w:t xml:space="preserve">Conflicts Policy </w:t>
      </w:r>
      <w:r w:rsidRPr="007853E2">
        <w:t>means the Conflicts of Interests Policy of the Department of Education and Training</w:t>
      </w:r>
    </w:p>
    <w:p w14:paraId="3BD5C0C6" w14:textId="77777777" w:rsidR="00881BB1" w:rsidRPr="007853E2" w:rsidRDefault="00881BB1" w:rsidP="00881BB1"/>
    <w:p w14:paraId="12513B95" w14:textId="77777777" w:rsidR="00881BB1" w:rsidRPr="007853E2" w:rsidRDefault="00881BB1" w:rsidP="00881BB1">
      <w:r w:rsidRPr="007853E2">
        <w:rPr>
          <w:b/>
        </w:rPr>
        <w:t xml:space="preserve">CPO </w:t>
      </w:r>
      <w:r w:rsidRPr="007853E2">
        <w:t>means Chief Procurement Officer</w:t>
      </w:r>
    </w:p>
    <w:p w14:paraId="516779D3" w14:textId="77777777" w:rsidR="00881BB1" w:rsidRPr="007853E2" w:rsidRDefault="00881BB1" w:rsidP="00881BB1"/>
    <w:p w14:paraId="09B9846C" w14:textId="77777777" w:rsidR="00881BB1" w:rsidRPr="007853E2" w:rsidRDefault="00881BB1" w:rsidP="00881BB1">
      <w:r w:rsidRPr="007853E2">
        <w:rPr>
          <w:b/>
        </w:rPr>
        <w:t xml:space="preserve">Department </w:t>
      </w:r>
      <w:r w:rsidRPr="007853E2">
        <w:t>means the Department of Education and Training and its predecessors</w:t>
      </w:r>
    </w:p>
    <w:p w14:paraId="2D19E4DF" w14:textId="77777777" w:rsidR="00881BB1" w:rsidRPr="007853E2" w:rsidRDefault="00881BB1" w:rsidP="00881BB1"/>
    <w:p w14:paraId="556E1D58" w14:textId="77777777" w:rsidR="00881BB1" w:rsidRPr="007853E2" w:rsidRDefault="00881BB1" w:rsidP="00881BB1">
      <w:r w:rsidRPr="007853E2">
        <w:rPr>
          <w:b/>
        </w:rPr>
        <w:t xml:space="preserve">DET </w:t>
      </w:r>
      <w:r w:rsidRPr="007853E2">
        <w:t>means the Department of Education and Training</w:t>
      </w:r>
      <w:r w:rsidR="000E0053">
        <w:t xml:space="preserve"> </w:t>
      </w:r>
      <w:r w:rsidR="000E0053" w:rsidRPr="007853E2">
        <w:t>and its predecessors</w:t>
      </w:r>
    </w:p>
    <w:p w14:paraId="7C68AD1B" w14:textId="77777777" w:rsidR="00881BB1" w:rsidRPr="007853E2" w:rsidRDefault="00881BB1" w:rsidP="00881BB1"/>
    <w:p w14:paraId="56C5D37A" w14:textId="77777777" w:rsidR="00881BB1" w:rsidRPr="007853E2" w:rsidRDefault="00881BB1" w:rsidP="00881BB1">
      <w:r w:rsidRPr="007853E2">
        <w:rPr>
          <w:b/>
        </w:rPr>
        <w:t>DPC</w:t>
      </w:r>
      <w:r w:rsidRPr="007853E2">
        <w:t xml:space="preserve"> means the Department of Premier and Cabinet</w:t>
      </w:r>
    </w:p>
    <w:p w14:paraId="7E4ED418" w14:textId="77777777" w:rsidR="00881BB1" w:rsidRPr="007853E2" w:rsidRDefault="00881BB1" w:rsidP="00881BB1"/>
    <w:p w14:paraId="312BA8B0" w14:textId="77777777" w:rsidR="00881BB1" w:rsidRPr="007853E2" w:rsidRDefault="00881BB1" w:rsidP="00881BB1">
      <w:r w:rsidRPr="007853E2">
        <w:rPr>
          <w:b/>
        </w:rPr>
        <w:t xml:space="preserve">DPI </w:t>
      </w:r>
      <w:r w:rsidRPr="007853E2">
        <w:t xml:space="preserve">means Declaration of Private Interests </w:t>
      </w:r>
    </w:p>
    <w:p w14:paraId="72F32719" w14:textId="77777777" w:rsidR="00881BB1" w:rsidRPr="007853E2" w:rsidRDefault="00881BB1" w:rsidP="00881BB1"/>
    <w:p w14:paraId="752FEF00" w14:textId="77777777" w:rsidR="00881BB1" w:rsidRPr="007853E2" w:rsidRDefault="00881BB1" w:rsidP="00881BB1">
      <w:r w:rsidRPr="007853E2">
        <w:rPr>
          <w:b/>
        </w:rPr>
        <w:t xml:space="preserve">DTF </w:t>
      </w:r>
      <w:r w:rsidRPr="007853E2">
        <w:t>means the Department of Treasury and Finance</w:t>
      </w:r>
    </w:p>
    <w:p w14:paraId="4AF0DC32" w14:textId="77777777" w:rsidR="00881BB1" w:rsidRPr="007853E2" w:rsidRDefault="00881BB1" w:rsidP="00881BB1">
      <w:pPr>
        <w:rPr>
          <w:i/>
        </w:rPr>
      </w:pPr>
    </w:p>
    <w:p w14:paraId="153C341F" w14:textId="77777777" w:rsidR="00881BB1" w:rsidRPr="007853E2" w:rsidRDefault="00881BB1" w:rsidP="00881BB1">
      <w:r w:rsidRPr="007853E2">
        <w:rPr>
          <w:b/>
        </w:rPr>
        <w:t>FSD</w:t>
      </w:r>
      <w:r w:rsidRPr="007853E2">
        <w:t xml:space="preserve"> means the Financial Services Division </w:t>
      </w:r>
    </w:p>
    <w:p w14:paraId="41A84774" w14:textId="77777777" w:rsidR="00881BB1" w:rsidRPr="007853E2" w:rsidRDefault="00881BB1" w:rsidP="00881BB1">
      <w:pPr>
        <w:jc w:val="left"/>
      </w:pPr>
    </w:p>
    <w:p w14:paraId="6FC9FDD6" w14:textId="77777777" w:rsidR="00881BB1" w:rsidRPr="007853E2" w:rsidRDefault="00881BB1" w:rsidP="00881BB1">
      <w:pPr>
        <w:rPr>
          <w:i/>
        </w:rPr>
      </w:pPr>
      <w:r w:rsidRPr="007853E2">
        <w:rPr>
          <w:b/>
        </w:rPr>
        <w:t xml:space="preserve">Gifts Policy </w:t>
      </w:r>
      <w:r w:rsidRPr="007853E2">
        <w:t>means the Gifts, Benefits and Hospitality Policy of the Department of Education and Training</w:t>
      </w:r>
    </w:p>
    <w:p w14:paraId="331BECA2" w14:textId="77777777" w:rsidR="00881BB1" w:rsidRPr="007853E2" w:rsidRDefault="00881BB1" w:rsidP="00881BB1">
      <w:pPr>
        <w:rPr>
          <w:i/>
        </w:rPr>
      </w:pPr>
    </w:p>
    <w:p w14:paraId="5151E049" w14:textId="77777777" w:rsidR="00881BB1" w:rsidRPr="007853E2" w:rsidRDefault="00881BB1" w:rsidP="00881BB1">
      <w:pPr>
        <w:rPr>
          <w:b/>
        </w:rPr>
      </w:pPr>
      <w:r w:rsidRPr="007853E2">
        <w:rPr>
          <w:b/>
        </w:rPr>
        <w:t xml:space="preserve">HRHV </w:t>
      </w:r>
      <w:r w:rsidRPr="007853E2">
        <w:t>means</w:t>
      </w:r>
      <w:r w:rsidRPr="007853E2">
        <w:rPr>
          <w:b/>
        </w:rPr>
        <w:t xml:space="preserve"> </w:t>
      </w:r>
      <w:r w:rsidRPr="007853E2">
        <w:t>High Risk High Value</w:t>
      </w:r>
    </w:p>
    <w:p w14:paraId="4D163DC4" w14:textId="77777777" w:rsidR="00881BB1" w:rsidRPr="007853E2" w:rsidRDefault="00881BB1" w:rsidP="00881BB1">
      <w:pPr>
        <w:rPr>
          <w:b/>
        </w:rPr>
      </w:pPr>
    </w:p>
    <w:p w14:paraId="694C5B99" w14:textId="77777777" w:rsidR="00881BB1" w:rsidRDefault="00881BB1" w:rsidP="00881BB1">
      <w:r w:rsidRPr="007853E2">
        <w:rPr>
          <w:b/>
        </w:rPr>
        <w:t xml:space="preserve">IBAC </w:t>
      </w:r>
      <w:r w:rsidRPr="007853E2">
        <w:t xml:space="preserve">means </w:t>
      </w:r>
      <w:r w:rsidR="0001567F" w:rsidRPr="007853E2">
        <w:t>t</w:t>
      </w:r>
      <w:r w:rsidRPr="007853E2">
        <w:t>he Independent Broad-based Anti-corruption Commission</w:t>
      </w:r>
    </w:p>
    <w:p w14:paraId="3162DCCB" w14:textId="77777777" w:rsidR="00C54C06" w:rsidRDefault="00C54C06" w:rsidP="00881BB1"/>
    <w:p w14:paraId="38BD13EA" w14:textId="77777777" w:rsidR="00C54C06" w:rsidRPr="007853E2" w:rsidRDefault="001B5932" w:rsidP="00881BB1">
      <w:r w:rsidRPr="001B5932">
        <w:rPr>
          <w:b/>
        </w:rPr>
        <w:t>IPAA</w:t>
      </w:r>
      <w:r>
        <w:t xml:space="preserve"> means </w:t>
      </w:r>
      <w:r w:rsidR="00C54C06">
        <w:t>Public Administration A</w:t>
      </w:r>
      <w:r>
        <w:t>ustralia (Victoria)</w:t>
      </w:r>
    </w:p>
    <w:p w14:paraId="48B1CC60" w14:textId="77777777" w:rsidR="00881BB1" w:rsidRPr="007853E2" w:rsidRDefault="00881BB1" w:rsidP="00881BB1"/>
    <w:p w14:paraId="67FA6CF1" w14:textId="77777777" w:rsidR="00881BB1" w:rsidRPr="007853E2" w:rsidRDefault="00881BB1" w:rsidP="00881BB1">
      <w:r w:rsidRPr="007853E2">
        <w:rPr>
          <w:b/>
        </w:rPr>
        <w:t xml:space="preserve">Operation Dunham </w:t>
      </w:r>
      <w:r w:rsidRPr="007853E2">
        <w:t xml:space="preserve">means the IBAC investigation into allegations of corruption relating to the Department’s </w:t>
      </w:r>
      <w:proofErr w:type="spellStart"/>
      <w:proofErr w:type="gramStart"/>
      <w:r w:rsidRPr="007853E2">
        <w:t>Ultranet</w:t>
      </w:r>
      <w:proofErr w:type="spellEnd"/>
      <w:proofErr w:type="gramEnd"/>
      <w:r w:rsidRPr="007853E2">
        <w:t xml:space="preserve"> project.</w:t>
      </w:r>
    </w:p>
    <w:p w14:paraId="0D32533D" w14:textId="77777777" w:rsidR="00881BB1" w:rsidRPr="007853E2" w:rsidRDefault="00881BB1" w:rsidP="00881BB1"/>
    <w:p w14:paraId="5EAFFE09" w14:textId="77777777" w:rsidR="00881BB1" w:rsidRPr="007853E2" w:rsidRDefault="00881BB1" w:rsidP="00881BB1">
      <w:r w:rsidRPr="007853E2">
        <w:rPr>
          <w:b/>
        </w:rPr>
        <w:t xml:space="preserve">Operation Ord </w:t>
      </w:r>
      <w:r w:rsidRPr="007853E2">
        <w:t>means the IBAC investigation into the Department of Education, public hearings for which took place from 27 April to 30 June 2015.</w:t>
      </w:r>
    </w:p>
    <w:p w14:paraId="20B185EC" w14:textId="77777777" w:rsidR="00881BB1" w:rsidRPr="007853E2" w:rsidRDefault="00881BB1" w:rsidP="00881BB1"/>
    <w:p w14:paraId="556B82BA" w14:textId="77777777" w:rsidR="00881BB1" w:rsidRPr="007853E2" w:rsidRDefault="00881BB1" w:rsidP="00881BB1">
      <w:r w:rsidRPr="007853E2">
        <w:rPr>
          <w:b/>
        </w:rPr>
        <w:t xml:space="preserve">Oracle </w:t>
      </w:r>
      <w:r w:rsidRPr="007853E2">
        <w:t>means Oracle Corporation</w:t>
      </w:r>
    </w:p>
    <w:p w14:paraId="18830B2A" w14:textId="77777777" w:rsidR="00881BB1" w:rsidRPr="007853E2" w:rsidRDefault="00881BB1" w:rsidP="00881BB1"/>
    <w:p w14:paraId="76500BD1" w14:textId="77777777" w:rsidR="00881BB1" w:rsidRPr="007853E2" w:rsidRDefault="00881BB1" w:rsidP="00881BB1">
      <w:pPr>
        <w:rPr>
          <w:bCs/>
        </w:rPr>
      </w:pPr>
      <w:r w:rsidRPr="007853E2">
        <w:rPr>
          <w:b/>
          <w:bCs/>
        </w:rPr>
        <w:t xml:space="preserve">PMO </w:t>
      </w:r>
      <w:r w:rsidRPr="007853E2">
        <w:rPr>
          <w:bCs/>
        </w:rPr>
        <w:t xml:space="preserve">means Project Management Office </w:t>
      </w:r>
    </w:p>
    <w:p w14:paraId="77E24EA7" w14:textId="77777777" w:rsidR="00881BB1" w:rsidRPr="007853E2" w:rsidRDefault="00881BB1" w:rsidP="00881BB1">
      <w:pPr>
        <w:rPr>
          <w:b/>
          <w:bCs/>
        </w:rPr>
      </w:pPr>
    </w:p>
    <w:p w14:paraId="3FF05514" w14:textId="77777777" w:rsidR="00881BB1" w:rsidRPr="007853E2" w:rsidRDefault="00881BB1" w:rsidP="00881BB1">
      <w:r w:rsidRPr="007853E2">
        <w:rPr>
          <w:b/>
          <w:bCs/>
        </w:rPr>
        <w:t>PPC</w:t>
      </w:r>
      <w:r w:rsidRPr="007853E2">
        <w:rPr>
          <w:bCs/>
        </w:rPr>
        <w:t xml:space="preserve"> means the Procurement and Probity Committee</w:t>
      </w:r>
    </w:p>
    <w:p w14:paraId="01FCB636" w14:textId="77777777" w:rsidR="00881BB1" w:rsidRPr="007853E2" w:rsidRDefault="00881BB1" w:rsidP="00881BB1"/>
    <w:p w14:paraId="56E6F634" w14:textId="77777777" w:rsidR="00881BB1" w:rsidRPr="007853E2" w:rsidRDefault="00881BB1" w:rsidP="00881BB1">
      <w:r w:rsidRPr="007853E2">
        <w:rPr>
          <w:b/>
        </w:rPr>
        <w:t xml:space="preserve">SRO </w:t>
      </w:r>
      <w:r w:rsidRPr="007853E2">
        <w:t>means Senior Responsible Officer</w:t>
      </w:r>
    </w:p>
    <w:p w14:paraId="758018C2" w14:textId="77777777" w:rsidR="00881BB1" w:rsidRPr="007853E2" w:rsidRDefault="00881BB1" w:rsidP="00881BB1"/>
    <w:p w14:paraId="4E42C296" w14:textId="77777777" w:rsidR="00881BB1" w:rsidRPr="007853E2" w:rsidRDefault="00881BB1" w:rsidP="00881BB1">
      <w:r w:rsidRPr="007853E2">
        <w:rPr>
          <w:b/>
        </w:rPr>
        <w:t>VGPB</w:t>
      </w:r>
      <w:r w:rsidRPr="007853E2">
        <w:t xml:space="preserve"> means the Victorian Government Purchasing Board</w:t>
      </w:r>
    </w:p>
    <w:p w14:paraId="722FD4EC" w14:textId="77777777" w:rsidR="00881BB1" w:rsidRPr="007853E2" w:rsidRDefault="00881BB1" w:rsidP="00881BB1"/>
    <w:p w14:paraId="3008592C" w14:textId="77777777" w:rsidR="00881BB1" w:rsidRPr="007853E2" w:rsidRDefault="00881BB1" w:rsidP="00881BB1">
      <w:r w:rsidRPr="007853E2">
        <w:rPr>
          <w:b/>
        </w:rPr>
        <w:t>VPS</w:t>
      </w:r>
      <w:r w:rsidRPr="007853E2">
        <w:t xml:space="preserve"> means Victorian Public Service </w:t>
      </w:r>
    </w:p>
    <w:p w14:paraId="4B51B524" w14:textId="77777777" w:rsidR="00881BB1" w:rsidRPr="007853E2" w:rsidRDefault="00881BB1" w:rsidP="00881BB1"/>
    <w:p w14:paraId="189EFCD9" w14:textId="77777777" w:rsidR="00881BB1" w:rsidRPr="007853E2" w:rsidRDefault="00881BB1" w:rsidP="00881BB1">
      <w:r w:rsidRPr="007853E2">
        <w:rPr>
          <w:b/>
        </w:rPr>
        <w:t xml:space="preserve">VPSC </w:t>
      </w:r>
      <w:r w:rsidRPr="007853E2">
        <w:t>means Victorian Public Sector Commission</w:t>
      </w:r>
    </w:p>
    <w:p w14:paraId="2656D159" w14:textId="77777777" w:rsidR="00881BB1" w:rsidRPr="007853E2" w:rsidRDefault="00881BB1" w:rsidP="00881BB1"/>
    <w:p w14:paraId="6BAA05DE" w14:textId="77777777" w:rsidR="00A60E66" w:rsidRPr="00A60E66" w:rsidRDefault="00881BB1" w:rsidP="00F31348">
      <w:r w:rsidRPr="007853E2">
        <w:rPr>
          <w:b/>
        </w:rPr>
        <w:lastRenderedPageBreak/>
        <w:t>VSB</w:t>
      </w:r>
      <w:r w:rsidRPr="007853E2">
        <w:t xml:space="preserve"> means Victorian Secretaries Board</w:t>
      </w:r>
      <w:r w:rsidR="004C092A" w:rsidRPr="007853E2">
        <w:t>, comprised of the Secretaries of all Victorian Government Departments, together with the Chief Commissioner of Police and the Victorian Public Sector Commissioner. The VSB coordinates the sharing of information and ideas in response to strategic challenges, provides public-sector wide leadership and promotes collaboration, professionalism and integrity in public administration.</w:t>
      </w:r>
    </w:p>
    <w:sectPr w:rsidR="00A60E66" w:rsidRPr="00A60E66" w:rsidSect="0056493D">
      <w:headerReference w:type="first" r:id="rId22"/>
      <w:pgSz w:w="11907" w:h="16840" w:code="9"/>
      <w:pgMar w:top="851" w:right="1134" w:bottom="851" w:left="1701" w:header="624" w:footer="39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23AE7" w14:textId="77777777" w:rsidR="006E5B10" w:rsidRDefault="006E5B10">
      <w:r>
        <w:separator/>
      </w:r>
    </w:p>
    <w:p w14:paraId="20AA9DEA" w14:textId="77777777" w:rsidR="006E5B10" w:rsidRDefault="006E5B10"/>
  </w:endnote>
  <w:endnote w:type="continuationSeparator" w:id="0">
    <w:p w14:paraId="4C78E65C" w14:textId="77777777" w:rsidR="006E5B10" w:rsidRDefault="006E5B10">
      <w:r>
        <w:continuationSeparator/>
      </w:r>
    </w:p>
    <w:p w14:paraId="552A34C8" w14:textId="77777777" w:rsidR="006E5B10" w:rsidRDefault="006E5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18350" w14:textId="77777777" w:rsidR="00C54C06" w:rsidRPr="00673532" w:rsidRDefault="00C54C06" w:rsidP="00673532">
    <w:pPr>
      <w:pStyle w:val="Footer"/>
      <w:spacing w:before="0"/>
    </w:pPr>
  </w:p>
  <w:p w14:paraId="02F7783F" w14:textId="77777777" w:rsidR="00C54C06" w:rsidRPr="00673532" w:rsidRDefault="00C54C06" w:rsidP="00673532">
    <w:pPr>
      <w:pStyle w:val="Footer"/>
      <w:spacing w:before="0"/>
    </w:pPr>
    <w:r w:rsidRPr="00673532">
      <w:t>2349722_1\C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7729" w14:textId="77777777" w:rsidR="00C54C06" w:rsidRPr="00673532" w:rsidRDefault="00C54C06" w:rsidP="00673532">
    <w:pPr>
      <w:pStyle w:val="Footer"/>
      <w:spacing w:before="0"/>
    </w:pPr>
  </w:p>
  <w:p w14:paraId="63672C18" w14:textId="77777777" w:rsidR="00C54C06" w:rsidRPr="00673532" w:rsidRDefault="00C54C06" w:rsidP="00673532">
    <w:pPr>
      <w:pStyle w:val="Footer"/>
      <w:spacing w:before="0"/>
    </w:pPr>
    <w:r w:rsidRPr="00673532">
      <w:t>2349722_1\C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BF82D" w14:textId="77777777" w:rsidR="00C54C06" w:rsidRPr="00673532" w:rsidRDefault="00C54C06" w:rsidP="00673532">
    <w:pPr>
      <w:pStyle w:val="Footer"/>
      <w:spacing w:before="0"/>
    </w:pPr>
  </w:p>
  <w:p w14:paraId="336CA6E6" w14:textId="77777777" w:rsidR="00C54C06" w:rsidRPr="00673532" w:rsidRDefault="00C54C06" w:rsidP="00673532">
    <w:pPr>
      <w:pStyle w:val="Footer"/>
      <w:spacing w:befor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0936F6" w14:textId="77777777" w:rsidR="00C54C06" w:rsidRPr="0074638F" w:rsidRDefault="00C54C06" w:rsidP="00673532">
    <w:pPr>
      <w:pStyle w:val="Footer"/>
      <w:rPr>
        <w:rFonts w:ascii="Arial" w:hAnsi="Arial" w:cs="Arial"/>
      </w:rPr>
    </w:pPr>
    <w:r w:rsidRPr="0074638F">
      <w:rPr>
        <w:rFonts w:ascii="Arial" w:hAnsi="Arial" w:cs="Arial"/>
      </w:rPr>
      <w:t xml:space="preserve">Statement </w:t>
    </w:r>
    <w:r>
      <w:rPr>
        <w:rFonts w:ascii="Arial" w:hAnsi="Arial" w:cs="Arial"/>
      </w:rPr>
      <w:t xml:space="preserve">of the Secretary, </w:t>
    </w:r>
    <w:r w:rsidRPr="0074638F">
      <w:rPr>
        <w:rFonts w:ascii="Arial" w:hAnsi="Arial" w:cs="Arial"/>
      </w:rPr>
      <w:t>Gill Callister</w:t>
    </w:r>
    <w:r w:rsidRPr="0074638F">
      <w:rPr>
        <w:rFonts w:ascii="Arial" w:hAnsi="Arial" w:cs="Arial"/>
      </w:rPr>
      <w:tab/>
    </w:r>
  </w:p>
  <w:p w14:paraId="2D8E71C1" w14:textId="77777777" w:rsidR="00C54C06" w:rsidRPr="00673532" w:rsidRDefault="00C54C06" w:rsidP="00673532">
    <w:pPr>
      <w:pStyle w:val="Footer"/>
      <w:spacing w:befor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B98E" w14:textId="77777777" w:rsidR="00C54C06" w:rsidRPr="00673532" w:rsidRDefault="00C54C06" w:rsidP="00673532">
    <w:pPr>
      <w:pStyle w:val="Footer"/>
    </w:pPr>
    <w:r w:rsidRPr="00673532">
      <w:t>[</w:t>
    </w:r>
    <w:proofErr w:type="gramStart"/>
    <w:r w:rsidRPr="00673532">
      <w:t>date</w:t>
    </w:r>
    <w:proofErr w:type="gramEnd"/>
    <w:r w:rsidRPr="00673532">
      <w:t>]</w:t>
    </w:r>
    <w:r w:rsidRPr="00673532">
      <w:tab/>
      <w:t xml:space="preserve">Page </w:t>
    </w:r>
    <w:r w:rsidRPr="00673532">
      <w:fldChar w:fldCharType="begin"/>
    </w:r>
    <w:r w:rsidRPr="00673532">
      <w:instrText xml:space="preserve"> PAGE </w:instrText>
    </w:r>
    <w:r w:rsidRPr="00673532">
      <w:fldChar w:fldCharType="separate"/>
    </w:r>
    <w:r>
      <w:rPr>
        <w:noProof/>
      </w:rPr>
      <w:t>xliii</w:t>
    </w:r>
    <w:r w:rsidRPr="00673532">
      <w:fldChar w:fldCharType="end"/>
    </w:r>
    <w:r w:rsidRPr="00673532">
      <w:br/>
    </w:r>
    <w:r w:rsidRPr="00673532">
      <w:tab/>
      <w:t>Privileged and Confidential</w:t>
    </w:r>
  </w:p>
  <w:p w14:paraId="2FEB566D" w14:textId="77777777" w:rsidR="00C54C06" w:rsidRPr="00673532" w:rsidRDefault="00C54C06" w:rsidP="00673532">
    <w:pPr>
      <w:pStyle w:val="Footer"/>
      <w:spacing w:before="0"/>
    </w:pPr>
    <w:r w:rsidRPr="00673532">
      <w:t>2349722_1\C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B9E58" w14:textId="77777777" w:rsidR="006E5B10" w:rsidRDefault="006E5B10">
      <w:r>
        <w:separator/>
      </w:r>
    </w:p>
    <w:p w14:paraId="345679A0" w14:textId="77777777" w:rsidR="006E5B10" w:rsidRDefault="006E5B10"/>
  </w:footnote>
  <w:footnote w:type="continuationSeparator" w:id="0">
    <w:p w14:paraId="7484B914" w14:textId="77777777" w:rsidR="006E5B10" w:rsidRDefault="006E5B10">
      <w:r>
        <w:continuationSeparator/>
      </w:r>
    </w:p>
    <w:p w14:paraId="22BD18D2" w14:textId="77777777" w:rsidR="006E5B10" w:rsidRDefault="006E5B10"/>
  </w:footnote>
  <w:footnote w:id="1">
    <w:p w14:paraId="4B6E0123" w14:textId="77777777" w:rsidR="00C54C06" w:rsidRDefault="00C54C06">
      <w:pPr>
        <w:pStyle w:val="FootnoteText"/>
      </w:pPr>
      <w:r>
        <w:rPr>
          <w:rStyle w:val="FootnoteReference"/>
        </w:rPr>
        <w:footnoteRef/>
      </w:r>
      <w:r>
        <w:t xml:space="preserve"> A Red rating indicates “critical and urgent: action on recommendations should be taken immediately”. An Amber rating indicates “critical and not urgent: actions on recommendations should be carried out before further key decisions are taken”. </w:t>
      </w:r>
    </w:p>
  </w:footnote>
  <w:footnote w:id="2">
    <w:p w14:paraId="562E752E" w14:textId="77777777" w:rsidR="00C54C06" w:rsidRDefault="00C54C06" w:rsidP="00237F04">
      <w:pPr>
        <w:pStyle w:val="FootnoteText"/>
      </w:pPr>
      <w:r>
        <w:rPr>
          <w:rStyle w:val="FootnoteReference"/>
        </w:rPr>
        <w:footnoteRef/>
      </w:r>
      <w:r>
        <w:t xml:space="preserve"> Gateway Review 1: Strategic assessment; Gateway Review 2: Business case; Gateway Review 3: Readiness for market; Gateway Review 4: Tender decision;</w:t>
      </w:r>
      <w:r w:rsidRPr="00EA16AC">
        <w:t xml:space="preserve"> </w:t>
      </w:r>
      <w:r>
        <w:t>Gateway Review 5: Readiness for service; Gateway Review 6: Benefits evaluation.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BD15CE" w14:textId="77777777" w:rsidR="00C54C06" w:rsidRPr="005E6A70" w:rsidRDefault="00C54C06" w:rsidP="005E6A70">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56561" w14:textId="77777777" w:rsidR="00C54C06" w:rsidRDefault="00C54C06" w:rsidP="006C0AA4">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170B5" w14:textId="77777777" w:rsidR="00C54C06" w:rsidRDefault="00C54C0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CDBF5" w14:textId="77777777" w:rsidR="00C54C06" w:rsidRPr="006A1F3B" w:rsidRDefault="00C54C06" w:rsidP="006A1F3B">
    <w:pPr>
      <w:pStyle w:val="Header"/>
    </w:pPr>
    <w:r>
      <w:tab/>
      <w:t xml:space="preserve">Page </w:t>
    </w:r>
    <w:r>
      <w:rPr>
        <w:rStyle w:val="PageNumber"/>
      </w:rPr>
      <w:fldChar w:fldCharType="begin"/>
    </w:r>
    <w:r>
      <w:rPr>
        <w:rStyle w:val="PageNumber"/>
      </w:rPr>
      <w:instrText xml:space="preserve"> PAGE </w:instrText>
    </w:r>
    <w:r>
      <w:rPr>
        <w:rStyle w:val="PageNumber"/>
      </w:rPr>
      <w:fldChar w:fldCharType="separate"/>
    </w:r>
    <w:r w:rsidR="00FC3BC6">
      <w:rPr>
        <w:rStyle w:val="PageNumber"/>
        <w:noProof/>
      </w:rPr>
      <w:t>i</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42CD4" w14:textId="77777777" w:rsidR="00C54C06" w:rsidRPr="0056493D" w:rsidRDefault="00C54C06" w:rsidP="0056493D">
    <w:pPr>
      <w:pStyle w:val="Header"/>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384C80" w14:textId="77777777" w:rsidR="00C54C06" w:rsidRPr="00EB5A1C" w:rsidRDefault="00C54C06" w:rsidP="009F48E5">
    <w:pPr>
      <w:pStyle w:val="Header"/>
    </w:pPr>
    <w:r>
      <w:t>[</w:t>
    </w:r>
    <w:r w:rsidRPr="00807378">
      <w:rPr>
        <w:highlight w:val="yellow"/>
      </w:rPr>
      <w:t>Client Name</w:t>
    </w:r>
    <w:r>
      <w:t>] [</w:t>
    </w:r>
    <w:r w:rsidRPr="00807378">
      <w:rPr>
        <w:highlight w:val="yellow"/>
      </w:rPr>
      <w:t>Matter / Project Name</w:t>
    </w:r>
    <w:r>
      <w:t>]</w:t>
    </w:r>
    <w:r>
      <w:tab/>
      <w:t>[</w:t>
    </w:r>
    <w:r w:rsidRPr="00807378">
      <w:rPr>
        <w:highlight w:val="yellow"/>
      </w:rPr>
      <w:t>Issues / Discussion</w:t>
    </w:r>
    <w:r>
      <w:t>] Paper – [</w:t>
    </w:r>
    <w:r w:rsidRPr="00807378">
      <w:rPr>
        <w:highlight w:val="yellow"/>
      </w:rPr>
      <w:t>Subject</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6A5CF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D344AD0"/>
    <w:lvl w:ilvl="0">
      <w:start w:val="1"/>
      <w:numFmt w:val="decimal"/>
      <w:pStyle w:val="ListNumber4"/>
      <w:lvlText w:val="%1."/>
      <w:lvlJc w:val="left"/>
      <w:pPr>
        <w:tabs>
          <w:tab w:val="num" w:pos="1209"/>
        </w:tabs>
        <w:ind w:left="1209" w:hanging="360"/>
      </w:pPr>
    </w:lvl>
  </w:abstractNum>
  <w:abstractNum w:abstractNumId="2">
    <w:nsid w:val="FFFFFFFB"/>
    <w:multiLevelType w:val="multilevel"/>
    <w:tmpl w:val="C8F623D6"/>
    <w:styleLink w:val="MD2007111"/>
    <w:lvl w:ilvl="0">
      <w:start w:val="1"/>
      <w:numFmt w:val="decimal"/>
      <w:pStyle w:val="CBPNum1"/>
      <w:lvlText w:val="%1."/>
      <w:lvlJc w:val="left"/>
      <w:pPr>
        <w:tabs>
          <w:tab w:val="num" w:pos="1277"/>
        </w:tabs>
        <w:ind w:left="1277" w:hanging="709"/>
      </w:pPr>
      <w:rPr>
        <w:rFonts w:ascii="Arial" w:hAnsi="Arial" w:hint="default"/>
        <w:b w:val="0"/>
        <w:i w:val="0"/>
        <w:sz w:val="21"/>
      </w:rPr>
    </w:lvl>
    <w:lvl w:ilvl="1">
      <w:start w:val="1"/>
      <w:numFmt w:val="lowerLetter"/>
      <w:pStyle w:val="CBPNum2"/>
      <w:lvlText w:val="(%2)"/>
      <w:lvlJc w:val="left"/>
      <w:pPr>
        <w:tabs>
          <w:tab w:val="num" w:pos="2127"/>
        </w:tabs>
        <w:ind w:left="2127" w:hanging="709"/>
      </w:pPr>
      <w:rPr>
        <w:rFonts w:ascii="Arial" w:hAnsi="Arial" w:hint="default"/>
        <w:b w:val="0"/>
        <w:i w:val="0"/>
        <w:sz w:val="21"/>
      </w:rPr>
    </w:lvl>
    <w:lvl w:ilvl="2">
      <w:start w:val="1"/>
      <w:numFmt w:val="lowerRoman"/>
      <w:pStyle w:val="CBPNum3"/>
      <w:lvlText w:val="(%3)"/>
      <w:lvlJc w:val="left"/>
      <w:pPr>
        <w:tabs>
          <w:tab w:val="num" w:pos="2835"/>
        </w:tabs>
        <w:ind w:left="2835" w:hanging="708"/>
      </w:pPr>
      <w:rPr>
        <w:rFonts w:ascii="Arial" w:hAnsi="Arial" w:hint="default"/>
        <w:b w:val="0"/>
        <w:i w:val="0"/>
        <w:sz w:val="21"/>
      </w:rPr>
    </w:lvl>
    <w:lvl w:ilvl="3">
      <w:start w:val="1"/>
      <w:numFmt w:val="upperLetter"/>
      <w:pStyle w:val="CBPNum4"/>
      <w:lvlText w:val="%4."/>
      <w:lvlJc w:val="left"/>
      <w:pPr>
        <w:tabs>
          <w:tab w:val="num" w:pos="3544"/>
        </w:tabs>
        <w:ind w:left="3544" w:hanging="709"/>
      </w:pPr>
      <w:rPr>
        <w:rFonts w:hint="default"/>
        <w:b w:val="0"/>
        <w:i w:val="0"/>
        <w:sz w:val="21"/>
      </w:rPr>
    </w:lvl>
    <w:lvl w:ilvl="4">
      <w:start w:val="1"/>
      <w:numFmt w:val="decimal"/>
      <w:pStyle w:val="CBPNum5"/>
      <w:lvlText w:val="(%5)"/>
      <w:lvlJc w:val="left"/>
      <w:pPr>
        <w:tabs>
          <w:tab w:val="num" w:pos="4253"/>
        </w:tabs>
        <w:ind w:left="4253" w:hanging="709"/>
      </w:pPr>
      <w:rPr>
        <w:rFonts w:ascii="Arial" w:hAnsi="Arial" w:hint="default"/>
        <w:b w:val="0"/>
        <w:i w:val="0"/>
        <w:sz w:val="21"/>
      </w:rPr>
    </w:lvl>
    <w:lvl w:ilvl="5">
      <w:start w:val="1"/>
      <w:numFmt w:val="lowerRoman"/>
      <w:pStyle w:val="CBPNum6"/>
      <w:lvlText w:val="(%6)"/>
      <w:lvlJc w:val="left"/>
      <w:pPr>
        <w:tabs>
          <w:tab w:val="num" w:pos="4962"/>
        </w:tabs>
        <w:ind w:left="4962" w:hanging="709"/>
      </w:pPr>
      <w:rPr>
        <w:rFonts w:ascii="Arial" w:hAnsi="Arial" w:hint="default"/>
        <w:b w:val="0"/>
        <w:i w:val="0"/>
        <w:sz w:val="21"/>
      </w:rPr>
    </w:lvl>
    <w:lvl w:ilvl="6">
      <w:start w:val="1"/>
      <w:numFmt w:val="lowerRoman"/>
      <w:lvlText w:val="(%7)"/>
      <w:lvlJc w:val="left"/>
      <w:pPr>
        <w:tabs>
          <w:tab w:val="num" w:pos="709"/>
        </w:tabs>
        <w:ind w:left="5725" w:hanging="708"/>
      </w:pPr>
    </w:lvl>
    <w:lvl w:ilvl="7">
      <w:start w:val="1"/>
      <w:numFmt w:val="lowerLetter"/>
      <w:lvlText w:val="(%8)"/>
      <w:lvlJc w:val="left"/>
      <w:pPr>
        <w:tabs>
          <w:tab w:val="num" w:pos="709"/>
        </w:tabs>
        <w:ind w:left="6433" w:hanging="708"/>
      </w:pPr>
    </w:lvl>
    <w:lvl w:ilvl="8">
      <w:start w:val="1"/>
      <w:numFmt w:val="lowerRoman"/>
      <w:lvlText w:val="(%9)"/>
      <w:lvlJc w:val="left"/>
      <w:pPr>
        <w:tabs>
          <w:tab w:val="num" w:pos="709"/>
        </w:tabs>
        <w:ind w:left="7141" w:hanging="708"/>
      </w:pPr>
    </w:lvl>
  </w:abstractNum>
  <w:abstractNum w:abstractNumId="3">
    <w:nsid w:val="FFFFFFFE"/>
    <w:multiLevelType w:val="singleLevel"/>
    <w:tmpl w:val="3BF0ED7E"/>
    <w:lvl w:ilvl="0">
      <w:numFmt w:val="decimal"/>
      <w:pStyle w:val="ListBullet2"/>
      <w:lvlText w:val="*"/>
      <w:lvlJc w:val="left"/>
    </w:lvl>
  </w:abstractNum>
  <w:abstractNum w:abstractNumId="4">
    <w:nsid w:val="09570DFE"/>
    <w:multiLevelType w:val="multilevel"/>
    <w:tmpl w:val="106439F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lowerLetter"/>
      <w:pStyle w:val="LDStandard4"/>
      <w:lvlText w:val="(%4)"/>
      <w:lvlJc w:val="left"/>
      <w:pPr>
        <w:tabs>
          <w:tab w:val="num" w:pos="1701"/>
        </w:tabs>
        <w:ind w:left="1701" w:hanging="850"/>
      </w:pPr>
      <w:rPr>
        <w:rFonts w:hint="default"/>
      </w:rPr>
    </w:lvl>
    <w:lvl w:ilvl="4">
      <w:start w:val="1"/>
      <w:numFmt w:val="lowerRoman"/>
      <w:pStyle w:val="LDStandard5"/>
      <w:lvlText w:val="(%5)"/>
      <w:lvlJc w:val="left"/>
      <w:pPr>
        <w:tabs>
          <w:tab w:val="num" w:pos="2552"/>
        </w:tabs>
        <w:ind w:left="2552" w:hanging="851"/>
      </w:pPr>
      <w:rPr>
        <w:rFonts w:hint="default"/>
      </w:rPr>
    </w:lvl>
    <w:lvl w:ilvl="5">
      <w:start w:val="1"/>
      <w:numFmt w:val="upperLetter"/>
      <w:lvlText w:val="(%6)"/>
      <w:lvlJc w:val="left"/>
      <w:pPr>
        <w:tabs>
          <w:tab w:val="num" w:pos="3402"/>
        </w:tabs>
        <w:ind w:left="3402" w:hanging="850"/>
      </w:pPr>
      <w:rPr>
        <w:rFonts w:hint="default"/>
      </w:rPr>
    </w:lvl>
    <w:lvl w:ilvl="6">
      <w:start w:val="1"/>
      <w:numFmt w:val="upperRoman"/>
      <w:pStyle w:val="LDStandard7"/>
      <w:lvlText w:val="(%7)"/>
      <w:lvlJc w:val="left"/>
      <w:pPr>
        <w:tabs>
          <w:tab w:val="num" w:pos="4253"/>
        </w:tabs>
        <w:ind w:left="4253" w:hanging="85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E07604F"/>
    <w:multiLevelType w:val="hybridMultilevel"/>
    <w:tmpl w:val="EEB42BCC"/>
    <w:lvl w:ilvl="0" w:tplc="A802F86E">
      <w:start w:val="1"/>
      <w:numFmt w:val="bullet"/>
      <w:pStyle w:val="LDStandard6"/>
      <w:lvlText w:val=""/>
      <w:lvlJc w:val="left"/>
      <w:pPr>
        <w:ind w:left="3272" w:hanging="360"/>
      </w:pPr>
      <w:rPr>
        <w:rFonts w:ascii="Symbol" w:hAnsi="Symbol" w:hint="default"/>
      </w:rPr>
    </w:lvl>
    <w:lvl w:ilvl="1" w:tplc="0C090003" w:tentative="1">
      <w:start w:val="1"/>
      <w:numFmt w:val="bullet"/>
      <w:lvlText w:val="o"/>
      <w:lvlJc w:val="left"/>
      <w:pPr>
        <w:ind w:left="3992" w:hanging="360"/>
      </w:pPr>
      <w:rPr>
        <w:rFonts w:ascii="Courier New" w:hAnsi="Courier New" w:cs="Courier New" w:hint="default"/>
      </w:rPr>
    </w:lvl>
    <w:lvl w:ilvl="2" w:tplc="0C090005" w:tentative="1">
      <w:start w:val="1"/>
      <w:numFmt w:val="bullet"/>
      <w:lvlText w:val=""/>
      <w:lvlJc w:val="left"/>
      <w:pPr>
        <w:ind w:left="4712" w:hanging="360"/>
      </w:pPr>
      <w:rPr>
        <w:rFonts w:ascii="Wingdings" w:hAnsi="Wingdings" w:hint="default"/>
      </w:rPr>
    </w:lvl>
    <w:lvl w:ilvl="3" w:tplc="0C090001" w:tentative="1">
      <w:start w:val="1"/>
      <w:numFmt w:val="bullet"/>
      <w:lvlText w:val=""/>
      <w:lvlJc w:val="left"/>
      <w:pPr>
        <w:ind w:left="5432" w:hanging="360"/>
      </w:pPr>
      <w:rPr>
        <w:rFonts w:ascii="Symbol" w:hAnsi="Symbol" w:hint="default"/>
      </w:rPr>
    </w:lvl>
    <w:lvl w:ilvl="4" w:tplc="0C090003" w:tentative="1">
      <w:start w:val="1"/>
      <w:numFmt w:val="bullet"/>
      <w:lvlText w:val="o"/>
      <w:lvlJc w:val="left"/>
      <w:pPr>
        <w:ind w:left="6152" w:hanging="360"/>
      </w:pPr>
      <w:rPr>
        <w:rFonts w:ascii="Courier New" w:hAnsi="Courier New" w:cs="Courier New" w:hint="default"/>
      </w:rPr>
    </w:lvl>
    <w:lvl w:ilvl="5" w:tplc="0C090005" w:tentative="1">
      <w:start w:val="1"/>
      <w:numFmt w:val="bullet"/>
      <w:lvlText w:val=""/>
      <w:lvlJc w:val="left"/>
      <w:pPr>
        <w:ind w:left="6872" w:hanging="360"/>
      </w:pPr>
      <w:rPr>
        <w:rFonts w:ascii="Wingdings" w:hAnsi="Wingdings" w:hint="default"/>
      </w:rPr>
    </w:lvl>
    <w:lvl w:ilvl="6" w:tplc="0C090001" w:tentative="1">
      <w:start w:val="1"/>
      <w:numFmt w:val="bullet"/>
      <w:lvlText w:val=""/>
      <w:lvlJc w:val="left"/>
      <w:pPr>
        <w:ind w:left="7592" w:hanging="360"/>
      </w:pPr>
      <w:rPr>
        <w:rFonts w:ascii="Symbol" w:hAnsi="Symbol" w:hint="default"/>
      </w:rPr>
    </w:lvl>
    <w:lvl w:ilvl="7" w:tplc="0C090003" w:tentative="1">
      <w:start w:val="1"/>
      <w:numFmt w:val="bullet"/>
      <w:lvlText w:val="o"/>
      <w:lvlJc w:val="left"/>
      <w:pPr>
        <w:ind w:left="8312" w:hanging="360"/>
      </w:pPr>
      <w:rPr>
        <w:rFonts w:ascii="Courier New" w:hAnsi="Courier New" w:cs="Courier New" w:hint="default"/>
      </w:rPr>
    </w:lvl>
    <w:lvl w:ilvl="8" w:tplc="0C090005" w:tentative="1">
      <w:start w:val="1"/>
      <w:numFmt w:val="bullet"/>
      <w:lvlText w:val=""/>
      <w:lvlJc w:val="left"/>
      <w:pPr>
        <w:ind w:left="9032" w:hanging="360"/>
      </w:pPr>
      <w:rPr>
        <w:rFonts w:ascii="Wingdings" w:hAnsi="Wingdings" w:hint="default"/>
      </w:rPr>
    </w:lvl>
  </w:abstractNum>
  <w:abstractNum w:abstractNumId="6">
    <w:nsid w:val="0E72652F"/>
    <w:multiLevelType w:val="multilevel"/>
    <w:tmpl w:val="381871AC"/>
    <w:styleLink w:val="DeedHeading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851" w:hanging="851"/>
      </w:pPr>
      <w:rPr>
        <w:rFonts w:hint="default"/>
      </w:rPr>
    </w:lvl>
    <w:lvl w:ilvl="2">
      <w:start w:val="1"/>
      <w:numFmt w:val="lowerLetter"/>
      <w:pStyle w:val="Heading3"/>
      <w:lvlText w:val="(%3)"/>
      <w:lvlJc w:val="left"/>
      <w:pPr>
        <w:ind w:left="1701" w:hanging="850"/>
      </w:pPr>
      <w:rPr>
        <w:rFonts w:hint="default"/>
      </w:rPr>
    </w:lvl>
    <w:lvl w:ilvl="3">
      <w:start w:val="1"/>
      <w:numFmt w:val="lowerRoman"/>
      <w:pStyle w:val="Heading4"/>
      <w:lvlText w:val="(%4)"/>
      <w:lvlJc w:val="left"/>
      <w:pPr>
        <w:tabs>
          <w:tab w:val="num" w:pos="1701"/>
        </w:tabs>
        <w:ind w:left="2552" w:hanging="851"/>
      </w:pPr>
      <w:rPr>
        <w:rFonts w:hint="default"/>
      </w:rPr>
    </w:lvl>
    <w:lvl w:ilvl="4">
      <w:start w:val="1"/>
      <w:numFmt w:val="upperLetter"/>
      <w:pStyle w:val="Heading5"/>
      <w:lvlText w:val="(%5)"/>
      <w:lvlJc w:val="left"/>
      <w:pPr>
        <w:tabs>
          <w:tab w:val="num" w:pos="2552"/>
        </w:tabs>
        <w:ind w:left="3402" w:hanging="850"/>
      </w:pPr>
      <w:rPr>
        <w:rFonts w:hint="default"/>
      </w:rPr>
    </w:lvl>
    <w:lvl w:ilvl="5">
      <w:start w:val="1"/>
      <w:numFmt w:val="upperRoman"/>
      <w:pStyle w:val="Heading6"/>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0EE81A68"/>
    <w:multiLevelType w:val="multilevel"/>
    <w:tmpl w:val="011E4480"/>
    <w:styleLink w:val="DeedRecitals"/>
    <w:lvl w:ilvl="0">
      <w:start w:val="1"/>
      <w:numFmt w:val="upperLetter"/>
      <w:pStyle w:val="RecitalNo"/>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46F090B"/>
    <w:multiLevelType w:val="multilevel"/>
    <w:tmpl w:val="5DB2EAEA"/>
    <w:styleLink w:val="VGSOStandardBullets"/>
    <w:lvl w:ilvl="0">
      <w:start w:val="1"/>
      <w:numFmt w:val="bullet"/>
      <w:pStyle w:val="LDStandardBulletedList"/>
      <w:lvlText w:val=""/>
      <w:lvlJc w:val="left"/>
      <w:pPr>
        <w:ind w:left="851" w:hanging="851"/>
      </w:pPr>
      <w:rPr>
        <w:rFonts w:ascii="Symbol" w:hAnsi="Symbol" w:hint="default"/>
        <w:color w:val="auto"/>
      </w:rPr>
    </w:lvl>
    <w:lvl w:ilvl="1">
      <w:start w:val="1"/>
      <w:numFmt w:val="bullet"/>
      <w:pStyle w:val="LDStandardBulletedList1"/>
      <w:lvlText w:val=""/>
      <w:lvlJc w:val="left"/>
      <w:pPr>
        <w:ind w:left="1702" w:hanging="851"/>
      </w:pPr>
      <w:rPr>
        <w:rFonts w:ascii="Symbol" w:hAnsi="Symbol" w:hint="default"/>
        <w:color w:val="auto"/>
      </w:rPr>
    </w:lvl>
    <w:lvl w:ilvl="2">
      <w:start w:val="1"/>
      <w:numFmt w:val="bullet"/>
      <w:pStyle w:val="LDStandardBulletedList2"/>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9">
    <w:nsid w:val="164E73BF"/>
    <w:multiLevelType w:val="hybridMultilevel"/>
    <w:tmpl w:val="A7BA02E6"/>
    <w:lvl w:ilvl="0" w:tplc="4C8274F8">
      <w:start w:val="1"/>
      <w:numFmt w:val="upperLetter"/>
      <w:lvlText w:val="%1."/>
      <w:lvlJc w:val="left"/>
      <w:pPr>
        <w:ind w:left="1220" w:hanging="8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DB2462"/>
    <w:multiLevelType w:val="multilevel"/>
    <w:tmpl w:val="8C74B3B8"/>
    <w:numStyleLink w:val="IPSummary"/>
  </w:abstractNum>
  <w:abstractNum w:abstractNumId="11">
    <w:nsid w:val="28E80E6D"/>
    <w:multiLevelType w:val="multilevel"/>
    <w:tmpl w:val="9C4C81AE"/>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12">
    <w:nsid w:val="37102802"/>
    <w:multiLevelType w:val="multilevel"/>
    <w:tmpl w:val="106439F8"/>
    <w:numStyleLink w:val="LDStandardList"/>
  </w:abstractNum>
  <w:abstractNum w:abstractNumId="13">
    <w:nsid w:val="3E840011"/>
    <w:multiLevelType w:val="multilevel"/>
    <w:tmpl w:val="267264DA"/>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14">
    <w:nsid w:val="7B8739DE"/>
    <w:multiLevelType w:val="multilevel"/>
    <w:tmpl w:val="8C74B3B8"/>
    <w:styleLink w:val="IPSummary"/>
    <w:lvl w:ilvl="0">
      <w:start w:val="1"/>
      <w:numFmt w:val="none"/>
      <w:pStyle w:val="SumHead"/>
      <w:suff w:val="nothing"/>
      <w:lvlText w:val=""/>
      <w:lvlJc w:val="left"/>
      <w:pPr>
        <w:ind w:left="0" w:firstLine="0"/>
      </w:pPr>
      <w:rPr>
        <w:rFonts w:ascii="Arial Bold" w:hAnsi="Arial Bold" w:hint="default"/>
        <w:b/>
        <w:i/>
        <w:sz w:val="24"/>
      </w:rPr>
    </w:lvl>
    <w:lvl w:ilvl="1">
      <w:start w:val="1"/>
      <w:numFmt w:val="decimal"/>
      <w:pStyle w:val="Sum1"/>
      <w:lvlText w:val="%1%2."/>
      <w:lvlJc w:val="left"/>
      <w:pPr>
        <w:tabs>
          <w:tab w:val="num" w:pos="851"/>
        </w:tabs>
        <w:ind w:left="851" w:hanging="851"/>
      </w:pPr>
      <w:rPr>
        <w:rFonts w:ascii="Arial" w:hAnsi="Arial" w:hint="default"/>
        <w:b w:val="0"/>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3"/>
  </w:num>
  <w:num w:numId="3">
    <w:abstractNumId w:val="11"/>
  </w:num>
  <w:num w:numId="4">
    <w:abstractNumId w:val="7"/>
  </w:num>
  <w:num w:numId="5">
    <w:abstractNumId w:val="7"/>
  </w:num>
  <w:num w:numId="6">
    <w:abstractNumId w:val="14"/>
  </w:num>
  <w:num w:numId="7">
    <w:abstractNumId w:val="6"/>
  </w:num>
  <w:num w:numId="8">
    <w:abstractNumId w:val="10"/>
    <w:lvlOverride w:ilvl="1">
      <w:lvl w:ilvl="1">
        <w:start w:val="1"/>
        <w:numFmt w:val="decimal"/>
        <w:pStyle w:val="Sum1"/>
        <w:lvlText w:val="%1%2."/>
        <w:lvlJc w:val="left"/>
        <w:pPr>
          <w:tabs>
            <w:tab w:val="num" w:pos="851"/>
          </w:tabs>
          <w:ind w:left="851" w:hanging="851"/>
        </w:pPr>
        <w:rPr>
          <w:rFonts w:ascii="Arial" w:hAnsi="Arial" w:hint="default"/>
          <w:b w:val="0"/>
          <w:i w:val="0"/>
          <w:sz w:val="22"/>
        </w:rPr>
      </w:lvl>
    </w:lvlOverride>
  </w:num>
  <w:num w:numId="9">
    <w:abstractNumId w:val="4"/>
  </w:num>
  <w:num w:numId="10">
    <w:abstractNumId w:val="8"/>
  </w:num>
  <w:num w:numId="11">
    <w:abstractNumId w:val="1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val="0"/>
          <w:i w:val="0"/>
          <w:color w:val="auto"/>
        </w:rPr>
      </w:lvl>
    </w:lvlOverride>
    <w:lvlOverride w:ilvl="2">
      <w:lvl w:ilvl="2">
        <w:start w:val="1"/>
        <w:numFmt w:val="decimal"/>
        <w:lvlText w:val="%2.%3"/>
        <w:lvlJc w:val="left"/>
        <w:pPr>
          <w:tabs>
            <w:tab w:val="num" w:pos="851"/>
          </w:tabs>
          <w:ind w:left="851"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b w:val="0"/>
          <w:i w:val="0"/>
        </w:rPr>
      </w:lvl>
    </w:lvlOverride>
    <w:lvlOverride w:ilvl="4">
      <w:lvl w:ilvl="4">
        <w:start w:val="1"/>
        <w:numFmt w:val="lowerRoman"/>
        <w:pStyle w:val="LDStandard5"/>
        <w:lvlText w:val="(%5)"/>
        <w:lvlJc w:val="left"/>
        <w:pPr>
          <w:tabs>
            <w:tab w:val="num" w:pos="2552"/>
          </w:tabs>
          <w:ind w:left="2552" w:hanging="851"/>
        </w:pPr>
        <w:rPr>
          <w:rFonts w:hint="default"/>
          <w:b w:val="0"/>
          <w:i w:val="0"/>
        </w:rPr>
      </w:lvl>
    </w:lvlOverride>
    <w:lvlOverride w:ilvl="5">
      <w:lvl w:ilvl="5">
        <w:start w:val="1"/>
        <w:numFmt w:val="upperLetter"/>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abstractNumId w:val="5"/>
  </w:num>
  <w:num w:numId="13">
    <w:abstractNumId w:val="2"/>
  </w:num>
  <w:num w:numId="14">
    <w:abstractNumId w:val="3"/>
    <w:lvlOverride w:ilvl="0">
      <w:lvl w:ilvl="0">
        <w:start w:val="1"/>
        <w:numFmt w:val="bullet"/>
        <w:pStyle w:val="ListBullet2"/>
        <w:lvlText w:val=""/>
        <w:legacy w:legacy="1" w:legacySpace="0" w:legacyIndent="283"/>
        <w:lvlJc w:val="left"/>
        <w:pPr>
          <w:ind w:left="1003" w:hanging="283"/>
        </w:pPr>
        <w:rPr>
          <w:rFonts w:ascii="Symbol" w:hAnsi="Symbol" w:hint="default"/>
        </w:rPr>
      </w:lvl>
    </w:lvlOverride>
  </w:num>
  <w:num w:numId="15">
    <w:abstractNumId w:val="1"/>
  </w:num>
  <w:num w:numId="16">
    <w:abstractNumId w:val="1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b w:val="0"/>
          <w:i w:val="0"/>
          <w:color w:val="auto"/>
          <w:sz w:val="22"/>
          <w:szCs w:val="22"/>
        </w:rPr>
      </w:lvl>
    </w:lvlOverride>
    <w:lvlOverride w:ilvl="2">
      <w:lvl w:ilvl="2">
        <w:start w:val="1"/>
        <w:numFmt w:val="decimal"/>
        <w:lvlText w:val="%2.%3"/>
        <w:lvlJc w:val="left"/>
        <w:pPr>
          <w:tabs>
            <w:tab w:val="num" w:pos="851"/>
          </w:tabs>
          <w:ind w:left="851"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b w:val="0"/>
          <w:i w:val="0"/>
        </w:rPr>
      </w:lvl>
    </w:lvlOverride>
    <w:lvlOverride w:ilvl="4">
      <w:lvl w:ilvl="4">
        <w:start w:val="1"/>
        <w:numFmt w:val="lowerRoman"/>
        <w:pStyle w:val="LDStandard5"/>
        <w:lvlText w:val="(%5)"/>
        <w:lvlJc w:val="left"/>
        <w:pPr>
          <w:tabs>
            <w:tab w:val="num" w:pos="2552"/>
          </w:tabs>
          <w:ind w:left="2552" w:hanging="851"/>
        </w:pPr>
        <w:rPr>
          <w:rFonts w:hint="default"/>
          <w:b w:val="0"/>
        </w:rPr>
      </w:lvl>
    </w:lvlOverride>
    <w:lvlOverride w:ilvl="5">
      <w:lvl w:ilvl="5">
        <w:start w:val="1"/>
        <w:numFmt w:val="upperLetter"/>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7">
    <w:abstractNumId w:val="9"/>
  </w:num>
  <w:num w:numId="18">
    <w:abstractNumId w:val="12"/>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4821"/>
          </w:tabs>
          <w:ind w:left="4821" w:hanging="851"/>
        </w:pPr>
        <w:rPr>
          <w:rFonts w:hint="default"/>
          <w:i w:val="0"/>
          <w:color w:val="auto"/>
        </w:rPr>
      </w:lvl>
    </w:lvlOverride>
    <w:lvlOverride w:ilvl="2">
      <w:lvl w:ilvl="2">
        <w:start w:val="1"/>
        <w:numFmt w:val="decimal"/>
        <w:lvlText w:val="%2.%3"/>
        <w:lvlJc w:val="left"/>
        <w:pPr>
          <w:tabs>
            <w:tab w:val="num" w:pos="851"/>
          </w:tabs>
          <w:ind w:left="851" w:hanging="851"/>
        </w:pPr>
        <w:rPr>
          <w:rFonts w:hint="default"/>
        </w:rPr>
      </w:lvl>
    </w:lvlOverride>
    <w:lvlOverride w:ilvl="3">
      <w:lvl w:ilvl="3">
        <w:start w:val="1"/>
        <w:numFmt w:val="lowerLetter"/>
        <w:pStyle w:val="LDStandard4"/>
        <w:lvlText w:val="(%4)"/>
        <w:lvlJc w:val="left"/>
        <w:pPr>
          <w:tabs>
            <w:tab w:val="num" w:pos="1701"/>
          </w:tabs>
          <w:ind w:left="1701" w:hanging="850"/>
        </w:pPr>
        <w:rPr>
          <w:rFonts w:hint="default"/>
        </w:rPr>
      </w:lvl>
    </w:lvlOverride>
    <w:lvlOverride w:ilvl="4">
      <w:lvl w:ilvl="4">
        <w:start w:val="1"/>
        <w:numFmt w:val="lowerRoman"/>
        <w:pStyle w:val="LDStandard5"/>
        <w:lvlText w:val="(%5)"/>
        <w:lvlJc w:val="left"/>
        <w:pPr>
          <w:tabs>
            <w:tab w:val="num" w:pos="2552"/>
          </w:tabs>
          <w:ind w:left="2552" w:hanging="851"/>
        </w:pPr>
        <w:rPr>
          <w:rFonts w:hint="default"/>
        </w:rPr>
      </w:lvl>
    </w:lvlOverride>
    <w:lvlOverride w:ilvl="5">
      <w:lvl w:ilvl="5">
        <w:start w:val="1"/>
        <w:numFmt w:val="upperLetter"/>
        <w:lvlText w:val="(%6)"/>
        <w:lvlJc w:val="left"/>
        <w:pPr>
          <w:tabs>
            <w:tab w:val="num" w:pos="3402"/>
          </w:tabs>
          <w:ind w:left="3402" w:hanging="850"/>
        </w:pPr>
        <w:rPr>
          <w:rFonts w:hint="default"/>
        </w:rPr>
      </w:lvl>
    </w:lvlOverride>
    <w:lvlOverride w:ilvl="6">
      <w:lvl w:ilvl="6">
        <w:start w:val="1"/>
        <w:numFmt w:val="upperRoman"/>
        <w:pStyle w:val="LDStandard7"/>
        <w:lvlText w:val="(%7)"/>
        <w:lvlJc w:val="left"/>
        <w:pPr>
          <w:tabs>
            <w:tab w:val="num" w:pos="4253"/>
          </w:tabs>
          <w:ind w:left="4253" w:hanging="851"/>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85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66"/>
    <w:rsid w:val="00000160"/>
    <w:rsid w:val="000004D8"/>
    <w:rsid w:val="00000F6B"/>
    <w:rsid w:val="000028FD"/>
    <w:rsid w:val="000036AD"/>
    <w:rsid w:val="00003C8B"/>
    <w:rsid w:val="00003E85"/>
    <w:rsid w:val="000042DA"/>
    <w:rsid w:val="00004E63"/>
    <w:rsid w:val="00005686"/>
    <w:rsid w:val="00005689"/>
    <w:rsid w:val="00007355"/>
    <w:rsid w:val="0001231C"/>
    <w:rsid w:val="00014295"/>
    <w:rsid w:val="0001463D"/>
    <w:rsid w:val="00014E9C"/>
    <w:rsid w:val="00014ED0"/>
    <w:rsid w:val="0001567F"/>
    <w:rsid w:val="00015BE8"/>
    <w:rsid w:val="00015F5F"/>
    <w:rsid w:val="0002038B"/>
    <w:rsid w:val="00020D51"/>
    <w:rsid w:val="00023333"/>
    <w:rsid w:val="000242F6"/>
    <w:rsid w:val="00024591"/>
    <w:rsid w:val="00024791"/>
    <w:rsid w:val="00025478"/>
    <w:rsid w:val="00030D82"/>
    <w:rsid w:val="00030EEE"/>
    <w:rsid w:val="00031309"/>
    <w:rsid w:val="00032A7C"/>
    <w:rsid w:val="000334B0"/>
    <w:rsid w:val="00033A24"/>
    <w:rsid w:val="00033B32"/>
    <w:rsid w:val="00033B5C"/>
    <w:rsid w:val="00033C7C"/>
    <w:rsid w:val="00033FB9"/>
    <w:rsid w:val="000347F1"/>
    <w:rsid w:val="0003529B"/>
    <w:rsid w:val="00035B2C"/>
    <w:rsid w:val="000364F3"/>
    <w:rsid w:val="00036FDD"/>
    <w:rsid w:val="00037C1B"/>
    <w:rsid w:val="00040A83"/>
    <w:rsid w:val="00041830"/>
    <w:rsid w:val="00042290"/>
    <w:rsid w:val="00042CBB"/>
    <w:rsid w:val="00043EB2"/>
    <w:rsid w:val="0004457F"/>
    <w:rsid w:val="00045DA8"/>
    <w:rsid w:val="00045F9A"/>
    <w:rsid w:val="000465A0"/>
    <w:rsid w:val="0004667F"/>
    <w:rsid w:val="00046844"/>
    <w:rsid w:val="00046BD7"/>
    <w:rsid w:val="0004706B"/>
    <w:rsid w:val="000475A1"/>
    <w:rsid w:val="000501B5"/>
    <w:rsid w:val="00050FEF"/>
    <w:rsid w:val="000518B0"/>
    <w:rsid w:val="00053DCA"/>
    <w:rsid w:val="00054580"/>
    <w:rsid w:val="0005504A"/>
    <w:rsid w:val="00055114"/>
    <w:rsid w:val="00055EBA"/>
    <w:rsid w:val="000562FC"/>
    <w:rsid w:val="000606BA"/>
    <w:rsid w:val="00061548"/>
    <w:rsid w:val="00061706"/>
    <w:rsid w:val="0006260F"/>
    <w:rsid w:val="00063A7E"/>
    <w:rsid w:val="00065FA1"/>
    <w:rsid w:val="00066508"/>
    <w:rsid w:val="00067E3C"/>
    <w:rsid w:val="000709A4"/>
    <w:rsid w:val="00071518"/>
    <w:rsid w:val="00071A89"/>
    <w:rsid w:val="0007214B"/>
    <w:rsid w:val="000738A5"/>
    <w:rsid w:val="0007480A"/>
    <w:rsid w:val="00074A11"/>
    <w:rsid w:val="0007580A"/>
    <w:rsid w:val="00075F08"/>
    <w:rsid w:val="00076CE0"/>
    <w:rsid w:val="00077801"/>
    <w:rsid w:val="0008039C"/>
    <w:rsid w:val="000804ED"/>
    <w:rsid w:val="00080C9C"/>
    <w:rsid w:val="00082C71"/>
    <w:rsid w:val="00082CDD"/>
    <w:rsid w:val="0008544C"/>
    <w:rsid w:val="0008554A"/>
    <w:rsid w:val="000863AB"/>
    <w:rsid w:val="000911A5"/>
    <w:rsid w:val="00091C56"/>
    <w:rsid w:val="000920CF"/>
    <w:rsid w:val="000926CF"/>
    <w:rsid w:val="00092BF7"/>
    <w:rsid w:val="00094400"/>
    <w:rsid w:val="00094A25"/>
    <w:rsid w:val="00095175"/>
    <w:rsid w:val="00097334"/>
    <w:rsid w:val="000A066C"/>
    <w:rsid w:val="000A0B08"/>
    <w:rsid w:val="000A0B48"/>
    <w:rsid w:val="000A164C"/>
    <w:rsid w:val="000A2BA6"/>
    <w:rsid w:val="000A405D"/>
    <w:rsid w:val="000A4517"/>
    <w:rsid w:val="000A46A1"/>
    <w:rsid w:val="000A52FA"/>
    <w:rsid w:val="000A5976"/>
    <w:rsid w:val="000A6CBA"/>
    <w:rsid w:val="000A754E"/>
    <w:rsid w:val="000A78C2"/>
    <w:rsid w:val="000A7A26"/>
    <w:rsid w:val="000A7AB2"/>
    <w:rsid w:val="000B136B"/>
    <w:rsid w:val="000B1716"/>
    <w:rsid w:val="000B17C3"/>
    <w:rsid w:val="000B1881"/>
    <w:rsid w:val="000B1A42"/>
    <w:rsid w:val="000B1ACF"/>
    <w:rsid w:val="000B1DEC"/>
    <w:rsid w:val="000B34A6"/>
    <w:rsid w:val="000B499E"/>
    <w:rsid w:val="000B4ED1"/>
    <w:rsid w:val="000B50EF"/>
    <w:rsid w:val="000B54DF"/>
    <w:rsid w:val="000B5B75"/>
    <w:rsid w:val="000B62E2"/>
    <w:rsid w:val="000B7199"/>
    <w:rsid w:val="000B73C4"/>
    <w:rsid w:val="000B7E32"/>
    <w:rsid w:val="000C0166"/>
    <w:rsid w:val="000C186A"/>
    <w:rsid w:val="000C1DA3"/>
    <w:rsid w:val="000C220C"/>
    <w:rsid w:val="000C32E5"/>
    <w:rsid w:val="000C474D"/>
    <w:rsid w:val="000C57EF"/>
    <w:rsid w:val="000C5B6C"/>
    <w:rsid w:val="000C6BDB"/>
    <w:rsid w:val="000D0595"/>
    <w:rsid w:val="000D0C0E"/>
    <w:rsid w:val="000D13E0"/>
    <w:rsid w:val="000D1536"/>
    <w:rsid w:val="000D1849"/>
    <w:rsid w:val="000D197C"/>
    <w:rsid w:val="000D58B5"/>
    <w:rsid w:val="000D5A43"/>
    <w:rsid w:val="000D5C0D"/>
    <w:rsid w:val="000D5D79"/>
    <w:rsid w:val="000D6727"/>
    <w:rsid w:val="000D72D0"/>
    <w:rsid w:val="000D74D9"/>
    <w:rsid w:val="000E0053"/>
    <w:rsid w:val="000E01A0"/>
    <w:rsid w:val="000E08D1"/>
    <w:rsid w:val="000E0C65"/>
    <w:rsid w:val="000E1DB0"/>
    <w:rsid w:val="000E1ECE"/>
    <w:rsid w:val="000E2021"/>
    <w:rsid w:val="000E23C0"/>
    <w:rsid w:val="000E2DFE"/>
    <w:rsid w:val="000E3BB4"/>
    <w:rsid w:val="000E440D"/>
    <w:rsid w:val="000E5739"/>
    <w:rsid w:val="000E61DC"/>
    <w:rsid w:val="000E67F3"/>
    <w:rsid w:val="000E72D0"/>
    <w:rsid w:val="000F0B34"/>
    <w:rsid w:val="000F0E10"/>
    <w:rsid w:val="000F1521"/>
    <w:rsid w:val="000F1609"/>
    <w:rsid w:val="000F1E28"/>
    <w:rsid w:val="000F1ECA"/>
    <w:rsid w:val="000F5148"/>
    <w:rsid w:val="000F5472"/>
    <w:rsid w:val="000F61A2"/>
    <w:rsid w:val="000F671B"/>
    <w:rsid w:val="000F74EF"/>
    <w:rsid w:val="000F7854"/>
    <w:rsid w:val="000F7F07"/>
    <w:rsid w:val="000F7FB9"/>
    <w:rsid w:val="0010017F"/>
    <w:rsid w:val="00100A35"/>
    <w:rsid w:val="00102212"/>
    <w:rsid w:val="001037DB"/>
    <w:rsid w:val="00104B73"/>
    <w:rsid w:val="00104DD4"/>
    <w:rsid w:val="00107C1D"/>
    <w:rsid w:val="00107EB4"/>
    <w:rsid w:val="00110540"/>
    <w:rsid w:val="0011055C"/>
    <w:rsid w:val="00110DF4"/>
    <w:rsid w:val="0011195A"/>
    <w:rsid w:val="001124FF"/>
    <w:rsid w:val="00112597"/>
    <w:rsid w:val="00113652"/>
    <w:rsid w:val="00113F2D"/>
    <w:rsid w:val="001166FD"/>
    <w:rsid w:val="00117779"/>
    <w:rsid w:val="00117942"/>
    <w:rsid w:val="00120571"/>
    <w:rsid w:val="00120FE2"/>
    <w:rsid w:val="001210D1"/>
    <w:rsid w:val="001212E3"/>
    <w:rsid w:val="00121A96"/>
    <w:rsid w:val="00121ACB"/>
    <w:rsid w:val="0012297A"/>
    <w:rsid w:val="00123946"/>
    <w:rsid w:val="001242DA"/>
    <w:rsid w:val="001243E0"/>
    <w:rsid w:val="0012644A"/>
    <w:rsid w:val="00126DCE"/>
    <w:rsid w:val="001272A9"/>
    <w:rsid w:val="00130010"/>
    <w:rsid w:val="0013002B"/>
    <w:rsid w:val="0013078D"/>
    <w:rsid w:val="00132683"/>
    <w:rsid w:val="00132962"/>
    <w:rsid w:val="00132F42"/>
    <w:rsid w:val="0013364E"/>
    <w:rsid w:val="00133EF8"/>
    <w:rsid w:val="00135110"/>
    <w:rsid w:val="001354D6"/>
    <w:rsid w:val="00140234"/>
    <w:rsid w:val="0014071F"/>
    <w:rsid w:val="00140EB0"/>
    <w:rsid w:val="00141B7F"/>
    <w:rsid w:val="00142077"/>
    <w:rsid w:val="0014214D"/>
    <w:rsid w:val="00144214"/>
    <w:rsid w:val="00145124"/>
    <w:rsid w:val="00145F88"/>
    <w:rsid w:val="00146C92"/>
    <w:rsid w:val="001477A8"/>
    <w:rsid w:val="00147ECC"/>
    <w:rsid w:val="00153116"/>
    <w:rsid w:val="00153422"/>
    <w:rsid w:val="00153D78"/>
    <w:rsid w:val="00154032"/>
    <w:rsid w:val="00154308"/>
    <w:rsid w:val="00155B10"/>
    <w:rsid w:val="00157116"/>
    <w:rsid w:val="001578F9"/>
    <w:rsid w:val="00161625"/>
    <w:rsid w:val="00161A0B"/>
    <w:rsid w:val="0016276B"/>
    <w:rsid w:val="0016286C"/>
    <w:rsid w:val="001628D4"/>
    <w:rsid w:val="00162A5D"/>
    <w:rsid w:val="00162E5E"/>
    <w:rsid w:val="001638C5"/>
    <w:rsid w:val="001643B1"/>
    <w:rsid w:val="0016453A"/>
    <w:rsid w:val="001654BE"/>
    <w:rsid w:val="00166D82"/>
    <w:rsid w:val="00166EEA"/>
    <w:rsid w:val="00170F76"/>
    <w:rsid w:val="001716D6"/>
    <w:rsid w:val="0017258C"/>
    <w:rsid w:val="00172988"/>
    <w:rsid w:val="00173687"/>
    <w:rsid w:val="00173D8C"/>
    <w:rsid w:val="00173DD2"/>
    <w:rsid w:val="0017559A"/>
    <w:rsid w:val="001768ED"/>
    <w:rsid w:val="00176D62"/>
    <w:rsid w:val="00176E3A"/>
    <w:rsid w:val="0018043C"/>
    <w:rsid w:val="00181DAF"/>
    <w:rsid w:val="00182BBC"/>
    <w:rsid w:val="0018330C"/>
    <w:rsid w:val="00183E39"/>
    <w:rsid w:val="00183FD3"/>
    <w:rsid w:val="001843A7"/>
    <w:rsid w:val="001845F1"/>
    <w:rsid w:val="00184902"/>
    <w:rsid w:val="00184C1B"/>
    <w:rsid w:val="00184C8D"/>
    <w:rsid w:val="00187626"/>
    <w:rsid w:val="0019007F"/>
    <w:rsid w:val="0019090D"/>
    <w:rsid w:val="00190F90"/>
    <w:rsid w:val="00191307"/>
    <w:rsid w:val="0019131C"/>
    <w:rsid w:val="00192DE6"/>
    <w:rsid w:val="001939AD"/>
    <w:rsid w:val="00194E6F"/>
    <w:rsid w:val="001A0418"/>
    <w:rsid w:val="001A0921"/>
    <w:rsid w:val="001A137F"/>
    <w:rsid w:val="001A18D6"/>
    <w:rsid w:val="001A1CBF"/>
    <w:rsid w:val="001A230D"/>
    <w:rsid w:val="001A2342"/>
    <w:rsid w:val="001A42B3"/>
    <w:rsid w:val="001A480B"/>
    <w:rsid w:val="001A76A3"/>
    <w:rsid w:val="001B0064"/>
    <w:rsid w:val="001B08EE"/>
    <w:rsid w:val="001B09C1"/>
    <w:rsid w:val="001B37BA"/>
    <w:rsid w:val="001B3A5E"/>
    <w:rsid w:val="001B3C77"/>
    <w:rsid w:val="001B5476"/>
    <w:rsid w:val="001B5932"/>
    <w:rsid w:val="001B60ED"/>
    <w:rsid w:val="001B64C3"/>
    <w:rsid w:val="001B7783"/>
    <w:rsid w:val="001C00C1"/>
    <w:rsid w:val="001C01AC"/>
    <w:rsid w:val="001C05D3"/>
    <w:rsid w:val="001C134C"/>
    <w:rsid w:val="001C169E"/>
    <w:rsid w:val="001C1CFA"/>
    <w:rsid w:val="001C1DCC"/>
    <w:rsid w:val="001C386F"/>
    <w:rsid w:val="001C4077"/>
    <w:rsid w:val="001C4395"/>
    <w:rsid w:val="001C6A93"/>
    <w:rsid w:val="001C6D09"/>
    <w:rsid w:val="001C7AE9"/>
    <w:rsid w:val="001C7EDE"/>
    <w:rsid w:val="001D018B"/>
    <w:rsid w:val="001D0ECE"/>
    <w:rsid w:val="001D4AF0"/>
    <w:rsid w:val="001D4F8A"/>
    <w:rsid w:val="001D66BE"/>
    <w:rsid w:val="001D7737"/>
    <w:rsid w:val="001D7B08"/>
    <w:rsid w:val="001E02CF"/>
    <w:rsid w:val="001E1313"/>
    <w:rsid w:val="001E1E64"/>
    <w:rsid w:val="001E2086"/>
    <w:rsid w:val="001E491C"/>
    <w:rsid w:val="001E51B1"/>
    <w:rsid w:val="001E53EE"/>
    <w:rsid w:val="001E5CB7"/>
    <w:rsid w:val="001E5D09"/>
    <w:rsid w:val="001E6521"/>
    <w:rsid w:val="001E655B"/>
    <w:rsid w:val="001E78EF"/>
    <w:rsid w:val="001F0640"/>
    <w:rsid w:val="001F105A"/>
    <w:rsid w:val="001F1E20"/>
    <w:rsid w:val="001F1F5A"/>
    <w:rsid w:val="001F2573"/>
    <w:rsid w:val="001F2E1C"/>
    <w:rsid w:val="001F4793"/>
    <w:rsid w:val="001F5858"/>
    <w:rsid w:val="001F5BF0"/>
    <w:rsid w:val="001F6885"/>
    <w:rsid w:val="001F69FB"/>
    <w:rsid w:val="001F72EA"/>
    <w:rsid w:val="001F7662"/>
    <w:rsid w:val="001F7C35"/>
    <w:rsid w:val="001F7E1D"/>
    <w:rsid w:val="00200975"/>
    <w:rsid w:val="00200D95"/>
    <w:rsid w:val="0020138D"/>
    <w:rsid w:val="00201B39"/>
    <w:rsid w:val="0020255E"/>
    <w:rsid w:val="00202828"/>
    <w:rsid w:val="0020325C"/>
    <w:rsid w:val="002033EB"/>
    <w:rsid w:val="00203D6D"/>
    <w:rsid w:val="0020481B"/>
    <w:rsid w:val="002050E5"/>
    <w:rsid w:val="0020512E"/>
    <w:rsid w:val="002055B1"/>
    <w:rsid w:val="002064F4"/>
    <w:rsid w:val="002077B7"/>
    <w:rsid w:val="00210E30"/>
    <w:rsid w:val="002113D6"/>
    <w:rsid w:val="002114A9"/>
    <w:rsid w:val="00212CC1"/>
    <w:rsid w:val="0021407A"/>
    <w:rsid w:val="00214280"/>
    <w:rsid w:val="002149AD"/>
    <w:rsid w:val="0021745C"/>
    <w:rsid w:val="0021785B"/>
    <w:rsid w:val="0022063C"/>
    <w:rsid w:val="00220A3D"/>
    <w:rsid w:val="00220F13"/>
    <w:rsid w:val="002215EF"/>
    <w:rsid w:val="002245FF"/>
    <w:rsid w:val="00224953"/>
    <w:rsid w:val="00224DD9"/>
    <w:rsid w:val="00225819"/>
    <w:rsid w:val="00226424"/>
    <w:rsid w:val="002264FB"/>
    <w:rsid w:val="00226869"/>
    <w:rsid w:val="0022723C"/>
    <w:rsid w:val="002274C3"/>
    <w:rsid w:val="002274FC"/>
    <w:rsid w:val="002275CB"/>
    <w:rsid w:val="00230435"/>
    <w:rsid w:val="00230463"/>
    <w:rsid w:val="00230E8A"/>
    <w:rsid w:val="00232BB0"/>
    <w:rsid w:val="00233AE7"/>
    <w:rsid w:val="002342D3"/>
    <w:rsid w:val="0023436B"/>
    <w:rsid w:val="00235860"/>
    <w:rsid w:val="00235FAB"/>
    <w:rsid w:val="00237BAF"/>
    <w:rsid w:val="00237F04"/>
    <w:rsid w:val="002409B1"/>
    <w:rsid w:val="00241A44"/>
    <w:rsid w:val="00242C51"/>
    <w:rsid w:val="002430C9"/>
    <w:rsid w:val="002438ED"/>
    <w:rsid w:val="00243AEB"/>
    <w:rsid w:val="00244801"/>
    <w:rsid w:val="0024518A"/>
    <w:rsid w:val="00245833"/>
    <w:rsid w:val="0024586D"/>
    <w:rsid w:val="00247847"/>
    <w:rsid w:val="0025034B"/>
    <w:rsid w:val="00250A73"/>
    <w:rsid w:val="00250BA3"/>
    <w:rsid w:val="0025303D"/>
    <w:rsid w:val="00253900"/>
    <w:rsid w:val="00253C0B"/>
    <w:rsid w:val="00253D92"/>
    <w:rsid w:val="002543E5"/>
    <w:rsid w:val="00254DA5"/>
    <w:rsid w:val="00254EA7"/>
    <w:rsid w:val="002559B4"/>
    <w:rsid w:val="00255A14"/>
    <w:rsid w:val="00255D21"/>
    <w:rsid w:val="00255DCE"/>
    <w:rsid w:val="0025720F"/>
    <w:rsid w:val="002577B1"/>
    <w:rsid w:val="00257FAD"/>
    <w:rsid w:val="00260086"/>
    <w:rsid w:val="002600F4"/>
    <w:rsid w:val="00260F89"/>
    <w:rsid w:val="002631BD"/>
    <w:rsid w:val="00264568"/>
    <w:rsid w:val="00264BD2"/>
    <w:rsid w:val="00264CD6"/>
    <w:rsid w:val="00265A8A"/>
    <w:rsid w:val="00266585"/>
    <w:rsid w:val="00266974"/>
    <w:rsid w:val="00267948"/>
    <w:rsid w:val="0027073B"/>
    <w:rsid w:val="00270D8C"/>
    <w:rsid w:val="00270ED6"/>
    <w:rsid w:val="002711A7"/>
    <w:rsid w:val="00271355"/>
    <w:rsid w:val="0027136F"/>
    <w:rsid w:val="002716BD"/>
    <w:rsid w:val="00271EAB"/>
    <w:rsid w:val="00271EFD"/>
    <w:rsid w:val="00272A7A"/>
    <w:rsid w:val="00273B80"/>
    <w:rsid w:val="00274D62"/>
    <w:rsid w:val="0027512E"/>
    <w:rsid w:val="00275917"/>
    <w:rsid w:val="00275BE3"/>
    <w:rsid w:val="0027621F"/>
    <w:rsid w:val="002767F7"/>
    <w:rsid w:val="00276D3D"/>
    <w:rsid w:val="00276E5E"/>
    <w:rsid w:val="00276EE2"/>
    <w:rsid w:val="00277CA0"/>
    <w:rsid w:val="0028136D"/>
    <w:rsid w:val="00282D86"/>
    <w:rsid w:val="00283DA0"/>
    <w:rsid w:val="00284949"/>
    <w:rsid w:val="00284B0E"/>
    <w:rsid w:val="00285D0D"/>
    <w:rsid w:val="00285D96"/>
    <w:rsid w:val="00286761"/>
    <w:rsid w:val="00286CC1"/>
    <w:rsid w:val="00286F02"/>
    <w:rsid w:val="002910B0"/>
    <w:rsid w:val="00291389"/>
    <w:rsid w:val="00291426"/>
    <w:rsid w:val="00292C44"/>
    <w:rsid w:val="002932B9"/>
    <w:rsid w:val="00293353"/>
    <w:rsid w:val="002938AE"/>
    <w:rsid w:val="002942B1"/>
    <w:rsid w:val="0029451C"/>
    <w:rsid w:val="00295FD6"/>
    <w:rsid w:val="002960C7"/>
    <w:rsid w:val="002961A8"/>
    <w:rsid w:val="0029634D"/>
    <w:rsid w:val="002973B1"/>
    <w:rsid w:val="002973D1"/>
    <w:rsid w:val="00297F73"/>
    <w:rsid w:val="002A1914"/>
    <w:rsid w:val="002A1D49"/>
    <w:rsid w:val="002A39E3"/>
    <w:rsid w:val="002A3EF0"/>
    <w:rsid w:val="002A63A2"/>
    <w:rsid w:val="002A7DD4"/>
    <w:rsid w:val="002A7E8F"/>
    <w:rsid w:val="002B04E1"/>
    <w:rsid w:val="002B071D"/>
    <w:rsid w:val="002B0C18"/>
    <w:rsid w:val="002B1B74"/>
    <w:rsid w:val="002B1DCA"/>
    <w:rsid w:val="002B22E3"/>
    <w:rsid w:val="002B2467"/>
    <w:rsid w:val="002B3355"/>
    <w:rsid w:val="002B4445"/>
    <w:rsid w:val="002B64A1"/>
    <w:rsid w:val="002B6619"/>
    <w:rsid w:val="002B676D"/>
    <w:rsid w:val="002B6810"/>
    <w:rsid w:val="002B6B05"/>
    <w:rsid w:val="002C10DD"/>
    <w:rsid w:val="002C2036"/>
    <w:rsid w:val="002C3DC4"/>
    <w:rsid w:val="002C3DE2"/>
    <w:rsid w:val="002C4814"/>
    <w:rsid w:val="002C4BEF"/>
    <w:rsid w:val="002C4D96"/>
    <w:rsid w:val="002C52F0"/>
    <w:rsid w:val="002C573C"/>
    <w:rsid w:val="002C5FCE"/>
    <w:rsid w:val="002C69AA"/>
    <w:rsid w:val="002D10BF"/>
    <w:rsid w:val="002D2400"/>
    <w:rsid w:val="002D2415"/>
    <w:rsid w:val="002D2BEB"/>
    <w:rsid w:val="002D397E"/>
    <w:rsid w:val="002D3CEA"/>
    <w:rsid w:val="002D4A59"/>
    <w:rsid w:val="002D556C"/>
    <w:rsid w:val="002D57F9"/>
    <w:rsid w:val="002D7814"/>
    <w:rsid w:val="002D793A"/>
    <w:rsid w:val="002D7980"/>
    <w:rsid w:val="002E209E"/>
    <w:rsid w:val="002E3300"/>
    <w:rsid w:val="002E4B78"/>
    <w:rsid w:val="002E4F7D"/>
    <w:rsid w:val="002E5901"/>
    <w:rsid w:val="002E6EF9"/>
    <w:rsid w:val="002E753B"/>
    <w:rsid w:val="002E794D"/>
    <w:rsid w:val="002E7DC7"/>
    <w:rsid w:val="002F0E49"/>
    <w:rsid w:val="002F16EC"/>
    <w:rsid w:val="002F2820"/>
    <w:rsid w:val="002F32A2"/>
    <w:rsid w:val="002F37A6"/>
    <w:rsid w:val="002F3A39"/>
    <w:rsid w:val="002F58DC"/>
    <w:rsid w:val="002F5D39"/>
    <w:rsid w:val="002F6121"/>
    <w:rsid w:val="002F616F"/>
    <w:rsid w:val="002F77EE"/>
    <w:rsid w:val="002F7C4C"/>
    <w:rsid w:val="0030115B"/>
    <w:rsid w:val="0030523F"/>
    <w:rsid w:val="00305275"/>
    <w:rsid w:val="00305D18"/>
    <w:rsid w:val="00305F77"/>
    <w:rsid w:val="0030606E"/>
    <w:rsid w:val="0031015C"/>
    <w:rsid w:val="0031028D"/>
    <w:rsid w:val="00310C51"/>
    <w:rsid w:val="003110CD"/>
    <w:rsid w:val="003116F4"/>
    <w:rsid w:val="0031179A"/>
    <w:rsid w:val="003118E4"/>
    <w:rsid w:val="003119C3"/>
    <w:rsid w:val="00311B20"/>
    <w:rsid w:val="00311EDD"/>
    <w:rsid w:val="0031264A"/>
    <w:rsid w:val="003132CF"/>
    <w:rsid w:val="00313A20"/>
    <w:rsid w:val="003159D9"/>
    <w:rsid w:val="00315FFF"/>
    <w:rsid w:val="00317BF2"/>
    <w:rsid w:val="00317C62"/>
    <w:rsid w:val="00323425"/>
    <w:rsid w:val="00323E5C"/>
    <w:rsid w:val="003242A4"/>
    <w:rsid w:val="00324FFD"/>
    <w:rsid w:val="00325904"/>
    <w:rsid w:val="003267A9"/>
    <w:rsid w:val="00326A47"/>
    <w:rsid w:val="00327192"/>
    <w:rsid w:val="0032721E"/>
    <w:rsid w:val="003273E7"/>
    <w:rsid w:val="0032745F"/>
    <w:rsid w:val="003274AD"/>
    <w:rsid w:val="0032763E"/>
    <w:rsid w:val="00331781"/>
    <w:rsid w:val="003327D7"/>
    <w:rsid w:val="00332984"/>
    <w:rsid w:val="00332AF6"/>
    <w:rsid w:val="00332DB4"/>
    <w:rsid w:val="0033302A"/>
    <w:rsid w:val="003344A9"/>
    <w:rsid w:val="003348BD"/>
    <w:rsid w:val="003348DF"/>
    <w:rsid w:val="00334B8E"/>
    <w:rsid w:val="0033556E"/>
    <w:rsid w:val="00335942"/>
    <w:rsid w:val="00335EE8"/>
    <w:rsid w:val="0033633E"/>
    <w:rsid w:val="00336DE0"/>
    <w:rsid w:val="00337774"/>
    <w:rsid w:val="00337D33"/>
    <w:rsid w:val="003407D7"/>
    <w:rsid w:val="00340BBE"/>
    <w:rsid w:val="003411BD"/>
    <w:rsid w:val="00341487"/>
    <w:rsid w:val="00341685"/>
    <w:rsid w:val="003430F5"/>
    <w:rsid w:val="00343459"/>
    <w:rsid w:val="00344489"/>
    <w:rsid w:val="00345348"/>
    <w:rsid w:val="0034550D"/>
    <w:rsid w:val="003456C8"/>
    <w:rsid w:val="00345D57"/>
    <w:rsid w:val="003466AA"/>
    <w:rsid w:val="003514FA"/>
    <w:rsid w:val="003525C1"/>
    <w:rsid w:val="003535AA"/>
    <w:rsid w:val="003541A5"/>
    <w:rsid w:val="003542BB"/>
    <w:rsid w:val="00355A51"/>
    <w:rsid w:val="00355A56"/>
    <w:rsid w:val="003578A8"/>
    <w:rsid w:val="00357BBD"/>
    <w:rsid w:val="00360EA1"/>
    <w:rsid w:val="0036101C"/>
    <w:rsid w:val="003625AB"/>
    <w:rsid w:val="003627D6"/>
    <w:rsid w:val="00362E0E"/>
    <w:rsid w:val="00363469"/>
    <w:rsid w:val="00363CD2"/>
    <w:rsid w:val="00364D47"/>
    <w:rsid w:val="00364E72"/>
    <w:rsid w:val="00364FE7"/>
    <w:rsid w:val="00365243"/>
    <w:rsid w:val="00365723"/>
    <w:rsid w:val="0036581E"/>
    <w:rsid w:val="00366997"/>
    <w:rsid w:val="00366E29"/>
    <w:rsid w:val="00366F2A"/>
    <w:rsid w:val="0036777B"/>
    <w:rsid w:val="00370256"/>
    <w:rsid w:val="00370BE1"/>
    <w:rsid w:val="00371BE9"/>
    <w:rsid w:val="0037293D"/>
    <w:rsid w:val="003733B0"/>
    <w:rsid w:val="00373AF7"/>
    <w:rsid w:val="003740B1"/>
    <w:rsid w:val="0037433D"/>
    <w:rsid w:val="00375456"/>
    <w:rsid w:val="00375458"/>
    <w:rsid w:val="0037554E"/>
    <w:rsid w:val="0037567C"/>
    <w:rsid w:val="00375777"/>
    <w:rsid w:val="00376561"/>
    <w:rsid w:val="00376E70"/>
    <w:rsid w:val="00377471"/>
    <w:rsid w:val="00377C6C"/>
    <w:rsid w:val="00377C93"/>
    <w:rsid w:val="00377DDA"/>
    <w:rsid w:val="00380252"/>
    <w:rsid w:val="00380CD9"/>
    <w:rsid w:val="00380CF8"/>
    <w:rsid w:val="00380FCD"/>
    <w:rsid w:val="0038148C"/>
    <w:rsid w:val="0038259A"/>
    <w:rsid w:val="003825D1"/>
    <w:rsid w:val="00382776"/>
    <w:rsid w:val="003827A0"/>
    <w:rsid w:val="00382A93"/>
    <w:rsid w:val="00382EBB"/>
    <w:rsid w:val="003841E8"/>
    <w:rsid w:val="0038431B"/>
    <w:rsid w:val="003846A5"/>
    <w:rsid w:val="00384E2F"/>
    <w:rsid w:val="00385076"/>
    <w:rsid w:val="003857C9"/>
    <w:rsid w:val="00391077"/>
    <w:rsid w:val="003912CF"/>
    <w:rsid w:val="0039133A"/>
    <w:rsid w:val="00391C9F"/>
    <w:rsid w:val="00393BE6"/>
    <w:rsid w:val="00394195"/>
    <w:rsid w:val="00394788"/>
    <w:rsid w:val="00396993"/>
    <w:rsid w:val="00397CBA"/>
    <w:rsid w:val="003A07CC"/>
    <w:rsid w:val="003A225A"/>
    <w:rsid w:val="003A2461"/>
    <w:rsid w:val="003A2924"/>
    <w:rsid w:val="003A2AA9"/>
    <w:rsid w:val="003A3A8F"/>
    <w:rsid w:val="003A415C"/>
    <w:rsid w:val="003A4F04"/>
    <w:rsid w:val="003A507E"/>
    <w:rsid w:val="003A5B9F"/>
    <w:rsid w:val="003A62B3"/>
    <w:rsid w:val="003A7815"/>
    <w:rsid w:val="003A7948"/>
    <w:rsid w:val="003B185F"/>
    <w:rsid w:val="003B1E6C"/>
    <w:rsid w:val="003B243E"/>
    <w:rsid w:val="003B2B91"/>
    <w:rsid w:val="003B43BC"/>
    <w:rsid w:val="003B4D29"/>
    <w:rsid w:val="003B65CA"/>
    <w:rsid w:val="003B6CC0"/>
    <w:rsid w:val="003B7404"/>
    <w:rsid w:val="003B75C8"/>
    <w:rsid w:val="003B7B71"/>
    <w:rsid w:val="003C2172"/>
    <w:rsid w:val="003C34C4"/>
    <w:rsid w:val="003C381B"/>
    <w:rsid w:val="003C3D28"/>
    <w:rsid w:val="003C4367"/>
    <w:rsid w:val="003C49D5"/>
    <w:rsid w:val="003C536A"/>
    <w:rsid w:val="003D1C85"/>
    <w:rsid w:val="003D2788"/>
    <w:rsid w:val="003D2835"/>
    <w:rsid w:val="003D3D7C"/>
    <w:rsid w:val="003D3F19"/>
    <w:rsid w:val="003D3FA4"/>
    <w:rsid w:val="003D45AF"/>
    <w:rsid w:val="003D54FC"/>
    <w:rsid w:val="003D5670"/>
    <w:rsid w:val="003D6CB4"/>
    <w:rsid w:val="003D6E48"/>
    <w:rsid w:val="003E0362"/>
    <w:rsid w:val="003E0542"/>
    <w:rsid w:val="003E072C"/>
    <w:rsid w:val="003E096C"/>
    <w:rsid w:val="003E146B"/>
    <w:rsid w:val="003E157C"/>
    <w:rsid w:val="003E16A3"/>
    <w:rsid w:val="003E173C"/>
    <w:rsid w:val="003E19C2"/>
    <w:rsid w:val="003E1A81"/>
    <w:rsid w:val="003E24DD"/>
    <w:rsid w:val="003E453E"/>
    <w:rsid w:val="003E612A"/>
    <w:rsid w:val="003E642B"/>
    <w:rsid w:val="003E65FD"/>
    <w:rsid w:val="003E69A3"/>
    <w:rsid w:val="003E785D"/>
    <w:rsid w:val="003E7B97"/>
    <w:rsid w:val="003F15B1"/>
    <w:rsid w:val="003F18BD"/>
    <w:rsid w:val="003F53D8"/>
    <w:rsid w:val="003F5F22"/>
    <w:rsid w:val="003F6241"/>
    <w:rsid w:val="003F65C5"/>
    <w:rsid w:val="003F6860"/>
    <w:rsid w:val="003F6953"/>
    <w:rsid w:val="003F6C4A"/>
    <w:rsid w:val="003F7821"/>
    <w:rsid w:val="0040050B"/>
    <w:rsid w:val="00401224"/>
    <w:rsid w:val="004012B5"/>
    <w:rsid w:val="00402873"/>
    <w:rsid w:val="00403E4B"/>
    <w:rsid w:val="00404F1A"/>
    <w:rsid w:val="00405144"/>
    <w:rsid w:val="00405279"/>
    <w:rsid w:val="00406636"/>
    <w:rsid w:val="00406DAB"/>
    <w:rsid w:val="00406E7E"/>
    <w:rsid w:val="00407DDB"/>
    <w:rsid w:val="00410367"/>
    <w:rsid w:val="0041040C"/>
    <w:rsid w:val="0041147B"/>
    <w:rsid w:val="00413430"/>
    <w:rsid w:val="00413C0A"/>
    <w:rsid w:val="00413D6F"/>
    <w:rsid w:val="00413D80"/>
    <w:rsid w:val="00414000"/>
    <w:rsid w:val="00414B0F"/>
    <w:rsid w:val="00414C88"/>
    <w:rsid w:val="004151E3"/>
    <w:rsid w:val="0041682B"/>
    <w:rsid w:val="0041702B"/>
    <w:rsid w:val="00420633"/>
    <w:rsid w:val="00420C6A"/>
    <w:rsid w:val="00421708"/>
    <w:rsid w:val="00421D07"/>
    <w:rsid w:val="004233C3"/>
    <w:rsid w:val="0042419B"/>
    <w:rsid w:val="004241E3"/>
    <w:rsid w:val="00424633"/>
    <w:rsid w:val="00424DC5"/>
    <w:rsid w:val="0042527A"/>
    <w:rsid w:val="00425DF2"/>
    <w:rsid w:val="00426161"/>
    <w:rsid w:val="00427135"/>
    <w:rsid w:val="00427557"/>
    <w:rsid w:val="004276D4"/>
    <w:rsid w:val="00427D55"/>
    <w:rsid w:val="00431888"/>
    <w:rsid w:val="00431DC9"/>
    <w:rsid w:val="004322C5"/>
    <w:rsid w:val="004329D4"/>
    <w:rsid w:val="0043462C"/>
    <w:rsid w:val="00435074"/>
    <w:rsid w:val="0043575A"/>
    <w:rsid w:val="004358C3"/>
    <w:rsid w:val="00436059"/>
    <w:rsid w:val="00436361"/>
    <w:rsid w:val="0043638F"/>
    <w:rsid w:val="00436F27"/>
    <w:rsid w:val="00437772"/>
    <w:rsid w:val="00440371"/>
    <w:rsid w:val="004416E5"/>
    <w:rsid w:val="00441A37"/>
    <w:rsid w:val="0044274B"/>
    <w:rsid w:val="004440FE"/>
    <w:rsid w:val="004449AE"/>
    <w:rsid w:val="00445BEA"/>
    <w:rsid w:val="00445E58"/>
    <w:rsid w:val="0044620E"/>
    <w:rsid w:val="00447D39"/>
    <w:rsid w:val="004512EA"/>
    <w:rsid w:val="004519DA"/>
    <w:rsid w:val="004520A0"/>
    <w:rsid w:val="00452DE2"/>
    <w:rsid w:val="00453405"/>
    <w:rsid w:val="0045362F"/>
    <w:rsid w:val="00453B0E"/>
    <w:rsid w:val="004549C0"/>
    <w:rsid w:val="00455650"/>
    <w:rsid w:val="0045619C"/>
    <w:rsid w:val="00456317"/>
    <w:rsid w:val="00456413"/>
    <w:rsid w:val="00456F3F"/>
    <w:rsid w:val="004575CD"/>
    <w:rsid w:val="00457FA1"/>
    <w:rsid w:val="00463D21"/>
    <w:rsid w:val="00464E2F"/>
    <w:rsid w:val="00465F47"/>
    <w:rsid w:val="00466056"/>
    <w:rsid w:val="00466E47"/>
    <w:rsid w:val="00466FCE"/>
    <w:rsid w:val="00467182"/>
    <w:rsid w:val="00467D6D"/>
    <w:rsid w:val="004707F3"/>
    <w:rsid w:val="004712E2"/>
    <w:rsid w:val="0047141C"/>
    <w:rsid w:val="0047216F"/>
    <w:rsid w:val="0047446B"/>
    <w:rsid w:val="004744C9"/>
    <w:rsid w:val="0047551A"/>
    <w:rsid w:val="004757DC"/>
    <w:rsid w:val="004773C2"/>
    <w:rsid w:val="0048007B"/>
    <w:rsid w:val="004802ED"/>
    <w:rsid w:val="004814C2"/>
    <w:rsid w:val="0048205A"/>
    <w:rsid w:val="00483B71"/>
    <w:rsid w:val="0048489D"/>
    <w:rsid w:val="00485ADD"/>
    <w:rsid w:val="00485E94"/>
    <w:rsid w:val="00490053"/>
    <w:rsid w:val="004908A4"/>
    <w:rsid w:val="0049100B"/>
    <w:rsid w:val="00491FC1"/>
    <w:rsid w:val="004923E6"/>
    <w:rsid w:val="00492B40"/>
    <w:rsid w:val="00494C4F"/>
    <w:rsid w:val="00494DC5"/>
    <w:rsid w:val="00495B03"/>
    <w:rsid w:val="00495BAC"/>
    <w:rsid w:val="00495BC5"/>
    <w:rsid w:val="004961B9"/>
    <w:rsid w:val="004967FA"/>
    <w:rsid w:val="004976E7"/>
    <w:rsid w:val="00497BC6"/>
    <w:rsid w:val="00497F52"/>
    <w:rsid w:val="004A0104"/>
    <w:rsid w:val="004A1789"/>
    <w:rsid w:val="004A27DA"/>
    <w:rsid w:val="004A31BB"/>
    <w:rsid w:val="004A33D8"/>
    <w:rsid w:val="004A5408"/>
    <w:rsid w:val="004A5616"/>
    <w:rsid w:val="004A61E3"/>
    <w:rsid w:val="004A6F47"/>
    <w:rsid w:val="004A70A8"/>
    <w:rsid w:val="004A7CF1"/>
    <w:rsid w:val="004A7DDE"/>
    <w:rsid w:val="004B1611"/>
    <w:rsid w:val="004B1621"/>
    <w:rsid w:val="004B1A9D"/>
    <w:rsid w:val="004B4127"/>
    <w:rsid w:val="004B4DA6"/>
    <w:rsid w:val="004B5704"/>
    <w:rsid w:val="004B5A70"/>
    <w:rsid w:val="004B69DC"/>
    <w:rsid w:val="004B72B1"/>
    <w:rsid w:val="004C016F"/>
    <w:rsid w:val="004C041E"/>
    <w:rsid w:val="004C092A"/>
    <w:rsid w:val="004C0B72"/>
    <w:rsid w:val="004C0DA2"/>
    <w:rsid w:val="004C1E13"/>
    <w:rsid w:val="004C2527"/>
    <w:rsid w:val="004C2F6A"/>
    <w:rsid w:val="004C3777"/>
    <w:rsid w:val="004C6BC7"/>
    <w:rsid w:val="004C7EEA"/>
    <w:rsid w:val="004C7FCC"/>
    <w:rsid w:val="004D04F1"/>
    <w:rsid w:val="004D1264"/>
    <w:rsid w:val="004D12D0"/>
    <w:rsid w:val="004D1F93"/>
    <w:rsid w:val="004D2323"/>
    <w:rsid w:val="004D285D"/>
    <w:rsid w:val="004D44B7"/>
    <w:rsid w:val="004D4A90"/>
    <w:rsid w:val="004D56A1"/>
    <w:rsid w:val="004D5951"/>
    <w:rsid w:val="004D5DBD"/>
    <w:rsid w:val="004E05DC"/>
    <w:rsid w:val="004E075B"/>
    <w:rsid w:val="004E0D4C"/>
    <w:rsid w:val="004E1580"/>
    <w:rsid w:val="004E1A78"/>
    <w:rsid w:val="004E228B"/>
    <w:rsid w:val="004E33F6"/>
    <w:rsid w:val="004E3620"/>
    <w:rsid w:val="004E399F"/>
    <w:rsid w:val="004E39F2"/>
    <w:rsid w:val="004E5556"/>
    <w:rsid w:val="004E57C8"/>
    <w:rsid w:val="004E5961"/>
    <w:rsid w:val="004E5BF2"/>
    <w:rsid w:val="004E69AC"/>
    <w:rsid w:val="004E6DDA"/>
    <w:rsid w:val="004E6FFA"/>
    <w:rsid w:val="004E7033"/>
    <w:rsid w:val="004E772D"/>
    <w:rsid w:val="004E7D5B"/>
    <w:rsid w:val="004F01A7"/>
    <w:rsid w:val="004F041B"/>
    <w:rsid w:val="004F0843"/>
    <w:rsid w:val="004F09FE"/>
    <w:rsid w:val="004F0DD6"/>
    <w:rsid w:val="004F238F"/>
    <w:rsid w:val="004F2B6D"/>
    <w:rsid w:val="004F3594"/>
    <w:rsid w:val="004F3A72"/>
    <w:rsid w:val="004F3F66"/>
    <w:rsid w:val="004F4C29"/>
    <w:rsid w:val="004F532E"/>
    <w:rsid w:val="004F5A6E"/>
    <w:rsid w:val="004F5FCF"/>
    <w:rsid w:val="004F6D22"/>
    <w:rsid w:val="004F6F98"/>
    <w:rsid w:val="004F76F1"/>
    <w:rsid w:val="004F7E49"/>
    <w:rsid w:val="00500374"/>
    <w:rsid w:val="00500BD6"/>
    <w:rsid w:val="00501217"/>
    <w:rsid w:val="00501378"/>
    <w:rsid w:val="00502117"/>
    <w:rsid w:val="00502D27"/>
    <w:rsid w:val="00503D89"/>
    <w:rsid w:val="00504BB4"/>
    <w:rsid w:val="0050518F"/>
    <w:rsid w:val="00505B9F"/>
    <w:rsid w:val="00505D50"/>
    <w:rsid w:val="00505FDD"/>
    <w:rsid w:val="005069C3"/>
    <w:rsid w:val="00507001"/>
    <w:rsid w:val="005071E5"/>
    <w:rsid w:val="00507819"/>
    <w:rsid w:val="00510559"/>
    <w:rsid w:val="00511227"/>
    <w:rsid w:val="005117AA"/>
    <w:rsid w:val="00512A81"/>
    <w:rsid w:val="0051320C"/>
    <w:rsid w:val="0051383E"/>
    <w:rsid w:val="00513C39"/>
    <w:rsid w:val="00514173"/>
    <w:rsid w:val="00515AC2"/>
    <w:rsid w:val="00516F62"/>
    <w:rsid w:val="00517C2C"/>
    <w:rsid w:val="005207D5"/>
    <w:rsid w:val="005223A6"/>
    <w:rsid w:val="00522A79"/>
    <w:rsid w:val="00522B2B"/>
    <w:rsid w:val="00522F9B"/>
    <w:rsid w:val="005233D1"/>
    <w:rsid w:val="00524353"/>
    <w:rsid w:val="0052465A"/>
    <w:rsid w:val="00524757"/>
    <w:rsid w:val="005247C6"/>
    <w:rsid w:val="0052669E"/>
    <w:rsid w:val="00527070"/>
    <w:rsid w:val="00530C9D"/>
    <w:rsid w:val="0053112B"/>
    <w:rsid w:val="00531FB0"/>
    <w:rsid w:val="00532171"/>
    <w:rsid w:val="005333C5"/>
    <w:rsid w:val="00533A01"/>
    <w:rsid w:val="00533ADA"/>
    <w:rsid w:val="00534039"/>
    <w:rsid w:val="00535D05"/>
    <w:rsid w:val="00535ED1"/>
    <w:rsid w:val="0053640F"/>
    <w:rsid w:val="00536881"/>
    <w:rsid w:val="00536C5B"/>
    <w:rsid w:val="005374D0"/>
    <w:rsid w:val="00537B92"/>
    <w:rsid w:val="00540621"/>
    <w:rsid w:val="00540990"/>
    <w:rsid w:val="00541391"/>
    <w:rsid w:val="00541DE1"/>
    <w:rsid w:val="005420DE"/>
    <w:rsid w:val="00543235"/>
    <w:rsid w:val="00544025"/>
    <w:rsid w:val="00545321"/>
    <w:rsid w:val="0054538C"/>
    <w:rsid w:val="005454BF"/>
    <w:rsid w:val="00545E1D"/>
    <w:rsid w:val="00546BAD"/>
    <w:rsid w:val="0054764A"/>
    <w:rsid w:val="00550B89"/>
    <w:rsid w:val="00550E04"/>
    <w:rsid w:val="0055168B"/>
    <w:rsid w:val="005521DB"/>
    <w:rsid w:val="005531CC"/>
    <w:rsid w:val="0055398D"/>
    <w:rsid w:val="00553ED3"/>
    <w:rsid w:val="005541CA"/>
    <w:rsid w:val="00554473"/>
    <w:rsid w:val="00554812"/>
    <w:rsid w:val="00554CC3"/>
    <w:rsid w:val="0055519A"/>
    <w:rsid w:val="0055558E"/>
    <w:rsid w:val="005559FE"/>
    <w:rsid w:val="00555EE9"/>
    <w:rsid w:val="005579ED"/>
    <w:rsid w:val="00557B9D"/>
    <w:rsid w:val="0056108A"/>
    <w:rsid w:val="00561913"/>
    <w:rsid w:val="00563047"/>
    <w:rsid w:val="00563132"/>
    <w:rsid w:val="00563FF3"/>
    <w:rsid w:val="0056493D"/>
    <w:rsid w:val="00564A3E"/>
    <w:rsid w:val="00565086"/>
    <w:rsid w:val="00565488"/>
    <w:rsid w:val="00567AF7"/>
    <w:rsid w:val="00567E11"/>
    <w:rsid w:val="00570216"/>
    <w:rsid w:val="00570B41"/>
    <w:rsid w:val="00570CC5"/>
    <w:rsid w:val="00571154"/>
    <w:rsid w:val="00571CAA"/>
    <w:rsid w:val="005737CD"/>
    <w:rsid w:val="00573EB2"/>
    <w:rsid w:val="00574A04"/>
    <w:rsid w:val="00574BF2"/>
    <w:rsid w:val="00574FCE"/>
    <w:rsid w:val="00576576"/>
    <w:rsid w:val="00576706"/>
    <w:rsid w:val="00577165"/>
    <w:rsid w:val="005801C9"/>
    <w:rsid w:val="005809CE"/>
    <w:rsid w:val="00581219"/>
    <w:rsid w:val="00581553"/>
    <w:rsid w:val="00582219"/>
    <w:rsid w:val="00583C60"/>
    <w:rsid w:val="00583F7B"/>
    <w:rsid w:val="00584749"/>
    <w:rsid w:val="0058474C"/>
    <w:rsid w:val="005852D8"/>
    <w:rsid w:val="00585E95"/>
    <w:rsid w:val="00586080"/>
    <w:rsid w:val="005866E7"/>
    <w:rsid w:val="00587312"/>
    <w:rsid w:val="00587440"/>
    <w:rsid w:val="005907BB"/>
    <w:rsid w:val="00590C0F"/>
    <w:rsid w:val="00591C12"/>
    <w:rsid w:val="00591E61"/>
    <w:rsid w:val="005921C6"/>
    <w:rsid w:val="00592F48"/>
    <w:rsid w:val="00593021"/>
    <w:rsid w:val="005930F6"/>
    <w:rsid w:val="00593B35"/>
    <w:rsid w:val="00593E84"/>
    <w:rsid w:val="00594387"/>
    <w:rsid w:val="0059440B"/>
    <w:rsid w:val="0059537C"/>
    <w:rsid w:val="00595ACF"/>
    <w:rsid w:val="00595B14"/>
    <w:rsid w:val="00595C3F"/>
    <w:rsid w:val="00596C4E"/>
    <w:rsid w:val="005A0FAC"/>
    <w:rsid w:val="005A13CC"/>
    <w:rsid w:val="005A1A75"/>
    <w:rsid w:val="005A2B3D"/>
    <w:rsid w:val="005A2F91"/>
    <w:rsid w:val="005A50BF"/>
    <w:rsid w:val="005A5835"/>
    <w:rsid w:val="005A6282"/>
    <w:rsid w:val="005A649A"/>
    <w:rsid w:val="005B064C"/>
    <w:rsid w:val="005B120A"/>
    <w:rsid w:val="005B1B21"/>
    <w:rsid w:val="005B1DCC"/>
    <w:rsid w:val="005B236E"/>
    <w:rsid w:val="005B23BD"/>
    <w:rsid w:val="005B3475"/>
    <w:rsid w:val="005B5557"/>
    <w:rsid w:val="005B68CF"/>
    <w:rsid w:val="005B6E8D"/>
    <w:rsid w:val="005B746F"/>
    <w:rsid w:val="005C05C0"/>
    <w:rsid w:val="005C05E9"/>
    <w:rsid w:val="005C06AA"/>
    <w:rsid w:val="005C113D"/>
    <w:rsid w:val="005C1309"/>
    <w:rsid w:val="005C3B85"/>
    <w:rsid w:val="005C3EC6"/>
    <w:rsid w:val="005C46C3"/>
    <w:rsid w:val="005C4799"/>
    <w:rsid w:val="005C4B9F"/>
    <w:rsid w:val="005C4DD1"/>
    <w:rsid w:val="005C4DDD"/>
    <w:rsid w:val="005C590A"/>
    <w:rsid w:val="005C767F"/>
    <w:rsid w:val="005C7772"/>
    <w:rsid w:val="005C77B7"/>
    <w:rsid w:val="005D0681"/>
    <w:rsid w:val="005D09BE"/>
    <w:rsid w:val="005D1661"/>
    <w:rsid w:val="005D1BED"/>
    <w:rsid w:val="005D2FC2"/>
    <w:rsid w:val="005D319F"/>
    <w:rsid w:val="005D349C"/>
    <w:rsid w:val="005D3967"/>
    <w:rsid w:val="005D3FDC"/>
    <w:rsid w:val="005D4409"/>
    <w:rsid w:val="005D452A"/>
    <w:rsid w:val="005D4B92"/>
    <w:rsid w:val="005D530F"/>
    <w:rsid w:val="005D533E"/>
    <w:rsid w:val="005D5DC7"/>
    <w:rsid w:val="005D64B9"/>
    <w:rsid w:val="005D76B0"/>
    <w:rsid w:val="005D77C2"/>
    <w:rsid w:val="005E00E7"/>
    <w:rsid w:val="005E0594"/>
    <w:rsid w:val="005E0A4D"/>
    <w:rsid w:val="005E0C07"/>
    <w:rsid w:val="005E32C1"/>
    <w:rsid w:val="005E3380"/>
    <w:rsid w:val="005E3AFD"/>
    <w:rsid w:val="005E3C24"/>
    <w:rsid w:val="005E3F7E"/>
    <w:rsid w:val="005E5D9E"/>
    <w:rsid w:val="005E5E6D"/>
    <w:rsid w:val="005E656B"/>
    <w:rsid w:val="005E6A70"/>
    <w:rsid w:val="005E6CD1"/>
    <w:rsid w:val="005F0299"/>
    <w:rsid w:val="005F1019"/>
    <w:rsid w:val="005F233E"/>
    <w:rsid w:val="005F3036"/>
    <w:rsid w:val="005F46C1"/>
    <w:rsid w:val="005F51FB"/>
    <w:rsid w:val="005F54CB"/>
    <w:rsid w:val="005F577B"/>
    <w:rsid w:val="005F6714"/>
    <w:rsid w:val="005F6F49"/>
    <w:rsid w:val="005F758A"/>
    <w:rsid w:val="005F7D43"/>
    <w:rsid w:val="00601912"/>
    <w:rsid w:val="0060287A"/>
    <w:rsid w:val="0060337F"/>
    <w:rsid w:val="006044EB"/>
    <w:rsid w:val="006046EC"/>
    <w:rsid w:val="0060470B"/>
    <w:rsid w:val="00605A78"/>
    <w:rsid w:val="006060FF"/>
    <w:rsid w:val="00606278"/>
    <w:rsid w:val="0060642E"/>
    <w:rsid w:val="006064E0"/>
    <w:rsid w:val="00607523"/>
    <w:rsid w:val="00607712"/>
    <w:rsid w:val="006110BE"/>
    <w:rsid w:val="00611875"/>
    <w:rsid w:val="0061417F"/>
    <w:rsid w:val="0061468C"/>
    <w:rsid w:val="00615232"/>
    <w:rsid w:val="00615E66"/>
    <w:rsid w:val="006167E7"/>
    <w:rsid w:val="0061747C"/>
    <w:rsid w:val="0061779E"/>
    <w:rsid w:val="00617B04"/>
    <w:rsid w:val="00620958"/>
    <w:rsid w:val="00621230"/>
    <w:rsid w:val="006216FC"/>
    <w:rsid w:val="00622723"/>
    <w:rsid w:val="00622D59"/>
    <w:rsid w:val="0062335E"/>
    <w:rsid w:val="00623790"/>
    <w:rsid w:val="00624C35"/>
    <w:rsid w:val="00624CFC"/>
    <w:rsid w:val="00624F57"/>
    <w:rsid w:val="0062513D"/>
    <w:rsid w:val="006252D5"/>
    <w:rsid w:val="006268CC"/>
    <w:rsid w:val="00626B39"/>
    <w:rsid w:val="00632472"/>
    <w:rsid w:val="00632A3B"/>
    <w:rsid w:val="00633970"/>
    <w:rsid w:val="00633D54"/>
    <w:rsid w:val="006356CA"/>
    <w:rsid w:val="00636747"/>
    <w:rsid w:val="00636921"/>
    <w:rsid w:val="006369DC"/>
    <w:rsid w:val="00637272"/>
    <w:rsid w:val="006409CF"/>
    <w:rsid w:val="00640B91"/>
    <w:rsid w:val="00640D4F"/>
    <w:rsid w:val="00641BE1"/>
    <w:rsid w:val="00641D82"/>
    <w:rsid w:val="0064241C"/>
    <w:rsid w:val="00642891"/>
    <w:rsid w:val="006433A1"/>
    <w:rsid w:val="00645047"/>
    <w:rsid w:val="0064512B"/>
    <w:rsid w:val="006453D8"/>
    <w:rsid w:val="00650069"/>
    <w:rsid w:val="00650076"/>
    <w:rsid w:val="00650A86"/>
    <w:rsid w:val="00651614"/>
    <w:rsid w:val="00652754"/>
    <w:rsid w:val="00652F0F"/>
    <w:rsid w:val="00653FDC"/>
    <w:rsid w:val="00654293"/>
    <w:rsid w:val="006543B9"/>
    <w:rsid w:val="006543E1"/>
    <w:rsid w:val="00655101"/>
    <w:rsid w:val="00655E84"/>
    <w:rsid w:val="006568E9"/>
    <w:rsid w:val="00656CC3"/>
    <w:rsid w:val="00657810"/>
    <w:rsid w:val="0066029A"/>
    <w:rsid w:val="006640A7"/>
    <w:rsid w:val="00664D8A"/>
    <w:rsid w:val="006663F1"/>
    <w:rsid w:val="0066649E"/>
    <w:rsid w:val="00666AEE"/>
    <w:rsid w:val="006672FD"/>
    <w:rsid w:val="00670C3B"/>
    <w:rsid w:val="00670D38"/>
    <w:rsid w:val="0067114C"/>
    <w:rsid w:val="00671FC7"/>
    <w:rsid w:val="00673271"/>
    <w:rsid w:val="00673532"/>
    <w:rsid w:val="006737BB"/>
    <w:rsid w:val="006742FD"/>
    <w:rsid w:val="006749D3"/>
    <w:rsid w:val="00674EE4"/>
    <w:rsid w:val="0067666B"/>
    <w:rsid w:val="00676741"/>
    <w:rsid w:val="00677ECC"/>
    <w:rsid w:val="0068009D"/>
    <w:rsid w:val="00681B96"/>
    <w:rsid w:val="006843EC"/>
    <w:rsid w:val="006844B7"/>
    <w:rsid w:val="00685BBC"/>
    <w:rsid w:val="00685BD4"/>
    <w:rsid w:val="00685CC3"/>
    <w:rsid w:val="00686619"/>
    <w:rsid w:val="00686776"/>
    <w:rsid w:val="00686A29"/>
    <w:rsid w:val="00686BB5"/>
    <w:rsid w:val="00686CFE"/>
    <w:rsid w:val="00686F82"/>
    <w:rsid w:val="00687098"/>
    <w:rsid w:val="00690D10"/>
    <w:rsid w:val="00693000"/>
    <w:rsid w:val="00693083"/>
    <w:rsid w:val="006930FA"/>
    <w:rsid w:val="00693288"/>
    <w:rsid w:val="006935DE"/>
    <w:rsid w:val="00693798"/>
    <w:rsid w:val="006948E4"/>
    <w:rsid w:val="00694D0A"/>
    <w:rsid w:val="00696F71"/>
    <w:rsid w:val="00697C76"/>
    <w:rsid w:val="006A050C"/>
    <w:rsid w:val="006A0AD0"/>
    <w:rsid w:val="006A1F3B"/>
    <w:rsid w:val="006A2F3C"/>
    <w:rsid w:val="006A39C0"/>
    <w:rsid w:val="006A4143"/>
    <w:rsid w:val="006A5CC6"/>
    <w:rsid w:val="006A6CC8"/>
    <w:rsid w:val="006B03A2"/>
    <w:rsid w:val="006B0A32"/>
    <w:rsid w:val="006B16F5"/>
    <w:rsid w:val="006B225E"/>
    <w:rsid w:val="006B2300"/>
    <w:rsid w:val="006B23B4"/>
    <w:rsid w:val="006B3AFB"/>
    <w:rsid w:val="006B4CA0"/>
    <w:rsid w:val="006B5519"/>
    <w:rsid w:val="006B55CA"/>
    <w:rsid w:val="006B7215"/>
    <w:rsid w:val="006B7664"/>
    <w:rsid w:val="006B7E4C"/>
    <w:rsid w:val="006C0AA4"/>
    <w:rsid w:val="006C16E3"/>
    <w:rsid w:val="006C1A07"/>
    <w:rsid w:val="006C31F2"/>
    <w:rsid w:val="006C5C23"/>
    <w:rsid w:val="006C6033"/>
    <w:rsid w:val="006C7D4F"/>
    <w:rsid w:val="006C7D6A"/>
    <w:rsid w:val="006D03C8"/>
    <w:rsid w:val="006D03C9"/>
    <w:rsid w:val="006D07F6"/>
    <w:rsid w:val="006D0D1A"/>
    <w:rsid w:val="006D1099"/>
    <w:rsid w:val="006D16D5"/>
    <w:rsid w:val="006D18C1"/>
    <w:rsid w:val="006D2995"/>
    <w:rsid w:val="006D2B12"/>
    <w:rsid w:val="006D2D23"/>
    <w:rsid w:val="006D2E67"/>
    <w:rsid w:val="006D32C5"/>
    <w:rsid w:val="006D371E"/>
    <w:rsid w:val="006D3D07"/>
    <w:rsid w:val="006D47CA"/>
    <w:rsid w:val="006D47CB"/>
    <w:rsid w:val="006D5EC6"/>
    <w:rsid w:val="006D6BE3"/>
    <w:rsid w:val="006D6D4F"/>
    <w:rsid w:val="006D71D6"/>
    <w:rsid w:val="006D7219"/>
    <w:rsid w:val="006E0C14"/>
    <w:rsid w:val="006E0C98"/>
    <w:rsid w:val="006E19DE"/>
    <w:rsid w:val="006E19F2"/>
    <w:rsid w:val="006E1F8F"/>
    <w:rsid w:val="006E5B10"/>
    <w:rsid w:val="006E637E"/>
    <w:rsid w:val="006E7038"/>
    <w:rsid w:val="006E7EC2"/>
    <w:rsid w:val="006F000F"/>
    <w:rsid w:val="006F01A1"/>
    <w:rsid w:val="006F2E51"/>
    <w:rsid w:val="006F2FFB"/>
    <w:rsid w:val="006F3CBB"/>
    <w:rsid w:val="006F47E4"/>
    <w:rsid w:val="006F50F9"/>
    <w:rsid w:val="006F5373"/>
    <w:rsid w:val="006F5824"/>
    <w:rsid w:val="006F58F2"/>
    <w:rsid w:val="006F64F0"/>
    <w:rsid w:val="006F771B"/>
    <w:rsid w:val="0070064F"/>
    <w:rsid w:val="00701036"/>
    <w:rsid w:val="00702B01"/>
    <w:rsid w:val="007030A1"/>
    <w:rsid w:val="007030CD"/>
    <w:rsid w:val="00703B10"/>
    <w:rsid w:val="00704789"/>
    <w:rsid w:val="007047E7"/>
    <w:rsid w:val="0070658C"/>
    <w:rsid w:val="00707184"/>
    <w:rsid w:val="00710E56"/>
    <w:rsid w:val="00711927"/>
    <w:rsid w:val="00712DBF"/>
    <w:rsid w:val="00713BC8"/>
    <w:rsid w:val="00714315"/>
    <w:rsid w:val="00714DA6"/>
    <w:rsid w:val="00716E67"/>
    <w:rsid w:val="00716F7E"/>
    <w:rsid w:val="00717174"/>
    <w:rsid w:val="007175D6"/>
    <w:rsid w:val="00717898"/>
    <w:rsid w:val="00720407"/>
    <w:rsid w:val="00720BA4"/>
    <w:rsid w:val="00720BD9"/>
    <w:rsid w:val="00721709"/>
    <w:rsid w:val="00722350"/>
    <w:rsid w:val="0072263D"/>
    <w:rsid w:val="00722B12"/>
    <w:rsid w:val="00722D60"/>
    <w:rsid w:val="0072368C"/>
    <w:rsid w:val="00723F45"/>
    <w:rsid w:val="0072403C"/>
    <w:rsid w:val="00726882"/>
    <w:rsid w:val="00727286"/>
    <w:rsid w:val="00727E99"/>
    <w:rsid w:val="007305FA"/>
    <w:rsid w:val="007309F3"/>
    <w:rsid w:val="00730B49"/>
    <w:rsid w:val="00730DF8"/>
    <w:rsid w:val="00732753"/>
    <w:rsid w:val="00732942"/>
    <w:rsid w:val="00733E7D"/>
    <w:rsid w:val="00734AC6"/>
    <w:rsid w:val="00734F0F"/>
    <w:rsid w:val="00734F73"/>
    <w:rsid w:val="00735600"/>
    <w:rsid w:val="00740262"/>
    <w:rsid w:val="00740AB2"/>
    <w:rsid w:val="0074179D"/>
    <w:rsid w:val="00742199"/>
    <w:rsid w:val="00742919"/>
    <w:rsid w:val="00742953"/>
    <w:rsid w:val="00742A5F"/>
    <w:rsid w:val="0074300F"/>
    <w:rsid w:val="00743D84"/>
    <w:rsid w:val="00744ADA"/>
    <w:rsid w:val="0074638F"/>
    <w:rsid w:val="007465AE"/>
    <w:rsid w:val="00746859"/>
    <w:rsid w:val="00746C7E"/>
    <w:rsid w:val="00747AB8"/>
    <w:rsid w:val="007501B5"/>
    <w:rsid w:val="00750879"/>
    <w:rsid w:val="0075099A"/>
    <w:rsid w:val="00751173"/>
    <w:rsid w:val="00751DEE"/>
    <w:rsid w:val="007524B3"/>
    <w:rsid w:val="0075323D"/>
    <w:rsid w:val="007533A3"/>
    <w:rsid w:val="00753805"/>
    <w:rsid w:val="00753940"/>
    <w:rsid w:val="00753FC2"/>
    <w:rsid w:val="0075564C"/>
    <w:rsid w:val="0076017C"/>
    <w:rsid w:val="0076022A"/>
    <w:rsid w:val="00760A07"/>
    <w:rsid w:val="00760CA7"/>
    <w:rsid w:val="0076121D"/>
    <w:rsid w:val="00762278"/>
    <w:rsid w:val="007623DD"/>
    <w:rsid w:val="00763D20"/>
    <w:rsid w:val="00763D81"/>
    <w:rsid w:val="00763E86"/>
    <w:rsid w:val="00763FB0"/>
    <w:rsid w:val="00764CD2"/>
    <w:rsid w:val="007656F6"/>
    <w:rsid w:val="0076705C"/>
    <w:rsid w:val="007677E4"/>
    <w:rsid w:val="007700C7"/>
    <w:rsid w:val="0077026F"/>
    <w:rsid w:val="00770460"/>
    <w:rsid w:val="007720FE"/>
    <w:rsid w:val="00772DC0"/>
    <w:rsid w:val="007740E8"/>
    <w:rsid w:val="00774137"/>
    <w:rsid w:val="00776289"/>
    <w:rsid w:val="00776478"/>
    <w:rsid w:val="00776783"/>
    <w:rsid w:val="00777BC0"/>
    <w:rsid w:val="00780E46"/>
    <w:rsid w:val="00780F78"/>
    <w:rsid w:val="007829C7"/>
    <w:rsid w:val="0078443A"/>
    <w:rsid w:val="007853E2"/>
    <w:rsid w:val="00786297"/>
    <w:rsid w:val="00786726"/>
    <w:rsid w:val="007868C6"/>
    <w:rsid w:val="007905C4"/>
    <w:rsid w:val="00790682"/>
    <w:rsid w:val="00791389"/>
    <w:rsid w:val="007918DF"/>
    <w:rsid w:val="00791BC2"/>
    <w:rsid w:val="007922AC"/>
    <w:rsid w:val="007928E0"/>
    <w:rsid w:val="00793D7D"/>
    <w:rsid w:val="00794385"/>
    <w:rsid w:val="007953F9"/>
    <w:rsid w:val="007954BB"/>
    <w:rsid w:val="00796530"/>
    <w:rsid w:val="007966DD"/>
    <w:rsid w:val="00796C88"/>
    <w:rsid w:val="00797B9F"/>
    <w:rsid w:val="00797F28"/>
    <w:rsid w:val="007A02B4"/>
    <w:rsid w:val="007A0536"/>
    <w:rsid w:val="007A061F"/>
    <w:rsid w:val="007A093B"/>
    <w:rsid w:val="007A1CC1"/>
    <w:rsid w:val="007A20C3"/>
    <w:rsid w:val="007A3DB5"/>
    <w:rsid w:val="007A3EC6"/>
    <w:rsid w:val="007A59EB"/>
    <w:rsid w:val="007A5D0C"/>
    <w:rsid w:val="007A60F1"/>
    <w:rsid w:val="007A63DF"/>
    <w:rsid w:val="007A699D"/>
    <w:rsid w:val="007A6E4E"/>
    <w:rsid w:val="007A7744"/>
    <w:rsid w:val="007A7845"/>
    <w:rsid w:val="007B30E9"/>
    <w:rsid w:val="007B5706"/>
    <w:rsid w:val="007B580D"/>
    <w:rsid w:val="007B6870"/>
    <w:rsid w:val="007B787E"/>
    <w:rsid w:val="007C0161"/>
    <w:rsid w:val="007C0278"/>
    <w:rsid w:val="007C0C9C"/>
    <w:rsid w:val="007C1428"/>
    <w:rsid w:val="007C1558"/>
    <w:rsid w:val="007C1F5A"/>
    <w:rsid w:val="007C221C"/>
    <w:rsid w:val="007C229B"/>
    <w:rsid w:val="007C24EF"/>
    <w:rsid w:val="007C31E0"/>
    <w:rsid w:val="007C37FA"/>
    <w:rsid w:val="007C3878"/>
    <w:rsid w:val="007C3A23"/>
    <w:rsid w:val="007C56FD"/>
    <w:rsid w:val="007C6CC5"/>
    <w:rsid w:val="007C6D21"/>
    <w:rsid w:val="007C735E"/>
    <w:rsid w:val="007C7CDA"/>
    <w:rsid w:val="007D02D2"/>
    <w:rsid w:val="007D036F"/>
    <w:rsid w:val="007D0986"/>
    <w:rsid w:val="007D14C1"/>
    <w:rsid w:val="007D1A7F"/>
    <w:rsid w:val="007D31A4"/>
    <w:rsid w:val="007D3634"/>
    <w:rsid w:val="007D49FE"/>
    <w:rsid w:val="007D6680"/>
    <w:rsid w:val="007D761E"/>
    <w:rsid w:val="007D7EA2"/>
    <w:rsid w:val="007E0994"/>
    <w:rsid w:val="007E0D6B"/>
    <w:rsid w:val="007E1701"/>
    <w:rsid w:val="007E17B2"/>
    <w:rsid w:val="007E17E0"/>
    <w:rsid w:val="007E2F0E"/>
    <w:rsid w:val="007E3110"/>
    <w:rsid w:val="007E31BF"/>
    <w:rsid w:val="007E35D5"/>
    <w:rsid w:val="007E361A"/>
    <w:rsid w:val="007E3A26"/>
    <w:rsid w:val="007E3A9F"/>
    <w:rsid w:val="007E4195"/>
    <w:rsid w:val="007E457A"/>
    <w:rsid w:val="007E462C"/>
    <w:rsid w:val="007E49E0"/>
    <w:rsid w:val="007E4A9D"/>
    <w:rsid w:val="007E514F"/>
    <w:rsid w:val="007E5AB9"/>
    <w:rsid w:val="007E62E8"/>
    <w:rsid w:val="007E6836"/>
    <w:rsid w:val="007E6E93"/>
    <w:rsid w:val="007E6F3A"/>
    <w:rsid w:val="007E7CD8"/>
    <w:rsid w:val="007F2745"/>
    <w:rsid w:val="007F3CC5"/>
    <w:rsid w:val="007F4405"/>
    <w:rsid w:val="007F48EB"/>
    <w:rsid w:val="007F55E9"/>
    <w:rsid w:val="007F64FC"/>
    <w:rsid w:val="007F6DEC"/>
    <w:rsid w:val="008011FA"/>
    <w:rsid w:val="0080189A"/>
    <w:rsid w:val="00801948"/>
    <w:rsid w:val="008023A2"/>
    <w:rsid w:val="00802A42"/>
    <w:rsid w:val="00802F1C"/>
    <w:rsid w:val="008033A3"/>
    <w:rsid w:val="00805505"/>
    <w:rsid w:val="00805690"/>
    <w:rsid w:val="008060A5"/>
    <w:rsid w:val="00806352"/>
    <w:rsid w:val="008063C7"/>
    <w:rsid w:val="00806E54"/>
    <w:rsid w:val="00810021"/>
    <w:rsid w:val="0081056E"/>
    <w:rsid w:val="00810FD2"/>
    <w:rsid w:val="00812051"/>
    <w:rsid w:val="00813D2D"/>
    <w:rsid w:val="00813E32"/>
    <w:rsid w:val="00813E47"/>
    <w:rsid w:val="008160F7"/>
    <w:rsid w:val="008219DE"/>
    <w:rsid w:val="00822C04"/>
    <w:rsid w:val="00822D3C"/>
    <w:rsid w:val="0082332D"/>
    <w:rsid w:val="00824E0D"/>
    <w:rsid w:val="00826400"/>
    <w:rsid w:val="00826B76"/>
    <w:rsid w:val="00826E4D"/>
    <w:rsid w:val="0082737C"/>
    <w:rsid w:val="00827791"/>
    <w:rsid w:val="00827EAF"/>
    <w:rsid w:val="00835838"/>
    <w:rsid w:val="00835CBD"/>
    <w:rsid w:val="00836347"/>
    <w:rsid w:val="008363F0"/>
    <w:rsid w:val="00836585"/>
    <w:rsid w:val="00836959"/>
    <w:rsid w:val="0083749E"/>
    <w:rsid w:val="00837760"/>
    <w:rsid w:val="00841240"/>
    <w:rsid w:val="00842A8A"/>
    <w:rsid w:val="008432A4"/>
    <w:rsid w:val="0084355F"/>
    <w:rsid w:val="008438C9"/>
    <w:rsid w:val="00845358"/>
    <w:rsid w:val="008454C1"/>
    <w:rsid w:val="008457C1"/>
    <w:rsid w:val="008465D6"/>
    <w:rsid w:val="0084672E"/>
    <w:rsid w:val="0084770E"/>
    <w:rsid w:val="00847712"/>
    <w:rsid w:val="00851205"/>
    <w:rsid w:val="00851372"/>
    <w:rsid w:val="00851B07"/>
    <w:rsid w:val="00851EF2"/>
    <w:rsid w:val="00852732"/>
    <w:rsid w:val="00853297"/>
    <w:rsid w:val="00853629"/>
    <w:rsid w:val="00854DC6"/>
    <w:rsid w:val="00856220"/>
    <w:rsid w:val="0085761E"/>
    <w:rsid w:val="00857748"/>
    <w:rsid w:val="00857D05"/>
    <w:rsid w:val="00857E34"/>
    <w:rsid w:val="00860204"/>
    <w:rsid w:val="00860727"/>
    <w:rsid w:val="00861469"/>
    <w:rsid w:val="00861BFB"/>
    <w:rsid w:val="00861C78"/>
    <w:rsid w:val="00862328"/>
    <w:rsid w:val="008623F8"/>
    <w:rsid w:val="00862F71"/>
    <w:rsid w:val="008633FC"/>
    <w:rsid w:val="0086371B"/>
    <w:rsid w:val="00863F19"/>
    <w:rsid w:val="008643E8"/>
    <w:rsid w:val="00866055"/>
    <w:rsid w:val="00866BD2"/>
    <w:rsid w:val="00866C31"/>
    <w:rsid w:val="00866E21"/>
    <w:rsid w:val="008673E3"/>
    <w:rsid w:val="00870559"/>
    <w:rsid w:val="008710A3"/>
    <w:rsid w:val="00871B9B"/>
    <w:rsid w:val="00871D0C"/>
    <w:rsid w:val="00871D70"/>
    <w:rsid w:val="00873272"/>
    <w:rsid w:val="008746F7"/>
    <w:rsid w:val="008753A1"/>
    <w:rsid w:val="00875BC4"/>
    <w:rsid w:val="00877435"/>
    <w:rsid w:val="008775EE"/>
    <w:rsid w:val="00880009"/>
    <w:rsid w:val="00880419"/>
    <w:rsid w:val="008804D8"/>
    <w:rsid w:val="00881BB1"/>
    <w:rsid w:val="00881E35"/>
    <w:rsid w:val="00881F15"/>
    <w:rsid w:val="008820E4"/>
    <w:rsid w:val="00882BB2"/>
    <w:rsid w:val="00883254"/>
    <w:rsid w:val="00883597"/>
    <w:rsid w:val="008840DD"/>
    <w:rsid w:val="008840F4"/>
    <w:rsid w:val="008853BC"/>
    <w:rsid w:val="008859AC"/>
    <w:rsid w:val="00885C47"/>
    <w:rsid w:val="008868D6"/>
    <w:rsid w:val="0088739D"/>
    <w:rsid w:val="008900D3"/>
    <w:rsid w:val="00890849"/>
    <w:rsid w:val="0089111F"/>
    <w:rsid w:val="008916EC"/>
    <w:rsid w:val="00892ABA"/>
    <w:rsid w:val="00893ED9"/>
    <w:rsid w:val="00894DEE"/>
    <w:rsid w:val="008954A3"/>
    <w:rsid w:val="008958D4"/>
    <w:rsid w:val="00895AAB"/>
    <w:rsid w:val="00895DD7"/>
    <w:rsid w:val="0089650C"/>
    <w:rsid w:val="00896732"/>
    <w:rsid w:val="008A02FB"/>
    <w:rsid w:val="008A137E"/>
    <w:rsid w:val="008A18B1"/>
    <w:rsid w:val="008A1F3C"/>
    <w:rsid w:val="008A257E"/>
    <w:rsid w:val="008A2B95"/>
    <w:rsid w:val="008A33C0"/>
    <w:rsid w:val="008A3A92"/>
    <w:rsid w:val="008A4AD8"/>
    <w:rsid w:val="008A4FFA"/>
    <w:rsid w:val="008A5FB7"/>
    <w:rsid w:val="008A6283"/>
    <w:rsid w:val="008A649E"/>
    <w:rsid w:val="008A6CD4"/>
    <w:rsid w:val="008A7024"/>
    <w:rsid w:val="008A7995"/>
    <w:rsid w:val="008B037A"/>
    <w:rsid w:val="008B095E"/>
    <w:rsid w:val="008B150D"/>
    <w:rsid w:val="008B1D73"/>
    <w:rsid w:val="008B2112"/>
    <w:rsid w:val="008B21D1"/>
    <w:rsid w:val="008B2441"/>
    <w:rsid w:val="008B2B08"/>
    <w:rsid w:val="008B2B1D"/>
    <w:rsid w:val="008B2E8D"/>
    <w:rsid w:val="008B300E"/>
    <w:rsid w:val="008B3253"/>
    <w:rsid w:val="008B39D4"/>
    <w:rsid w:val="008B3CE6"/>
    <w:rsid w:val="008B4260"/>
    <w:rsid w:val="008B499E"/>
    <w:rsid w:val="008B4A1B"/>
    <w:rsid w:val="008B4B3E"/>
    <w:rsid w:val="008B554E"/>
    <w:rsid w:val="008B56CF"/>
    <w:rsid w:val="008B578E"/>
    <w:rsid w:val="008B5C53"/>
    <w:rsid w:val="008B6A98"/>
    <w:rsid w:val="008B7CAD"/>
    <w:rsid w:val="008C0798"/>
    <w:rsid w:val="008C094E"/>
    <w:rsid w:val="008C0E88"/>
    <w:rsid w:val="008C1C46"/>
    <w:rsid w:val="008C2175"/>
    <w:rsid w:val="008C2419"/>
    <w:rsid w:val="008C2EB8"/>
    <w:rsid w:val="008C3448"/>
    <w:rsid w:val="008C39E6"/>
    <w:rsid w:val="008C494C"/>
    <w:rsid w:val="008C5910"/>
    <w:rsid w:val="008C5B44"/>
    <w:rsid w:val="008C5CFC"/>
    <w:rsid w:val="008C6228"/>
    <w:rsid w:val="008C6465"/>
    <w:rsid w:val="008C70AD"/>
    <w:rsid w:val="008C77A3"/>
    <w:rsid w:val="008C7DB3"/>
    <w:rsid w:val="008D2A58"/>
    <w:rsid w:val="008D2AF9"/>
    <w:rsid w:val="008D2B01"/>
    <w:rsid w:val="008D43ED"/>
    <w:rsid w:val="008D4C7D"/>
    <w:rsid w:val="008D4D43"/>
    <w:rsid w:val="008D7574"/>
    <w:rsid w:val="008E040C"/>
    <w:rsid w:val="008E0A4B"/>
    <w:rsid w:val="008E0F6F"/>
    <w:rsid w:val="008E15C5"/>
    <w:rsid w:val="008E168B"/>
    <w:rsid w:val="008E189E"/>
    <w:rsid w:val="008E267B"/>
    <w:rsid w:val="008E376A"/>
    <w:rsid w:val="008E3A1D"/>
    <w:rsid w:val="008E4B66"/>
    <w:rsid w:val="008E4E82"/>
    <w:rsid w:val="008E6D2B"/>
    <w:rsid w:val="008E7D72"/>
    <w:rsid w:val="008F06F5"/>
    <w:rsid w:val="008F0808"/>
    <w:rsid w:val="008F15D7"/>
    <w:rsid w:val="008F1781"/>
    <w:rsid w:val="008F2645"/>
    <w:rsid w:val="008F3998"/>
    <w:rsid w:val="008F3F5D"/>
    <w:rsid w:val="008F4A7A"/>
    <w:rsid w:val="008F7486"/>
    <w:rsid w:val="008F75AE"/>
    <w:rsid w:val="008F7BEA"/>
    <w:rsid w:val="008F7BF5"/>
    <w:rsid w:val="00901E1F"/>
    <w:rsid w:val="009043BA"/>
    <w:rsid w:val="009047FC"/>
    <w:rsid w:val="00904C00"/>
    <w:rsid w:val="009056B0"/>
    <w:rsid w:val="00905740"/>
    <w:rsid w:val="00906F21"/>
    <w:rsid w:val="00907DE8"/>
    <w:rsid w:val="00910DD2"/>
    <w:rsid w:val="00911489"/>
    <w:rsid w:val="009116B0"/>
    <w:rsid w:val="00914809"/>
    <w:rsid w:val="00914B03"/>
    <w:rsid w:val="00914B34"/>
    <w:rsid w:val="00915E90"/>
    <w:rsid w:val="00916589"/>
    <w:rsid w:val="00917D0F"/>
    <w:rsid w:val="00920585"/>
    <w:rsid w:val="00921041"/>
    <w:rsid w:val="009210AC"/>
    <w:rsid w:val="00921B30"/>
    <w:rsid w:val="00921E1F"/>
    <w:rsid w:val="00922355"/>
    <w:rsid w:val="00923784"/>
    <w:rsid w:val="009238B8"/>
    <w:rsid w:val="00923ABB"/>
    <w:rsid w:val="009240D5"/>
    <w:rsid w:val="00924896"/>
    <w:rsid w:val="0092579A"/>
    <w:rsid w:val="00925B2F"/>
    <w:rsid w:val="00926545"/>
    <w:rsid w:val="00927119"/>
    <w:rsid w:val="00927A9B"/>
    <w:rsid w:val="00930785"/>
    <w:rsid w:val="00930D32"/>
    <w:rsid w:val="0093200D"/>
    <w:rsid w:val="00932F5A"/>
    <w:rsid w:val="009334D0"/>
    <w:rsid w:val="00933FB1"/>
    <w:rsid w:val="00934225"/>
    <w:rsid w:val="0093486E"/>
    <w:rsid w:val="00934CFE"/>
    <w:rsid w:val="00935214"/>
    <w:rsid w:val="009357F4"/>
    <w:rsid w:val="00935CEE"/>
    <w:rsid w:val="00935E7E"/>
    <w:rsid w:val="0093740D"/>
    <w:rsid w:val="00937F53"/>
    <w:rsid w:val="00940CFF"/>
    <w:rsid w:val="00940ED4"/>
    <w:rsid w:val="00941005"/>
    <w:rsid w:val="00942864"/>
    <w:rsid w:val="00942B89"/>
    <w:rsid w:val="0094317E"/>
    <w:rsid w:val="00943496"/>
    <w:rsid w:val="009438F7"/>
    <w:rsid w:val="00944296"/>
    <w:rsid w:val="00944F18"/>
    <w:rsid w:val="00945E5D"/>
    <w:rsid w:val="009460F3"/>
    <w:rsid w:val="009473DA"/>
    <w:rsid w:val="00951343"/>
    <w:rsid w:val="00951949"/>
    <w:rsid w:val="00951B0E"/>
    <w:rsid w:val="00952073"/>
    <w:rsid w:val="009522FB"/>
    <w:rsid w:val="00952634"/>
    <w:rsid w:val="009529CE"/>
    <w:rsid w:val="0095318A"/>
    <w:rsid w:val="00953986"/>
    <w:rsid w:val="0095566D"/>
    <w:rsid w:val="00955C68"/>
    <w:rsid w:val="00955C72"/>
    <w:rsid w:val="00955F44"/>
    <w:rsid w:val="00956912"/>
    <w:rsid w:val="00956920"/>
    <w:rsid w:val="00956B34"/>
    <w:rsid w:val="009601F9"/>
    <w:rsid w:val="00960558"/>
    <w:rsid w:val="00961DBE"/>
    <w:rsid w:val="00961E86"/>
    <w:rsid w:val="00962889"/>
    <w:rsid w:val="009634BA"/>
    <w:rsid w:val="009642D6"/>
    <w:rsid w:val="009646B4"/>
    <w:rsid w:val="00964C54"/>
    <w:rsid w:val="00965707"/>
    <w:rsid w:val="0096635E"/>
    <w:rsid w:val="0096733A"/>
    <w:rsid w:val="00967343"/>
    <w:rsid w:val="00967704"/>
    <w:rsid w:val="00972C7B"/>
    <w:rsid w:val="00973747"/>
    <w:rsid w:val="009739C7"/>
    <w:rsid w:val="00974053"/>
    <w:rsid w:val="009760B4"/>
    <w:rsid w:val="00976721"/>
    <w:rsid w:val="009768E3"/>
    <w:rsid w:val="00977387"/>
    <w:rsid w:val="00980538"/>
    <w:rsid w:val="009815CE"/>
    <w:rsid w:val="00981DDC"/>
    <w:rsid w:val="009821E5"/>
    <w:rsid w:val="0098357B"/>
    <w:rsid w:val="00985BFA"/>
    <w:rsid w:val="0098646F"/>
    <w:rsid w:val="00986E9C"/>
    <w:rsid w:val="0099089E"/>
    <w:rsid w:val="00990CDF"/>
    <w:rsid w:val="00991FDA"/>
    <w:rsid w:val="00992B0D"/>
    <w:rsid w:val="00992C2C"/>
    <w:rsid w:val="00993836"/>
    <w:rsid w:val="00993D24"/>
    <w:rsid w:val="00994291"/>
    <w:rsid w:val="00995896"/>
    <w:rsid w:val="00996DC5"/>
    <w:rsid w:val="00997272"/>
    <w:rsid w:val="009973E8"/>
    <w:rsid w:val="009A018C"/>
    <w:rsid w:val="009A0F64"/>
    <w:rsid w:val="009A18D6"/>
    <w:rsid w:val="009A29EB"/>
    <w:rsid w:val="009A30AE"/>
    <w:rsid w:val="009A31A4"/>
    <w:rsid w:val="009A35BD"/>
    <w:rsid w:val="009A57BF"/>
    <w:rsid w:val="009A63A1"/>
    <w:rsid w:val="009A6A4E"/>
    <w:rsid w:val="009A7038"/>
    <w:rsid w:val="009A71CA"/>
    <w:rsid w:val="009B0293"/>
    <w:rsid w:val="009B20C7"/>
    <w:rsid w:val="009B40E8"/>
    <w:rsid w:val="009B4328"/>
    <w:rsid w:val="009B5386"/>
    <w:rsid w:val="009B5AD8"/>
    <w:rsid w:val="009B6C81"/>
    <w:rsid w:val="009B7000"/>
    <w:rsid w:val="009B7C02"/>
    <w:rsid w:val="009C00EC"/>
    <w:rsid w:val="009C0246"/>
    <w:rsid w:val="009C0C2B"/>
    <w:rsid w:val="009C0FCC"/>
    <w:rsid w:val="009C1157"/>
    <w:rsid w:val="009C18F9"/>
    <w:rsid w:val="009C1BA1"/>
    <w:rsid w:val="009C2A39"/>
    <w:rsid w:val="009C2CFF"/>
    <w:rsid w:val="009C314B"/>
    <w:rsid w:val="009C455D"/>
    <w:rsid w:val="009C4841"/>
    <w:rsid w:val="009C4999"/>
    <w:rsid w:val="009C57FD"/>
    <w:rsid w:val="009C5913"/>
    <w:rsid w:val="009C593F"/>
    <w:rsid w:val="009C649F"/>
    <w:rsid w:val="009C65E3"/>
    <w:rsid w:val="009C71ED"/>
    <w:rsid w:val="009D0F21"/>
    <w:rsid w:val="009D2FCB"/>
    <w:rsid w:val="009D33CB"/>
    <w:rsid w:val="009D345E"/>
    <w:rsid w:val="009D35D8"/>
    <w:rsid w:val="009D3C57"/>
    <w:rsid w:val="009D5511"/>
    <w:rsid w:val="009D5FB2"/>
    <w:rsid w:val="009D6677"/>
    <w:rsid w:val="009D6C70"/>
    <w:rsid w:val="009D7219"/>
    <w:rsid w:val="009E1622"/>
    <w:rsid w:val="009E1D4C"/>
    <w:rsid w:val="009E1F99"/>
    <w:rsid w:val="009E208E"/>
    <w:rsid w:val="009E2C1D"/>
    <w:rsid w:val="009E4352"/>
    <w:rsid w:val="009E4609"/>
    <w:rsid w:val="009E4C7E"/>
    <w:rsid w:val="009E525F"/>
    <w:rsid w:val="009E6552"/>
    <w:rsid w:val="009E655A"/>
    <w:rsid w:val="009F0DDB"/>
    <w:rsid w:val="009F1B1F"/>
    <w:rsid w:val="009F2821"/>
    <w:rsid w:val="009F4057"/>
    <w:rsid w:val="009F48E5"/>
    <w:rsid w:val="009F5400"/>
    <w:rsid w:val="009F575E"/>
    <w:rsid w:val="009F6D48"/>
    <w:rsid w:val="009F6FFC"/>
    <w:rsid w:val="009F7FDB"/>
    <w:rsid w:val="00A00088"/>
    <w:rsid w:val="00A0126C"/>
    <w:rsid w:val="00A019B9"/>
    <w:rsid w:val="00A01F94"/>
    <w:rsid w:val="00A03B06"/>
    <w:rsid w:val="00A04605"/>
    <w:rsid w:val="00A04653"/>
    <w:rsid w:val="00A04CE2"/>
    <w:rsid w:val="00A04ED1"/>
    <w:rsid w:val="00A04FD3"/>
    <w:rsid w:val="00A0511D"/>
    <w:rsid w:val="00A05719"/>
    <w:rsid w:val="00A05C21"/>
    <w:rsid w:val="00A05E9C"/>
    <w:rsid w:val="00A0641E"/>
    <w:rsid w:val="00A06803"/>
    <w:rsid w:val="00A0736D"/>
    <w:rsid w:val="00A07553"/>
    <w:rsid w:val="00A07CB1"/>
    <w:rsid w:val="00A116EC"/>
    <w:rsid w:val="00A1187D"/>
    <w:rsid w:val="00A12384"/>
    <w:rsid w:val="00A123E4"/>
    <w:rsid w:val="00A14017"/>
    <w:rsid w:val="00A158AD"/>
    <w:rsid w:val="00A1627C"/>
    <w:rsid w:val="00A16E65"/>
    <w:rsid w:val="00A17001"/>
    <w:rsid w:val="00A17003"/>
    <w:rsid w:val="00A174DB"/>
    <w:rsid w:val="00A17665"/>
    <w:rsid w:val="00A2059B"/>
    <w:rsid w:val="00A2082E"/>
    <w:rsid w:val="00A20FB5"/>
    <w:rsid w:val="00A21FC5"/>
    <w:rsid w:val="00A2226E"/>
    <w:rsid w:val="00A2270F"/>
    <w:rsid w:val="00A23325"/>
    <w:rsid w:val="00A24AC3"/>
    <w:rsid w:val="00A25434"/>
    <w:rsid w:val="00A25476"/>
    <w:rsid w:val="00A25B17"/>
    <w:rsid w:val="00A26F51"/>
    <w:rsid w:val="00A30CB0"/>
    <w:rsid w:val="00A3177F"/>
    <w:rsid w:val="00A31EF0"/>
    <w:rsid w:val="00A32434"/>
    <w:rsid w:val="00A324EB"/>
    <w:rsid w:val="00A33EB8"/>
    <w:rsid w:val="00A362AD"/>
    <w:rsid w:val="00A36F90"/>
    <w:rsid w:val="00A3742E"/>
    <w:rsid w:val="00A3784E"/>
    <w:rsid w:val="00A4032A"/>
    <w:rsid w:val="00A40CB4"/>
    <w:rsid w:val="00A42B48"/>
    <w:rsid w:val="00A4380F"/>
    <w:rsid w:val="00A43B36"/>
    <w:rsid w:val="00A449B2"/>
    <w:rsid w:val="00A44C5F"/>
    <w:rsid w:val="00A46635"/>
    <w:rsid w:val="00A47C3A"/>
    <w:rsid w:val="00A47F31"/>
    <w:rsid w:val="00A50A34"/>
    <w:rsid w:val="00A51D2D"/>
    <w:rsid w:val="00A51D9E"/>
    <w:rsid w:val="00A53275"/>
    <w:rsid w:val="00A54C46"/>
    <w:rsid w:val="00A54D34"/>
    <w:rsid w:val="00A5620B"/>
    <w:rsid w:val="00A56A95"/>
    <w:rsid w:val="00A5701E"/>
    <w:rsid w:val="00A5722D"/>
    <w:rsid w:val="00A575F9"/>
    <w:rsid w:val="00A60E66"/>
    <w:rsid w:val="00A618ED"/>
    <w:rsid w:val="00A619BA"/>
    <w:rsid w:val="00A61EF2"/>
    <w:rsid w:val="00A65DEE"/>
    <w:rsid w:val="00A66BF5"/>
    <w:rsid w:val="00A67102"/>
    <w:rsid w:val="00A70048"/>
    <w:rsid w:val="00A7088F"/>
    <w:rsid w:val="00A70BDC"/>
    <w:rsid w:val="00A70E9A"/>
    <w:rsid w:val="00A715D8"/>
    <w:rsid w:val="00A723E9"/>
    <w:rsid w:val="00A72E5F"/>
    <w:rsid w:val="00A7362A"/>
    <w:rsid w:val="00A73BBE"/>
    <w:rsid w:val="00A74E42"/>
    <w:rsid w:val="00A7644D"/>
    <w:rsid w:val="00A767F3"/>
    <w:rsid w:val="00A80DC8"/>
    <w:rsid w:val="00A85DDB"/>
    <w:rsid w:val="00A86FB3"/>
    <w:rsid w:val="00A876FB"/>
    <w:rsid w:val="00A87F26"/>
    <w:rsid w:val="00A934BC"/>
    <w:rsid w:val="00A93A10"/>
    <w:rsid w:val="00A93B80"/>
    <w:rsid w:val="00A94907"/>
    <w:rsid w:val="00A94E00"/>
    <w:rsid w:val="00A9562C"/>
    <w:rsid w:val="00A95E34"/>
    <w:rsid w:val="00A9602D"/>
    <w:rsid w:val="00A96143"/>
    <w:rsid w:val="00A96EDD"/>
    <w:rsid w:val="00A972E7"/>
    <w:rsid w:val="00A97F71"/>
    <w:rsid w:val="00AA0315"/>
    <w:rsid w:val="00AA192D"/>
    <w:rsid w:val="00AA1F6D"/>
    <w:rsid w:val="00AA227F"/>
    <w:rsid w:val="00AA3BF6"/>
    <w:rsid w:val="00AA43AB"/>
    <w:rsid w:val="00AA493B"/>
    <w:rsid w:val="00AA5BD6"/>
    <w:rsid w:val="00AA6AA1"/>
    <w:rsid w:val="00AA6B3A"/>
    <w:rsid w:val="00AB14C9"/>
    <w:rsid w:val="00AB1FBF"/>
    <w:rsid w:val="00AB34DA"/>
    <w:rsid w:val="00AB36A5"/>
    <w:rsid w:val="00AB3BE2"/>
    <w:rsid w:val="00AB41EF"/>
    <w:rsid w:val="00AB537A"/>
    <w:rsid w:val="00AB70C5"/>
    <w:rsid w:val="00AC00CA"/>
    <w:rsid w:val="00AC04F2"/>
    <w:rsid w:val="00AC1421"/>
    <w:rsid w:val="00AC14EC"/>
    <w:rsid w:val="00AC16EE"/>
    <w:rsid w:val="00AC179F"/>
    <w:rsid w:val="00AC1882"/>
    <w:rsid w:val="00AC191D"/>
    <w:rsid w:val="00AC2AD3"/>
    <w:rsid w:val="00AC3EB0"/>
    <w:rsid w:val="00AC4FF5"/>
    <w:rsid w:val="00AC55A7"/>
    <w:rsid w:val="00AC6562"/>
    <w:rsid w:val="00AC6E92"/>
    <w:rsid w:val="00AC7447"/>
    <w:rsid w:val="00AD0339"/>
    <w:rsid w:val="00AD18FB"/>
    <w:rsid w:val="00AD288C"/>
    <w:rsid w:val="00AD33CF"/>
    <w:rsid w:val="00AD35EA"/>
    <w:rsid w:val="00AD3F64"/>
    <w:rsid w:val="00AD4675"/>
    <w:rsid w:val="00AD4F79"/>
    <w:rsid w:val="00AD6F2E"/>
    <w:rsid w:val="00AE21B4"/>
    <w:rsid w:val="00AE2B5F"/>
    <w:rsid w:val="00AE3DD0"/>
    <w:rsid w:val="00AE4D7C"/>
    <w:rsid w:val="00AE501C"/>
    <w:rsid w:val="00AE7DCC"/>
    <w:rsid w:val="00AF1A34"/>
    <w:rsid w:val="00AF1C94"/>
    <w:rsid w:val="00AF45CA"/>
    <w:rsid w:val="00AF4FD0"/>
    <w:rsid w:val="00AF5C81"/>
    <w:rsid w:val="00AF5E30"/>
    <w:rsid w:val="00AF6461"/>
    <w:rsid w:val="00AF6A83"/>
    <w:rsid w:val="00AF75C4"/>
    <w:rsid w:val="00AF76E5"/>
    <w:rsid w:val="00AF7807"/>
    <w:rsid w:val="00AF7EBF"/>
    <w:rsid w:val="00B00164"/>
    <w:rsid w:val="00B0019F"/>
    <w:rsid w:val="00B00C10"/>
    <w:rsid w:val="00B01E13"/>
    <w:rsid w:val="00B02C3F"/>
    <w:rsid w:val="00B04EB2"/>
    <w:rsid w:val="00B050DC"/>
    <w:rsid w:val="00B05D3E"/>
    <w:rsid w:val="00B0632E"/>
    <w:rsid w:val="00B064B8"/>
    <w:rsid w:val="00B06D83"/>
    <w:rsid w:val="00B10D7D"/>
    <w:rsid w:val="00B12D14"/>
    <w:rsid w:val="00B138D3"/>
    <w:rsid w:val="00B13A41"/>
    <w:rsid w:val="00B13FF8"/>
    <w:rsid w:val="00B169B6"/>
    <w:rsid w:val="00B17E57"/>
    <w:rsid w:val="00B20536"/>
    <w:rsid w:val="00B24AD0"/>
    <w:rsid w:val="00B26304"/>
    <w:rsid w:val="00B30CA2"/>
    <w:rsid w:val="00B30D35"/>
    <w:rsid w:val="00B32361"/>
    <w:rsid w:val="00B32CB5"/>
    <w:rsid w:val="00B33083"/>
    <w:rsid w:val="00B33DFF"/>
    <w:rsid w:val="00B3416B"/>
    <w:rsid w:val="00B3436E"/>
    <w:rsid w:val="00B348CC"/>
    <w:rsid w:val="00B36327"/>
    <w:rsid w:val="00B36780"/>
    <w:rsid w:val="00B36E0E"/>
    <w:rsid w:val="00B40A71"/>
    <w:rsid w:val="00B40E3B"/>
    <w:rsid w:val="00B40F18"/>
    <w:rsid w:val="00B40F22"/>
    <w:rsid w:val="00B41021"/>
    <w:rsid w:val="00B410F9"/>
    <w:rsid w:val="00B41B5B"/>
    <w:rsid w:val="00B42EE2"/>
    <w:rsid w:val="00B443F1"/>
    <w:rsid w:val="00B445CA"/>
    <w:rsid w:val="00B44BCE"/>
    <w:rsid w:val="00B45E13"/>
    <w:rsid w:val="00B46594"/>
    <w:rsid w:val="00B46C1A"/>
    <w:rsid w:val="00B4700D"/>
    <w:rsid w:val="00B51F2D"/>
    <w:rsid w:val="00B5208A"/>
    <w:rsid w:val="00B526CE"/>
    <w:rsid w:val="00B52A0C"/>
    <w:rsid w:val="00B531F5"/>
    <w:rsid w:val="00B533D9"/>
    <w:rsid w:val="00B533FB"/>
    <w:rsid w:val="00B53BD1"/>
    <w:rsid w:val="00B54182"/>
    <w:rsid w:val="00B54D0A"/>
    <w:rsid w:val="00B54F6E"/>
    <w:rsid w:val="00B555D0"/>
    <w:rsid w:val="00B5565E"/>
    <w:rsid w:val="00B56EBE"/>
    <w:rsid w:val="00B56EC3"/>
    <w:rsid w:val="00B57166"/>
    <w:rsid w:val="00B577B1"/>
    <w:rsid w:val="00B57CA3"/>
    <w:rsid w:val="00B60E40"/>
    <w:rsid w:val="00B61158"/>
    <w:rsid w:val="00B6181B"/>
    <w:rsid w:val="00B62EDA"/>
    <w:rsid w:val="00B62F55"/>
    <w:rsid w:val="00B63196"/>
    <w:rsid w:val="00B638C1"/>
    <w:rsid w:val="00B63B07"/>
    <w:rsid w:val="00B640DF"/>
    <w:rsid w:val="00B64387"/>
    <w:rsid w:val="00B64AD1"/>
    <w:rsid w:val="00B64D24"/>
    <w:rsid w:val="00B65392"/>
    <w:rsid w:val="00B656FD"/>
    <w:rsid w:val="00B657A6"/>
    <w:rsid w:val="00B658FF"/>
    <w:rsid w:val="00B65CC0"/>
    <w:rsid w:val="00B70032"/>
    <w:rsid w:val="00B713C0"/>
    <w:rsid w:val="00B716E8"/>
    <w:rsid w:val="00B7202F"/>
    <w:rsid w:val="00B73739"/>
    <w:rsid w:val="00B737D1"/>
    <w:rsid w:val="00B73DC0"/>
    <w:rsid w:val="00B74479"/>
    <w:rsid w:val="00B74D19"/>
    <w:rsid w:val="00B75092"/>
    <w:rsid w:val="00B758C1"/>
    <w:rsid w:val="00B7601C"/>
    <w:rsid w:val="00B77FEB"/>
    <w:rsid w:val="00B80272"/>
    <w:rsid w:val="00B8145E"/>
    <w:rsid w:val="00B83817"/>
    <w:rsid w:val="00B83868"/>
    <w:rsid w:val="00B849D3"/>
    <w:rsid w:val="00B84FA1"/>
    <w:rsid w:val="00B85B2C"/>
    <w:rsid w:val="00B877C2"/>
    <w:rsid w:val="00B90E5C"/>
    <w:rsid w:val="00B90EA6"/>
    <w:rsid w:val="00B9195B"/>
    <w:rsid w:val="00B91A19"/>
    <w:rsid w:val="00B91FEB"/>
    <w:rsid w:val="00B920EF"/>
    <w:rsid w:val="00B92351"/>
    <w:rsid w:val="00B92EE0"/>
    <w:rsid w:val="00B94112"/>
    <w:rsid w:val="00B95EC0"/>
    <w:rsid w:val="00B97D3D"/>
    <w:rsid w:val="00BA0502"/>
    <w:rsid w:val="00BA1854"/>
    <w:rsid w:val="00BA349E"/>
    <w:rsid w:val="00BA37D1"/>
    <w:rsid w:val="00BA405D"/>
    <w:rsid w:val="00BA43AA"/>
    <w:rsid w:val="00BA6CAF"/>
    <w:rsid w:val="00BA73BD"/>
    <w:rsid w:val="00BA7AAE"/>
    <w:rsid w:val="00BA7C63"/>
    <w:rsid w:val="00BA7FF3"/>
    <w:rsid w:val="00BB00A3"/>
    <w:rsid w:val="00BB0985"/>
    <w:rsid w:val="00BB2A65"/>
    <w:rsid w:val="00BB3237"/>
    <w:rsid w:val="00BB325B"/>
    <w:rsid w:val="00BB4770"/>
    <w:rsid w:val="00BB47A2"/>
    <w:rsid w:val="00BB55C9"/>
    <w:rsid w:val="00BB568D"/>
    <w:rsid w:val="00BB6106"/>
    <w:rsid w:val="00BB671C"/>
    <w:rsid w:val="00BB6DA9"/>
    <w:rsid w:val="00BC018F"/>
    <w:rsid w:val="00BC0819"/>
    <w:rsid w:val="00BC0FEA"/>
    <w:rsid w:val="00BC142E"/>
    <w:rsid w:val="00BC19C6"/>
    <w:rsid w:val="00BC1D8A"/>
    <w:rsid w:val="00BC1E89"/>
    <w:rsid w:val="00BC1F51"/>
    <w:rsid w:val="00BC265C"/>
    <w:rsid w:val="00BC2D45"/>
    <w:rsid w:val="00BC2D4B"/>
    <w:rsid w:val="00BC2F4C"/>
    <w:rsid w:val="00BC3491"/>
    <w:rsid w:val="00BC42F7"/>
    <w:rsid w:val="00BC4EB1"/>
    <w:rsid w:val="00BC51F5"/>
    <w:rsid w:val="00BC61C4"/>
    <w:rsid w:val="00BC6200"/>
    <w:rsid w:val="00BC6AF9"/>
    <w:rsid w:val="00BC75F1"/>
    <w:rsid w:val="00BC7BBC"/>
    <w:rsid w:val="00BD00C8"/>
    <w:rsid w:val="00BD0E1C"/>
    <w:rsid w:val="00BD1003"/>
    <w:rsid w:val="00BD12DE"/>
    <w:rsid w:val="00BD393A"/>
    <w:rsid w:val="00BD3BCA"/>
    <w:rsid w:val="00BD5732"/>
    <w:rsid w:val="00BD5DC5"/>
    <w:rsid w:val="00BD63E5"/>
    <w:rsid w:val="00BD73A3"/>
    <w:rsid w:val="00BD774E"/>
    <w:rsid w:val="00BD7A6F"/>
    <w:rsid w:val="00BD7C29"/>
    <w:rsid w:val="00BE0A6E"/>
    <w:rsid w:val="00BE0F3B"/>
    <w:rsid w:val="00BE1331"/>
    <w:rsid w:val="00BE24C1"/>
    <w:rsid w:val="00BE299C"/>
    <w:rsid w:val="00BE2EDB"/>
    <w:rsid w:val="00BE349E"/>
    <w:rsid w:val="00BE40AF"/>
    <w:rsid w:val="00BE5643"/>
    <w:rsid w:val="00BE6822"/>
    <w:rsid w:val="00BE6AB2"/>
    <w:rsid w:val="00BE784D"/>
    <w:rsid w:val="00BE7E1C"/>
    <w:rsid w:val="00BF1A8F"/>
    <w:rsid w:val="00BF2494"/>
    <w:rsid w:val="00BF2711"/>
    <w:rsid w:val="00BF2B1E"/>
    <w:rsid w:val="00BF2BA3"/>
    <w:rsid w:val="00BF3B36"/>
    <w:rsid w:val="00BF4B02"/>
    <w:rsid w:val="00C000E6"/>
    <w:rsid w:val="00C003AE"/>
    <w:rsid w:val="00C00BF1"/>
    <w:rsid w:val="00C01E7B"/>
    <w:rsid w:val="00C01FCD"/>
    <w:rsid w:val="00C041BE"/>
    <w:rsid w:val="00C05B2E"/>
    <w:rsid w:val="00C060D4"/>
    <w:rsid w:val="00C063B7"/>
    <w:rsid w:val="00C067B5"/>
    <w:rsid w:val="00C074B0"/>
    <w:rsid w:val="00C07D03"/>
    <w:rsid w:val="00C07E8F"/>
    <w:rsid w:val="00C100F3"/>
    <w:rsid w:val="00C11EE4"/>
    <w:rsid w:val="00C12754"/>
    <w:rsid w:val="00C12C99"/>
    <w:rsid w:val="00C13E5B"/>
    <w:rsid w:val="00C14461"/>
    <w:rsid w:val="00C147B1"/>
    <w:rsid w:val="00C148A8"/>
    <w:rsid w:val="00C160BE"/>
    <w:rsid w:val="00C1708E"/>
    <w:rsid w:val="00C17AD3"/>
    <w:rsid w:val="00C20391"/>
    <w:rsid w:val="00C20945"/>
    <w:rsid w:val="00C20B93"/>
    <w:rsid w:val="00C20CFF"/>
    <w:rsid w:val="00C211CA"/>
    <w:rsid w:val="00C21703"/>
    <w:rsid w:val="00C25F72"/>
    <w:rsid w:val="00C27394"/>
    <w:rsid w:val="00C275A8"/>
    <w:rsid w:val="00C27EEE"/>
    <w:rsid w:val="00C301A5"/>
    <w:rsid w:val="00C301AF"/>
    <w:rsid w:val="00C31815"/>
    <w:rsid w:val="00C3197D"/>
    <w:rsid w:val="00C3217A"/>
    <w:rsid w:val="00C32EDD"/>
    <w:rsid w:val="00C34188"/>
    <w:rsid w:val="00C348E7"/>
    <w:rsid w:val="00C36072"/>
    <w:rsid w:val="00C3698B"/>
    <w:rsid w:val="00C3723D"/>
    <w:rsid w:val="00C37F5E"/>
    <w:rsid w:val="00C40FFC"/>
    <w:rsid w:val="00C41CCC"/>
    <w:rsid w:val="00C41E32"/>
    <w:rsid w:val="00C4234D"/>
    <w:rsid w:val="00C426D9"/>
    <w:rsid w:val="00C4283A"/>
    <w:rsid w:val="00C4287E"/>
    <w:rsid w:val="00C43107"/>
    <w:rsid w:val="00C43613"/>
    <w:rsid w:val="00C436D6"/>
    <w:rsid w:val="00C43DE7"/>
    <w:rsid w:val="00C44422"/>
    <w:rsid w:val="00C445AA"/>
    <w:rsid w:val="00C45800"/>
    <w:rsid w:val="00C479D0"/>
    <w:rsid w:val="00C50B17"/>
    <w:rsid w:val="00C50CE7"/>
    <w:rsid w:val="00C50E41"/>
    <w:rsid w:val="00C50EC3"/>
    <w:rsid w:val="00C51497"/>
    <w:rsid w:val="00C51D37"/>
    <w:rsid w:val="00C523E8"/>
    <w:rsid w:val="00C52BD5"/>
    <w:rsid w:val="00C531E5"/>
    <w:rsid w:val="00C54C06"/>
    <w:rsid w:val="00C54CC0"/>
    <w:rsid w:val="00C54E56"/>
    <w:rsid w:val="00C54F40"/>
    <w:rsid w:val="00C55BE6"/>
    <w:rsid w:val="00C55EB6"/>
    <w:rsid w:val="00C603D6"/>
    <w:rsid w:val="00C62416"/>
    <w:rsid w:val="00C62CD1"/>
    <w:rsid w:val="00C62D6B"/>
    <w:rsid w:val="00C635B2"/>
    <w:rsid w:val="00C63923"/>
    <w:rsid w:val="00C63C04"/>
    <w:rsid w:val="00C63F18"/>
    <w:rsid w:val="00C70648"/>
    <w:rsid w:val="00C70E4E"/>
    <w:rsid w:val="00C71ECE"/>
    <w:rsid w:val="00C7241F"/>
    <w:rsid w:val="00C7568B"/>
    <w:rsid w:val="00C7718E"/>
    <w:rsid w:val="00C774D2"/>
    <w:rsid w:val="00C80492"/>
    <w:rsid w:val="00C806FD"/>
    <w:rsid w:val="00C816DF"/>
    <w:rsid w:val="00C8188D"/>
    <w:rsid w:val="00C82438"/>
    <w:rsid w:val="00C825DB"/>
    <w:rsid w:val="00C83D3A"/>
    <w:rsid w:val="00C846B7"/>
    <w:rsid w:val="00C85D9D"/>
    <w:rsid w:val="00C8616E"/>
    <w:rsid w:val="00C87FA7"/>
    <w:rsid w:val="00C90E44"/>
    <w:rsid w:val="00C912FE"/>
    <w:rsid w:val="00C92203"/>
    <w:rsid w:val="00C923B4"/>
    <w:rsid w:val="00C93B82"/>
    <w:rsid w:val="00C93C96"/>
    <w:rsid w:val="00C93FA2"/>
    <w:rsid w:val="00C941B1"/>
    <w:rsid w:val="00C9430F"/>
    <w:rsid w:val="00C944C3"/>
    <w:rsid w:val="00C94BB2"/>
    <w:rsid w:val="00C96C61"/>
    <w:rsid w:val="00C9747F"/>
    <w:rsid w:val="00CA0629"/>
    <w:rsid w:val="00CA15BA"/>
    <w:rsid w:val="00CA162C"/>
    <w:rsid w:val="00CA25CB"/>
    <w:rsid w:val="00CA41FF"/>
    <w:rsid w:val="00CA460B"/>
    <w:rsid w:val="00CA58A3"/>
    <w:rsid w:val="00CA6212"/>
    <w:rsid w:val="00CA64FC"/>
    <w:rsid w:val="00CA7D53"/>
    <w:rsid w:val="00CB0639"/>
    <w:rsid w:val="00CB08EB"/>
    <w:rsid w:val="00CB0DA1"/>
    <w:rsid w:val="00CB0E13"/>
    <w:rsid w:val="00CB123A"/>
    <w:rsid w:val="00CB1F32"/>
    <w:rsid w:val="00CB2059"/>
    <w:rsid w:val="00CB571F"/>
    <w:rsid w:val="00CB630A"/>
    <w:rsid w:val="00CB688C"/>
    <w:rsid w:val="00CC09D9"/>
    <w:rsid w:val="00CC0B7F"/>
    <w:rsid w:val="00CC0C31"/>
    <w:rsid w:val="00CC24DE"/>
    <w:rsid w:val="00CC27C8"/>
    <w:rsid w:val="00CC32D1"/>
    <w:rsid w:val="00CC36C6"/>
    <w:rsid w:val="00CC3957"/>
    <w:rsid w:val="00CC3B60"/>
    <w:rsid w:val="00CC3D33"/>
    <w:rsid w:val="00CC41AD"/>
    <w:rsid w:val="00CC57CA"/>
    <w:rsid w:val="00CC6267"/>
    <w:rsid w:val="00CC7885"/>
    <w:rsid w:val="00CC7CBB"/>
    <w:rsid w:val="00CC7D05"/>
    <w:rsid w:val="00CC7F02"/>
    <w:rsid w:val="00CD02FC"/>
    <w:rsid w:val="00CD1005"/>
    <w:rsid w:val="00CD14DE"/>
    <w:rsid w:val="00CD15F8"/>
    <w:rsid w:val="00CD1EB8"/>
    <w:rsid w:val="00CD2364"/>
    <w:rsid w:val="00CD2BB3"/>
    <w:rsid w:val="00CD3582"/>
    <w:rsid w:val="00CD3598"/>
    <w:rsid w:val="00CD4016"/>
    <w:rsid w:val="00CD445F"/>
    <w:rsid w:val="00CD6B1E"/>
    <w:rsid w:val="00CD6D00"/>
    <w:rsid w:val="00CD6DC2"/>
    <w:rsid w:val="00CD7283"/>
    <w:rsid w:val="00CD7A4C"/>
    <w:rsid w:val="00CD7DDD"/>
    <w:rsid w:val="00CE0313"/>
    <w:rsid w:val="00CE03D1"/>
    <w:rsid w:val="00CE0555"/>
    <w:rsid w:val="00CE0E99"/>
    <w:rsid w:val="00CE1821"/>
    <w:rsid w:val="00CE30B0"/>
    <w:rsid w:val="00CE4076"/>
    <w:rsid w:val="00CE4080"/>
    <w:rsid w:val="00CE4536"/>
    <w:rsid w:val="00CE4BB3"/>
    <w:rsid w:val="00CE4F55"/>
    <w:rsid w:val="00CE5E4F"/>
    <w:rsid w:val="00CE613D"/>
    <w:rsid w:val="00CE61C2"/>
    <w:rsid w:val="00CE6E92"/>
    <w:rsid w:val="00CE710F"/>
    <w:rsid w:val="00CE7C29"/>
    <w:rsid w:val="00CF0080"/>
    <w:rsid w:val="00CF0099"/>
    <w:rsid w:val="00CF047F"/>
    <w:rsid w:val="00CF0CE3"/>
    <w:rsid w:val="00CF1309"/>
    <w:rsid w:val="00CF1E6A"/>
    <w:rsid w:val="00CF30D9"/>
    <w:rsid w:val="00CF3D35"/>
    <w:rsid w:val="00CF3ECA"/>
    <w:rsid w:val="00CF4384"/>
    <w:rsid w:val="00CF49DC"/>
    <w:rsid w:val="00CF6E34"/>
    <w:rsid w:val="00CF6EBB"/>
    <w:rsid w:val="00CF79A1"/>
    <w:rsid w:val="00D000C2"/>
    <w:rsid w:val="00D00CFB"/>
    <w:rsid w:val="00D017CF"/>
    <w:rsid w:val="00D01BB3"/>
    <w:rsid w:val="00D028EE"/>
    <w:rsid w:val="00D03128"/>
    <w:rsid w:val="00D03857"/>
    <w:rsid w:val="00D038F1"/>
    <w:rsid w:val="00D047A4"/>
    <w:rsid w:val="00D05763"/>
    <w:rsid w:val="00D05ED1"/>
    <w:rsid w:val="00D07C02"/>
    <w:rsid w:val="00D104E0"/>
    <w:rsid w:val="00D11432"/>
    <w:rsid w:val="00D14DA1"/>
    <w:rsid w:val="00D14E42"/>
    <w:rsid w:val="00D14EBD"/>
    <w:rsid w:val="00D15660"/>
    <w:rsid w:val="00D167EA"/>
    <w:rsid w:val="00D16AD2"/>
    <w:rsid w:val="00D16C69"/>
    <w:rsid w:val="00D201C2"/>
    <w:rsid w:val="00D20285"/>
    <w:rsid w:val="00D20405"/>
    <w:rsid w:val="00D2061D"/>
    <w:rsid w:val="00D20CEF"/>
    <w:rsid w:val="00D2188B"/>
    <w:rsid w:val="00D22003"/>
    <w:rsid w:val="00D22CBC"/>
    <w:rsid w:val="00D22F97"/>
    <w:rsid w:val="00D24F8D"/>
    <w:rsid w:val="00D25EF0"/>
    <w:rsid w:val="00D25FFF"/>
    <w:rsid w:val="00D26533"/>
    <w:rsid w:val="00D26F82"/>
    <w:rsid w:val="00D2759D"/>
    <w:rsid w:val="00D30489"/>
    <w:rsid w:val="00D30B15"/>
    <w:rsid w:val="00D3116F"/>
    <w:rsid w:val="00D3169F"/>
    <w:rsid w:val="00D3232E"/>
    <w:rsid w:val="00D3251E"/>
    <w:rsid w:val="00D32778"/>
    <w:rsid w:val="00D32A84"/>
    <w:rsid w:val="00D32E2E"/>
    <w:rsid w:val="00D32F04"/>
    <w:rsid w:val="00D342B8"/>
    <w:rsid w:val="00D347F3"/>
    <w:rsid w:val="00D34837"/>
    <w:rsid w:val="00D34B93"/>
    <w:rsid w:val="00D3523A"/>
    <w:rsid w:val="00D35D2F"/>
    <w:rsid w:val="00D3708B"/>
    <w:rsid w:val="00D372A6"/>
    <w:rsid w:val="00D375E7"/>
    <w:rsid w:val="00D415B4"/>
    <w:rsid w:val="00D41679"/>
    <w:rsid w:val="00D418BD"/>
    <w:rsid w:val="00D41C4A"/>
    <w:rsid w:val="00D43929"/>
    <w:rsid w:val="00D43D15"/>
    <w:rsid w:val="00D4475A"/>
    <w:rsid w:val="00D45EA6"/>
    <w:rsid w:val="00D50726"/>
    <w:rsid w:val="00D538E8"/>
    <w:rsid w:val="00D5501F"/>
    <w:rsid w:val="00D555BD"/>
    <w:rsid w:val="00D55FF9"/>
    <w:rsid w:val="00D56652"/>
    <w:rsid w:val="00D5691C"/>
    <w:rsid w:val="00D56B21"/>
    <w:rsid w:val="00D5716E"/>
    <w:rsid w:val="00D60E94"/>
    <w:rsid w:val="00D61061"/>
    <w:rsid w:val="00D61E51"/>
    <w:rsid w:val="00D62507"/>
    <w:rsid w:val="00D6267D"/>
    <w:rsid w:val="00D629E4"/>
    <w:rsid w:val="00D62EF6"/>
    <w:rsid w:val="00D63777"/>
    <w:rsid w:val="00D6669A"/>
    <w:rsid w:val="00D66BC0"/>
    <w:rsid w:val="00D66C31"/>
    <w:rsid w:val="00D66F17"/>
    <w:rsid w:val="00D703E2"/>
    <w:rsid w:val="00D704D7"/>
    <w:rsid w:val="00D71CDD"/>
    <w:rsid w:val="00D73941"/>
    <w:rsid w:val="00D73F88"/>
    <w:rsid w:val="00D74B61"/>
    <w:rsid w:val="00D74E70"/>
    <w:rsid w:val="00D77298"/>
    <w:rsid w:val="00D772E3"/>
    <w:rsid w:val="00D77376"/>
    <w:rsid w:val="00D80B34"/>
    <w:rsid w:val="00D80E6A"/>
    <w:rsid w:val="00D81378"/>
    <w:rsid w:val="00D81757"/>
    <w:rsid w:val="00D82EE5"/>
    <w:rsid w:val="00D862E6"/>
    <w:rsid w:val="00D872E5"/>
    <w:rsid w:val="00D9008C"/>
    <w:rsid w:val="00D901E9"/>
    <w:rsid w:val="00D912A7"/>
    <w:rsid w:val="00D9156F"/>
    <w:rsid w:val="00D917FD"/>
    <w:rsid w:val="00D91877"/>
    <w:rsid w:val="00D91DCC"/>
    <w:rsid w:val="00D926B7"/>
    <w:rsid w:val="00D93644"/>
    <w:rsid w:val="00D940D1"/>
    <w:rsid w:val="00D94540"/>
    <w:rsid w:val="00D94F07"/>
    <w:rsid w:val="00D95E25"/>
    <w:rsid w:val="00D96A81"/>
    <w:rsid w:val="00DA07B9"/>
    <w:rsid w:val="00DA1175"/>
    <w:rsid w:val="00DA1356"/>
    <w:rsid w:val="00DA18E7"/>
    <w:rsid w:val="00DA2B76"/>
    <w:rsid w:val="00DA2FB4"/>
    <w:rsid w:val="00DA766C"/>
    <w:rsid w:val="00DB0D53"/>
    <w:rsid w:val="00DB0DE5"/>
    <w:rsid w:val="00DB26B3"/>
    <w:rsid w:val="00DB2711"/>
    <w:rsid w:val="00DB29C3"/>
    <w:rsid w:val="00DB31A6"/>
    <w:rsid w:val="00DB3A4D"/>
    <w:rsid w:val="00DB3C8A"/>
    <w:rsid w:val="00DB4628"/>
    <w:rsid w:val="00DB4A5A"/>
    <w:rsid w:val="00DB61B9"/>
    <w:rsid w:val="00DB638F"/>
    <w:rsid w:val="00DB650A"/>
    <w:rsid w:val="00DB68E4"/>
    <w:rsid w:val="00DB725B"/>
    <w:rsid w:val="00DB7344"/>
    <w:rsid w:val="00DB76A5"/>
    <w:rsid w:val="00DC1629"/>
    <w:rsid w:val="00DC196C"/>
    <w:rsid w:val="00DC1B81"/>
    <w:rsid w:val="00DC1B95"/>
    <w:rsid w:val="00DC25E6"/>
    <w:rsid w:val="00DC2A36"/>
    <w:rsid w:val="00DC2B53"/>
    <w:rsid w:val="00DC2F88"/>
    <w:rsid w:val="00DC3E63"/>
    <w:rsid w:val="00DC505E"/>
    <w:rsid w:val="00DC6051"/>
    <w:rsid w:val="00DC6480"/>
    <w:rsid w:val="00DD0043"/>
    <w:rsid w:val="00DD026D"/>
    <w:rsid w:val="00DD20EC"/>
    <w:rsid w:val="00DD255F"/>
    <w:rsid w:val="00DD28C7"/>
    <w:rsid w:val="00DD3EE5"/>
    <w:rsid w:val="00DD413E"/>
    <w:rsid w:val="00DD53DE"/>
    <w:rsid w:val="00DD5E7E"/>
    <w:rsid w:val="00DD6868"/>
    <w:rsid w:val="00DD6AB2"/>
    <w:rsid w:val="00DD70CC"/>
    <w:rsid w:val="00DD70F0"/>
    <w:rsid w:val="00DD7471"/>
    <w:rsid w:val="00DD7A9F"/>
    <w:rsid w:val="00DE01FD"/>
    <w:rsid w:val="00DE054C"/>
    <w:rsid w:val="00DE129B"/>
    <w:rsid w:val="00DE1BC4"/>
    <w:rsid w:val="00DE1CDB"/>
    <w:rsid w:val="00DE2B83"/>
    <w:rsid w:val="00DE373C"/>
    <w:rsid w:val="00DE4489"/>
    <w:rsid w:val="00DE4B5F"/>
    <w:rsid w:val="00DE54FC"/>
    <w:rsid w:val="00DE5C7F"/>
    <w:rsid w:val="00DE6CAC"/>
    <w:rsid w:val="00DE75B6"/>
    <w:rsid w:val="00DE7DDB"/>
    <w:rsid w:val="00DF0381"/>
    <w:rsid w:val="00DF051E"/>
    <w:rsid w:val="00DF05E1"/>
    <w:rsid w:val="00DF103E"/>
    <w:rsid w:val="00DF24FF"/>
    <w:rsid w:val="00DF3BAE"/>
    <w:rsid w:val="00DF3E51"/>
    <w:rsid w:val="00DF50A4"/>
    <w:rsid w:val="00DF5178"/>
    <w:rsid w:val="00DF519D"/>
    <w:rsid w:val="00DF652B"/>
    <w:rsid w:val="00DF676C"/>
    <w:rsid w:val="00DF68BC"/>
    <w:rsid w:val="00DF6A7D"/>
    <w:rsid w:val="00DF6CED"/>
    <w:rsid w:val="00DF73E2"/>
    <w:rsid w:val="00DF7A12"/>
    <w:rsid w:val="00DF7F15"/>
    <w:rsid w:val="00E0002A"/>
    <w:rsid w:val="00E01272"/>
    <w:rsid w:val="00E0188A"/>
    <w:rsid w:val="00E01D3A"/>
    <w:rsid w:val="00E0357E"/>
    <w:rsid w:val="00E03670"/>
    <w:rsid w:val="00E03E03"/>
    <w:rsid w:val="00E040EA"/>
    <w:rsid w:val="00E0414C"/>
    <w:rsid w:val="00E04A83"/>
    <w:rsid w:val="00E04E89"/>
    <w:rsid w:val="00E056C5"/>
    <w:rsid w:val="00E06076"/>
    <w:rsid w:val="00E07986"/>
    <w:rsid w:val="00E07AB2"/>
    <w:rsid w:val="00E106EB"/>
    <w:rsid w:val="00E10B6C"/>
    <w:rsid w:val="00E10C5E"/>
    <w:rsid w:val="00E10CD2"/>
    <w:rsid w:val="00E11516"/>
    <w:rsid w:val="00E118F5"/>
    <w:rsid w:val="00E11E57"/>
    <w:rsid w:val="00E1300C"/>
    <w:rsid w:val="00E135B2"/>
    <w:rsid w:val="00E13C49"/>
    <w:rsid w:val="00E1421B"/>
    <w:rsid w:val="00E14691"/>
    <w:rsid w:val="00E16677"/>
    <w:rsid w:val="00E17138"/>
    <w:rsid w:val="00E21193"/>
    <w:rsid w:val="00E21D27"/>
    <w:rsid w:val="00E227D0"/>
    <w:rsid w:val="00E251F5"/>
    <w:rsid w:val="00E2560A"/>
    <w:rsid w:val="00E258B0"/>
    <w:rsid w:val="00E25DA0"/>
    <w:rsid w:val="00E27ABE"/>
    <w:rsid w:val="00E27D67"/>
    <w:rsid w:val="00E30D5E"/>
    <w:rsid w:val="00E31037"/>
    <w:rsid w:val="00E319B8"/>
    <w:rsid w:val="00E3225B"/>
    <w:rsid w:val="00E32267"/>
    <w:rsid w:val="00E32AB0"/>
    <w:rsid w:val="00E3356D"/>
    <w:rsid w:val="00E341CF"/>
    <w:rsid w:val="00E358E0"/>
    <w:rsid w:val="00E36A39"/>
    <w:rsid w:val="00E37384"/>
    <w:rsid w:val="00E3794B"/>
    <w:rsid w:val="00E40ED9"/>
    <w:rsid w:val="00E4161C"/>
    <w:rsid w:val="00E4165D"/>
    <w:rsid w:val="00E41FE0"/>
    <w:rsid w:val="00E43536"/>
    <w:rsid w:val="00E43C82"/>
    <w:rsid w:val="00E44671"/>
    <w:rsid w:val="00E44D7F"/>
    <w:rsid w:val="00E44F0C"/>
    <w:rsid w:val="00E46B74"/>
    <w:rsid w:val="00E46BD3"/>
    <w:rsid w:val="00E46FCD"/>
    <w:rsid w:val="00E47521"/>
    <w:rsid w:val="00E47C39"/>
    <w:rsid w:val="00E47D14"/>
    <w:rsid w:val="00E47ED0"/>
    <w:rsid w:val="00E5120E"/>
    <w:rsid w:val="00E51B6D"/>
    <w:rsid w:val="00E52344"/>
    <w:rsid w:val="00E5327D"/>
    <w:rsid w:val="00E542AC"/>
    <w:rsid w:val="00E542D5"/>
    <w:rsid w:val="00E544AA"/>
    <w:rsid w:val="00E54A11"/>
    <w:rsid w:val="00E554B7"/>
    <w:rsid w:val="00E56AA9"/>
    <w:rsid w:val="00E56ECF"/>
    <w:rsid w:val="00E5743F"/>
    <w:rsid w:val="00E5745A"/>
    <w:rsid w:val="00E579C6"/>
    <w:rsid w:val="00E60735"/>
    <w:rsid w:val="00E61563"/>
    <w:rsid w:val="00E616CD"/>
    <w:rsid w:val="00E61EBC"/>
    <w:rsid w:val="00E6288B"/>
    <w:rsid w:val="00E62B26"/>
    <w:rsid w:val="00E634DA"/>
    <w:rsid w:val="00E63C65"/>
    <w:rsid w:val="00E63D80"/>
    <w:rsid w:val="00E63EFA"/>
    <w:rsid w:val="00E65B03"/>
    <w:rsid w:val="00E66807"/>
    <w:rsid w:val="00E7037F"/>
    <w:rsid w:val="00E705C2"/>
    <w:rsid w:val="00E708C1"/>
    <w:rsid w:val="00E71B8A"/>
    <w:rsid w:val="00E72A53"/>
    <w:rsid w:val="00E72E07"/>
    <w:rsid w:val="00E73487"/>
    <w:rsid w:val="00E735CE"/>
    <w:rsid w:val="00E74A4B"/>
    <w:rsid w:val="00E74D4C"/>
    <w:rsid w:val="00E7593F"/>
    <w:rsid w:val="00E7636D"/>
    <w:rsid w:val="00E766CA"/>
    <w:rsid w:val="00E80209"/>
    <w:rsid w:val="00E80A8C"/>
    <w:rsid w:val="00E81A4A"/>
    <w:rsid w:val="00E81A54"/>
    <w:rsid w:val="00E82E48"/>
    <w:rsid w:val="00E82FDC"/>
    <w:rsid w:val="00E86AEC"/>
    <w:rsid w:val="00E87AE7"/>
    <w:rsid w:val="00E9079F"/>
    <w:rsid w:val="00E91204"/>
    <w:rsid w:val="00E918C4"/>
    <w:rsid w:val="00E922D4"/>
    <w:rsid w:val="00E92793"/>
    <w:rsid w:val="00E93079"/>
    <w:rsid w:val="00E93219"/>
    <w:rsid w:val="00E93D0E"/>
    <w:rsid w:val="00E9439A"/>
    <w:rsid w:val="00E9490F"/>
    <w:rsid w:val="00E94C06"/>
    <w:rsid w:val="00E9601C"/>
    <w:rsid w:val="00E97529"/>
    <w:rsid w:val="00E978EE"/>
    <w:rsid w:val="00EA0231"/>
    <w:rsid w:val="00EA0358"/>
    <w:rsid w:val="00EA04EF"/>
    <w:rsid w:val="00EA16AC"/>
    <w:rsid w:val="00EA177D"/>
    <w:rsid w:val="00EA1853"/>
    <w:rsid w:val="00EA3657"/>
    <w:rsid w:val="00EA4552"/>
    <w:rsid w:val="00EA4ABA"/>
    <w:rsid w:val="00EA4D98"/>
    <w:rsid w:val="00EA59F6"/>
    <w:rsid w:val="00EA6391"/>
    <w:rsid w:val="00EA6D01"/>
    <w:rsid w:val="00EA7239"/>
    <w:rsid w:val="00EA7DF1"/>
    <w:rsid w:val="00EB0491"/>
    <w:rsid w:val="00EB12CB"/>
    <w:rsid w:val="00EB15FC"/>
    <w:rsid w:val="00EB19DA"/>
    <w:rsid w:val="00EB1A41"/>
    <w:rsid w:val="00EB2378"/>
    <w:rsid w:val="00EB27EB"/>
    <w:rsid w:val="00EB27ED"/>
    <w:rsid w:val="00EB2E0B"/>
    <w:rsid w:val="00EB3868"/>
    <w:rsid w:val="00EB3C84"/>
    <w:rsid w:val="00EB3DE7"/>
    <w:rsid w:val="00EB3E61"/>
    <w:rsid w:val="00EB4626"/>
    <w:rsid w:val="00EB47BC"/>
    <w:rsid w:val="00EB489D"/>
    <w:rsid w:val="00EB5A1C"/>
    <w:rsid w:val="00EB5C08"/>
    <w:rsid w:val="00EB6F7E"/>
    <w:rsid w:val="00EB78AE"/>
    <w:rsid w:val="00EB7C40"/>
    <w:rsid w:val="00EC10CF"/>
    <w:rsid w:val="00EC11C5"/>
    <w:rsid w:val="00EC1B91"/>
    <w:rsid w:val="00EC2699"/>
    <w:rsid w:val="00EC27C3"/>
    <w:rsid w:val="00EC30E2"/>
    <w:rsid w:val="00EC3C46"/>
    <w:rsid w:val="00EC3E2B"/>
    <w:rsid w:val="00EC3E63"/>
    <w:rsid w:val="00EC4C5A"/>
    <w:rsid w:val="00EC4FC9"/>
    <w:rsid w:val="00EC5456"/>
    <w:rsid w:val="00EC55B7"/>
    <w:rsid w:val="00EC5DF2"/>
    <w:rsid w:val="00EC6973"/>
    <w:rsid w:val="00EC6D2E"/>
    <w:rsid w:val="00EC71F3"/>
    <w:rsid w:val="00EC7343"/>
    <w:rsid w:val="00EC7FD2"/>
    <w:rsid w:val="00ED043F"/>
    <w:rsid w:val="00ED160C"/>
    <w:rsid w:val="00ED1C09"/>
    <w:rsid w:val="00ED209F"/>
    <w:rsid w:val="00ED2B0F"/>
    <w:rsid w:val="00ED2C5C"/>
    <w:rsid w:val="00ED2D2F"/>
    <w:rsid w:val="00ED3E63"/>
    <w:rsid w:val="00ED4017"/>
    <w:rsid w:val="00ED4C21"/>
    <w:rsid w:val="00ED666C"/>
    <w:rsid w:val="00ED6E51"/>
    <w:rsid w:val="00ED74DE"/>
    <w:rsid w:val="00EE0A16"/>
    <w:rsid w:val="00EE1067"/>
    <w:rsid w:val="00EE3436"/>
    <w:rsid w:val="00EE5029"/>
    <w:rsid w:val="00EE621D"/>
    <w:rsid w:val="00EE62E6"/>
    <w:rsid w:val="00EE718F"/>
    <w:rsid w:val="00EE71C9"/>
    <w:rsid w:val="00EE7C20"/>
    <w:rsid w:val="00EF04A2"/>
    <w:rsid w:val="00EF0E36"/>
    <w:rsid w:val="00EF28C5"/>
    <w:rsid w:val="00EF2A57"/>
    <w:rsid w:val="00EF2BF4"/>
    <w:rsid w:val="00EF2CAD"/>
    <w:rsid w:val="00EF2F2E"/>
    <w:rsid w:val="00EF3994"/>
    <w:rsid w:val="00EF3C1A"/>
    <w:rsid w:val="00EF4312"/>
    <w:rsid w:val="00EF57C8"/>
    <w:rsid w:val="00EF5C7A"/>
    <w:rsid w:val="00EF64FC"/>
    <w:rsid w:val="00EF78CF"/>
    <w:rsid w:val="00F007E7"/>
    <w:rsid w:val="00F01CD3"/>
    <w:rsid w:val="00F029E6"/>
    <w:rsid w:val="00F03133"/>
    <w:rsid w:val="00F03560"/>
    <w:rsid w:val="00F054F4"/>
    <w:rsid w:val="00F0625E"/>
    <w:rsid w:val="00F07B13"/>
    <w:rsid w:val="00F104C4"/>
    <w:rsid w:val="00F10C3C"/>
    <w:rsid w:val="00F112A2"/>
    <w:rsid w:val="00F12062"/>
    <w:rsid w:val="00F12AE6"/>
    <w:rsid w:val="00F13BA4"/>
    <w:rsid w:val="00F146D0"/>
    <w:rsid w:val="00F1483C"/>
    <w:rsid w:val="00F14B4D"/>
    <w:rsid w:val="00F14C15"/>
    <w:rsid w:val="00F14D6A"/>
    <w:rsid w:val="00F1579E"/>
    <w:rsid w:val="00F15B6F"/>
    <w:rsid w:val="00F16657"/>
    <w:rsid w:val="00F17252"/>
    <w:rsid w:val="00F172A6"/>
    <w:rsid w:val="00F218F0"/>
    <w:rsid w:val="00F227AC"/>
    <w:rsid w:val="00F22930"/>
    <w:rsid w:val="00F22977"/>
    <w:rsid w:val="00F22D52"/>
    <w:rsid w:val="00F22F82"/>
    <w:rsid w:val="00F242D5"/>
    <w:rsid w:val="00F250DC"/>
    <w:rsid w:val="00F25155"/>
    <w:rsid w:val="00F261CC"/>
    <w:rsid w:val="00F2669D"/>
    <w:rsid w:val="00F27CBD"/>
    <w:rsid w:val="00F31348"/>
    <w:rsid w:val="00F31E26"/>
    <w:rsid w:val="00F32359"/>
    <w:rsid w:val="00F331C4"/>
    <w:rsid w:val="00F3345F"/>
    <w:rsid w:val="00F355F4"/>
    <w:rsid w:val="00F36779"/>
    <w:rsid w:val="00F36C08"/>
    <w:rsid w:val="00F36C7B"/>
    <w:rsid w:val="00F3703B"/>
    <w:rsid w:val="00F3782B"/>
    <w:rsid w:val="00F37834"/>
    <w:rsid w:val="00F37FA1"/>
    <w:rsid w:val="00F414D9"/>
    <w:rsid w:val="00F41C59"/>
    <w:rsid w:val="00F42E27"/>
    <w:rsid w:val="00F4353A"/>
    <w:rsid w:val="00F436C2"/>
    <w:rsid w:val="00F43B8B"/>
    <w:rsid w:val="00F44374"/>
    <w:rsid w:val="00F45CBB"/>
    <w:rsid w:val="00F46085"/>
    <w:rsid w:val="00F46201"/>
    <w:rsid w:val="00F47E56"/>
    <w:rsid w:val="00F502EB"/>
    <w:rsid w:val="00F5046F"/>
    <w:rsid w:val="00F50B62"/>
    <w:rsid w:val="00F51CBD"/>
    <w:rsid w:val="00F51D96"/>
    <w:rsid w:val="00F52474"/>
    <w:rsid w:val="00F546FD"/>
    <w:rsid w:val="00F5541C"/>
    <w:rsid w:val="00F57AFB"/>
    <w:rsid w:val="00F602ED"/>
    <w:rsid w:val="00F62EC0"/>
    <w:rsid w:val="00F63FA5"/>
    <w:rsid w:val="00F64779"/>
    <w:rsid w:val="00F6506A"/>
    <w:rsid w:val="00F65110"/>
    <w:rsid w:val="00F667F2"/>
    <w:rsid w:val="00F671FF"/>
    <w:rsid w:val="00F67ACC"/>
    <w:rsid w:val="00F7021D"/>
    <w:rsid w:val="00F7177B"/>
    <w:rsid w:val="00F71939"/>
    <w:rsid w:val="00F7309C"/>
    <w:rsid w:val="00F7633E"/>
    <w:rsid w:val="00F778AC"/>
    <w:rsid w:val="00F80B4D"/>
    <w:rsid w:val="00F80E02"/>
    <w:rsid w:val="00F81401"/>
    <w:rsid w:val="00F81C5A"/>
    <w:rsid w:val="00F83581"/>
    <w:rsid w:val="00F83A8F"/>
    <w:rsid w:val="00F83BF6"/>
    <w:rsid w:val="00F83DAD"/>
    <w:rsid w:val="00F85478"/>
    <w:rsid w:val="00F856B9"/>
    <w:rsid w:val="00F856C4"/>
    <w:rsid w:val="00F86277"/>
    <w:rsid w:val="00F874AA"/>
    <w:rsid w:val="00F87C79"/>
    <w:rsid w:val="00F87D64"/>
    <w:rsid w:val="00F87F3F"/>
    <w:rsid w:val="00F90A8B"/>
    <w:rsid w:val="00F90D0A"/>
    <w:rsid w:val="00F91892"/>
    <w:rsid w:val="00F92283"/>
    <w:rsid w:val="00F92438"/>
    <w:rsid w:val="00F933C1"/>
    <w:rsid w:val="00F934A2"/>
    <w:rsid w:val="00F95770"/>
    <w:rsid w:val="00F95892"/>
    <w:rsid w:val="00F95CA8"/>
    <w:rsid w:val="00F97DAF"/>
    <w:rsid w:val="00FA0059"/>
    <w:rsid w:val="00FA17DF"/>
    <w:rsid w:val="00FA1C13"/>
    <w:rsid w:val="00FA1D93"/>
    <w:rsid w:val="00FA3BFF"/>
    <w:rsid w:val="00FA4180"/>
    <w:rsid w:val="00FA4DF2"/>
    <w:rsid w:val="00FA50E0"/>
    <w:rsid w:val="00FA5DBF"/>
    <w:rsid w:val="00FB04C0"/>
    <w:rsid w:val="00FB072E"/>
    <w:rsid w:val="00FB24AE"/>
    <w:rsid w:val="00FB4D7C"/>
    <w:rsid w:val="00FB51EB"/>
    <w:rsid w:val="00FB596F"/>
    <w:rsid w:val="00FB5F0F"/>
    <w:rsid w:val="00FB6539"/>
    <w:rsid w:val="00FB7772"/>
    <w:rsid w:val="00FC08FE"/>
    <w:rsid w:val="00FC0E5F"/>
    <w:rsid w:val="00FC213E"/>
    <w:rsid w:val="00FC23C2"/>
    <w:rsid w:val="00FC31CB"/>
    <w:rsid w:val="00FC3617"/>
    <w:rsid w:val="00FC3B3E"/>
    <w:rsid w:val="00FC3BC6"/>
    <w:rsid w:val="00FC5AE9"/>
    <w:rsid w:val="00FD049F"/>
    <w:rsid w:val="00FD0E92"/>
    <w:rsid w:val="00FD1AC9"/>
    <w:rsid w:val="00FD4974"/>
    <w:rsid w:val="00FD5AF6"/>
    <w:rsid w:val="00FD6F24"/>
    <w:rsid w:val="00FD7DD9"/>
    <w:rsid w:val="00FE12BB"/>
    <w:rsid w:val="00FE20FE"/>
    <w:rsid w:val="00FE229F"/>
    <w:rsid w:val="00FE4B40"/>
    <w:rsid w:val="00FE5643"/>
    <w:rsid w:val="00FE58F3"/>
    <w:rsid w:val="00FE6CE0"/>
    <w:rsid w:val="00FE7517"/>
    <w:rsid w:val="00FF0A82"/>
    <w:rsid w:val="00FF1328"/>
    <w:rsid w:val="00FF1B23"/>
    <w:rsid w:val="00FF21D8"/>
    <w:rsid w:val="00FF2859"/>
    <w:rsid w:val="00FF4CD3"/>
    <w:rsid w:val="00FF5A1F"/>
    <w:rsid w:val="00FF62B6"/>
    <w:rsid w:val="00FF69B1"/>
    <w:rsid w:val="00FF7539"/>
    <w:rsid w:val="00FF7641"/>
    <w:rsid w:val="00FF76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65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uiPriority="9"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2" w:unhideWhenUsed="1"/>
    <w:lsdException w:name="List 3" w:unhideWhenUsed="1"/>
    <w:lsdException w:name="List Number 5" w:uiPriority="99"/>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30E9"/>
    <w:pPr>
      <w:jc w:val="both"/>
    </w:pPr>
    <w:rPr>
      <w:rFonts w:ascii="Arial" w:hAnsi="Arial"/>
      <w:kern w:val="22"/>
      <w:sz w:val="22"/>
      <w:szCs w:val="24"/>
      <w:lang w:eastAsia="en-US"/>
    </w:rPr>
  </w:style>
  <w:style w:type="paragraph" w:styleId="Heading1">
    <w:name w:val="heading 1"/>
    <w:basedOn w:val="LDStandardBodyText"/>
    <w:next w:val="Heading2"/>
    <w:uiPriority w:val="9"/>
    <w:qFormat/>
    <w:rsid w:val="009D7219"/>
    <w:pPr>
      <w:keepNext/>
      <w:keepLines/>
      <w:numPr>
        <w:numId w:val="7"/>
      </w:numPr>
      <w:spacing w:before="240"/>
      <w:contextualSpacing/>
      <w:outlineLvl w:val="0"/>
    </w:pPr>
    <w:rPr>
      <w:rFonts w:cs="Arial"/>
      <w:b/>
      <w:bCs/>
      <w:spacing w:val="10"/>
      <w:kern w:val="28"/>
      <w:sz w:val="26"/>
      <w:szCs w:val="28"/>
    </w:rPr>
  </w:style>
  <w:style w:type="paragraph" w:styleId="Heading2">
    <w:name w:val="heading 2"/>
    <w:basedOn w:val="LDStandardBodyText"/>
    <w:uiPriority w:val="9"/>
    <w:qFormat/>
    <w:rsid w:val="009D7219"/>
    <w:pPr>
      <w:numPr>
        <w:ilvl w:val="1"/>
        <w:numId w:val="7"/>
      </w:numPr>
      <w:outlineLvl w:val="1"/>
    </w:pPr>
    <w:rPr>
      <w:b/>
      <w:bCs/>
      <w:iCs/>
    </w:rPr>
  </w:style>
  <w:style w:type="paragraph" w:styleId="Heading3">
    <w:name w:val="heading 3"/>
    <w:basedOn w:val="LDStandardBodyText"/>
    <w:link w:val="Heading3Char"/>
    <w:uiPriority w:val="9"/>
    <w:qFormat/>
    <w:rsid w:val="007B30E9"/>
    <w:pPr>
      <w:numPr>
        <w:ilvl w:val="2"/>
        <w:numId w:val="7"/>
      </w:numPr>
      <w:outlineLvl w:val="2"/>
    </w:pPr>
    <w:rPr>
      <w:rFonts w:cs="Arial"/>
      <w:bCs/>
    </w:rPr>
  </w:style>
  <w:style w:type="paragraph" w:styleId="Heading4">
    <w:name w:val="heading 4"/>
    <w:basedOn w:val="LDStandardBodyText"/>
    <w:uiPriority w:val="9"/>
    <w:qFormat/>
    <w:rsid w:val="007B30E9"/>
    <w:pPr>
      <w:numPr>
        <w:ilvl w:val="3"/>
        <w:numId w:val="7"/>
      </w:numPr>
      <w:outlineLvl w:val="3"/>
    </w:pPr>
    <w:rPr>
      <w:bCs/>
    </w:rPr>
  </w:style>
  <w:style w:type="paragraph" w:styleId="Heading5">
    <w:name w:val="heading 5"/>
    <w:basedOn w:val="LDStandardBodyText"/>
    <w:uiPriority w:val="9"/>
    <w:qFormat/>
    <w:rsid w:val="007B30E9"/>
    <w:pPr>
      <w:numPr>
        <w:ilvl w:val="4"/>
        <w:numId w:val="7"/>
      </w:numPr>
      <w:outlineLvl w:val="4"/>
    </w:pPr>
    <w:rPr>
      <w:bCs/>
      <w:iCs/>
    </w:rPr>
  </w:style>
  <w:style w:type="paragraph" w:styleId="Heading6">
    <w:name w:val="heading 6"/>
    <w:basedOn w:val="LDStandardBodyText"/>
    <w:uiPriority w:val="9"/>
    <w:qFormat/>
    <w:rsid w:val="007B30E9"/>
    <w:pPr>
      <w:numPr>
        <w:ilvl w:val="5"/>
        <w:numId w:val="7"/>
      </w:numPr>
      <w:outlineLvl w:val="5"/>
    </w:pPr>
    <w:rPr>
      <w:bCs/>
    </w:rPr>
  </w:style>
  <w:style w:type="paragraph" w:styleId="Heading7">
    <w:name w:val="heading 7"/>
    <w:basedOn w:val="Normal"/>
    <w:next w:val="Normal"/>
    <w:uiPriority w:val="9"/>
    <w:semiHidden/>
    <w:qFormat/>
    <w:rsid w:val="00483B71"/>
    <w:pPr>
      <w:spacing w:after="240"/>
      <w:outlineLvl w:val="6"/>
    </w:pPr>
  </w:style>
  <w:style w:type="paragraph" w:styleId="Heading8">
    <w:name w:val="heading 8"/>
    <w:basedOn w:val="Normal"/>
    <w:next w:val="Normal"/>
    <w:uiPriority w:val="9"/>
    <w:semiHidden/>
    <w:qFormat/>
    <w:rsid w:val="00483B71"/>
    <w:pPr>
      <w:spacing w:after="240"/>
      <w:outlineLvl w:val="7"/>
    </w:pPr>
    <w:rPr>
      <w:iCs/>
    </w:rPr>
  </w:style>
  <w:style w:type="paragraph" w:styleId="Heading9">
    <w:name w:val="heading 9"/>
    <w:basedOn w:val="Normal"/>
    <w:next w:val="Normal"/>
    <w:uiPriority w:val="9"/>
    <w:semiHidden/>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StandardBodyText">
    <w:name w:val="LD_Standard_BodyText"/>
    <w:basedOn w:val="Normal"/>
    <w:rsid w:val="00735600"/>
    <w:pPr>
      <w:spacing w:after="240"/>
    </w:pPr>
  </w:style>
  <w:style w:type="numbering" w:customStyle="1" w:styleId="IPSummary">
    <w:name w:val="IPSummary"/>
    <w:rsid w:val="00CC7CBB"/>
    <w:pPr>
      <w:numPr>
        <w:numId w:val="6"/>
      </w:numPr>
    </w:p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FootnoteText">
    <w:name w:val="footnote text"/>
    <w:basedOn w:val="Normal"/>
    <w:link w:val="FootnoteTextChar"/>
    <w:uiPriority w:val="99"/>
    <w:unhideWhenUsed/>
    <w:rsid w:val="002A7DD4"/>
    <w:rPr>
      <w:sz w:val="18"/>
    </w:rPr>
  </w:style>
  <w:style w:type="character" w:styleId="FootnoteReference">
    <w:name w:val="footnote reference"/>
    <w:basedOn w:val="DefaultParagraphFont"/>
    <w:uiPriority w:val="99"/>
    <w:unhideWhenUsed/>
    <w:rsid w:val="0070658C"/>
    <w:rPr>
      <w:rFonts w:ascii="Arial" w:hAnsi="Arial"/>
      <w:color w:val="000000"/>
      <w:sz w:val="22"/>
      <w:szCs w:val="22"/>
      <w:vertAlign w:val="superscript"/>
    </w:rPr>
  </w:style>
  <w:style w:type="paragraph" w:styleId="TOC1">
    <w:name w:val="toc 1"/>
    <w:basedOn w:val="Normal"/>
    <w:next w:val="Normal"/>
    <w:uiPriority w:val="39"/>
    <w:rsid w:val="008900D3"/>
    <w:pPr>
      <w:tabs>
        <w:tab w:val="right" w:leader="dot" w:pos="9062"/>
      </w:tabs>
      <w:spacing w:before="240" w:after="120"/>
      <w:ind w:left="851" w:hanging="851"/>
    </w:pPr>
    <w:rPr>
      <w:b/>
      <w:noProof/>
      <w:kern w:val="24"/>
    </w:rPr>
  </w:style>
  <w:style w:type="character" w:styleId="Hyperlink">
    <w:name w:val="Hyperlink"/>
    <w:basedOn w:val="DefaultParagraphFont"/>
    <w:uiPriority w:val="99"/>
    <w:rsid w:val="00A06803"/>
    <w:rPr>
      <w:color w:val="0000FF"/>
      <w:u w:val="single"/>
    </w:rPr>
  </w:style>
  <w:style w:type="paragraph" w:customStyle="1" w:styleId="LDStandardBulletedList">
    <w:name w:val="LD_Standard_Bulleted_List"/>
    <w:basedOn w:val="Normal"/>
    <w:uiPriority w:val="11"/>
    <w:qFormat/>
    <w:rsid w:val="006B55CA"/>
    <w:pPr>
      <w:numPr>
        <w:numId w:val="10"/>
      </w:numPr>
      <w:spacing w:after="240"/>
      <w:jc w:val="left"/>
    </w:pPr>
    <w:rPr>
      <w:rFonts w:eastAsiaTheme="minorHAnsi" w:cstheme="minorBidi"/>
      <w:kern w:val="0"/>
    </w:rPr>
  </w:style>
  <w:style w:type="paragraph" w:customStyle="1" w:styleId="VGSOHdg3">
    <w:name w:val="VGSO Hdg 3"/>
    <w:basedOn w:val="LDStandardBodyText"/>
    <w:next w:val="LDStandardBodyText"/>
    <w:uiPriority w:val="4"/>
    <w:rsid w:val="008D2A58"/>
    <w:pPr>
      <w:keepNext/>
      <w:keepLines/>
      <w:spacing w:before="360"/>
    </w:pPr>
    <w:rPr>
      <w:i/>
      <w:spacing w:val="10"/>
      <w:szCs w:val="36"/>
    </w:rPr>
  </w:style>
  <w:style w:type="paragraph" w:customStyle="1" w:styleId="VGSOHdg2">
    <w:name w:val="VGSO Hdg 2"/>
    <w:next w:val="LDStandardBodyText"/>
    <w:uiPriority w:val="4"/>
    <w:rsid w:val="008D2A58"/>
    <w:pPr>
      <w:keepNext/>
      <w:keepLines/>
      <w:spacing w:before="360" w:after="240"/>
    </w:pPr>
    <w:rPr>
      <w:rFonts w:ascii="Arial" w:hAnsi="Arial" w:cs="Arial"/>
      <w:b/>
      <w:bCs/>
      <w:i/>
      <w:spacing w:val="10"/>
      <w:kern w:val="28"/>
      <w:sz w:val="22"/>
      <w:szCs w:val="22"/>
      <w:lang w:eastAsia="en-US"/>
    </w:rPr>
  </w:style>
  <w:style w:type="paragraph" w:styleId="DocumentMap">
    <w:name w:val="Document Map"/>
    <w:basedOn w:val="Normal"/>
    <w:semiHidden/>
    <w:rsid w:val="00FA50E0"/>
    <w:pPr>
      <w:shd w:val="clear" w:color="auto" w:fill="000080"/>
    </w:pPr>
    <w:rPr>
      <w:rFonts w:ascii="Tahoma" w:hAnsi="Tahoma" w:cs="Tahoma"/>
      <w:sz w:val="20"/>
      <w:szCs w:val="20"/>
    </w:rPr>
  </w:style>
  <w:style w:type="character" w:styleId="EndnoteReference">
    <w:name w:val="endnote reference"/>
    <w:basedOn w:val="DefaultParagraphFont"/>
    <w:semiHidden/>
    <w:rsid w:val="00810021"/>
    <w:rPr>
      <w:rFonts w:ascii="Times New Roman" w:hAnsi="Times New Roman"/>
      <w:color w:val="000000"/>
      <w:sz w:val="28"/>
      <w:szCs w:val="22"/>
      <w:vertAlign w:val="superscript"/>
    </w:rPr>
  </w:style>
  <w:style w:type="paragraph" w:styleId="EndnoteText">
    <w:name w:val="endnote text"/>
    <w:basedOn w:val="Normal"/>
    <w:semiHidden/>
    <w:rsid w:val="002A7DD4"/>
    <w:rPr>
      <w:color w:val="000000"/>
      <w:sz w:val="18"/>
    </w:rPr>
  </w:style>
  <w:style w:type="paragraph" w:styleId="Footer">
    <w:name w:val="footer"/>
    <w:basedOn w:val="Normal"/>
    <w:link w:val="FooterChar"/>
    <w:uiPriority w:val="99"/>
    <w:rsid w:val="00E118F5"/>
    <w:pPr>
      <w:tabs>
        <w:tab w:val="right" w:pos="9072"/>
      </w:tabs>
      <w:spacing w:before="240"/>
      <w:jc w:val="left"/>
    </w:pPr>
    <w:rPr>
      <w:rFonts w:ascii="Times New Roman" w:eastAsiaTheme="minorHAnsi" w:hAnsi="Times New Roman" w:cstheme="minorBidi"/>
      <w:kern w:val="0"/>
      <w:sz w:val="16"/>
    </w:rPr>
  </w:style>
  <w:style w:type="paragraph" w:styleId="TOC2">
    <w:name w:val="toc 2"/>
    <w:basedOn w:val="Normal"/>
    <w:next w:val="Normal"/>
    <w:uiPriority w:val="39"/>
    <w:rsid w:val="00C50E41"/>
    <w:pPr>
      <w:tabs>
        <w:tab w:val="right" w:leader="dot" w:pos="9062"/>
      </w:tabs>
      <w:spacing w:before="120" w:after="120"/>
      <w:ind w:left="851"/>
    </w:pPr>
    <w:rPr>
      <w:kern w:val="24"/>
      <w:szCs w:val="22"/>
    </w:rPr>
  </w:style>
  <w:style w:type="paragraph" w:styleId="TOC3">
    <w:name w:val="toc 3"/>
    <w:next w:val="Normal"/>
    <w:uiPriority w:val="39"/>
    <w:rsid w:val="00DD70CC"/>
    <w:rPr>
      <w:rFonts w:ascii="Arial" w:hAnsi="Arial"/>
      <w:b/>
      <w:i/>
      <w:kern w:val="24"/>
      <w:szCs w:val="22"/>
      <w:lang w:eastAsia="en-US"/>
    </w:rPr>
  </w:style>
  <w:style w:type="paragraph" w:styleId="TOC4">
    <w:name w:val="toc 4"/>
    <w:basedOn w:val="Normal"/>
    <w:next w:val="Normal"/>
    <w:autoRedefine/>
    <w:uiPriority w:val="99"/>
    <w:semiHidden/>
    <w:rsid w:val="00FA50E0"/>
    <w:pPr>
      <w:ind w:left="660"/>
    </w:pPr>
  </w:style>
  <w:style w:type="paragraph" w:styleId="TOC5">
    <w:name w:val="toc 5"/>
    <w:basedOn w:val="Normal"/>
    <w:next w:val="Normal"/>
    <w:autoRedefine/>
    <w:uiPriority w:val="99"/>
    <w:semiHidden/>
    <w:rsid w:val="00FA50E0"/>
    <w:pPr>
      <w:ind w:left="880"/>
    </w:pPr>
  </w:style>
  <w:style w:type="paragraph" w:styleId="TOC6">
    <w:name w:val="toc 6"/>
    <w:basedOn w:val="Normal"/>
    <w:next w:val="Normal"/>
    <w:autoRedefine/>
    <w:uiPriority w:val="99"/>
    <w:semiHidden/>
    <w:rsid w:val="00FA50E0"/>
    <w:pPr>
      <w:ind w:left="1100"/>
    </w:pPr>
  </w:style>
  <w:style w:type="paragraph" w:styleId="TOC7">
    <w:name w:val="toc 7"/>
    <w:basedOn w:val="Normal"/>
    <w:next w:val="Normal"/>
    <w:autoRedefine/>
    <w:uiPriority w:val="99"/>
    <w:semiHidden/>
    <w:rsid w:val="00FA50E0"/>
    <w:pPr>
      <w:ind w:left="1320"/>
    </w:pPr>
  </w:style>
  <w:style w:type="paragraph" w:styleId="TOC8">
    <w:name w:val="toc 8"/>
    <w:basedOn w:val="Normal"/>
    <w:next w:val="Normal"/>
    <w:autoRedefine/>
    <w:uiPriority w:val="99"/>
    <w:semiHidden/>
    <w:rsid w:val="00FA50E0"/>
    <w:pPr>
      <w:ind w:left="1540"/>
    </w:pPr>
  </w:style>
  <w:style w:type="paragraph" w:styleId="TOC9">
    <w:name w:val="toc 9"/>
    <w:basedOn w:val="Normal"/>
    <w:next w:val="Normal"/>
    <w:autoRedefine/>
    <w:uiPriority w:val="99"/>
    <w:semiHidden/>
    <w:rsid w:val="00FA50E0"/>
    <w:pPr>
      <w:ind w:left="1760"/>
    </w:pPr>
  </w:style>
  <w:style w:type="paragraph" w:customStyle="1" w:styleId="RecitalNo">
    <w:name w:val="Recital_No"/>
    <w:basedOn w:val="LDStandardBodyText"/>
    <w:uiPriority w:val="11"/>
    <w:rsid w:val="003E24DD"/>
    <w:pPr>
      <w:numPr>
        <w:numId w:val="5"/>
      </w:numPr>
      <w:jc w:val="left"/>
    </w:pPr>
  </w:style>
  <w:style w:type="paragraph" w:styleId="Header">
    <w:name w:val="header"/>
    <w:basedOn w:val="Normal"/>
    <w:uiPriority w:val="99"/>
    <w:rsid w:val="008900D3"/>
    <w:pPr>
      <w:pBdr>
        <w:bottom w:val="single" w:sz="4" w:space="6" w:color="5F5F5F"/>
      </w:pBdr>
      <w:tabs>
        <w:tab w:val="right" w:pos="9072"/>
      </w:tabs>
      <w:spacing w:after="360"/>
    </w:pPr>
    <w:rPr>
      <w:kern w:val="20"/>
      <w:sz w:val="18"/>
      <w:szCs w:val="20"/>
    </w:rPr>
  </w:style>
  <w:style w:type="paragraph" w:customStyle="1" w:styleId="VGSOlogo1">
    <w:name w:val="VGSOlogo1"/>
    <w:basedOn w:val="VGSOlogo2"/>
    <w:semiHidden/>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semiHidden/>
    <w:rsid w:val="00F71939"/>
  </w:style>
  <w:style w:type="paragraph" w:customStyle="1" w:styleId="SumHead">
    <w:name w:val="SumHead"/>
    <w:basedOn w:val="Normal"/>
    <w:next w:val="Sum1"/>
    <w:uiPriority w:val="9"/>
    <w:rsid w:val="00CC7CBB"/>
    <w:pPr>
      <w:numPr>
        <w:numId w:val="8"/>
      </w:numPr>
      <w:spacing w:before="120" w:after="240"/>
      <w:outlineLvl w:val="0"/>
    </w:pPr>
    <w:rPr>
      <w:b/>
    </w:rPr>
  </w:style>
  <w:style w:type="paragraph" w:customStyle="1" w:styleId="zFooterAdd">
    <w:name w:val="z_FooterAdd"/>
    <w:basedOn w:val="Normal"/>
    <w:semiHidden/>
    <w:rsid w:val="006B23B4"/>
    <w:pPr>
      <w:tabs>
        <w:tab w:val="left" w:pos="1843"/>
        <w:tab w:val="left" w:pos="6300"/>
      </w:tabs>
    </w:pPr>
    <w:rPr>
      <w:rFonts w:ascii="Times New Roman" w:hAnsi="Times New Roman"/>
      <w:kern w:val="0"/>
      <w:sz w:val="18"/>
      <w:szCs w:val="18"/>
      <w:lang w:val="en-US"/>
    </w:rPr>
  </w:style>
  <w:style w:type="paragraph" w:customStyle="1" w:styleId="LDStandardBulletedList1">
    <w:name w:val="LD_Standard_Bulleted_List1"/>
    <w:basedOn w:val="LDStandardBulletedList"/>
    <w:uiPriority w:val="11"/>
    <w:qFormat/>
    <w:rsid w:val="006B55CA"/>
    <w:pPr>
      <w:numPr>
        <w:ilvl w:val="1"/>
      </w:numPr>
    </w:pPr>
  </w:style>
  <w:style w:type="paragraph" w:styleId="Signature">
    <w:name w:val="Signature"/>
    <w:basedOn w:val="Normal"/>
    <w:semiHidden/>
    <w:rsid w:val="00CA162C"/>
    <w:pPr>
      <w:ind w:left="4252"/>
    </w:pPr>
  </w:style>
  <w:style w:type="paragraph" w:styleId="Closing">
    <w:name w:val="Closing"/>
    <w:basedOn w:val="Normal"/>
    <w:semiHidden/>
    <w:rsid w:val="00C479D0"/>
    <w:pPr>
      <w:ind w:left="4252"/>
    </w:pPr>
  </w:style>
  <w:style w:type="paragraph" w:styleId="Date">
    <w:name w:val="Date"/>
    <w:basedOn w:val="Normal"/>
    <w:next w:val="Normal"/>
    <w:semiHidden/>
    <w:rsid w:val="00C479D0"/>
  </w:style>
  <w:style w:type="paragraph" w:styleId="E-mailSignature">
    <w:name w:val="E-mail Signature"/>
    <w:basedOn w:val="Normal"/>
    <w:semiHidden/>
    <w:rsid w:val="00C479D0"/>
  </w:style>
  <w:style w:type="character" w:styleId="Emphasis">
    <w:name w:val="Emphasis"/>
    <w:basedOn w:val="DefaultParagraphFont"/>
    <w:semiHidden/>
    <w:qFormat/>
    <w:rsid w:val="00C479D0"/>
    <w:rPr>
      <w:i/>
      <w:iCs/>
    </w:rPr>
  </w:style>
  <w:style w:type="character" w:styleId="FollowedHyperlink">
    <w:name w:val="FollowedHyperlink"/>
    <w:basedOn w:val="DefaultParagraphFont"/>
    <w:semiHidden/>
    <w:rsid w:val="00C479D0"/>
    <w:rPr>
      <w:color w:val="800080"/>
      <w:u w:val="single"/>
    </w:rPr>
  </w:style>
  <w:style w:type="paragraph" w:styleId="MessageHeader">
    <w:name w:val="Message Header"/>
    <w:basedOn w:val="Normal"/>
    <w:semiHidden/>
    <w:rsid w:val="00C479D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PlainText">
    <w:name w:val="Plain Text"/>
    <w:basedOn w:val="Normal"/>
    <w:semiHidden/>
    <w:rsid w:val="00C479D0"/>
    <w:rPr>
      <w:rFonts w:ascii="Courier New" w:hAnsi="Courier New" w:cs="Courier New"/>
      <w:sz w:val="20"/>
      <w:szCs w:val="20"/>
    </w:rPr>
  </w:style>
  <w:style w:type="character" w:styleId="Strong">
    <w:name w:val="Strong"/>
    <w:basedOn w:val="DefaultParagraphFont"/>
    <w:semiHidden/>
    <w:qFormat/>
    <w:rsid w:val="00C479D0"/>
    <w:rPr>
      <w:b/>
      <w:bCs/>
    </w:rPr>
  </w:style>
  <w:style w:type="paragraph" w:styleId="Subtitle">
    <w:name w:val="Subtitle"/>
    <w:basedOn w:val="Normal"/>
    <w:semiHidden/>
    <w:qFormat/>
    <w:rsid w:val="00C479D0"/>
    <w:pPr>
      <w:spacing w:after="60"/>
      <w:jc w:val="center"/>
      <w:outlineLvl w:val="1"/>
    </w:pPr>
    <w:rPr>
      <w:rFonts w:cs="Arial"/>
    </w:rPr>
  </w:style>
  <w:style w:type="paragraph" w:customStyle="1" w:styleId="VGSOHdg1">
    <w:name w:val="VGSO Hdg 1"/>
    <w:basedOn w:val="LDStandardBodyText"/>
    <w:next w:val="LDStandardBodyText"/>
    <w:uiPriority w:val="4"/>
    <w:rsid w:val="007B6870"/>
    <w:pPr>
      <w:keepNext/>
      <w:keepLines/>
      <w:spacing w:before="360"/>
      <w:jc w:val="left"/>
      <w:outlineLvl w:val="0"/>
    </w:pPr>
    <w:rPr>
      <w:rFonts w:ascii="Arial Bold" w:hAnsi="Arial Bold" w:cs="Arial"/>
      <w:b/>
      <w:bCs/>
      <w:spacing w:val="10"/>
      <w:kern w:val="28"/>
      <w:sz w:val="28"/>
      <w:szCs w:val="32"/>
    </w:rPr>
  </w:style>
  <w:style w:type="paragraph" w:customStyle="1" w:styleId="LDIndent1">
    <w:name w:val="LD_Indent1"/>
    <w:basedOn w:val="LDStandardBodyText"/>
    <w:uiPriority w:val="1"/>
    <w:rsid w:val="005B3475"/>
    <w:pPr>
      <w:ind w:left="851"/>
    </w:pPr>
  </w:style>
  <w:style w:type="paragraph" w:customStyle="1" w:styleId="LDIndent2">
    <w:name w:val="LD_Indent2"/>
    <w:basedOn w:val="LDIndent1"/>
    <w:uiPriority w:val="1"/>
    <w:rsid w:val="00DF051E"/>
    <w:pPr>
      <w:ind w:left="1701"/>
    </w:pPr>
  </w:style>
  <w:style w:type="paragraph" w:customStyle="1" w:styleId="LDIndent3">
    <w:name w:val="LD_Indent3"/>
    <w:basedOn w:val="LDIndent2"/>
    <w:uiPriority w:val="1"/>
    <w:rsid w:val="00DF051E"/>
    <w:pPr>
      <w:ind w:left="2552"/>
    </w:pPr>
  </w:style>
  <w:style w:type="paragraph" w:customStyle="1" w:styleId="LDIndent4">
    <w:name w:val="LD_Indent4"/>
    <w:basedOn w:val="LDIndent3"/>
    <w:uiPriority w:val="1"/>
    <w:rsid w:val="00DF051E"/>
    <w:pPr>
      <w:ind w:left="3402"/>
    </w:pPr>
  </w:style>
  <w:style w:type="paragraph" w:customStyle="1" w:styleId="LDIndent5">
    <w:name w:val="LD_Indent5"/>
    <w:basedOn w:val="LDIndent4"/>
    <w:uiPriority w:val="1"/>
    <w:rsid w:val="00DF051E"/>
    <w:pPr>
      <w:ind w:left="4253"/>
    </w:pPr>
  </w:style>
  <w:style w:type="paragraph" w:customStyle="1" w:styleId="LDIndent6">
    <w:name w:val="LD_Indent6"/>
    <w:basedOn w:val="LDIndent5"/>
    <w:uiPriority w:val="1"/>
    <w:rsid w:val="00DF051E"/>
    <w:pPr>
      <w:ind w:left="5103"/>
    </w:pPr>
  </w:style>
  <w:style w:type="paragraph" w:customStyle="1" w:styleId="Sum1">
    <w:name w:val="Sum1"/>
    <w:uiPriority w:val="10"/>
    <w:rsid w:val="00CC7CBB"/>
    <w:pPr>
      <w:numPr>
        <w:ilvl w:val="1"/>
        <w:numId w:val="8"/>
      </w:numPr>
      <w:spacing w:after="240"/>
      <w:outlineLvl w:val="1"/>
    </w:pPr>
    <w:rPr>
      <w:rFonts w:ascii="Arial" w:hAnsi="Arial" w:cs="Arial"/>
      <w:bCs/>
      <w:kern w:val="28"/>
      <w:sz w:val="22"/>
      <w:szCs w:val="28"/>
      <w:lang w:eastAsia="en-US"/>
    </w:rPr>
  </w:style>
  <w:style w:type="table" w:customStyle="1" w:styleId="TableSummary">
    <w:name w:val="Table Summary"/>
    <w:basedOn w:val="TableNormal"/>
    <w:rsid w:val="00B97D3D"/>
    <w:tblPr>
      <w:tblInd w:w="851" w:type="dxa"/>
      <w:tblBorders>
        <w:top w:val="single" w:sz="4" w:space="0" w:color="auto"/>
        <w:left w:val="single" w:sz="4" w:space="0" w:color="auto"/>
        <w:bottom w:val="single" w:sz="4" w:space="0" w:color="auto"/>
        <w:right w:val="single" w:sz="4" w:space="0" w:color="auto"/>
      </w:tblBorders>
      <w:tblCellMar>
        <w:left w:w="57" w:type="dxa"/>
        <w:right w:w="57" w:type="dxa"/>
      </w:tblCellMar>
    </w:tblPr>
    <w:tcPr>
      <w:shd w:val="clear" w:color="auto" w:fill="C0C0C0"/>
      <w:tcMar>
        <w:left w:w="57" w:type="dxa"/>
        <w:right w:w="57" w:type="dxa"/>
      </w:tcMar>
    </w:tcPr>
  </w:style>
  <w:style w:type="paragraph" w:customStyle="1" w:styleId="zFooterWeb">
    <w:name w:val="z_FooterWeb"/>
    <w:basedOn w:val="Normal"/>
    <w:semiHidden/>
    <w:rsid w:val="006B23B4"/>
    <w:pPr>
      <w:tabs>
        <w:tab w:val="left" w:pos="4536"/>
      </w:tabs>
    </w:pPr>
    <w:rPr>
      <w:rFonts w:ascii="Times New Roman" w:hAnsi="Times New Roman"/>
      <w:kern w:val="0"/>
      <w:sz w:val="20"/>
      <w:szCs w:val="20"/>
      <w:lang w:val="en-US"/>
    </w:rPr>
  </w:style>
  <w:style w:type="paragraph" w:customStyle="1" w:styleId="LDStandardBulletedList2">
    <w:name w:val="LD_Standard_Bulleted_List2"/>
    <w:basedOn w:val="LDStandardBulletedList1"/>
    <w:uiPriority w:val="11"/>
    <w:qFormat/>
    <w:rsid w:val="006B55CA"/>
    <w:pPr>
      <w:numPr>
        <w:ilvl w:val="2"/>
      </w:numPr>
    </w:pPr>
  </w:style>
  <w:style w:type="paragraph" w:customStyle="1" w:styleId="zdocID">
    <w:name w:val="z_docID"/>
    <w:basedOn w:val="Normal"/>
    <w:next w:val="Normal"/>
    <w:semiHidden/>
    <w:rsid w:val="00B716E8"/>
    <w:rPr>
      <w:rFonts w:ascii="Times New Roman" w:hAnsi="Times New Roman"/>
      <w:kern w:val="16"/>
      <w:sz w:val="16"/>
      <w:szCs w:val="16"/>
    </w:rPr>
  </w:style>
  <w:style w:type="paragraph" w:customStyle="1" w:styleId="Quotation1">
    <w:name w:val="Quotation 1"/>
    <w:basedOn w:val="Normal"/>
    <w:uiPriority w:val="14"/>
    <w:rsid w:val="00735600"/>
    <w:pPr>
      <w:spacing w:after="240"/>
      <w:ind w:left="851" w:right="851"/>
    </w:pPr>
    <w:rPr>
      <w:kern w:val="0"/>
      <w:sz w:val="20"/>
      <w:szCs w:val="22"/>
    </w:rPr>
  </w:style>
  <w:style w:type="paragraph" w:customStyle="1" w:styleId="Quotation2">
    <w:name w:val="Quotation 2"/>
    <w:basedOn w:val="Quotation1"/>
    <w:uiPriority w:val="14"/>
    <w:rsid w:val="00B716E8"/>
    <w:pPr>
      <w:ind w:left="1701"/>
    </w:pPr>
  </w:style>
  <w:style w:type="paragraph" w:customStyle="1" w:styleId="Quotation3">
    <w:name w:val="Quotation 3"/>
    <w:basedOn w:val="Quotation2"/>
    <w:uiPriority w:val="14"/>
    <w:rsid w:val="00B716E8"/>
    <w:pPr>
      <w:ind w:left="2552"/>
    </w:pPr>
  </w:style>
  <w:style w:type="paragraph" w:customStyle="1" w:styleId="VGSOListBul">
    <w:name w:val="VGSO_ListBul"/>
    <w:basedOn w:val="Normal"/>
    <w:uiPriority w:val="12"/>
    <w:qFormat/>
    <w:rsid w:val="006B55CA"/>
    <w:pPr>
      <w:numPr>
        <w:numId w:val="2"/>
      </w:numPr>
      <w:jc w:val="left"/>
    </w:pPr>
    <w:rPr>
      <w:rFonts w:eastAsiaTheme="minorHAnsi" w:cstheme="minorBidi"/>
      <w:kern w:val="0"/>
    </w:rPr>
  </w:style>
  <w:style w:type="paragraph" w:customStyle="1" w:styleId="VGSOListNum">
    <w:name w:val="VGSO_ListNum"/>
    <w:basedOn w:val="Normal"/>
    <w:uiPriority w:val="12"/>
    <w:qFormat/>
    <w:rsid w:val="006B55CA"/>
    <w:pPr>
      <w:numPr>
        <w:numId w:val="3"/>
      </w:numPr>
      <w:jc w:val="left"/>
    </w:pPr>
    <w:rPr>
      <w:rFonts w:eastAsiaTheme="minorHAnsi" w:cstheme="minorBidi"/>
      <w:kern w:val="0"/>
    </w:rPr>
  </w:style>
  <w:style w:type="numbering" w:customStyle="1" w:styleId="VGSOStandardBullets">
    <w:name w:val="VGSO Standard Bullets"/>
    <w:uiPriority w:val="99"/>
    <w:rsid w:val="005C05E9"/>
    <w:pPr>
      <w:numPr>
        <w:numId w:val="1"/>
      </w:numPr>
    </w:pPr>
  </w:style>
  <w:style w:type="numbering" w:customStyle="1" w:styleId="DeedRecitals">
    <w:name w:val="DeedRecitals"/>
    <w:rsid w:val="003E24DD"/>
    <w:pPr>
      <w:numPr>
        <w:numId w:val="4"/>
      </w:numPr>
    </w:pPr>
  </w:style>
  <w:style w:type="numbering" w:customStyle="1" w:styleId="DeedHeadings">
    <w:name w:val="DeedHeadings"/>
    <w:rsid w:val="007B30E9"/>
    <w:pPr>
      <w:numPr>
        <w:numId w:val="7"/>
      </w:numPr>
    </w:pPr>
  </w:style>
  <w:style w:type="paragraph" w:customStyle="1" w:styleId="Coverpage">
    <w:name w:val="Coverpage"/>
    <w:basedOn w:val="LDStandardBodyText"/>
    <w:qFormat/>
    <w:rsid w:val="008D2A58"/>
    <w:rPr>
      <w:rFonts w:ascii="Arial Bold" w:hAnsi="Arial Bold"/>
      <w:b/>
      <w:sz w:val="32"/>
    </w:rPr>
  </w:style>
  <w:style w:type="paragraph" w:customStyle="1" w:styleId="LDStandard1">
    <w:name w:val="LD_Standard1"/>
    <w:basedOn w:val="LDStandardBodyText"/>
    <w:next w:val="Normal"/>
    <w:uiPriority w:val="7"/>
    <w:qFormat/>
    <w:rsid w:val="005C05E9"/>
    <w:pPr>
      <w:keepNext/>
      <w:keepLines/>
      <w:numPr>
        <w:numId w:val="11"/>
      </w:numPr>
      <w:jc w:val="left"/>
    </w:pPr>
    <w:rPr>
      <w:rFonts w:eastAsiaTheme="minorHAnsi" w:cs="Arial"/>
      <w:b/>
      <w:kern w:val="0"/>
      <w:sz w:val="26"/>
    </w:rPr>
  </w:style>
  <w:style w:type="paragraph" w:customStyle="1" w:styleId="LDStandard2">
    <w:name w:val="LD_Standard2"/>
    <w:basedOn w:val="LDStandardBodyText"/>
    <w:uiPriority w:val="7"/>
    <w:qFormat/>
    <w:rsid w:val="004520A0"/>
    <w:pPr>
      <w:numPr>
        <w:ilvl w:val="1"/>
        <w:numId w:val="11"/>
      </w:numPr>
      <w:jc w:val="left"/>
    </w:pPr>
    <w:rPr>
      <w:rFonts w:eastAsiaTheme="minorHAnsi" w:cs="Arial"/>
      <w:kern w:val="0"/>
    </w:rPr>
  </w:style>
  <w:style w:type="paragraph" w:customStyle="1" w:styleId="LDStandard3">
    <w:name w:val="LD_Standard3"/>
    <w:basedOn w:val="LDStandard2"/>
    <w:uiPriority w:val="7"/>
    <w:qFormat/>
    <w:rsid w:val="005C05E9"/>
    <w:pPr>
      <w:numPr>
        <w:ilvl w:val="2"/>
        <w:numId w:val="0"/>
      </w:numPr>
    </w:pPr>
  </w:style>
  <w:style w:type="paragraph" w:customStyle="1" w:styleId="LDStandard4">
    <w:name w:val="LD_Standard4"/>
    <w:basedOn w:val="LDStandard3"/>
    <w:uiPriority w:val="7"/>
    <w:qFormat/>
    <w:rsid w:val="00A60E66"/>
    <w:pPr>
      <w:numPr>
        <w:ilvl w:val="3"/>
        <w:numId w:val="11"/>
      </w:numPr>
    </w:pPr>
  </w:style>
  <w:style w:type="paragraph" w:customStyle="1" w:styleId="LDStandard5">
    <w:name w:val="LD_Standard5"/>
    <w:basedOn w:val="LDStandard4"/>
    <w:uiPriority w:val="7"/>
    <w:qFormat/>
    <w:rsid w:val="005C05E9"/>
    <w:pPr>
      <w:numPr>
        <w:ilvl w:val="4"/>
      </w:numPr>
    </w:pPr>
  </w:style>
  <w:style w:type="paragraph" w:customStyle="1" w:styleId="LDStandard6">
    <w:name w:val="LD_Standard6"/>
    <w:basedOn w:val="LDStandard5"/>
    <w:uiPriority w:val="7"/>
    <w:qFormat/>
    <w:rsid w:val="00365723"/>
    <w:pPr>
      <w:numPr>
        <w:ilvl w:val="0"/>
        <w:numId w:val="12"/>
      </w:numPr>
    </w:pPr>
  </w:style>
  <w:style w:type="paragraph" w:customStyle="1" w:styleId="LDStandard7">
    <w:name w:val="LD_Standard7"/>
    <w:basedOn w:val="LDStandard6"/>
    <w:uiPriority w:val="7"/>
    <w:qFormat/>
    <w:rsid w:val="005C05E9"/>
    <w:pPr>
      <w:numPr>
        <w:ilvl w:val="6"/>
        <w:numId w:val="11"/>
      </w:numPr>
    </w:pPr>
  </w:style>
  <w:style w:type="paragraph" w:customStyle="1" w:styleId="LDStandardBulletedList3">
    <w:name w:val="LD_Standard_Bulleted_List3"/>
    <w:basedOn w:val="LDStandardBulletedList2"/>
    <w:uiPriority w:val="11"/>
    <w:qFormat/>
    <w:rsid w:val="005C05E9"/>
    <w:pPr>
      <w:numPr>
        <w:ilvl w:val="3"/>
      </w:numPr>
    </w:pPr>
    <w:rPr>
      <w:rFonts w:cs="Arial"/>
    </w:rPr>
  </w:style>
  <w:style w:type="paragraph" w:customStyle="1" w:styleId="LDStandardBulletedList4">
    <w:name w:val="LD_Standard_Bulleted_List4"/>
    <w:basedOn w:val="LDStandardBulletedList3"/>
    <w:uiPriority w:val="11"/>
    <w:qFormat/>
    <w:rsid w:val="005C05E9"/>
    <w:pPr>
      <w:numPr>
        <w:ilvl w:val="4"/>
      </w:numPr>
    </w:pPr>
  </w:style>
  <w:style w:type="paragraph" w:customStyle="1" w:styleId="LDStandardBulletedList5">
    <w:name w:val="LD_Standard_Bulleted_List5"/>
    <w:basedOn w:val="LDStandardBulletedList4"/>
    <w:uiPriority w:val="11"/>
    <w:qFormat/>
    <w:rsid w:val="005C05E9"/>
    <w:pPr>
      <w:numPr>
        <w:ilvl w:val="5"/>
      </w:numPr>
    </w:pPr>
  </w:style>
  <w:style w:type="numbering" w:customStyle="1" w:styleId="LDStandardList">
    <w:name w:val="LD_StandardList"/>
    <w:uiPriority w:val="99"/>
    <w:rsid w:val="005C05E9"/>
    <w:pPr>
      <w:numPr>
        <w:numId w:val="9"/>
      </w:numPr>
    </w:pPr>
  </w:style>
  <w:style w:type="character" w:customStyle="1" w:styleId="FooterChar">
    <w:name w:val="Footer Char"/>
    <w:basedOn w:val="DefaultParagraphFont"/>
    <w:link w:val="Footer"/>
    <w:uiPriority w:val="99"/>
    <w:rsid w:val="00E118F5"/>
    <w:rPr>
      <w:rFonts w:eastAsiaTheme="minorHAnsi" w:cstheme="minorBidi"/>
      <w:sz w:val="16"/>
      <w:szCs w:val="24"/>
      <w:lang w:eastAsia="en-US"/>
    </w:rPr>
  </w:style>
  <w:style w:type="paragraph" w:styleId="CommentText">
    <w:name w:val="annotation text"/>
    <w:basedOn w:val="Normal"/>
    <w:link w:val="CommentTextChar"/>
    <w:rsid w:val="00355A56"/>
    <w:pPr>
      <w:jc w:val="left"/>
    </w:pPr>
    <w:rPr>
      <w:kern w:val="0"/>
      <w:sz w:val="18"/>
      <w:szCs w:val="20"/>
    </w:rPr>
  </w:style>
  <w:style w:type="character" w:customStyle="1" w:styleId="CommentTextChar">
    <w:name w:val="Comment Text Char"/>
    <w:basedOn w:val="DefaultParagraphFont"/>
    <w:link w:val="CommentText"/>
    <w:rsid w:val="00355A56"/>
    <w:rPr>
      <w:rFonts w:ascii="Arial" w:hAnsi="Arial"/>
      <w:sz w:val="18"/>
      <w:lang w:eastAsia="en-US"/>
    </w:rPr>
  </w:style>
  <w:style w:type="paragraph" w:customStyle="1" w:styleId="Dunhambody">
    <w:name w:val="## Dunham body"/>
    <w:basedOn w:val="Normal"/>
    <w:uiPriority w:val="7"/>
    <w:rsid w:val="00355A56"/>
    <w:pPr>
      <w:tabs>
        <w:tab w:val="num" w:pos="851"/>
      </w:tabs>
      <w:spacing w:after="240"/>
      <w:ind w:left="851" w:hanging="851"/>
      <w:jc w:val="left"/>
    </w:pPr>
    <w:rPr>
      <w:rFonts w:asciiTheme="minorHAnsi" w:eastAsiaTheme="minorHAnsi" w:hAnsiTheme="minorHAnsi" w:cstheme="minorBidi"/>
      <w:kern w:val="0"/>
      <w:sz w:val="21"/>
    </w:rPr>
  </w:style>
  <w:style w:type="paragraph" w:styleId="TOCHeading0">
    <w:name w:val="TOC Heading"/>
    <w:basedOn w:val="Heading1"/>
    <w:next w:val="Normal"/>
    <w:uiPriority w:val="39"/>
    <w:semiHidden/>
    <w:unhideWhenUsed/>
    <w:qFormat/>
    <w:rsid w:val="00BA6CAF"/>
    <w:pPr>
      <w:numPr>
        <w:numId w:val="0"/>
      </w:numPr>
      <w:spacing w:before="480" w:after="0" w:line="276" w:lineRule="auto"/>
      <w:contextualSpacing w:val="0"/>
      <w:jc w:val="left"/>
      <w:outlineLvl w:val="9"/>
    </w:pPr>
    <w:rPr>
      <w:rFonts w:asciiTheme="majorHAnsi" w:eastAsiaTheme="majorEastAsia" w:hAnsiTheme="majorHAnsi" w:cstheme="majorBidi"/>
      <w:color w:val="365F91" w:themeColor="accent1" w:themeShade="BF"/>
      <w:spacing w:val="0"/>
      <w:kern w:val="0"/>
      <w:sz w:val="28"/>
      <w:lang w:val="en-US" w:eastAsia="ja-JP"/>
    </w:rPr>
  </w:style>
  <w:style w:type="paragraph" w:styleId="BalloonText">
    <w:name w:val="Balloon Text"/>
    <w:basedOn w:val="Normal"/>
    <w:link w:val="BalloonTextChar"/>
    <w:semiHidden/>
    <w:rsid w:val="00BA6CAF"/>
    <w:rPr>
      <w:rFonts w:ascii="Tahoma" w:hAnsi="Tahoma" w:cs="Tahoma"/>
      <w:sz w:val="16"/>
      <w:szCs w:val="16"/>
    </w:rPr>
  </w:style>
  <w:style w:type="character" w:customStyle="1" w:styleId="BalloonTextChar">
    <w:name w:val="Balloon Text Char"/>
    <w:basedOn w:val="DefaultParagraphFont"/>
    <w:link w:val="BalloonText"/>
    <w:semiHidden/>
    <w:rsid w:val="00BA6CAF"/>
    <w:rPr>
      <w:rFonts w:ascii="Tahoma" w:hAnsi="Tahoma" w:cs="Tahoma"/>
      <w:kern w:val="22"/>
      <w:sz w:val="16"/>
      <w:szCs w:val="16"/>
      <w:lang w:eastAsia="en-US"/>
    </w:rPr>
  </w:style>
  <w:style w:type="paragraph" w:styleId="ListParagraph">
    <w:name w:val="List Paragraph"/>
    <w:basedOn w:val="Normal"/>
    <w:uiPriority w:val="34"/>
    <w:qFormat/>
    <w:rsid w:val="003857C9"/>
    <w:pPr>
      <w:spacing w:after="200" w:line="276" w:lineRule="auto"/>
      <w:ind w:left="720"/>
      <w:contextualSpacing/>
      <w:jc w:val="left"/>
    </w:pPr>
    <w:rPr>
      <w:rFonts w:asciiTheme="minorHAnsi" w:eastAsiaTheme="minorHAnsi" w:hAnsiTheme="minorHAnsi" w:cstheme="minorBidi"/>
      <w:kern w:val="0"/>
      <w:szCs w:val="22"/>
    </w:rPr>
  </w:style>
  <w:style w:type="paragraph" w:customStyle="1" w:styleId="CBPNum1">
    <w:name w:val="CBP Num 1"/>
    <w:basedOn w:val="Normal"/>
    <w:link w:val="CBPNum1Char"/>
    <w:qFormat/>
    <w:rsid w:val="007700C7"/>
    <w:pPr>
      <w:numPr>
        <w:numId w:val="13"/>
      </w:numPr>
      <w:spacing w:after="240"/>
      <w:jc w:val="left"/>
    </w:pPr>
    <w:rPr>
      <w:kern w:val="0"/>
      <w:sz w:val="21"/>
      <w:szCs w:val="20"/>
    </w:rPr>
  </w:style>
  <w:style w:type="paragraph" w:customStyle="1" w:styleId="CBPNum2">
    <w:name w:val="CBP Num 2"/>
    <w:basedOn w:val="Normal"/>
    <w:link w:val="CBPNum2Char"/>
    <w:qFormat/>
    <w:rsid w:val="007700C7"/>
    <w:pPr>
      <w:numPr>
        <w:ilvl w:val="1"/>
        <w:numId w:val="13"/>
      </w:numPr>
      <w:spacing w:after="240"/>
      <w:jc w:val="left"/>
    </w:pPr>
    <w:rPr>
      <w:kern w:val="0"/>
      <w:sz w:val="21"/>
      <w:szCs w:val="20"/>
    </w:rPr>
  </w:style>
  <w:style w:type="paragraph" w:customStyle="1" w:styleId="CBPNum3">
    <w:name w:val="CBP Num 3"/>
    <w:basedOn w:val="Normal"/>
    <w:qFormat/>
    <w:rsid w:val="007700C7"/>
    <w:pPr>
      <w:numPr>
        <w:ilvl w:val="2"/>
        <w:numId w:val="13"/>
      </w:numPr>
      <w:spacing w:after="240"/>
      <w:jc w:val="left"/>
    </w:pPr>
    <w:rPr>
      <w:kern w:val="0"/>
      <w:sz w:val="21"/>
      <w:szCs w:val="20"/>
      <w:lang w:eastAsia="en-AU"/>
    </w:rPr>
  </w:style>
  <w:style w:type="paragraph" w:customStyle="1" w:styleId="CBPNum4">
    <w:name w:val="CBP Num 4"/>
    <w:basedOn w:val="Normal"/>
    <w:qFormat/>
    <w:rsid w:val="007700C7"/>
    <w:pPr>
      <w:numPr>
        <w:ilvl w:val="3"/>
        <w:numId w:val="13"/>
      </w:numPr>
      <w:spacing w:after="240"/>
      <w:jc w:val="left"/>
    </w:pPr>
    <w:rPr>
      <w:kern w:val="0"/>
      <w:sz w:val="21"/>
      <w:szCs w:val="20"/>
      <w:lang w:eastAsia="en-AU"/>
    </w:rPr>
  </w:style>
  <w:style w:type="paragraph" w:customStyle="1" w:styleId="CBPNum5">
    <w:name w:val="CBP Num 5"/>
    <w:basedOn w:val="Normal"/>
    <w:qFormat/>
    <w:rsid w:val="007700C7"/>
    <w:pPr>
      <w:numPr>
        <w:ilvl w:val="4"/>
        <w:numId w:val="13"/>
      </w:numPr>
      <w:spacing w:after="240"/>
      <w:jc w:val="left"/>
    </w:pPr>
    <w:rPr>
      <w:kern w:val="0"/>
      <w:sz w:val="21"/>
      <w:szCs w:val="20"/>
      <w:lang w:eastAsia="en-AU"/>
    </w:rPr>
  </w:style>
  <w:style w:type="paragraph" w:customStyle="1" w:styleId="CBPNum6">
    <w:name w:val="CBP Num 6"/>
    <w:basedOn w:val="Normal"/>
    <w:qFormat/>
    <w:rsid w:val="007700C7"/>
    <w:pPr>
      <w:numPr>
        <w:ilvl w:val="5"/>
        <w:numId w:val="13"/>
      </w:numPr>
      <w:spacing w:after="240"/>
      <w:jc w:val="left"/>
    </w:pPr>
    <w:rPr>
      <w:kern w:val="0"/>
      <w:sz w:val="21"/>
      <w:szCs w:val="20"/>
      <w:lang w:eastAsia="en-AU"/>
    </w:rPr>
  </w:style>
  <w:style w:type="character" w:customStyle="1" w:styleId="CBPNum1Char">
    <w:name w:val="CBP Num 1 Char"/>
    <w:link w:val="CBPNum1"/>
    <w:rsid w:val="007700C7"/>
    <w:rPr>
      <w:rFonts w:ascii="Arial" w:hAnsi="Arial"/>
      <w:sz w:val="21"/>
      <w:lang w:eastAsia="en-US"/>
    </w:rPr>
  </w:style>
  <w:style w:type="numbering" w:customStyle="1" w:styleId="MD2007111">
    <w:name w:val="MD2007111"/>
    <w:rsid w:val="007700C7"/>
    <w:pPr>
      <w:numPr>
        <w:numId w:val="13"/>
      </w:numPr>
    </w:pPr>
  </w:style>
  <w:style w:type="paragraph" w:styleId="NormalWeb">
    <w:name w:val="Normal (Web)"/>
    <w:basedOn w:val="Normal"/>
    <w:uiPriority w:val="99"/>
    <w:semiHidden/>
    <w:unhideWhenUsed/>
    <w:rsid w:val="005F758A"/>
    <w:pPr>
      <w:spacing w:before="100" w:beforeAutospacing="1" w:after="100" w:afterAutospacing="1"/>
      <w:jc w:val="left"/>
    </w:pPr>
    <w:rPr>
      <w:rFonts w:ascii="Times" w:hAnsi="Times"/>
      <w:kern w:val="0"/>
      <w:sz w:val="20"/>
      <w:szCs w:val="20"/>
    </w:rPr>
  </w:style>
  <w:style w:type="character" w:customStyle="1" w:styleId="CBPNum2Char">
    <w:name w:val="CBP Num 2 Char"/>
    <w:link w:val="CBPNum2"/>
    <w:rsid w:val="00CE5E4F"/>
    <w:rPr>
      <w:rFonts w:ascii="Arial" w:hAnsi="Arial"/>
      <w:sz w:val="21"/>
      <w:lang w:eastAsia="en-US"/>
    </w:rPr>
  </w:style>
  <w:style w:type="paragraph" w:styleId="ListBullet2">
    <w:name w:val="List Bullet 2"/>
    <w:basedOn w:val="Normal"/>
    <w:autoRedefine/>
    <w:rsid w:val="002B3355"/>
    <w:pPr>
      <w:numPr>
        <w:numId w:val="14"/>
      </w:numPr>
      <w:spacing w:after="120"/>
      <w:jc w:val="left"/>
    </w:pPr>
    <w:rPr>
      <w:rFonts w:ascii="Book Antiqua" w:hAnsi="Book Antiqua"/>
      <w:kern w:val="0"/>
      <w:sz w:val="24"/>
      <w:szCs w:val="20"/>
    </w:rPr>
  </w:style>
  <w:style w:type="character" w:styleId="CommentReference">
    <w:name w:val="annotation reference"/>
    <w:rsid w:val="005D349C"/>
    <w:rPr>
      <w:rFonts w:ascii="Arial Bold" w:hAnsi="Arial Bold"/>
      <w:b/>
      <w:color w:val="0000FF"/>
      <w:sz w:val="28"/>
    </w:rPr>
  </w:style>
  <w:style w:type="paragraph" w:styleId="ListNumber4">
    <w:name w:val="List Number 4"/>
    <w:basedOn w:val="Normal"/>
    <w:semiHidden/>
    <w:rsid w:val="005D349C"/>
    <w:pPr>
      <w:numPr>
        <w:numId w:val="15"/>
      </w:numPr>
      <w:jc w:val="left"/>
    </w:pPr>
    <w:rPr>
      <w:kern w:val="0"/>
      <w:sz w:val="21"/>
      <w:szCs w:val="20"/>
      <w:lang w:eastAsia="en-AU"/>
    </w:rPr>
  </w:style>
  <w:style w:type="paragraph" w:customStyle="1" w:styleId="JCMCS3">
    <w:name w:val="JCM (CS3)"/>
    <w:basedOn w:val="Normal"/>
    <w:link w:val="JCMCS3Char"/>
    <w:qFormat/>
    <w:rsid w:val="000242F6"/>
    <w:pPr>
      <w:keepNext/>
      <w:spacing w:after="240"/>
      <w:ind w:left="709"/>
      <w:jc w:val="left"/>
    </w:pPr>
    <w:rPr>
      <w:b/>
      <w:kern w:val="0"/>
      <w:sz w:val="16"/>
      <w:szCs w:val="21"/>
    </w:rPr>
  </w:style>
  <w:style w:type="character" w:customStyle="1" w:styleId="JCMCS3Char">
    <w:name w:val="JCM (CS3) Char"/>
    <w:basedOn w:val="DefaultParagraphFont"/>
    <w:link w:val="JCMCS3"/>
    <w:rsid w:val="000242F6"/>
    <w:rPr>
      <w:rFonts w:ascii="Arial" w:hAnsi="Arial"/>
      <w:b/>
      <w:sz w:val="16"/>
      <w:szCs w:val="21"/>
      <w:lang w:eastAsia="en-US"/>
    </w:rPr>
  </w:style>
  <w:style w:type="character" w:customStyle="1" w:styleId="FootnoteTextChar">
    <w:name w:val="Footnote Text Char"/>
    <w:basedOn w:val="DefaultParagraphFont"/>
    <w:link w:val="FootnoteText"/>
    <w:uiPriority w:val="99"/>
    <w:rsid w:val="00EF57C8"/>
    <w:rPr>
      <w:rFonts w:ascii="Arial" w:hAnsi="Arial"/>
      <w:kern w:val="22"/>
      <w:sz w:val="18"/>
      <w:szCs w:val="24"/>
      <w:lang w:eastAsia="en-US"/>
    </w:rPr>
  </w:style>
  <w:style w:type="paragraph" w:styleId="CommentSubject">
    <w:name w:val="annotation subject"/>
    <w:basedOn w:val="CommentText"/>
    <w:next w:val="CommentText"/>
    <w:link w:val="CommentSubjectChar"/>
    <w:semiHidden/>
    <w:rsid w:val="002245FF"/>
    <w:pPr>
      <w:jc w:val="both"/>
    </w:pPr>
    <w:rPr>
      <w:b/>
      <w:bCs/>
      <w:kern w:val="22"/>
      <w:sz w:val="20"/>
    </w:rPr>
  </w:style>
  <w:style w:type="character" w:customStyle="1" w:styleId="CommentSubjectChar">
    <w:name w:val="Comment Subject Char"/>
    <w:basedOn w:val="CommentTextChar"/>
    <w:link w:val="CommentSubject"/>
    <w:semiHidden/>
    <w:rsid w:val="002245FF"/>
    <w:rPr>
      <w:rFonts w:ascii="Arial" w:hAnsi="Arial"/>
      <w:b/>
      <w:bCs/>
      <w:kern w:val="22"/>
      <w:sz w:val="18"/>
      <w:lang w:eastAsia="en-US"/>
    </w:rPr>
  </w:style>
  <w:style w:type="paragraph" w:styleId="Revision">
    <w:name w:val="Revision"/>
    <w:hidden/>
    <w:uiPriority w:val="99"/>
    <w:semiHidden/>
    <w:rsid w:val="00AD35EA"/>
    <w:rPr>
      <w:rFonts w:ascii="Arial" w:hAnsi="Arial"/>
      <w:kern w:val="22"/>
      <w:sz w:val="22"/>
      <w:szCs w:val="24"/>
      <w:lang w:eastAsia="en-US"/>
    </w:rPr>
  </w:style>
  <w:style w:type="character" w:customStyle="1" w:styleId="Heading3Char">
    <w:name w:val="Heading 3 Char"/>
    <w:basedOn w:val="DefaultParagraphFont"/>
    <w:link w:val="Heading3"/>
    <w:uiPriority w:val="9"/>
    <w:rsid w:val="00671FC7"/>
    <w:rPr>
      <w:rFonts w:ascii="Arial" w:hAnsi="Arial" w:cs="Arial"/>
      <w:bCs/>
      <w:kern w:val="22"/>
      <w:sz w:val="22"/>
      <w:szCs w:val="24"/>
      <w:lang w:eastAsia="en-US"/>
    </w:rPr>
  </w:style>
  <w:style w:type="paragraph" w:styleId="BlockText">
    <w:name w:val="Block Text"/>
    <w:basedOn w:val="Normal"/>
    <w:rsid w:val="00671FC7"/>
    <w:pPr>
      <w:spacing w:after="120"/>
      <w:jc w:val="left"/>
    </w:pPr>
    <w:rPr>
      <w:rFonts w:ascii="Times New Roman" w:hAnsi="Times New Roman"/>
      <w:kern w:val="0"/>
      <w:sz w:val="24"/>
      <w:lang w:val="en-US"/>
    </w:rPr>
  </w:style>
  <w:style w:type="paragraph" w:styleId="ListNumber5">
    <w:name w:val="List Number 5"/>
    <w:basedOn w:val="Normal"/>
    <w:uiPriority w:val="99"/>
    <w:unhideWhenUsed/>
    <w:rsid w:val="00666AEE"/>
    <w:pPr>
      <w:numPr>
        <w:numId w:val="19"/>
      </w:numPr>
      <w:spacing w:after="120" w:line="280" w:lineRule="atLeast"/>
      <w:contextualSpacing/>
    </w:pPr>
    <w:rPr>
      <w:rFonts w:cs="Arial"/>
      <w:color w:val="333333"/>
      <w:kern w:val="0"/>
      <w:szCs w:val="21"/>
      <w:lang w:eastAsia="en-AU"/>
    </w:rPr>
  </w:style>
  <w:style w:type="paragraph" w:styleId="BodyText">
    <w:name w:val="Body Text"/>
    <w:basedOn w:val="Normal"/>
    <w:link w:val="BodyTextChar"/>
    <w:rsid w:val="00E81A54"/>
    <w:pPr>
      <w:spacing w:after="120"/>
      <w:jc w:val="left"/>
    </w:pPr>
    <w:rPr>
      <w:rFonts w:ascii="Times New Roman" w:eastAsiaTheme="minorEastAsia" w:hAnsi="Times New Roman"/>
      <w:kern w:val="0"/>
      <w:sz w:val="24"/>
      <w:lang w:val="en-US"/>
    </w:rPr>
  </w:style>
  <w:style w:type="character" w:customStyle="1" w:styleId="BodyTextChar">
    <w:name w:val="Body Text Char"/>
    <w:basedOn w:val="DefaultParagraphFont"/>
    <w:link w:val="BodyText"/>
    <w:rsid w:val="00E81A54"/>
    <w:rPr>
      <w:rFonts w:eastAsiaTheme="minorEastAsi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uiPriority="9" w:qFormat="1"/>
    <w:lsdException w:name="heading 4" w:semiHidden="0" w:qFormat="1"/>
    <w:lsdException w:name="heading 5" w:semiHidden="0" w:qFormat="1"/>
    <w:lsdException w:name="heading 6" w:semiHidden="0"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iPriority="99"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2" w:unhideWhenUsed="1"/>
    <w:lsdException w:name="List 3" w:unhideWhenUsed="1"/>
    <w:lsdException w:name="List Number 5" w:uiPriority="99"/>
    <w:lsdException w:name="Title"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Hyperlink" w:semiHidden="0" w:uiPriority="99"/>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B30E9"/>
    <w:pPr>
      <w:jc w:val="both"/>
    </w:pPr>
    <w:rPr>
      <w:rFonts w:ascii="Arial" w:hAnsi="Arial"/>
      <w:kern w:val="22"/>
      <w:sz w:val="22"/>
      <w:szCs w:val="24"/>
      <w:lang w:eastAsia="en-US"/>
    </w:rPr>
  </w:style>
  <w:style w:type="paragraph" w:styleId="Heading1">
    <w:name w:val="heading 1"/>
    <w:basedOn w:val="LDStandardBodyText"/>
    <w:next w:val="Heading2"/>
    <w:uiPriority w:val="9"/>
    <w:qFormat/>
    <w:rsid w:val="009D7219"/>
    <w:pPr>
      <w:keepNext/>
      <w:keepLines/>
      <w:numPr>
        <w:numId w:val="7"/>
      </w:numPr>
      <w:spacing w:before="240"/>
      <w:contextualSpacing/>
      <w:outlineLvl w:val="0"/>
    </w:pPr>
    <w:rPr>
      <w:rFonts w:cs="Arial"/>
      <w:b/>
      <w:bCs/>
      <w:spacing w:val="10"/>
      <w:kern w:val="28"/>
      <w:sz w:val="26"/>
      <w:szCs w:val="28"/>
    </w:rPr>
  </w:style>
  <w:style w:type="paragraph" w:styleId="Heading2">
    <w:name w:val="heading 2"/>
    <w:basedOn w:val="LDStandardBodyText"/>
    <w:uiPriority w:val="9"/>
    <w:qFormat/>
    <w:rsid w:val="009D7219"/>
    <w:pPr>
      <w:numPr>
        <w:ilvl w:val="1"/>
        <w:numId w:val="7"/>
      </w:numPr>
      <w:outlineLvl w:val="1"/>
    </w:pPr>
    <w:rPr>
      <w:b/>
      <w:bCs/>
      <w:iCs/>
    </w:rPr>
  </w:style>
  <w:style w:type="paragraph" w:styleId="Heading3">
    <w:name w:val="heading 3"/>
    <w:basedOn w:val="LDStandardBodyText"/>
    <w:link w:val="Heading3Char"/>
    <w:uiPriority w:val="9"/>
    <w:qFormat/>
    <w:rsid w:val="007B30E9"/>
    <w:pPr>
      <w:numPr>
        <w:ilvl w:val="2"/>
        <w:numId w:val="7"/>
      </w:numPr>
      <w:outlineLvl w:val="2"/>
    </w:pPr>
    <w:rPr>
      <w:rFonts w:cs="Arial"/>
      <w:bCs/>
    </w:rPr>
  </w:style>
  <w:style w:type="paragraph" w:styleId="Heading4">
    <w:name w:val="heading 4"/>
    <w:basedOn w:val="LDStandardBodyText"/>
    <w:uiPriority w:val="9"/>
    <w:qFormat/>
    <w:rsid w:val="007B30E9"/>
    <w:pPr>
      <w:numPr>
        <w:ilvl w:val="3"/>
        <w:numId w:val="7"/>
      </w:numPr>
      <w:outlineLvl w:val="3"/>
    </w:pPr>
    <w:rPr>
      <w:bCs/>
    </w:rPr>
  </w:style>
  <w:style w:type="paragraph" w:styleId="Heading5">
    <w:name w:val="heading 5"/>
    <w:basedOn w:val="LDStandardBodyText"/>
    <w:uiPriority w:val="9"/>
    <w:qFormat/>
    <w:rsid w:val="007B30E9"/>
    <w:pPr>
      <w:numPr>
        <w:ilvl w:val="4"/>
        <w:numId w:val="7"/>
      </w:numPr>
      <w:outlineLvl w:val="4"/>
    </w:pPr>
    <w:rPr>
      <w:bCs/>
      <w:iCs/>
    </w:rPr>
  </w:style>
  <w:style w:type="paragraph" w:styleId="Heading6">
    <w:name w:val="heading 6"/>
    <w:basedOn w:val="LDStandardBodyText"/>
    <w:uiPriority w:val="9"/>
    <w:qFormat/>
    <w:rsid w:val="007B30E9"/>
    <w:pPr>
      <w:numPr>
        <w:ilvl w:val="5"/>
        <w:numId w:val="7"/>
      </w:numPr>
      <w:outlineLvl w:val="5"/>
    </w:pPr>
    <w:rPr>
      <w:bCs/>
    </w:rPr>
  </w:style>
  <w:style w:type="paragraph" w:styleId="Heading7">
    <w:name w:val="heading 7"/>
    <w:basedOn w:val="Normal"/>
    <w:next w:val="Normal"/>
    <w:uiPriority w:val="9"/>
    <w:semiHidden/>
    <w:qFormat/>
    <w:rsid w:val="00483B71"/>
    <w:pPr>
      <w:spacing w:after="240"/>
      <w:outlineLvl w:val="6"/>
    </w:pPr>
  </w:style>
  <w:style w:type="paragraph" w:styleId="Heading8">
    <w:name w:val="heading 8"/>
    <w:basedOn w:val="Normal"/>
    <w:next w:val="Normal"/>
    <w:uiPriority w:val="9"/>
    <w:semiHidden/>
    <w:qFormat/>
    <w:rsid w:val="00483B71"/>
    <w:pPr>
      <w:spacing w:after="240"/>
      <w:outlineLvl w:val="7"/>
    </w:pPr>
    <w:rPr>
      <w:iCs/>
    </w:rPr>
  </w:style>
  <w:style w:type="paragraph" w:styleId="Heading9">
    <w:name w:val="heading 9"/>
    <w:basedOn w:val="Normal"/>
    <w:next w:val="Normal"/>
    <w:uiPriority w:val="9"/>
    <w:semiHidden/>
    <w:qFormat/>
    <w:rsid w:val="00483B71"/>
    <w:p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DStandardBodyText">
    <w:name w:val="LD_Standard_BodyText"/>
    <w:basedOn w:val="Normal"/>
    <w:rsid w:val="00735600"/>
    <w:pPr>
      <w:spacing w:after="240"/>
    </w:pPr>
  </w:style>
  <w:style w:type="numbering" w:customStyle="1" w:styleId="IPSummary">
    <w:name w:val="IPSummary"/>
    <w:rsid w:val="00CC7CBB"/>
    <w:pPr>
      <w:numPr>
        <w:numId w:val="6"/>
      </w:numPr>
    </w:pPr>
  </w:style>
  <w:style w:type="paragraph" w:customStyle="1" w:styleId="TOCHeading">
    <w:name w:val="TOC_Heading"/>
    <w:uiPriority w:val="99"/>
    <w:rsid w:val="00366E29"/>
    <w:pPr>
      <w:spacing w:after="240"/>
    </w:pPr>
    <w:rPr>
      <w:rFonts w:ascii="Arial" w:hAnsi="Arial"/>
      <w:b/>
      <w:spacing w:val="14"/>
      <w:kern w:val="22"/>
      <w:sz w:val="28"/>
      <w:szCs w:val="28"/>
      <w:lang w:eastAsia="en-US"/>
    </w:rPr>
  </w:style>
  <w:style w:type="paragraph" w:styleId="FootnoteText">
    <w:name w:val="footnote text"/>
    <w:basedOn w:val="Normal"/>
    <w:link w:val="FootnoteTextChar"/>
    <w:uiPriority w:val="99"/>
    <w:unhideWhenUsed/>
    <w:rsid w:val="002A7DD4"/>
    <w:rPr>
      <w:sz w:val="18"/>
    </w:rPr>
  </w:style>
  <w:style w:type="character" w:styleId="FootnoteReference">
    <w:name w:val="footnote reference"/>
    <w:basedOn w:val="DefaultParagraphFont"/>
    <w:uiPriority w:val="99"/>
    <w:unhideWhenUsed/>
    <w:rsid w:val="0070658C"/>
    <w:rPr>
      <w:rFonts w:ascii="Arial" w:hAnsi="Arial"/>
      <w:color w:val="000000"/>
      <w:sz w:val="22"/>
      <w:szCs w:val="22"/>
      <w:vertAlign w:val="superscript"/>
    </w:rPr>
  </w:style>
  <w:style w:type="paragraph" w:styleId="TOC1">
    <w:name w:val="toc 1"/>
    <w:basedOn w:val="Normal"/>
    <w:next w:val="Normal"/>
    <w:uiPriority w:val="39"/>
    <w:rsid w:val="008900D3"/>
    <w:pPr>
      <w:tabs>
        <w:tab w:val="right" w:leader="dot" w:pos="9062"/>
      </w:tabs>
      <w:spacing w:before="240" w:after="120"/>
      <w:ind w:left="851" w:hanging="851"/>
    </w:pPr>
    <w:rPr>
      <w:b/>
      <w:noProof/>
      <w:kern w:val="24"/>
    </w:rPr>
  </w:style>
  <w:style w:type="character" w:styleId="Hyperlink">
    <w:name w:val="Hyperlink"/>
    <w:basedOn w:val="DefaultParagraphFont"/>
    <w:uiPriority w:val="99"/>
    <w:rsid w:val="00A06803"/>
    <w:rPr>
      <w:color w:val="0000FF"/>
      <w:u w:val="single"/>
    </w:rPr>
  </w:style>
  <w:style w:type="paragraph" w:customStyle="1" w:styleId="LDStandardBulletedList">
    <w:name w:val="LD_Standard_Bulleted_List"/>
    <w:basedOn w:val="Normal"/>
    <w:uiPriority w:val="11"/>
    <w:qFormat/>
    <w:rsid w:val="006B55CA"/>
    <w:pPr>
      <w:numPr>
        <w:numId w:val="10"/>
      </w:numPr>
      <w:spacing w:after="240"/>
      <w:jc w:val="left"/>
    </w:pPr>
    <w:rPr>
      <w:rFonts w:eastAsiaTheme="minorHAnsi" w:cstheme="minorBidi"/>
      <w:kern w:val="0"/>
    </w:rPr>
  </w:style>
  <w:style w:type="paragraph" w:customStyle="1" w:styleId="VGSOHdg3">
    <w:name w:val="VGSO Hdg 3"/>
    <w:basedOn w:val="LDStandardBodyText"/>
    <w:next w:val="LDStandardBodyText"/>
    <w:uiPriority w:val="4"/>
    <w:rsid w:val="008D2A58"/>
    <w:pPr>
      <w:keepNext/>
      <w:keepLines/>
      <w:spacing w:before="360"/>
    </w:pPr>
    <w:rPr>
      <w:i/>
      <w:spacing w:val="10"/>
      <w:szCs w:val="36"/>
    </w:rPr>
  </w:style>
  <w:style w:type="paragraph" w:customStyle="1" w:styleId="VGSOHdg2">
    <w:name w:val="VGSO Hdg 2"/>
    <w:next w:val="LDStandardBodyText"/>
    <w:uiPriority w:val="4"/>
    <w:rsid w:val="008D2A58"/>
    <w:pPr>
      <w:keepNext/>
      <w:keepLines/>
      <w:spacing w:before="360" w:after="240"/>
    </w:pPr>
    <w:rPr>
      <w:rFonts w:ascii="Arial" w:hAnsi="Arial" w:cs="Arial"/>
      <w:b/>
      <w:bCs/>
      <w:i/>
      <w:spacing w:val="10"/>
      <w:kern w:val="28"/>
      <w:sz w:val="22"/>
      <w:szCs w:val="22"/>
      <w:lang w:eastAsia="en-US"/>
    </w:rPr>
  </w:style>
  <w:style w:type="paragraph" w:styleId="DocumentMap">
    <w:name w:val="Document Map"/>
    <w:basedOn w:val="Normal"/>
    <w:semiHidden/>
    <w:rsid w:val="00FA50E0"/>
    <w:pPr>
      <w:shd w:val="clear" w:color="auto" w:fill="000080"/>
    </w:pPr>
    <w:rPr>
      <w:rFonts w:ascii="Tahoma" w:hAnsi="Tahoma" w:cs="Tahoma"/>
      <w:sz w:val="20"/>
      <w:szCs w:val="20"/>
    </w:rPr>
  </w:style>
  <w:style w:type="character" w:styleId="EndnoteReference">
    <w:name w:val="endnote reference"/>
    <w:basedOn w:val="DefaultParagraphFont"/>
    <w:semiHidden/>
    <w:rsid w:val="00810021"/>
    <w:rPr>
      <w:rFonts w:ascii="Times New Roman" w:hAnsi="Times New Roman"/>
      <w:color w:val="000000"/>
      <w:sz w:val="28"/>
      <w:szCs w:val="22"/>
      <w:vertAlign w:val="superscript"/>
    </w:rPr>
  </w:style>
  <w:style w:type="paragraph" w:styleId="EndnoteText">
    <w:name w:val="endnote text"/>
    <w:basedOn w:val="Normal"/>
    <w:semiHidden/>
    <w:rsid w:val="002A7DD4"/>
    <w:rPr>
      <w:color w:val="000000"/>
      <w:sz w:val="18"/>
    </w:rPr>
  </w:style>
  <w:style w:type="paragraph" w:styleId="Footer">
    <w:name w:val="footer"/>
    <w:basedOn w:val="Normal"/>
    <w:link w:val="FooterChar"/>
    <w:uiPriority w:val="99"/>
    <w:rsid w:val="00E118F5"/>
    <w:pPr>
      <w:tabs>
        <w:tab w:val="right" w:pos="9072"/>
      </w:tabs>
      <w:spacing w:before="240"/>
      <w:jc w:val="left"/>
    </w:pPr>
    <w:rPr>
      <w:rFonts w:ascii="Times New Roman" w:eastAsiaTheme="minorHAnsi" w:hAnsi="Times New Roman" w:cstheme="minorBidi"/>
      <w:kern w:val="0"/>
      <w:sz w:val="16"/>
    </w:rPr>
  </w:style>
  <w:style w:type="paragraph" w:styleId="TOC2">
    <w:name w:val="toc 2"/>
    <w:basedOn w:val="Normal"/>
    <w:next w:val="Normal"/>
    <w:uiPriority w:val="39"/>
    <w:rsid w:val="00C50E41"/>
    <w:pPr>
      <w:tabs>
        <w:tab w:val="right" w:leader="dot" w:pos="9062"/>
      </w:tabs>
      <w:spacing w:before="120" w:after="120"/>
      <w:ind w:left="851"/>
    </w:pPr>
    <w:rPr>
      <w:kern w:val="24"/>
      <w:szCs w:val="22"/>
    </w:rPr>
  </w:style>
  <w:style w:type="paragraph" w:styleId="TOC3">
    <w:name w:val="toc 3"/>
    <w:next w:val="Normal"/>
    <w:uiPriority w:val="39"/>
    <w:rsid w:val="00DD70CC"/>
    <w:rPr>
      <w:rFonts w:ascii="Arial" w:hAnsi="Arial"/>
      <w:b/>
      <w:i/>
      <w:kern w:val="24"/>
      <w:szCs w:val="22"/>
      <w:lang w:eastAsia="en-US"/>
    </w:rPr>
  </w:style>
  <w:style w:type="paragraph" w:styleId="TOC4">
    <w:name w:val="toc 4"/>
    <w:basedOn w:val="Normal"/>
    <w:next w:val="Normal"/>
    <w:autoRedefine/>
    <w:uiPriority w:val="99"/>
    <w:semiHidden/>
    <w:rsid w:val="00FA50E0"/>
    <w:pPr>
      <w:ind w:left="660"/>
    </w:pPr>
  </w:style>
  <w:style w:type="paragraph" w:styleId="TOC5">
    <w:name w:val="toc 5"/>
    <w:basedOn w:val="Normal"/>
    <w:next w:val="Normal"/>
    <w:autoRedefine/>
    <w:uiPriority w:val="99"/>
    <w:semiHidden/>
    <w:rsid w:val="00FA50E0"/>
    <w:pPr>
      <w:ind w:left="880"/>
    </w:pPr>
  </w:style>
  <w:style w:type="paragraph" w:styleId="TOC6">
    <w:name w:val="toc 6"/>
    <w:basedOn w:val="Normal"/>
    <w:next w:val="Normal"/>
    <w:autoRedefine/>
    <w:uiPriority w:val="99"/>
    <w:semiHidden/>
    <w:rsid w:val="00FA50E0"/>
    <w:pPr>
      <w:ind w:left="1100"/>
    </w:pPr>
  </w:style>
  <w:style w:type="paragraph" w:styleId="TOC7">
    <w:name w:val="toc 7"/>
    <w:basedOn w:val="Normal"/>
    <w:next w:val="Normal"/>
    <w:autoRedefine/>
    <w:uiPriority w:val="99"/>
    <w:semiHidden/>
    <w:rsid w:val="00FA50E0"/>
    <w:pPr>
      <w:ind w:left="1320"/>
    </w:pPr>
  </w:style>
  <w:style w:type="paragraph" w:styleId="TOC8">
    <w:name w:val="toc 8"/>
    <w:basedOn w:val="Normal"/>
    <w:next w:val="Normal"/>
    <w:autoRedefine/>
    <w:uiPriority w:val="99"/>
    <w:semiHidden/>
    <w:rsid w:val="00FA50E0"/>
    <w:pPr>
      <w:ind w:left="1540"/>
    </w:pPr>
  </w:style>
  <w:style w:type="paragraph" w:styleId="TOC9">
    <w:name w:val="toc 9"/>
    <w:basedOn w:val="Normal"/>
    <w:next w:val="Normal"/>
    <w:autoRedefine/>
    <w:uiPriority w:val="99"/>
    <w:semiHidden/>
    <w:rsid w:val="00FA50E0"/>
    <w:pPr>
      <w:ind w:left="1760"/>
    </w:pPr>
  </w:style>
  <w:style w:type="paragraph" w:customStyle="1" w:styleId="RecitalNo">
    <w:name w:val="Recital_No"/>
    <w:basedOn w:val="LDStandardBodyText"/>
    <w:uiPriority w:val="11"/>
    <w:rsid w:val="003E24DD"/>
    <w:pPr>
      <w:numPr>
        <w:numId w:val="5"/>
      </w:numPr>
      <w:jc w:val="left"/>
    </w:pPr>
  </w:style>
  <w:style w:type="paragraph" w:styleId="Header">
    <w:name w:val="header"/>
    <w:basedOn w:val="Normal"/>
    <w:uiPriority w:val="99"/>
    <w:rsid w:val="008900D3"/>
    <w:pPr>
      <w:pBdr>
        <w:bottom w:val="single" w:sz="4" w:space="6" w:color="5F5F5F"/>
      </w:pBdr>
      <w:tabs>
        <w:tab w:val="right" w:pos="9072"/>
      </w:tabs>
      <w:spacing w:after="360"/>
    </w:pPr>
    <w:rPr>
      <w:kern w:val="20"/>
      <w:sz w:val="18"/>
      <w:szCs w:val="20"/>
    </w:rPr>
  </w:style>
  <w:style w:type="paragraph" w:customStyle="1" w:styleId="VGSOlogo1">
    <w:name w:val="VGSOlogo1"/>
    <w:basedOn w:val="VGSOlogo2"/>
    <w:semiHidden/>
    <w:rsid w:val="00FE5643"/>
    <w:pPr>
      <w:jc w:val="left"/>
    </w:pPr>
  </w:style>
  <w:style w:type="paragraph" w:customStyle="1" w:styleId="VGSOlogo2">
    <w:name w:val="VGSOlogo2"/>
    <w:basedOn w:val="Normal"/>
    <w:semiHidden/>
    <w:rsid w:val="00D43D15"/>
    <w:pPr>
      <w:tabs>
        <w:tab w:val="left" w:pos="369"/>
      </w:tabs>
      <w:jc w:val="right"/>
    </w:pPr>
    <w:rPr>
      <w:color w:val="00467F"/>
      <w:spacing w:val="14"/>
      <w:kern w:val="16"/>
      <w:sz w:val="16"/>
      <w:szCs w:val="16"/>
    </w:rPr>
  </w:style>
  <w:style w:type="character" w:styleId="PageNumber">
    <w:name w:val="page number"/>
    <w:basedOn w:val="DefaultParagraphFont"/>
    <w:semiHidden/>
    <w:rsid w:val="00F71939"/>
  </w:style>
  <w:style w:type="paragraph" w:customStyle="1" w:styleId="SumHead">
    <w:name w:val="SumHead"/>
    <w:basedOn w:val="Normal"/>
    <w:next w:val="Sum1"/>
    <w:uiPriority w:val="9"/>
    <w:rsid w:val="00CC7CBB"/>
    <w:pPr>
      <w:numPr>
        <w:numId w:val="8"/>
      </w:numPr>
      <w:spacing w:before="120" w:after="240"/>
      <w:outlineLvl w:val="0"/>
    </w:pPr>
    <w:rPr>
      <w:b/>
    </w:rPr>
  </w:style>
  <w:style w:type="paragraph" w:customStyle="1" w:styleId="zFooterAdd">
    <w:name w:val="z_FooterAdd"/>
    <w:basedOn w:val="Normal"/>
    <w:semiHidden/>
    <w:rsid w:val="006B23B4"/>
    <w:pPr>
      <w:tabs>
        <w:tab w:val="left" w:pos="1843"/>
        <w:tab w:val="left" w:pos="6300"/>
      </w:tabs>
    </w:pPr>
    <w:rPr>
      <w:rFonts w:ascii="Times New Roman" w:hAnsi="Times New Roman"/>
      <w:kern w:val="0"/>
      <w:sz w:val="18"/>
      <w:szCs w:val="18"/>
      <w:lang w:val="en-US"/>
    </w:rPr>
  </w:style>
  <w:style w:type="paragraph" w:customStyle="1" w:styleId="LDStandardBulletedList1">
    <w:name w:val="LD_Standard_Bulleted_List1"/>
    <w:basedOn w:val="LDStandardBulletedList"/>
    <w:uiPriority w:val="11"/>
    <w:qFormat/>
    <w:rsid w:val="006B55CA"/>
    <w:pPr>
      <w:numPr>
        <w:ilvl w:val="1"/>
      </w:numPr>
    </w:pPr>
  </w:style>
  <w:style w:type="paragraph" w:styleId="Signature">
    <w:name w:val="Signature"/>
    <w:basedOn w:val="Normal"/>
    <w:semiHidden/>
    <w:rsid w:val="00CA162C"/>
    <w:pPr>
      <w:ind w:left="4252"/>
    </w:pPr>
  </w:style>
  <w:style w:type="paragraph" w:styleId="Closing">
    <w:name w:val="Closing"/>
    <w:basedOn w:val="Normal"/>
    <w:semiHidden/>
    <w:rsid w:val="00C479D0"/>
    <w:pPr>
      <w:ind w:left="4252"/>
    </w:pPr>
  </w:style>
  <w:style w:type="paragraph" w:styleId="Date">
    <w:name w:val="Date"/>
    <w:basedOn w:val="Normal"/>
    <w:next w:val="Normal"/>
    <w:semiHidden/>
    <w:rsid w:val="00C479D0"/>
  </w:style>
  <w:style w:type="paragraph" w:styleId="E-mailSignature">
    <w:name w:val="E-mail Signature"/>
    <w:basedOn w:val="Normal"/>
    <w:semiHidden/>
    <w:rsid w:val="00C479D0"/>
  </w:style>
  <w:style w:type="character" w:styleId="Emphasis">
    <w:name w:val="Emphasis"/>
    <w:basedOn w:val="DefaultParagraphFont"/>
    <w:semiHidden/>
    <w:qFormat/>
    <w:rsid w:val="00C479D0"/>
    <w:rPr>
      <w:i/>
      <w:iCs/>
    </w:rPr>
  </w:style>
  <w:style w:type="character" w:styleId="FollowedHyperlink">
    <w:name w:val="FollowedHyperlink"/>
    <w:basedOn w:val="DefaultParagraphFont"/>
    <w:semiHidden/>
    <w:rsid w:val="00C479D0"/>
    <w:rPr>
      <w:color w:val="800080"/>
      <w:u w:val="single"/>
    </w:rPr>
  </w:style>
  <w:style w:type="paragraph" w:styleId="MessageHeader">
    <w:name w:val="Message Header"/>
    <w:basedOn w:val="Normal"/>
    <w:semiHidden/>
    <w:rsid w:val="00C479D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PlainText">
    <w:name w:val="Plain Text"/>
    <w:basedOn w:val="Normal"/>
    <w:semiHidden/>
    <w:rsid w:val="00C479D0"/>
    <w:rPr>
      <w:rFonts w:ascii="Courier New" w:hAnsi="Courier New" w:cs="Courier New"/>
      <w:sz w:val="20"/>
      <w:szCs w:val="20"/>
    </w:rPr>
  </w:style>
  <w:style w:type="character" w:styleId="Strong">
    <w:name w:val="Strong"/>
    <w:basedOn w:val="DefaultParagraphFont"/>
    <w:semiHidden/>
    <w:qFormat/>
    <w:rsid w:val="00C479D0"/>
    <w:rPr>
      <w:b/>
      <w:bCs/>
    </w:rPr>
  </w:style>
  <w:style w:type="paragraph" w:styleId="Subtitle">
    <w:name w:val="Subtitle"/>
    <w:basedOn w:val="Normal"/>
    <w:semiHidden/>
    <w:qFormat/>
    <w:rsid w:val="00C479D0"/>
    <w:pPr>
      <w:spacing w:after="60"/>
      <w:jc w:val="center"/>
      <w:outlineLvl w:val="1"/>
    </w:pPr>
    <w:rPr>
      <w:rFonts w:cs="Arial"/>
    </w:rPr>
  </w:style>
  <w:style w:type="paragraph" w:customStyle="1" w:styleId="VGSOHdg1">
    <w:name w:val="VGSO Hdg 1"/>
    <w:basedOn w:val="LDStandardBodyText"/>
    <w:next w:val="LDStandardBodyText"/>
    <w:uiPriority w:val="4"/>
    <w:rsid w:val="007B6870"/>
    <w:pPr>
      <w:keepNext/>
      <w:keepLines/>
      <w:spacing w:before="360"/>
      <w:jc w:val="left"/>
      <w:outlineLvl w:val="0"/>
    </w:pPr>
    <w:rPr>
      <w:rFonts w:ascii="Arial Bold" w:hAnsi="Arial Bold" w:cs="Arial"/>
      <w:b/>
      <w:bCs/>
      <w:spacing w:val="10"/>
      <w:kern w:val="28"/>
      <w:sz w:val="28"/>
      <w:szCs w:val="32"/>
    </w:rPr>
  </w:style>
  <w:style w:type="paragraph" w:customStyle="1" w:styleId="LDIndent1">
    <w:name w:val="LD_Indent1"/>
    <w:basedOn w:val="LDStandardBodyText"/>
    <w:uiPriority w:val="1"/>
    <w:rsid w:val="005B3475"/>
    <w:pPr>
      <w:ind w:left="851"/>
    </w:pPr>
  </w:style>
  <w:style w:type="paragraph" w:customStyle="1" w:styleId="LDIndent2">
    <w:name w:val="LD_Indent2"/>
    <w:basedOn w:val="LDIndent1"/>
    <w:uiPriority w:val="1"/>
    <w:rsid w:val="00DF051E"/>
    <w:pPr>
      <w:ind w:left="1701"/>
    </w:pPr>
  </w:style>
  <w:style w:type="paragraph" w:customStyle="1" w:styleId="LDIndent3">
    <w:name w:val="LD_Indent3"/>
    <w:basedOn w:val="LDIndent2"/>
    <w:uiPriority w:val="1"/>
    <w:rsid w:val="00DF051E"/>
    <w:pPr>
      <w:ind w:left="2552"/>
    </w:pPr>
  </w:style>
  <w:style w:type="paragraph" w:customStyle="1" w:styleId="LDIndent4">
    <w:name w:val="LD_Indent4"/>
    <w:basedOn w:val="LDIndent3"/>
    <w:uiPriority w:val="1"/>
    <w:rsid w:val="00DF051E"/>
    <w:pPr>
      <w:ind w:left="3402"/>
    </w:pPr>
  </w:style>
  <w:style w:type="paragraph" w:customStyle="1" w:styleId="LDIndent5">
    <w:name w:val="LD_Indent5"/>
    <w:basedOn w:val="LDIndent4"/>
    <w:uiPriority w:val="1"/>
    <w:rsid w:val="00DF051E"/>
    <w:pPr>
      <w:ind w:left="4253"/>
    </w:pPr>
  </w:style>
  <w:style w:type="paragraph" w:customStyle="1" w:styleId="LDIndent6">
    <w:name w:val="LD_Indent6"/>
    <w:basedOn w:val="LDIndent5"/>
    <w:uiPriority w:val="1"/>
    <w:rsid w:val="00DF051E"/>
    <w:pPr>
      <w:ind w:left="5103"/>
    </w:pPr>
  </w:style>
  <w:style w:type="paragraph" w:customStyle="1" w:styleId="Sum1">
    <w:name w:val="Sum1"/>
    <w:uiPriority w:val="10"/>
    <w:rsid w:val="00CC7CBB"/>
    <w:pPr>
      <w:numPr>
        <w:ilvl w:val="1"/>
        <w:numId w:val="8"/>
      </w:numPr>
      <w:spacing w:after="240"/>
      <w:outlineLvl w:val="1"/>
    </w:pPr>
    <w:rPr>
      <w:rFonts w:ascii="Arial" w:hAnsi="Arial" w:cs="Arial"/>
      <w:bCs/>
      <w:kern w:val="28"/>
      <w:sz w:val="22"/>
      <w:szCs w:val="28"/>
      <w:lang w:eastAsia="en-US"/>
    </w:rPr>
  </w:style>
  <w:style w:type="table" w:customStyle="1" w:styleId="TableSummary">
    <w:name w:val="Table Summary"/>
    <w:basedOn w:val="TableNormal"/>
    <w:rsid w:val="00B97D3D"/>
    <w:tblPr>
      <w:tblInd w:w="851" w:type="dxa"/>
      <w:tblBorders>
        <w:top w:val="single" w:sz="4" w:space="0" w:color="auto"/>
        <w:left w:val="single" w:sz="4" w:space="0" w:color="auto"/>
        <w:bottom w:val="single" w:sz="4" w:space="0" w:color="auto"/>
        <w:right w:val="single" w:sz="4" w:space="0" w:color="auto"/>
      </w:tblBorders>
      <w:tblCellMar>
        <w:left w:w="57" w:type="dxa"/>
        <w:right w:w="57" w:type="dxa"/>
      </w:tblCellMar>
    </w:tblPr>
    <w:tcPr>
      <w:shd w:val="clear" w:color="auto" w:fill="C0C0C0"/>
      <w:tcMar>
        <w:left w:w="57" w:type="dxa"/>
        <w:right w:w="57" w:type="dxa"/>
      </w:tcMar>
    </w:tcPr>
  </w:style>
  <w:style w:type="paragraph" w:customStyle="1" w:styleId="zFooterWeb">
    <w:name w:val="z_FooterWeb"/>
    <w:basedOn w:val="Normal"/>
    <w:semiHidden/>
    <w:rsid w:val="006B23B4"/>
    <w:pPr>
      <w:tabs>
        <w:tab w:val="left" w:pos="4536"/>
      </w:tabs>
    </w:pPr>
    <w:rPr>
      <w:rFonts w:ascii="Times New Roman" w:hAnsi="Times New Roman"/>
      <w:kern w:val="0"/>
      <w:sz w:val="20"/>
      <w:szCs w:val="20"/>
      <w:lang w:val="en-US"/>
    </w:rPr>
  </w:style>
  <w:style w:type="paragraph" w:customStyle="1" w:styleId="LDStandardBulletedList2">
    <w:name w:val="LD_Standard_Bulleted_List2"/>
    <w:basedOn w:val="LDStandardBulletedList1"/>
    <w:uiPriority w:val="11"/>
    <w:qFormat/>
    <w:rsid w:val="006B55CA"/>
    <w:pPr>
      <w:numPr>
        <w:ilvl w:val="2"/>
      </w:numPr>
    </w:pPr>
  </w:style>
  <w:style w:type="paragraph" w:customStyle="1" w:styleId="zdocID">
    <w:name w:val="z_docID"/>
    <w:basedOn w:val="Normal"/>
    <w:next w:val="Normal"/>
    <w:semiHidden/>
    <w:rsid w:val="00B716E8"/>
    <w:rPr>
      <w:rFonts w:ascii="Times New Roman" w:hAnsi="Times New Roman"/>
      <w:kern w:val="16"/>
      <w:sz w:val="16"/>
      <w:szCs w:val="16"/>
    </w:rPr>
  </w:style>
  <w:style w:type="paragraph" w:customStyle="1" w:styleId="Quotation1">
    <w:name w:val="Quotation 1"/>
    <w:basedOn w:val="Normal"/>
    <w:uiPriority w:val="14"/>
    <w:rsid w:val="00735600"/>
    <w:pPr>
      <w:spacing w:after="240"/>
      <w:ind w:left="851" w:right="851"/>
    </w:pPr>
    <w:rPr>
      <w:kern w:val="0"/>
      <w:sz w:val="20"/>
      <w:szCs w:val="22"/>
    </w:rPr>
  </w:style>
  <w:style w:type="paragraph" w:customStyle="1" w:styleId="Quotation2">
    <w:name w:val="Quotation 2"/>
    <w:basedOn w:val="Quotation1"/>
    <w:uiPriority w:val="14"/>
    <w:rsid w:val="00B716E8"/>
    <w:pPr>
      <w:ind w:left="1701"/>
    </w:pPr>
  </w:style>
  <w:style w:type="paragraph" w:customStyle="1" w:styleId="Quotation3">
    <w:name w:val="Quotation 3"/>
    <w:basedOn w:val="Quotation2"/>
    <w:uiPriority w:val="14"/>
    <w:rsid w:val="00B716E8"/>
    <w:pPr>
      <w:ind w:left="2552"/>
    </w:pPr>
  </w:style>
  <w:style w:type="paragraph" w:customStyle="1" w:styleId="VGSOListBul">
    <w:name w:val="VGSO_ListBul"/>
    <w:basedOn w:val="Normal"/>
    <w:uiPriority w:val="12"/>
    <w:qFormat/>
    <w:rsid w:val="006B55CA"/>
    <w:pPr>
      <w:numPr>
        <w:numId w:val="2"/>
      </w:numPr>
      <w:jc w:val="left"/>
    </w:pPr>
    <w:rPr>
      <w:rFonts w:eastAsiaTheme="minorHAnsi" w:cstheme="minorBidi"/>
      <w:kern w:val="0"/>
    </w:rPr>
  </w:style>
  <w:style w:type="paragraph" w:customStyle="1" w:styleId="VGSOListNum">
    <w:name w:val="VGSO_ListNum"/>
    <w:basedOn w:val="Normal"/>
    <w:uiPriority w:val="12"/>
    <w:qFormat/>
    <w:rsid w:val="006B55CA"/>
    <w:pPr>
      <w:numPr>
        <w:numId w:val="3"/>
      </w:numPr>
      <w:jc w:val="left"/>
    </w:pPr>
    <w:rPr>
      <w:rFonts w:eastAsiaTheme="minorHAnsi" w:cstheme="minorBidi"/>
      <w:kern w:val="0"/>
    </w:rPr>
  </w:style>
  <w:style w:type="numbering" w:customStyle="1" w:styleId="VGSOStandardBullets">
    <w:name w:val="VGSO Standard Bullets"/>
    <w:uiPriority w:val="99"/>
    <w:rsid w:val="005C05E9"/>
    <w:pPr>
      <w:numPr>
        <w:numId w:val="1"/>
      </w:numPr>
    </w:pPr>
  </w:style>
  <w:style w:type="numbering" w:customStyle="1" w:styleId="DeedRecitals">
    <w:name w:val="DeedRecitals"/>
    <w:rsid w:val="003E24DD"/>
    <w:pPr>
      <w:numPr>
        <w:numId w:val="4"/>
      </w:numPr>
    </w:pPr>
  </w:style>
  <w:style w:type="numbering" w:customStyle="1" w:styleId="DeedHeadings">
    <w:name w:val="DeedHeadings"/>
    <w:rsid w:val="007B30E9"/>
    <w:pPr>
      <w:numPr>
        <w:numId w:val="7"/>
      </w:numPr>
    </w:pPr>
  </w:style>
  <w:style w:type="paragraph" w:customStyle="1" w:styleId="Coverpage">
    <w:name w:val="Coverpage"/>
    <w:basedOn w:val="LDStandardBodyText"/>
    <w:qFormat/>
    <w:rsid w:val="008D2A58"/>
    <w:rPr>
      <w:rFonts w:ascii="Arial Bold" w:hAnsi="Arial Bold"/>
      <w:b/>
      <w:sz w:val="32"/>
    </w:rPr>
  </w:style>
  <w:style w:type="paragraph" w:customStyle="1" w:styleId="LDStandard1">
    <w:name w:val="LD_Standard1"/>
    <w:basedOn w:val="LDStandardBodyText"/>
    <w:next w:val="Normal"/>
    <w:uiPriority w:val="7"/>
    <w:qFormat/>
    <w:rsid w:val="005C05E9"/>
    <w:pPr>
      <w:keepNext/>
      <w:keepLines/>
      <w:numPr>
        <w:numId w:val="11"/>
      </w:numPr>
      <w:jc w:val="left"/>
    </w:pPr>
    <w:rPr>
      <w:rFonts w:eastAsiaTheme="minorHAnsi" w:cs="Arial"/>
      <w:b/>
      <w:kern w:val="0"/>
      <w:sz w:val="26"/>
    </w:rPr>
  </w:style>
  <w:style w:type="paragraph" w:customStyle="1" w:styleId="LDStandard2">
    <w:name w:val="LD_Standard2"/>
    <w:basedOn w:val="LDStandardBodyText"/>
    <w:uiPriority w:val="7"/>
    <w:qFormat/>
    <w:rsid w:val="004520A0"/>
    <w:pPr>
      <w:numPr>
        <w:ilvl w:val="1"/>
        <w:numId w:val="11"/>
      </w:numPr>
      <w:jc w:val="left"/>
    </w:pPr>
    <w:rPr>
      <w:rFonts w:eastAsiaTheme="minorHAnsi" w:cs="Arial"/>
      <w:kern w:val="0"/>
    </w:rPr>
  </w:style>
  <w:style w:type="paragraph" w:customStyle="1" w:styleId="LDStandard3">
    <w:name w:val="LD_Standard3"/>
    <w:basedOn w:val="LDStandard2"/>
    <w:uiPriority w:val="7"/>
    <w:qFormat/>
    <w:rsid w:val="005C05E9"/>
    <w:pPr>
      <w:numPr>
        <w:ilvl w:val="2"/>
        <w:numId w:val="0"/>
      </w:numPr>
    </w:pPr>
  </w:style>
  <w:style w:type="paragraph" w:customStyle="1" w:styleId="LDStandard4">
    <w:name w:val="LD_Standard4"/>
    <w:basedOn w:val="LDStandard3"/>
    <w:uiPriority w:val="7"/>
    <w:qFormat/>
    <w:rsid w:val="00A60E66"/>
    <w:pPr>
      <w:numPr>
        <w:ilvl w:val="3"/>
        <w:numId w:val="11"/>
      </w:numPr>
    </w:pPr>
  </w:style>
  <w:style w:type="paragraph" w:customStyle="1" w:styleId="LDStandard5">
    <w:name w:val="LD_Standard5"/>
    <w:basedOn w:val="LDStandard4"/>
    <w:uiPriority w:val="7"/>
    <w:qFormat/>
    <w:rsid w:val="005C05E9"/>
    <w:pPr>
      <w:numPr>
        <w:ilvl w:val="4"/>
      </w:numPr>
    </w:pPr>
  </w:style>
  <w:style w:type="paragraph" w:customStyle="1" w:styleId="LDStandard6">
    <w:name w:val="LD_Standard6"/>
    <w:basedOn w:val="LDStandard5"/>
    <w:uiPriority w:val="7"/>
    <w:qFormat/>
    <w:rsid w:val="00365723"/>
    <w:pPr>
      <w:numPr>
        <w:ilvl w:val="0"/>
        <w:numId w:val="12"/>
      </w:numPr>
    </w:pPr>
  </w:style>
  <w:style w:type="paragraph" w:customStyle="1" w:styleId="LDStandard7">
    <w:name w:val="LD_Standard7"/>
    <w:basedOn w:val="LDStandard6"/>
    <w:uiPriority w:val="7"/>
    <w:qFormat/>
    <w:rsid w:val="005C05E9"/>
    <w:pPr>
      <w:numPr>
        <w:ilvl w:val="6"/>
        <w:numId w:val="11"/>
      </w:numPr>
    </w:pPr>
  </w:style>
  <w:style w:type="paragraph" w:customStyle="1" w:styleId="LDStandardBulletedList3">
    <w:name w:val="LD_Standard_Bulleted_List3"/>
    <w:basedOn w:val="LDStandardBulletedList2"/>
    <w:uiPriority w:val="11"/>
    <w:qFormat/>
    <w:rsid w:val="005C05E9"/>
    <w:pPr>
      <w:numPr>
        <w:ilvl w:val="3"/>
      </w:numPr>
    </w:pPr>
    <w:rPr>
      <w:rFonts w:cs="Arial"/>
    </w:rPr>
  </w:style>
  <w:style w:type="paragraph" w:customStyle="1" w:styleId="LDStandardBulletedList4">
    <w:name w:val="LD_Standard_Bulleted_List4"/>
    <w:basedOn w:val="LDStandardBulletedList3"/>
    <w:uiPriority w:val="11"/>
    <w:qFormat/>
    <w:rsid w:val="005C05E9"/>
    <w:pPr>
      <w:numPr>
        <w:ilvl w:val="4"/>
      </w:numPr>
    </w:pPr>
  </w:style>
  <w:style w:type="paragraph" w:customStyle="1" w:styleId="LDStandardBulletedList5">
    <w:name w:val="LD_Standard_Bulleted_List5"/>
    <w:basedOn w:val="LDStandardBulletedList4"/>
    <w:uiPriority w:val="11"/>
    <w:qFormat/>
    <w:rsid w:val="005C05E9"/>
    <w:pPr>
      <w:numPr>
        <w:ilvl w:val="5"/>
      </w:numPr>
    </w:pPr>
  </w:style>
  <w:style w:type="numbering" w:customStyle="1" w:styleId="LDStandardList">
    <w:name w:val="LD_StandardList"/>
    <w:uiPriority w:val="99"/>
    <w:rsid w:val="005C05E9"/>
    <w:pPr>
      <w:numPr>
        <w:numId w:val="9"/>
      </w:numPr>
    </w:pPr>
  </w:style>
  <w:style w:type="character" w:customStyle="1" w:styleId="FooterChar">
    <w:name w:val="Footer Char"/>
    <w:basedOn w:val="DefaultParagraphFont"/>
    <w:link w:val="Footer"/>
    <w:uiPriority w:val="99"/>
    <w:rsid w:val="00E118F5"/>
    <w:rPr>
      <w:rFonts w:eastAsiaTheme="minorHAnsi" w:cstheme="minorBidi"/>
      <w:sz w:val="16"/>
      <w:szCs w:val="24"/>
      <w:lang w:eastAsia="en-US"/>
    </w:rPr>
  </w:style>
  <w:style w:type="paragraph" w:styleId="CommentText">
    <w:name w:val="annotation text"/>
    <w:basedOn w:val="Normal"/>
    <w:link w:val="CommentTextChar"/>
    <w:rsid w:val="00355A56"/>
    <w:pPr>
      <w:jc w:val="left"/>
    </w:pPr>
    <w:rPr>
      <w:kern w:val="0"/>
      <w:sz w:val="18"/>
      <w:szCs w:val="20"/>
    </w:rPr>
  </w:style>
  <w:style w:type="character" w:customStyle="1" w:styleId="CommentTextChar">
    <w:name w:val="Comment Text Char"/>
    <w:basedOn w:val="DefaultParagraphFont"/>
    <w:link w:val="CommentText"/>
    <w:rsid w:val="00355A56"/>
    <w:rPr>
      <w:rFonts w:ascii="Arial" w:hAnsi="Arial"/>
      <w:sz w:val="18"/>
      <w:lang w:eastAsia="en-US"/>
    </w:rPr>
  </w:style>
  <w:style w:type="paragraph" w:customStyle="1" w:styleId="Dunhambody">
    <w:name w:val="## Dunham body"/>
    <w:basedOn w:val="Normal"/>
    <w:uiPriority w:val="7"/>
    <w:rsid w:val="00355A56"/>
    <w:pPr>
      <w:tabs>
        <w:tab w:val="num" w:pos="851"/>
      </w:tabs>
      <w:spacing w:after="240"/>
      <w:ind w:left="851" w:hanging="851"/>
      <w:jc w:val="left"/>
    </w:pPr>
    <w:rPr>
      <w:rFonts w:asciiTheme="minorHAnsi" w:eastAsiaTheme="minorHAnsi" w:hAnsiTheme="minorHAnsi" w:cstheme="minorBidi"/>
      <w:kern w:val="0"/>
      <w:sz w:val="21"/>
    </w:rPr>
  </w:style>
  <w:style w:type="paragraph" w:styleId="TOCHeading0">
    <w:name w:val="TOC Heading"/>
    <w:basedOn w:val="Heading1"/>
    <w:next w:val="Normal"/>
    <w:uiPriority w:val="39"/>
    <w:semiHidden/>
    <w:unhideWhenUsed/>
    <w:qFormat/>
    <w:rsid w:val="00BA6CAF"/>
    <w:pPr>
      <w:numPr>
        <w:numId w:val="0"/>
      </w:numPr>
      <w:spacing w:before="480" w:after="0" w:line="276" w:lineRule="auto"/>
      <w:contextualSpacing w:val="0"/>
      <w:jc w:val="left"/>
      <w:outlineLvl w:val="9"/>
    </w:pPr>
    <w:rPr>
      <w:rFonts w:asciiTheme="majorHAnsi" w:eastAsiaTheme="majorEastAsia" w:hAnsiTheme="majorHAnsi" w:cstheme="majorBidi"/>
      <w:color w:val="365F91" w:themeColor="accent1" w:themeShade="BF"/>
      <w:spacing w:val="0"/>
      <w:kern w:val="0"/>
      <w:sz w:val="28"/>
      <w:lang w:val="en-US" w:eastAsia="ja-JP"/>
    </w:rPr>
  </w:style>
  <w:style w:type="paragraph" w:styleId="BalloonText">
    <w:name w:val="Balloon Text"/>
    <w:basedOn w:val="Normal"/>
    <w:link w:val="BalloonTextChar"/>
    <w:semiHidden/>
    <w:rsid w:val="00BA6CAF"/>
    <w:rPr>
      <w:rFonts w:ascii="Tahoma" w:hAnsi="Tahoma" w:cs="Tahoma"/>
      <w:sz w:val="16"/>
      <w:szCs w:val="16"/>
    </w:rPr>
  </w:style>
  <w:style w:type="character" w:customStyle="1" w:styleId="BalloonTextChar">
    <w:name w:val="Balloon Text Char"/>
    <w:basedOn w:val="DefaultParagraphFont"/>
    <w:link w:val="BalloonText"/>
    <w:semiHidden/>
    <w:rsid w:val="00BA6CAF"/>
    <w:rPr>
      <w:rFonts w:ascii="Tahoma" w:hAnsi="Tahoma" w:cs="Tahoma"/>
      <w:kern w:val="22"/>
      <w:sz w:val="16"/>
      <w:szCs w:val="16"/>
      <w:lang w:eastAsia="en-US"/>
    </w:rPr>
  </w:style>
  <w:style w:type="paragraph" w:styleId="ListParagraph">
    <w:name w:val="List Paragraph"/>
    <w:basedOn w:val="Normal"/>
    <w:uiPriority w:val="34"/>
    <w:qFormat/>
    <w:rsid w:val="003857C9"/>
    <w:pPr>
      <w:spacing w:after="200" w:line="276" w:lineRule="auto"/>
      <w:ind w:left="720"/>
      <w:contextualSpacing/>
      <w:jc w:val="left"/>
    </w:pPr>
    <w:rPr>
      <w:rFonts w:asciiTheme="minorHAnsi" w:eastAsiaTheme="minorHAnsi" w:hAnsiTheme="minorHAnsi" w:cstheme="minorBidi"/>
      <w:kern w:val="0"/>
      <w:szCs w:val="22"/>
    </w:rPr>
  </w:style>
  <w:style w:type="paragraph" w:customStyle="1" w:styleId="CBPNum1">
    <w:name w:val="CBP Num 1"/>
    <w:basedOn w:val="Normal"/>
    <w:link w:val="CBPNum1Char"/>
    <w:qFormat/>
    <w:rsid w:val="007700C7"/>
    <w:pPr>
      <w:numPr>
        <w:numId w:val="13"/>
      </w:numPr>
      <w:spacing w:after="240"/>
      <w:jc w:val="left"/>
    </w:pPr>
    <w:rPr>
      <w:kern w:val="0"/>
      <w:sz w:val="21"/>
      <w:szCs w:val="20"/>
    </w:rPr>
  </w:style>
  <w:style w:type="paragraph" w:customStyle="1" w:styleId="CBPNum2">
    <w:name w:val="CBP Num 2"/>
    <w:basedOn w:val="Normal"/>
    <w:link w:val="CBPNum2Char"/>
    <w:qFormat/>
    <w:rsid w:val="007700C7"/>
    <w:pPr>
      <w:numPr>
        <w:ilvl w:val="1"/>
        <w:numId w:val="13"/>
      </w:numPr>
      <w:spacing w:after="240"/>
      <w:jc w:val="left"/>
    </w:pPr>
    <w:rPr>
      <w:kern w:val="0"/>
      <w:sz w:val="21"/>
      <w:szCs w:val="20"/>
    </w:rPr>
  </w:style>
  <w:style w:type="paragraph" w:customStyle="1" w:styleId="CBPNum3">
    <w:name w:val="CBP Num 3"/>
    <w:basedOn w:val="Normal"/>
    <w:qFormat/>
    <w:rsid w:val="007700C7"/>
    <w:pPr>
      <w:numPr>
        <w:ilvl w:val="2"/>
        <w:numId w:val="13"/>
      </w:numPr>
      <w:spacing w:after="240"/>
      <w:jc w:val="left"/>
    </w:pPr>
    <w:rPr>
      <w:kern w:val="0"/>
      <w:sz w:val="21"/>
      <w:szCs w:val="20"/>
      <w:lang w:eastAsia="en-AU"/>
    </w:rPr>
  </w:style>
  <w:style w:type="paragraph" w:customStyle="1" w:styleId="CBPNum4">
    <w:name w:val="CBP Num 4"/>
    <w:basedOn w:val="Normal"/>
    <w:qFormat/>
    <w:rsid w:val="007700C7"/>
    <w:pPr>
      <w:numPr>
        <w:ilvl w:val="3"/>
        <w:numId w:val="13"/>
      </w:numPr>
      <w:spacing w:after="240"/>
      <w:jc w:val="left"/>
    </w:pPr>
    <w:rPr>
      <w:kern w:val="0"/>
      <w:sz w:val="21"/>
      <w:szCs w:val="20"/>
      <w:lang w:eastAsia="en-AU"/>
    </w:rPr>
  </w:style>
  <w:style w:type="paragraph" w:customStyle="1" w:styleId="CBPNum5">
    <w:name w:val="CBP Num 5"/>
    <w:basedOn w:val="Normal"/>
    <w:qFormat/>
    <w:rsid w:val="007700C7"/>
    <w:pPr>
      <w:numPr>
        <w:ilvl w:val="4"/>
        <w:numId w:val="13"/>
      </w:numPr>
      <w:spacing w:after="240"/>
      <w:jc w:val="left"/>
    </w:pPr>
    <w:rPr>
      <w:kern w:val="0"/>
      <w:sz w:val="21"/>
      <w:szCs w:val="20"/>
      <w:lang w:eastAsia="en-AU"/>
    </w:rPr>
  </w:style>
  <w:style w:type="paragraph" w:customStyle="1" w:styleId="CBPNum6">
    <w:name w:val="CBP Num 6"/>
    <w:basedOn w:val="Normal"/>
    <w:qFormat/>
    <w:rsid w:val="007700C7"/>
    <w:pPr>
      <w:numPr>
        <w:ilvl w:val="5"/>
        <w:numId w:val="13"/>
      </w:numPr>
      <w:spacing w:after="240"/>
      <w:jc w:val="left"/>
    </w:pPr>
    <w:rPr>
      <w:kern w:val="0"/>
      <w:sz w:val="21"/>
      <w:szCs w:val="20"/>
      <w:lang w:eastAsia="en-AU"/>
    </w:rPr>
  </w:style>
  <w:style w:type="character" w:customStyle="1" w:styleId="CBPNum1Char">
    <w:name w:val="CBP Num 1 Char"/>
    <w:link w:val="CBPNum1"/>
    <w:rsid w:val="007700C7"/>
    <w:rPr>
      <w:rFonts w:ascii="Arial" w:hAnsi="Arial"/>
      <w:sz w:val="21"/>
      <w:lang w:eastAsia="en-US"/>
    </w:rPr>
  </w:style>
  <w:style w:type="numbering" w:customStyle="1" w:styleId="MD2007111">
    <w:name w:val="MD2007111"/>
    <w:rsid w:val="007700C7"/>
    <w:pPr>
      <w:numPr>
        <w:numId w:val="13"/>
      </w:numPr>
    </w:pPr>
  </w:style>
  <w:style w:type="paragraph" w:styleId="NormalWeb">
    <w:name w:val="Normal (Web)"/>
    <w:basedOn w:val="Normal"/>
    <w:uiPriority w:val="99"/>
    <w:semiHidden/>
    <w:unhideWhenUsed/>
    <w:rsid w:val="005F758A"/>
    <w:pPr>
      <w:spacing w:before="100" w:beforeAutospacing="1" w:after="100" w:afterAutospacing="1"/>
      <w:jc w:val="left"/>
    </w:pPr>
    <w:rPr>
      <w:rFonts w:ascii="Times" w:hAnsi="Times"/>
      <w:kern w:val="0"/>
      <w:sz w:val="20"/>
      <w:szCs w:val="20"/>
    </w:rPr>
  </w:style>
  <w:style w:type="character" w:customStyle="1" w:styleId="CBPNum2Char">
    <w:name w:val="CBP Num 2 Char"/>
    <w:link w:val="CBPNum2"/>
    <w:rsid w:val="00CE5E4F"/>
    <w:rPr>
      <w:rFonts w:ascii="Arial" w:hAnsi="Arial"/>
      <w:sz w:val="21"/>
      <w:lang w:eastAsia="en-US"/>
    </w:rPr>
  </w:style>
  <w:style w:type="paragraph" w:styleId="ListBullet2">
    <w:name w:val="List Bullet 2"/>
    <w:basedOn w:val="Normal"/>
    <w:autoRedefine/>
    <w:rsid w:val="002B3355"/>
    <w:pPr>
      <w:numPr>
        <w:numId w:val="14"/>
      </w:numPr>
      <w:spacing w:after="120"/>
      <w:jc w:val="left"/>
    </w:pPr>
    <w:rPr>
      <w:rFonts w:ascii="Book Antiqua" w:hAnsi="Book Antiqua"/>
      <w:kern w:val="0"/>
      <w:sz w:val="24"/>
      <w:szCs w:val="20"/>
    </w:rPr>
  </w:style>
  <w:style w:type="character" w:styleId="CommentReference">
    <w:name w:val="annotation reference"/>
    <w:rsid w:val="005D349C"/>
    <w:rPr>
      <w:rFonts w:ascii="Arial Bold" w:hAnsi="Arial Bold"/>
      <w:b/>
      <w:color w:val="0000FF"/>
      <w:sz w:val="28"/>
    </w:rPr>
  </w:style>
  <w:style w:type="paragraph" w:styleId="ListNumber4">
    <w:name w:val="List Number 4"/>
    <w:basedOn w:val="Normal"/>
    <w:semiHidden/>
    <w:rsid w:val="005D349C"/>
    <w:pPr>
      <w:numPr>
        <w:numId w:val="15"/>
      </w:numPr>
      <w:jc w:val="left"/>
    </w:pPr>
    <w:rPr>
      <w:kern w:val="0"/>
      <w:sz w:val="21"/>
      <w:szCs w:val="20"/>
      <w:lang w:eastAsia="en-AU"/>
    </w:rPr>
  </w:style>
  <w:style w:type="paragraph" w:customStyle="1" w:styleId="JCMCS3">
    <w:name w:val="JCM (CS3)"/>
    <w:basedOn w:val="Normal"/>
    <w:link w:val="JCMCS3Char"/>
    <w:qFormat/>
    <w:rsid w:val="000242F6"/>
    <w:pPr>
      <w:keepNext/>
      <w:spacing w:after="240"/>
      <w:ind w:left="709"/>
      <w:jc w:val="left"/>
    </w:pPr>
    <w:rPr>
      <w:b/>
      <w:kern w:val="0"/>
      <w:sz w:val="16"/>
      <w:szCs w:val="21"/>
    </w:rPr>
  </w:style>
  <w:style w:type="character" w:customStyle="1" w:styleId="JCMCS3Char">
    <w:name w:val="JCM (CS3) Char"/>
    <w:basedOn w:val="DefaultParagraphFont"/>
    <w:link w:val="JCMCS3"/>
    <w:rsid w:val="000242F6"/>
    <w:rPr>
      <w:rFonts w:ascii="Arial" w:hAnsi="Arial"/>
      <w:b/>
      <w:sz w:val="16"/>
      <w:szCs w:val="21"/>
      <w:lang w:eastAsia="en-US"/>
    </w:rPr>
  </w:style>
  <w:style w:type="character" w:customStyle="1" w:styleId="FootnoteTextChar">
    <w:name w:val="Footnote Text Char"/>
    <w:basedOn w:val="DefaultParagraphFont"/>
    <w:link w:val="FootnoteText"/>
    <w:uiPriority w:val="99"/>
    <w:rsid w:val="00EF57C8"/>
    <w:rPr>
      <w:rFonts w:ascii="Arial" w:hAnsi="Arial"/>
      <w:kern w:val="22"/>
      <w:sz w:val="18"/>
      <w:szCs w:val="24"/>
      <w:lang w:eastAsia="en-US"/>
    </w:rPr>
  </w:style>
  <w:style w:type="paragraph" w:styleId="CommentSubject">
    <w:name w:val="annotation subject"/>
    <w:basedOn w:val="CommentText"/>
    <w:next w:val="CommentText"/>
    <w:link w:val="CommentSubjectChar"/>
    <w:semiHidden/>
    <w:rsid w:val="002245FF"/>
    <w:pPr>
      <w:jc w:val="both"/>
    </w:pPr>
    <w:rPr>
      <w:b/>
      <w:bCs/>
      <w:kern w:val="22"/>
      <w:sz w:val="20"/>
    </w:rPr>
  </w:style>
  <w:style w:type="character" w:customStyle="1" w:styleId="CommentSubjectChar">
    <w:name w:val="Comment Subject Char"/>
    <w:basedOn w:val="CommentTextChar"/>
    <w:link w:val="CommentSubject"/>
    <w:semiHidden/>
    <w:rsid w:val="002245FF"/>
    <w:rPr>
      <w:rFonts w:ascii="Arial" w:hAnsi="Arial"/>
      <w:b/>
      <w:bCs/>
      <w:kern w:val="22"/>
      <w:sz w:val="18"/>
      <w:lang w:eastAsia="en-US"/>
    </w:rPr>
  </w:style>
  <w:style w:type="paragraph" w:styleId="Revision">
    <w:name w:val="Revision"/>
    <w:hidden/>
    <w:uiPriority w:val="99"/>
    <w:semiHidden/>
    <w:rsid w:val="00AD35EA"/>
    <w:rPr>
      <w:rFonts w:ascii="Arial" w:hAnsi="Arial"/>
      <w:kern w:val="22"/>
      <w:sz w:val="22"/>
      <w:szCs w:val="24"/>
      <w:lang w:eastAsia="en-US"/>
    </w:rPr>
  </w:style>
  <w:style w:type="character" w:customStyle="1" w:styleId="Heading3Char">
    <w:name w:val="Heading 3 Char"/>
    <w:basedOn w:val="DefaultParagraphFont"/>
    <w:link w:val="Heading3"/>
    <w:uiPriority w:val="9"/>
    <w:rsid w:val="00671FC7"/>
    <w:rPr>
      <w:rFonts w:ascii="Arial" w:hAnsi="Arial" w:cs="Arial"/>
      <w:bCs/>
      <w:kern w:val="22"/>
      <w:sz w:val="22"/>
      <w:szCs w:val="24"/>
      <w:lang w:eastAsia="en-US"/>
    </w:rPr>
  </w:style>
  <w:style w:type="paragraph" w:styleId="BlockText">
    <w:name w:val="Block Text"/>
    <w:basedOn w:val="Normal"/>
    <w:rsid w:val="00671FC7"/>
    <w:pPr>
      <w:spacing w:after="120"/>
      <w:jc w:val="left"/>
    </w:pPr>
    <w:rPr>
      <w:rFonts w:ascii="Times New Roman" w:hAnsi="Times New Roman"/>
      <w:kern w:val="0"/>
      <w:sz w:val="24"/>
      <w:lang w:val="en-US"/>
    </w:rPr>
  </w:style>
  <w:style w:type="paragraph" w:styleId="ListNumber5">
    <w:name w:val="List Number 5"/>
    <w:basedOn w:val="Normal"/>
    <w:uiPriority w:val="99"/>
    <w:unhideWhenUsed/>
    <w:rsid w:val="00666AEE"/>
    <w:pPr>
      <w:numPr>
        <w:numId w:val="19"/>
      </w:numPr>
      <w:spacing w:after="120" w:line="280" w:lineRule="atLeast"/>
      <w:contextualSpacing/>
    </w:pPr>
    <w:rPr>
      <w:rFonts w:cs="Arial"/>
      <w:color w:val="333333"/>
      <w:kern w:val="0"/>
      <w:szCs w:val="21"/>
      <w:lang w:eastAsia="en-AU"/>
    </w:rPr>
  </w:style>
  <w:style w:type="paragraph" w:styleId="BodyText">
    <w:name w:val="Body Text"/>
    <w:basedOn w:val="Normal"/>
    <w:link w:val="BodyTextChar"/>
    <w:rsid w:val="00E81A54"/>
    <w:pPr>
      <w:spacing w:after="120"/>
      <w:jc w:val="left"/>
    </w:pPr>
    <w:rPr>
      <w:rFonts w:ascii="Times New Roman" w:eastAsiaTheme="minorEastAsia" w:hAnsi="Times New Roman"/>
      <w:kern w:val="0"/>
      <w:sz w:val="24"/>
      <w:lang w:val="en-US"/>
    </w:rPr>
  </w:style>
  <w:style w:type="character" w:customStyle="1" w:styleId="BodyTextChar">
    <w:name w:val="Body Text Char"/>
    <w:basedOn w:val="DefaultParagraphFont"/>
    <w:link w:val="BodyText"/>
    <w:rsid w:val="00E81A54"/>
    <w:rPr>
      <w:rFonts w:eastAsiaTheme="minorEastAs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237162">
      <w:bodyDiv w:val="1"/>
      <w:marLeft w:val="0"/>
      <w:marRight w:val="0"/>
      <w:marTop w:val="0"/>
      <w:marBottom w:val="0"/>
      <w:divBdr>
        <w:top w:val="none" w:sz="0" w:space="0" w:color="auto"/>
        <w:left w:val="none" w:sz="0" w:space="0" w:color="auto"/>
        <w:bottom w:val="none" w:sz="0" w:space="0" w:color="auto"/>
        <w:right w:val="none" w:sz="0" w:space="0" w:color="auto"/>
      </w:divBdr>
    </w:div>
    <w:div w:id="658463866">
      <w:bodyDiv w:val="1"/>
      <w:marLeft w:val="0"/>
      <w:marRight w:val="0"/>
      <w:marTop w:val="0"/>
      <w:marBottom w:val="0"/>
      <w:divBdr>
        <w:top w:val="none" w:sz="0" w:space="0" w:color="auto"/>
        <w:left w:val="none" w:sz="0" w:space="0" w:color="auto"/>
        <w:bottom w:val="none" w:sz="0" w:space="0" w:color="auto"/>
        <w:right w:val="none" w:sz="0" w:space="0" w:color="auto"/>
      </w:divBdr>
      <w:divsChild>
        <w:div w:id="1780251190">
          <w:marLeft w:val="0"/>
          <w:marRight w:val="0"/>
          <w:marTop w:val="0"/>
          <w:marBottom w:val="0"/>
          <w:divBdr>
            <w:top w:val="none" w:sz="0" w:space="0" w:color="auto"/>
            <w:left w:val="none" w:sz="0" w:space="0" w:color="auto"/>
            <w:bottom w:val="none" w:sz="0" w:space="0" w:color="auto"/>
            <w:right w:val="none" w:sz="0" w:space="0" w:color="auto"/>
          </w:divBdr>
          <w:divsChild>
            <w:div w:id="1029599730">
              <w:marLeft w:val="0"/>
              <w:marRight w:val="0"/>
              <w:marTop w:val="0"/>
              <w:marBottom w:val="0"/>
              <w:divBdr>
                <w:top w:val="none" w:sz="0" w:space="0" w:color="auto"/>
                <w:left w:val="none" w:sz="0" w:space="0" w:color="auto"/>
                <w:bottom w:val="none" w:sz="0" w:space="0" w:color="auto"/>
                <w:right w:val="none" w:sz="0" w:space="0" w:color="auto"/>
              </w:divBdr>
              <w:divsChild>
                <w:div w:id="6987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7506">
      <w:bodyDiv w:val="1"/>
      <w:marLeft w:val="0"/>
      <w:marRight w:val="0"/>
      <w:marTop w:val="0"/>
      <w:marBottom w:val="0"/>
      <w:divBdr>
        <w:top w:val="none" w:sz="0" w:space="0" w:color="auto"/>
        <w:left w:val="none" w:sz="0" w:space="0" w:color="auto"/>
        <w:bottom w:val="none" w:sz="0" w:space="0" w:color="auto"/>
        <w:right w:val="none" w:sz="0" w:space="0" w:color="auto"/>
      </w:divBdr>
    </w:div>
    <w:div w:id="146473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18938-83DC-42E2-8CD5-69AEF18BBD9C}"/>
</file>

<file path=customXml/itemProps2.xml><?xml version="1.0" encoding="utf-8"?>
<ds:datastoreItem xmlns:ds="http://schemas.openxmlformats.org/officeDocument/2006/customXml" ds:itemID="{BA18D71B-0DDF-4391-91CE-A091C8F16151}"/>
</file>

<file path=customXml/itemProps3.xml><?xml version="1.0" encoding="utf-8"?>
<ds:datastoreItem xmlns:ds="http://schemas.openxmlformats.org/officeDocument/2006/customXml" ds:itemID="{2E8AF2F5-7381-4655-BEEB-DFC9A2B2DCFB}"/>
</file>

<file path=customXml/itemProps4.xml><?xml version="1.0" encoding="utf-8"?>
<ds:datastoreItem xmlns:ds="http://schemas.openxmlformats.org/officeDocument/2006/customXml" ds:itemID="{4C22D89F-8C7D-4D10-A53E-F19C7C9E51A2}"/>
</file>

<file path=docProps/app.xml><?xml version="1.0" encoding="utf-8"?>
<Properties xmlns="http://schemas.openxmlformats.org/officeDocument/2006/extended-properties" xmlns:vt="http://schemas.openxmlformats.org/officeDocument/2006/docPropsVTypes">
  <Template>Normal.dotm</Template>
  <TotalTime>0</TotalTime>
  <Pages>25</Pages>
  <Words>8527</Words>
  <Characters>49064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57477</CharactersWithSpaces>
  <SharedDoc>false</SharedDoc>
  <HLinks>
    <vt:vector size="18" baseType="variant">
      <vt:variant>
        <vt:i4>1703986</vt:i4>
      </vt:variant>
      <vt:variant>
        <vt:i4>11</vt:i4>
      </vt:variant>
      <vt:variant>
        <vt:i4>0</vt:i4>
      </vt:variant>
      <vt:variant>
        <vt:i4>5</vt:i4>
      </vt:variant>
      <vt:variant>
        <vt:lpwstr/>
      </vt:variant>
      <vt:variant>
        <vt:lpwstr>_Toc281383951</vt:lpwstr>
      </vt:variant>
      <vt:variant>
        <vt:i4>1703986</vt:i4>
      </vt:variant>
      <vt:variant>
        <vt:i4>5</vt:i4>
      </vt:variant>
      <vt:variant>
        <vt:i4>0</vt:i4>
      </vt:variant>
      <vt:variant>
        <vt:i4>5</vt:i4>
      </vt:variant>
      <vt:variant>
        <vt:lpwstr/>
      </vt:variant>
      <vt:variant>
        <vt:lpwstr>_Toc281383950</vt:lpwstr>
      </vt:variant>
      <vt:variant>
        <vt:i4>7536701</vt:i4>
      </vt:variant>
      <vt:variant>
        <vt:i4>0</vt:i4>
      </vt:variant>
      <vt:variant>
        <vt:i4>0</vt:i4>
      </vt:variant>
      <vt:variant>
        <vt:i4>5</vt:i4>
      </vt:variant>
      <vt:variant>
        <vt:lpwstr>http://www.vgso.vic.gov.au/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2016-03-16T04:24:00Z</dcterms:created>
  <dcterms:modified xsi:type="dcterms:W3CDTF">2016-03-16T04:24:00Z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SubjectCategory">
    <vt:lpwstr/>
  </property>
  <property fmtid="{D5CDD505-2E9C-101B-9397-08002B2CF9AE}" pid="5" name="DEECD_ItemType">
    <vt:lpwstr>101;#Page|eb523acf-a821-456c-a76b-7607578309d7</vt:lpwstr>
  </property>
  <property fmtid="{D5CDD505-2E9C-101B-9397-08002B2CF9AE}" pid="6" name="DEECD_Audience">
    <vt:lpwstr/>
  </property>
</Properties>
</file>