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55" w:rsidRPr="00624A55" w:rsidRDefault="00656CCD" w:rsidP="00624A55">
      <w:pPr>
        <w:pStyle w:val="Heading1"/>
        <w:rPr>
          <w:lang w:val="en-AU"/>
        </w:rPr>
      </w:pPr>
      <w:r>
        <w:rPr>
          <w:lang w:val="en-AU"/>
        </w:rPr>
        <w:t xml:space="preserve">Supporting children </w:t>
      </w:r>
      <w:r w:rsidR="00C64F4B">
        <w:rPr>
          <w:lang w:val="en-AU"/>
        </w:rPr>
        <w:t xml:space="preserve">and families experiencing vulnerability </w:t>
      </w:r>
      <w:r>
        <w:rPr>
          <w:lang w:val="en-AU"/>
        </w:rPr>
        <w:t xml:space="preserve">during </w:t>
      </w:r>
      <w:r w:rsidR="00E70258">
        <w:rPr>
          <w:lang w:val="en-AU"/>
        </w:rPr>
        <w:t>CORONAVIRUS (</w:t>
      </w:r>
      <w:r>
        <w:rPr>
          <w:lang w:val="en-AU"/>
        </w:rPr>
        <w:t>COVID-19</w:t>
      </w:r>
      <w:r w:rsidR="00E70258">
        <w:rPr>
          <w:lang w:val="en-AU"/>
        </w:rPr>
        <w:t>)</w:t>
      </w:r>
    </w:p>
    <w:p w:rsidR="003B50E2" w:rsidRDefault="003B50E2" w:rsidP="003B50E2">
      <w:pPr>
        <w:pStyle w:val="Intro"/>
        <w:rPr>
          <w:color w:val="auto"/>
        </w:rPr>
      </w:pPr>
    </w:p>
    <w:p w:rsidR="00015065" w:rsidRPr="00D33ED5" w:rsidRDefault="00FE150E" w:rsidP="00015065">
      <w:pPr>
        <w:pStyle w:val="Intro"/>
        <w:rPr>
          <w:color w:val="auto"/>
        </w:rPr>
      </w:pPr>
      <w:r w:rsidRPr="00D33ED5">
        <w:rPr>
          <w:b/>
          <w:bCs/>
          <w:color w:val="auto"/>
        </w:rPr>
        <w:t>As a result of t</w:t>
      </w:r>
      <w:r w:rsidR="00E70258" w:rsidRPr="00D33ED5">
        <w:rPr>
          <w:b/>
          <w:bCs/>
          <w:color w:val="auto"/>
        </w:rPr>
        <w:t>he coronavirus (COVID-19) pandemic</w:t>
      </w:r>
      <w:r w:rsidRPr="00D33ED5">
        <w:rPr>
          <w:b/>
          <w:bCs/>
          <w:color w:val="auto"/>
        </w:rPr>
        <w:t>,</w:t>
      </w:r>
      <w:r w:rsidR="003B7491" w:rsidRPr="00D33ED5">
        <w:rPr>
          <w:b/>
          <w:bCs/>
          <w:color w:val="auto"/>
        </w:rPr>
        <w:t xml:space="preserve"> </w:t>
      </w:r>
      <w:r w:rsidR="008632DC" w:rsidRPr="00D33ED5">
        <w:rPr>
          <w:b/>
          <w:bCs/>
          <w:color w:val="auto"/>
        </w:rPr>
        <w:t>children</w:t>
      </w:r>
      <w:r w:rsidR="00E70258" w:rsidRPr="00D33ED5">
        <w:rPr>
          <w:b/>
          <w:bCs/>
          <w:color w:val="auto"/>
        </w:rPr>
        <w:t xml:space="preserve"> </w:t>
      </w:r>
      <w:r w:rsidRPr="00D33ED5">
        <w:rPr>
          <w:b/>
          <w:bCs/>
          <w:color w:val="auto"/>
        </w:rPr>
        <w:t>families</w:t>
      </w:r>
      <w:r w:rsidR="00E70258" w:rsidRPr="00D33ED5">
        <w:rPr>
          <w:b/>
          <w:bCs/>
          <w:color w:val="auto"/>
        </w:rPr>
        <w:t xml:space="preserve"> </w:t>
      </w:r>
      <w:r w:rsidR="00D54CA4" w:rsidRPr="00D33ED5">
        <w:rPr>
          <w:b/>
          <w:bCs/>
          <w:color w:val="auto"/>
        </w:rPr>
        <w:t>and carers</w:t>
      </w:r>
      <w:r w:rsidRPr="00D33ED5">
        <w:rPr>
          <w:b/>
          <w:bCs/>
          <w:color w:val="auto"/>
        </w:rPr>
        <w:t xml:space="preserve"> who were</w:t>
      </w:r>
      <w:r w:rsidR="00E70258" w:rsidRPr="00D33ED5">
        <w:rPr>
          <w:b/>
          <w:bCs/>
          <w:color w:val="auto"/>
        </w:rPr>
        <w:t xml:space="preserve"> </w:t>
      </w:r>
      <w:r w:rsidR="001C65DF" w:rsidRPr="00D33ED5">
        <w:rPr>
          <w:b/>
          <w:bCs/>
          <w:color w:val="auto"/>
        </w:rPr>
        <w:t xml:space="preserve">already </w:t>
      </w:r>
      <w:r w:rsidR="00E70258" w:rsidRPr="00D33ED5">
        <w:rPr>
          <w:b/>
          <w:bCs/>
          <w:color w:val="auto"/>
        </w:rPr>
        <w:t>experiencing</w:t>
      </w:r>
      <w:r w:rsidR="001C65DF" w:rsidRPr="00D33ED5">
        <w:rPr>
          <w:b/>
          <w:bCs/>
          <w:color w:val="auto"/>
        </w:rPr>
        <w:t xml:space="preserve"> </w:t>
      </w:r>
      <w:r w:rsidR="003B50E2" w:rsidRPr="00D33ED5">
        <w:rPr>
          <w:b/>
          <w:bCs/>
          <w:color w:val="auto"/>
        </w:rPr>
        <w:t xml:space="preserve">vulnerability </w:t>
      </w:r>
      <w:r w:rsidRPr="00D33ED5">
        <w:rPr>
          <w:b/>
          <w:bCs/>
          <w:color w:val="auto"/>
        </w:rPr>
        <w:t>may be under</w:t>
      </w:r>
      <w:r w:rsidR="001C65DF" w:rsidRPr="00D33ED5">
        <w:rPr>
          <w:b/>
          <w:bCs/>
          <w:color w:val="auto"/>
        </w:rPr>
        <w:t xml:space="preserve"> increas</w:t>
      </w:r>
      <w:r w:rsidR="00E70258" w:rsidRPr="00D33ED5">
        <w:rPr>
          <w:b/>
          <w:bCs/>
          <w:color w:val="auto"/>
        </w:rPr>
        <w:t>ed</w:t>
      </w:r>
      <w:r w:rsidR="001C65DF" w:rsidRPr="00D33ED5">
        <w:rPr>
          <w:b/>
          <w:bCs/>
          <w:color w:val="auto"/>
        </w:rPr>
        <w:t xml:space="preserve"> </w:t>
      </w:r>
      <w:r w:rsidR="002805F5" w:rsidRPr="00D33ED5">
        <w:rPr>
          <w:b/>
          <w:bCs/>
          <w:color w:val="auto"/>
        </w:rPr>
        <w:t>pressure</w:t>
      </w:r>
      <w:r w:rsidR="001C65DF" w:rsidRPr="00D33ED5">
        <w:rPr>
          <w:b/>
          <w:bCs/>
          <w:color w:val="auto"/>
        </w:rPr>
        <w:t>.</w:t>
      </w:r>
      <w:r w:rsidR="001C65DF" w:rsidRPr="00D33ED5">
        <w:rPr>
          <w:color w:val="auto"/>
        </w:rPr>
        <w:t xml:space="preserve"> </w:t>
      </w:r>
    </w:p>
    <w:p w:rsidR="00FE150E" w:rsidRPr="00D33ED5" w:rsidRDefault="007B14EA" w:rsidP="00015065">
      <w:pPr>
        <w:pStyle w:val="Intro"/>
      </w:pPr>
      <w:r w:rsidRPr="00D33ED5">
        <w:rPr>
          <w:b/>
          <w:bCs/>
          <w:color w:val="auto"/>
        </w:rPr>
        <w:t xml:space="preserve">For </w:t>
      </w:r>
      <w:r w:rsidR="002428C9" w:rsidRPr="00D33ED5">
        <w:rPr>
          <w:b/>
          <w:bCs/>
          <w:color w:val="auto"/>
        </w:rPr>
        <w:t xml:space="preserve">some </w:t>
      </w:r>
      <w:r w:rsidR="00C64F4B" w:rsidRPr="00D33ED5">
        <w:rPr>
          <w:b/>
          <w:bCs/>
          <w:color w:val="auto"/>
        </w:rPr>
        <w:t>families experiencing vulnerability</w:t>
      </w:r>
      <w:r w:rsidR="00FF45B1" w:rsidRPr="00D33ED5">
        <w:rPr>
          <w:b/>
          <w:bCs/>
          <w:color w:val="auto"/>
        </w:rPr>
        <w:t>,</w:t>
      </w:r>
      <w:r w:rsidRPr="00D33ED5">
        <w:rPr>
          <w:b/>
          <w:bCs/>
          <w:color w:val="auto"/>
        </w:rPr>
        <w:t xml:space="preserve"> </w:t>
      </w:r>
      <w:r w:rsidR="000D7D16" w:rsidRPr="00D33ED5">
        <w:rPr>
          <w:b/>
          <w:bCs/>
          <w:color w:val="auto"/>
        </w:rPr>
        <w:t xml:space="preserve">having </w:t>
      </w:r>
      <w:r w:rsidR="003B50E2" w:rsidRPr="00D33ED5">
        <w:rPr>
          <w:b/>
          <w:bCs/>
          <w:color w:val="auto"/>
        </w:rPr>
        <w:t xml:space="preserve">their </w:t>
      </w:r>
      <w:r w:rsidR="000D7D16" w:rsidRPr="00D33ED5">
        <w:rPr>
          <w:b/>
          <w:bCs/>
          <w:color w:val="auto"/>
        </w:rPr>
        <w:t xml:space="preserve">children </w:t>
      </w:r>
      <w:r w:rsidRPr="00D33ED5">
        <w:rPr>
          <w:b/>
          <w:bCs/>
          <w:color w:val="auto"/>
        </w:rPr>
        <w:t>continu</w:t>
      </w:r>
      <w:r w:rsidR="000D7D16" w:rsidRPr="00D33ED5">
        <w:rPr>
          <w:b/>
          <w:bCs/>
          <w:color w:val="auto"/>
        </w:rPr>
        <w:t>e</w:t>
      </w:r>
      <w:r w:rsidRPr="00D33ED5">
        <w:rPr>
          <w:b/>
          <w:bCs/>
          <w:color w:val="auto"/>
        </w:rPr>
        <w:t xml:space="preserve"> to attend early childhood services will be the best way to support </w:t>
      </w:r>
      <w:r w:rsidR="000D7D16" w:rsidRPr="00D33ED5">
        <w:rPr>
          <w:b/>
          <w:bCs/>
          <w:color w:val="auto"/>
        </w:rPr>
        <w:t xml:space="preserve">their </w:t>
      </w:r>
      <w:r w:rsidR="003B50E2" w:rsidRPr="00D33ED5">
        <w:rPr>
          <w:b/>
          <w:bCs/>
          <w:color w:val="auto"/>
        </w:rPr>
        <w:t xml:space="preserve">continued </w:t>
      </w:r>
      <w:r w:rsidRPr="00D33ED5">
        <w:rPr>
          <w:b/>
          <w:bCs/>
          <w:color w:val="auto"/>
        </w:rPr>
        <w:t>learning and development.</w:t>
      </w:r>
      <w:r w:rsidR="00B60DEF" w:rsidRPr="00D33ED5">
        <w:rPr>
          <w:color w:val="auto"/>
        </w:rPr>
        <w:t xml:space="preserve"> </w:t>
      </w:r>
    </w:p>
    <w:p w:rsidR="0066550B" w:rsidRPr="00D33ED5" w:rsidRDefault="00D907A4" w:rsidP="0066550B">
      <w:pPr>
        <w:rPr>
          <w:lang w:val="en-AU"/>
        </w:rPr>
      </w:pPr>
      <w:r w:rsidRPr="00D33ED5">
        <w:rPr>
          <w:lang w:val="en-AU"/>
        </w:rPr>
        <w:t xml:space="preserve">The Department acknowledges </w:t>
      </w:r>
      <w:r w:rsidR="0095546D" w:rsidRPr="00D33ED5">
        <w:rPr>
          <w:lang w:val="en-AU"/>
        </w:rPr>
        <w:t xml:space="preserve">that </w:t>
      </w:r>
      <w:r w:rsidRPr="00D33ED5">
        <w:rPr>
          <w:lang w:val="en-AU"/>
        </w:rPr>
        <w:t>many service providers and local government</w:t>
      </w:r>
      <w:r w:rsidR="0095546D" w:rsidRPr="00D33ED5">
        <w:rPr>
          <w:lang w:val="en-AU"/>
        </w:rPr>
        <w:t xml:space="preserve">s are </w:t>
      </w:r>
      <w:r w:rsidRPr="00D33ED5">
        <w:rPr>
          <w:lang w:val="en-AU"/>
        </w:rPr>
        <w:t xml:space="preserve">already putting in place proactive and innovative arrangements to support </w:t>
      </w:r>
      <w:r w:rsidR="00B84657" w:rsidRPr="00D33ED5">
        <w:rPr>
          <w:lang w:val="en-AU"/>
        </w:rPr>
        <w:t xml:space="preserve">these </w:t>
      </w:r>
      <w:r w:rsidRPr="00D33ED5">
        <w:rPr>
          <w:lang w:val="en-AU"/>
        </w:rPr>
        <w:t>children and families.</w:t>
      </w:r>
    </w:p>
    <w:p w:rsidR="009822CD" w:rsidRPr="00D33ED5" w:rsidRDefault="00A16B69" w:rsidP="009822CD">
      <w:r w:rsidRPr="00D33ED5">
        <w:rPr>
          <w:lang w:val="en-AU"/>
        </w:rPr>
        <w:t xml:space="preserve">It is </w:t>
      </w:r>
      <w:r w:rsidR="00D9759B" w:rsidRPr="00D33ED5">
        <w:rPr>
          <w:lang w:val="en-AU"/>
        </w:rPr>
        <w:t xml:space="preserve">important </w:t>
      </w:r>
      <w:r w:rsidRPr="00D33ED5">
        <w:rPr>
          <w:lang w:val="en-AU"/>
        </w:rPr>
        <w:t>to</w:t>
      </w:r>
      <w:r w:rsidR="00D9759B" w:rsidRPr="00D33ED5">
        <w:rPr>
          <w:lang w:val="en-AU"/>
        </w:rPr>
        <w:t xml:space="preserve"> prioritise</w:t>
      </w:r>
      <w:r w:rsidRPr="00D33ED5">
        <w:rPr>
          <w:lang w:val="en-AU"/>
        </w:rPr>
        <w:t xml:space="preserve"> r</w:t>
      </w:r>
      <w:r w:rsidR="0066550B" w:rsidRPr="00D33ED5">
        <w:rPr>
          <w:lang w:val="en-AU"/>
        </w:rPr>
        <w:t>each</w:t>
      </w:r>
      <w:r w:rsidR="00D9759B" w:rsidRPr="00D33ED5">
        <w:rPr>
          <w:lang w:val="en-AU"/>
        </w:rPr>
        <w:t>ing</w:t>
      </w:r>
      <w:r w:rsidR="0066550B" w:rsidRPr="00D33ED5">
        <w:rPr>
          <w:lang w:val="en-AU"/>
        </w:rPr>
        <w:t xml:space="preserve"> out to families</w:t>
      </w:r>
      <w:r w:rsidR="007E6B5C" w:rsidRPr="00D33ED5">
        <w:rPr>
          <w:lang w:val="en-AU"/>
        </w:rPr>
        <w:t xml:space="preserve"> experiencing vulnerability</w:t>
      </w:r>
      <w:r w:rsidR="00E55689" w:rsidRPr="00D33ED5">
        <w:rPr>
          <w:lang w:val="en-AU"/>
        </w:rPr>
        <w:t xml:space="preserve"> </w:t>
      </w:r>
      <w:r w:rsidR="00BD3087" w:rsidRPr="00D33ED5">
        <w:rPr>
          <w:lang w:val="en-AU"/>
        </w:rPr>
        <w:t xml:space="preserve">and </w:t>
      </w:r>
      <w:r w:rsidR="00625C3D" w:rsidRPr="00D33ED5">
        <w:rPr>
          <w:lang w:val="en-AU"/>
        </w:rPr>
        <w:t>w</w:t>
      </w:r>
      <w:r w:rsidR="00F60B07" w:rsidRPr="00D33ED5">
        <w:rPr>
          <w:lang w:val="en-AU"/>
        </w:rPr>
        <w:t xml:space="preserve">ork with </w:t>
      </w:r>
      <w:r w:rsidR="000D7D16" w:rsidRPr="00D33ED5">
        <w:rPr>
          <w:lang w:val="en-AU"/>
        </w:rPr>
        <w:t xml:space="preserve">parents </w:t>
      </w:r>
      <w:r w:rsidR="00F60B07" w:rsidRPr="00D33ED5">
        <w:rPr>
          <w:lang w:val="en-AU"/>
        </w:rPr>
        <w:t xml:space="preserve">and carers to </w:t>
      </w:r>
      <w:r w:rsidR="00FD3FC0" w:rsidRPr="00D33ED5">
        <w:rPr>
          <w:lang w:val="en-AU"/>
        </w:rPr>
        <w:t xml:space="preserve">agree on </w:t>
      </w:r>
      <w:r w:rsidR="00F60B07" w:rsidRPr="00D33ED5">
        <w:rPr>
          <w:lang w:val="en-AU"/>
        </w:rPr>
        <w:t xml:space="preserve">the best way to keep in contact. </w:t>
      </w:r>
      <w:r w:rsidR="0066550B" w:rsidRPr="00D33ED5">
        <w:rPr>
          <w:lang w:val="en-AU"/>
        </w:rPr>
        <w:t xml:space="preserve">Families and carers may </w:t>
      </w:r>
      <w:r w:rsidR="00FD3FC0" w:rsidRPr="00D33ED5">
        <w:rPr>
          <w:lang w:val="en-AU"/>
        </w:rPr>
        <w:t>choose for</w:t>
      </w:r>
      <w:r w:rsidR="0066550B" w:rsidRPr="00D33ED5">
        <w:rPr>
          <w:lang w:val="en-AU"/>
        </w:rPr>
        <w:t xml:space="preserve"> children</w:t>
      </w:r>
      <w:r w:rsidR="009B73E9" w:rsidRPr="00D33ED5">
        <w:rPr>
          <w:lang w:val="en-AU"/>
        </w:rPr>
        <w:t xml:space="preserve"> to</w:t>
      </w:r>
      <w:r w:rsidR="0066550B" w:rsidRPr="00D33ED5">
        <w:rPr>
          <w:lang w:val="en-AU"/>
        </w:rPr>
        <w:t xml:space="preserve"> attend</w:t>
      </w:r>
      <w:r w:rsidR="00077A5F" w:rsidRPr="00D33ED5">
        <w:rPr>
          <w:lang w:val="en-AU"/>
        </w:rPr>
        <w:t xml:space="preserve"> all</w:t>
      </w:r>
      <w:r w:rsidR="009B73E9" w:rsidRPr="00D33ED5">
        <w:rPr>
          <w:lang w:val="en-AU"/>
        </w:rPr>
        <w:t>, or only some,</w:t>
      </w:r>
      <w:r w:rsidR="00077A5F" w:rsidRPr="00D33ED5">
        <w:rPr>
          <w:lang w:val="en-AU"/>
        </w:rPr>
        <w:t xml:space="preserve"> sessions</w:t>
      </w:r>
      <w:r w:rsidR="0066550B" w:rsidRPr="00D33ED5">
        <w:rPr>
          <w:lang w:val="en-AU"/>
        </w:rPr>
        <w:t>.</w:t>
      </w:r>
      <w:r w:rsidR="009822CD" w:rsidRPr="00D33ED5">
        <w:t xml:space="preserve"> </w:t>
      </w:r>
    </w:p>
    <w:p w:rsidR="00D9759B" w:rsidRPr="00D33ED5" w:rsidRDefault="00D9759B" w:rsidP="006F182E">
      <w:pPr>
        <w:autoSpaceDE w:val="0"/>
        <w:autoSpaceDN w:val="0"/>
        <w:adjustRightInd w:val="0"/>
        <w:rPr>
          <w:lang w:val="en-AU"/>
        </w:rPr>
      </w:pPr>
      <w:r w:rsidRPr="00D33ED5">
        <w:rPr>
          <w:lang w:val="en-AU"/>
        </w:rPr>
        <w:t xml:space="preserve">If there are health reasons that prevent or limit children’s attendance at your service, reasonable efforts should be made to support learning from home arrangements. </w:t>
      </w:r>
    </w:p>
    <w:p w:rsidR="009822CD" w:rsidRPr="00D33ED5" w:rsidRDefault="009822CD" w:rsidP="009822CD">
      <w:r w:rsidRPr="00D33ED5">
        <w:t xml:space="preserve">If children </w:t>
      </w:r>
      <w:r w:rsidR="00F60B07" w:rsidRPr="00D33ED5">
        <w:t>do not</w:t>
      </w:r>
      <w:r w:rsidRPr="00D33ED5">
        <w:t xml:space="preserve"> attend as agreed, follow up with </w:t>
      </w:r>
      <w:r w:rsidR="00A16B69" w:rsidRPr="00D33ED5">
        <w:t>families</w:t>
      </w:r>
      <w:r w:rsidRPr="00D33ED5">
        <w:t xml:space="preserve"> and carers to identify </w:t>
      </w:r>
      <w:r w:rsidR="00FD3FC0" w:rsidRPr="00D33ED5">
        <w:t xml:space="preserve">any </w:t>
      </w:r>
      <w:r w:rsidRPr="00D33ED5">
        <w:t>barriers</w:t>
      </w:r>
      <w:r w:rsidR="00FD3F58" w:rsidRPr="00D33ED5">
        <w:t xml:space="preserve"> </w:t>
      </w:r>
      <w:r w:rsidR="0060113C" w:rsidRPr="00D33ED5">
        <w:t>to attendance</w:t>
      </w:r>
      <w:r w:rsidR="00015065" w:rsidRPr="00D33ED5">
        <w:t xml:space="preserve"> </w:t>
      </w:r>
      <w:r w:rsidRPr="00D33ED5">
        <w:t xml:space="preserve">or additional support </w:t>
      </w:r>
      <w:r w:rsidR="0060113C" w:rsidRPr="00D33ED5">
        <w:t>that could be provided</w:t>
      </w:r>
      <w:r w:rsidRPr="00D33ED5">
        <w:t xml:space="preserve"> If children have not attended for a week, consider reaching out to other support services </w:t>
      </w:r>
      <w:r w:rsidR="009B73E9" w:rsidRPr="00D33ED5">
        <w:t xml:space="preserve">that </w:t>
      </w:r>
      <w:r w:rsidRPr="00D33ED5">
        <w:t xml:space="preserve">may be involved. </w:t>
      </w:r>
    </w:p>
    <w:p w:rsidR="00B93765" w:rsidRPr="00D33ED5" w:rsidRDefault="00B93765" w:rsidP="00B24CB2">
      <w:pPr>
        <w:rPr>
          <w:rFonts w:ascii="Arial" w:hAnsi="Arial" w:cs="Arial"/>
        </w:rPr>
      </w:pPr>
      <w:r w:rsidRPr="00D33ED5">
        <w:rPr>
          <w:rFonts w:ascii="Arial" w:hAnsi="Arial" w:cs="Arial"/>
        </w:rPr>
        <w:t>Families with existing or new circumstances that may experience additional pressures as a result of</w:t>
      </w:r>
      <w:r w:rsidR="001B1234" w:rsidRPr="00D33ED5">
        <w:rPr>
          <w:rFonts w:ascii="Arial" w:hAnsi="Arial" w:cs="Arial"/>
        </w:rPr>
        <w:t xml:space="preserve"> coronavirus (COVID-19) include:</w:t>
      </w:r>
    </w:p>
    <w:p w:rsidR="00B93765" w:rsidRPr="00D33ED5" w:rsidRDefault="00B93765" w:rsidP="00B24CB2">
      <w:pPr>
        <w:numPr>
          <w:ilvl w:val="0"/>
          <w:numId w:val="28"/>
        </w:numPr>
        <w:autoSpaceDE w:val="0"/>
        <w:autoSpaceDN w:val="0"/>
        <w:spacing w:after="0"/>
        <w:ind w:hanging="357"/>
        <w:rPr>
          <w:rFonts w:ascii="Arial" w:eastAsia="Times New Roman" w:hAnsi="Arial" w:cs="Arial"/>
        </w:rPr>
      </w:pPr>
      <w:r w:rsidRPr="00D33ED5">
        <w:rPr>
          <w:rFonts w:ascii="Arial" w:eastAsia="Times New Roman" w:hAnsi="Arial" w:cs="Arial"/>
        </w:rPr>
        <w:t>children and families who do not have access to a secure learning environment at home, including:</w:t>
      </w:r>
    </w:p>
    <w:p w:rsidR="00B93765" w:rsidRPr="00D33ED5" w:rsidRDefault="00B93765" w:rsidP="00B24CB2">
      <w:pPr>
        <w:numPr>
          <w:ilvl w:val="1"/>
          <w:numId w:val="28"/>
        </w:numPr>
        <w:autoSpaceDE w:val="0"/>
        <w:autoSpaceDN w:val="0"/>
        <w:spacing w:after="0"/>
        <w:ind w:hanging="357"/>
        <w:rPr>
          <w:rFonts w:ascii="Arial" w:eastAsia="Times New Roman" w:hAnsi="Arial" w:cs="Arial"/>
        </w:rPr>
      </w:pPr>
      <w:r w:rsidRPr="00D33ED5">
        <w:rPr>
          <w:rFonts w:ascii="Arial" w:eastAsia="Times New Roman" w:hAnsi="Arial" w:cs="Arial"/>
        </w:rPr>
        <w:t>children in out-of-home care</w:t>
      </w:r>
    </w:p>
    <w:p w:rsidR="00B93765" w:rsidRPr="00D33ED5" w:rsidRDefault="00B93765" w:rsidP="00B24CB2">
      <w:pPr>
        <w:numPr>
          <w:ilvl w:val="1"/>
          <w:numId w:val="28"/>
        </w:numPr>
        <w:autoSpaceDE w:val="0"/>
        <w:autoSpaceDN w:val="0"/>
        <w:spacing w:after="0"/>
        <w:ind w:hanging="357"/>
        <w:rPr>
          <w:rFonts w:ascii="Arial" w:eastAsia="Times New Roman" w:hAnsi="Arial" w:cs="Arial"/>
        </w:rPr>
      </w:pPr>
      <w:r w:rsidRPr="00D33ED5">
        <w:rPr>
          <w:rFonts w:ascii="Arial" w:eastAsia="Times New Roman" w:hAnsi="Arial" w:cs="Arial"/>
        </w:rPr>
        <w:t>children considered by Child Protection and/or Family Services to be at risk of harm or neglect</w:t>
      </w:r>
    </w:p>
    <w:p w:rsidR="00B93765" w:rsidRPr="00D33ED5" w:rsidRDefault="00B93765" w:rsidP="00B24CB2">
      <w:pPr>
        <w:numPr>
          <w:ilvl w:val="1"/>
          <w:numId w:val="28"/>
        </w:numPr>
        <w:autoSpaceDE w:val="0"/>
        <w:autoSpaceDN w:val="0"/>
        <w:spacing w:after="0"/>
        <w:ind w:hanging="357"/>
        <w:rPr>
          <w:rFonts w:ascii="Arial" w:eastAsia="Times New Roman" w:hAnsi="Arial" w:cs="Arial"/>
        </w:rPr>
      </w:pPr>
      <w:r w:rsidRPr="00D33ED5">
        <w:rPr>
          <w:rFonts w:ascii="Arial" w:eastAsia="Times New Roman" w:hAnsi="Arial" w:cs="Arial"/>
        </w:rPr>
        <w:t xml:space="preserve">children identified by the service as vulnerable (including via referral from a family violence agency, homelessness, mental health, or other health service). </w:t>
      </w:r>
    </w:p>
    <w:p w:rsidR="00B93765" w:rsidRPr="00D33ED5" w:rsidRDefault="00B93765" w:rsidP="00B24CB2">
      <w:pPr>
        <w:numPr>
          <w:ilvl w:val="0"/>
          <w:numId w:val="28"/>
        </w:numPr>
        <w:autoSpaceDE w:val="0"/>
        <w:autoSpaceDN w:val="0"/>
        <w:spacing w:after="0"/>
        <w:ind w:hanging="357"/>
        <w:jc w:val="both"/>
        <w:rPr>
          <w:rFonts w:ascii="Arial" w:eastAsia="Times New Roman" w:hAnsi="Arial" w:cs="Arial"/>
        </w:rPr>
      </w:pPr>
      <w:r w:rsidRPr="00D33ED5">
        <w:rPr>
          <w:rFonts w:ascii="Arial" w:eastAsia="Times New Roman" w:hAnsi="Arial" w:cs="Arial"/>
        </w:rPr>
        <w:t xml:space="preserve">children whose learning and development may be at particular risk, including those: </w:t>
      </w:r>
    </w:p>
    <w:p w:rsidR="00B93765" w:rsidRPr="00D33ED5" w:rsidRDefault="00B93765" w:rsidP="00B24CB2">
      <w:pPr>
        <w:numPr>
          <w:ilvl w:val="1"/>
          <w:numId w:val="28"/>
        </w:numPr>
        <w:spacing w:after="0"/>
        <w:ind w:hanging="357"/>
        <w:rPr>
          <w:rFonts w:ascii="Arial" w:eastAsia="Times New Roman" w:hAnsi="Arial" w:cs="Arial"/>
        </w:rPr>
      </w:pPr>
      <w:r w:rsidRPr="00D33ED5">
        <w:rPr>
          <w:rFonts w:ascii="Arial" w:eastAsia="Times New Roman" w:hAnsi="Arial" w:cs="Arial"/>
        </w:rPr>
        <w:t>with a disability</w:t>
      </w:r>
    </w:p>
    <w:p w:rsidR="00B93765" w:rsidRPr="00D33ED5" w:rsidRDefault="00B93765" w:rsidP="00B24CB2">
      <w:pPr>
        <w:numPr>
          <w:ilvl w:val="1"/>
          <w:numId w:val="28"/>
        </w:numPr>
        <w:spacing w:after="0"/>
        <w:ind w:hanging="357"/>
        <w:rPr>
          <w:rFonts w:ascii="Arial" w:eastAsia="Times New Roman" w:hAnsi="Arial" w:cs="Arial"/>
        </w:rPr>
      </w:pPr>
      <w:r w:rsidRPr="00D33ED5">
        <w:rPr>
          <w:rFonts w:ascii="Arial" w:eastAsia="Times New Roman" w:hAnsi="Arial" w:cs="Arial"/>
        </w:rPr>
        <w:t>from an English as an additional language background</w:t>
      </w:r>
    </w:p>
    <w:p w:rsidR="00B93765" w:rsidRPr="00D33ED5" w:rsidRDefault="00B93765" w:rsidP="00B24CB2">
      <w:pPr>
        <w:numPr>
          <w:ilvl w:val="1"/>
          <w:numId w:val="28"/>
        </w:numPr>
        <w:spacing w:after="0"/>
        <w:ind w:hanging="357"/>
        <w:rPr>
          <w:rFonts w:ascii="Arial" w:eastAsia="Times New Roman" w:hAnsi="Arial" w:cs="Arial"/>
        </w:rPr>
      </w:pPr>
      <w:r w:rsidRPr="00D33ED5">
        <w:rPr>
          <w:rFonts w:ascii="Arial" w:eastAsia="Times New Roman" w:hAnsi="Arial" w:cs="Arial"/>
        </w:rPr>
        <w:t>from a refugee background</w:t>
      </w:r>
    </w:p>
    <w:p w:rsidR="001B1234" w:rsidRPr="00D33ED5" w:rsidRDefault="00B93765" w:rsidP="00B24CB2">
      <w:pPr>
        <w:numPr>
          <w:ilvl w:val="1"/>
          <w:numId w:val="28"/>
        </w:numPr>
        <w:ind w:left="1434" w:hanging="357"/>
        <w:rPr>
          <w:rFonts w:ascii="Arial" w:hAnsi="Arial" w:cs="Arial"/>
        </w:rPr>
      </w:pPr>
      <w:proofErr w:type="gramStart"/>
      <w:r w:rsidRPr="00D33ED5">
        <w:rPr>
          <w:rFonts w:ascii="Arial" w:hAnsi="Arial" w:cs="Arial"/>
        </w:rPr>
        <w:t>who</w:t>
      </w:r>
      <w:proofErr w:type="gramEnd"/>
      <w:r w:rsidRPr="00D33ED5">
        <w:rPr>
          <w:rFonts w:ascii="Arial" w:hAnsi="Arial" w:cs="Arial"/>
        </w:rPr>
        <w:t xml:space="preserve"> identify as Aboriginal and Torres Strait Islander.</w:t>
      </w:r>
    </w:p>
    <w:p w:rsidR="00077A5F" w:rsidRPr="00D33ED5" w:rsidRDefault="00077A5F" w:rsidP="009822CD">
      <w:pPr>
        <w:rPr>
          <w:lang w:val="en-AU"/>
        </w:rPr>
      </w:pPr>
      <w:r w:rsidRPr="00D33ED5">
        <w:rPr>
          <w:lang w:val="en-AU"/>
        </w:rPr>
        <w:t>If a child is in out</w:t>
      </w:r>
      <w:r w:rsidR="00FD3FC0" w:rsidRPr="00D33ED5">
        <w:rPr>
          <w:lang w:val="en-AU"/>
        </w:rPr>
        <w:t>-</w:t>
      </w:r>
      <w:r w:rsidRPr="00D33ED5">
        <w:rPr>
          <w:lang w:val="en-AU"/>
        </w:rPr>
        <w:t>of</w:t>
      </w:r>
      <w:r w:rsidR="00FD3FC0" w:rsidRPr="00D33ED5">
        <w:rPr>
          <w:lang w:val="en-AU"/>
        </w:rPr>
        <w:t>-</w:t>
      </w:r>
      <w:r w:rsidRPr="00D33ED5">
        <w:rPr>
          <w:lang w:val="en-AU"/>
        </w:rPr>
        <w:t xml:space="preserve">home care, your local </w:t>
      </w:r>
      <w:hyperlink r:id="rId12" w:history="1">
        <w:r w:rsidRPr="00D33ED5">
          <w:rPr>
            <w:rStyle w:val="Hyperlink"/>
            <w:lang w:val="en-AU"/>
          </w:rPr>
          <w:t xml:space="preserve">LOOKOUT </w:t>
        </w:r>
        <w:r w:rsidR="00671BEF" w:rsidRPr="00D33ED5">
          <w:rPr>
            <w:rStyle w:val="Hyperlink"/>
            <w:lang w:val="en-AU"/>
          </w:rPr>
          <w:t>Education Support C</w:t>
        </w:r>
        <w:r w:rsidRPr="00D33ED5">
          <w:rPr>
            <w:rStyle w:val="Hyperlink"/>
            <w:lang w:val="en-AU"/>
          </w:rPr>
          <w:t>entre</w:t>
        </w:r>
      </w:hyperlink>
      <w:r w:rsidRPr="00D33ED5">
        <w:rPr>
          <w:lang w:val="en-AU"/>
        </w:rPr>
        <w:t xml:space="preserve"> can support attendance and engage families and carers with learning from home opportunities. </w:t>
      </w:r>
    </w:p>
    <w:p w:rsidR="00F60B07" w:rsidRPr="00D33ED5" w:rsidRDefault="00237EE0" w:rsidP="0066550B">
      <w:pPr>
        <w:rPr>
          <w:lang w:val="en-AU"/>
        </w:rPr>
      </w:pPr>
      <w:r w:rsidRPr="00D33ED5">
        <w:rPr>
          <w:lang w:val="en-AU"/>
        </w:rPr>
        <w:t xml:space="preserve">For children with additional needs, </w:t>
      </w:r>
      <w:hyperlink r:id="rId13" w:history="1">
        <w:r w:rsidR="00F60B07" w:rsidRPr="00D33ED5">
          <w:rPr>
            <w:rStyle w:val="Hyperlink"/>
            <w:lang w:val="en-AU"/>
          </w:rPr>
          <w:t>Preschool Field Officers</w:t>
        </w:r>
      </w:hyperlink>
      <w:r w:rsidR="00F60B07" w:rsidRPr="00D33ED5">
        <w:rPr>
          <w:lang w:val="en-AU"/>
        </w:rPr>
        <w:t xml:space="preserve"> (PSFO</w:t>
      </w:r>
      <w:r w:rsidR="009B73E9" w:rsidRPr="00D33ED5">
        <w:rPr>
          <w:lang w:val="en-AU"/>
        </w:rPr>
        <w:t>s</w:t>
      </w:r>
      <w:r w:rsidR="00F60B07" w:rsidRPr="00D33ED5">
        <w:rPr>
          <w:lang w:val="en-AU"/>
        </w:rPr>
        <w:t>) can be contacted to support access and participation</w:t>
      </w:r>
      <w:r w:rsidRPr="00D33ED5">
        <w:rPr>
          <w:lang w:val="en-AU"/>
        </w:rPr>
        <w:t>.</w:t>
      </w:r>
      <w:r w:rsidR="00F60B07" w:rsidRPr="00D33ED5">
        <w:rPr>
          <w:lang w:val="en-AU"/>
        </w:rPr>
        <w:t xml:space="preserve"> </w:t>
      </w:r>
    </w:p>
    <w:p w:rsidR="001B1234" w:rsidRPr="00D33ED5" w:rsidRDefault="00B93765" w:rsidP="0066550B">
      <w:pPr>
        <w:rPr>
          <w:lang w:val="en-AU"/>
        </w:rPr>
      </w:pPr>
      <w:r w:rsidRPr="00D33ED5">
        <w:rPr>
          <w:lang w:val="en-AU"/>
        </w:rPr>
        <w:t xml:space="preserve">Additional support for engaging with children and families from a refugee background can be obtained via contacting </w:t>
      </w:r>
      <w:hyperlink r:id="rId14" w:history="1">
        <w:r w:rsidRPr="00D33ED5">
          <w:rPr>
            <w:rStyle w:val="Hyperlink"/>
            <w:lang w:val="en-AU"/>
          </w:rPr>
          <w:t>Foundation House</w:t>
        </w:r>
      </w:hyperlink>
      <w:r w:rsidRPr="00D33ED5">
        <w:rPr>
          <w:lang w:val="en-AU"/>
        </w:rPr>
        <w:t xml:space="preserve"> to seek tailored advice. </w:t>
      </w:r>
    </w:p>
    <w:p w:rsidR="00B93765" w:rsidRPr="00D33ED5" w:rsidRDefault="00B93765" w:rsidP="0066550B">
      <w:pPr>
        <w:rPr>
          <w:lang w:val="en-AU"/>
        </w:rPr>
      </w:pPr>
      <w:r w:rsidRPr="00D33ED5">
        <w:rPr>
          <w:lang w:val="en-AU"/>
        </w:rPr>
        <w:lastRenderedPageBreak/>
        <w:t xml:space="preserve">Telephone support is available to educators and services from </w:t>
      </w:r>
      <w:hyperlink r:id="rId15" w:history="1">
        <w:proofErr w:type="spellStart"/>
        <w:r w:rsidRPr="00D33ED5">
          <w:rPr>
            <w:rStyle w:val="Hyperlink"/>
            <w:i/>
            <w:iCs/>
            <w:lang w:val="en-AU"/>
          </w:rPr>
          <w:t>fka</w:t>
        </w:r>
        <w:proofErr w:type="spellEnd"/>
        <w:r w:rsidRPr="00D33ED5">
          <w:rPr>
            <w:rStyle w:val="Hyperlink"/>
            <w:lang w:val="en-AU"/>
          </w:rPr>
          <w:t xml:space="preserve"> Children’s Services</w:t>
        </w:r>
      </w:hyperlink>
      <w:r w:rsidRPr="00D33ED5">
        <w:rPr>
          <w:lang w:val="en-AU"/>
        </w:rPr>
        <w:t xml:space="preserve"> </w:t>
      </w:r>
      <w:r w:rsidRPr="00D33ED5">
        <w:t>in continuing to maintain strong connections and engagement with multilingual families.</w:t>
      </w:r>
    </w:p>
    <w:p w:rsidR="0066550B" w:rsidRPr="00D33ED5" w:rsidRDefault="00F60B07" w:rsidP="0066550B">
      <w:pPr>
        <w:rPr>
          <w:lang w:val="en-AU"/>
        </w:rPr>
      </w:pPr>
      <w:r w:rsidRPr="00D33ED5">
        <w:rPr>
          <w:lang w:val="en-AU"/>
        </w:rPr>
        <w:t xml:space="preserve">You </w:t>
      </w:r>
      <w:r w:rsidR="00FF45B1" w:rsidRPr="00D33ED5">
        <w:rPr>
          <w:lang w:val="en-AU"/>
        </w:rPr>
        <w:t>can</w:t>
      </w:r>
      <w:r w:rsidR="00237EE0" w:rsidRPr="00D33ED5">
        <w:rPr>
          <w:lang w:val="en-AU"/>
        </w:rPr>
        <w:t xml:space="preserve"> also</w:t>
      </w:r>
      <w:r w:rsidR="00FF45B1" w:rsidRPr="00D33ED5">
        <w:rPr>
          <w:lang w:val="en-AU"/>
        </w:rPr>
        <w:t xml:space="preserve"> use your</w:t>
      </w:r>
      <w:r w:rsidR="0066550B" w:rsidRPr="00D33ED5">
        <w:rPr>
          <w:lang w:val="en-AU"/>
        </w:rPr>
        <w:t xml:space="preserve"> School Readiness Funding to support your outreach engagement with</w:t>
      </w:r>
      <w:r w:rsidR="00C64F4B" w:rsidRPr="00D33ED5">
        <w:rPr>
          <w:lang w:val="en-AU"/>
        </w:rPr>
        <w:t xml:space="preserve"> children and families experiencing vulnerability</w:t>
      </w:r>
      <w:r w:rsidR="0066550B" w:rsidRPr="00D33ED5">
        <w:rPr>
          <w:lang w:val="en-AU"/>
        </w:rPr>
        <w:t>.</w:t>
      </w:r>
    </w:p>
    <w:p w:rsidR="00F2367D" w:rsidRPr="00D33ED5" w:rsidRDefault="0066550B" w:rsidP="0022012B">
      <w:pPr>
        <w:spacing w:after="240"/>
        <w:rPr>
          <w:lang w:val="en-AU"/>
        </w:rPr>
      </w:pPr>
      <w:r w:rsidRPr="00D33ED5">
        <w:rPr>
          <w:lang w:val="en-AU"/>
        </w:rPr>
        <w:t xml:space="preserve">With families consent, </w:t>
      </w:r>
      <w:r w:rsidR="00FF45B1" w:rsidRPr="00D33ED5">
        <w:rPr>
          <w:lang w:val="en-AU"/>
        </w:rPr>
        <w:t xml:space="preserve">you can also </w:t>
      </w:r>
      <w:r w:rsidRPr="00D33ED5">
        <w:rPr>
          <w:lang w:val="en-AU"/>
        </w:rPr>
        <w:t xml:space="preserve">connect with other support services involved to </w:t>
      </w:r>
      <w:r w:rsidR="00F828F1" w:rsidRPr="00D33ED5">
        <w:rPr>
          <w:lang w:val="en-AU"/>
        </w:rPr>
        <w:t>discuss</w:t>
      </w:r>
      <w:r w:rsidRPr="00D33ED5">
        <w:rPr>
          <w:lang w:val="en-AU"/>
        </w:rPr>
        <w:t xml:space="preserve"> learning arrangements and co-ordination of support.</w:t>
      </w:r>
    </w:p>
    <w:p w:rsidR="00F828F1" w:rsidRPr="00D33ED5" w:rsidRDefault="008A36E5" w:rsidP="00CF3ADF">
      <w:pPr>
        <w:rPr>
          <w:b/>
          <w:bCs/>
          <w:lang w:val="en-AU"/>
        </w:rPr>
      </w:pPr>
      <w:r w:rsidRPr="00D33ED5">
        <w:rPr>
          <w:rFonts w:asciiTheme="majorHAnsi" w:eastAsiaTheme="majorEastAsia" w:hAnsiTheme="majorHAnsi" w:cstheme="majorBidi"/>
          <w:b/>
          <w:color w:val="AF272F" w:themeColor="text1"/>
          <w:sz w:val="28"/>
          <w:szCs w:val="28"/>
          <w:lang w:val="en-AU"/>
        </w:rPr>
        <w:t xml:space="preserve">Learning from </w:t>
      </w:r>
      <w:r w:rsidR="009F31D6" w:rsidRPr="00D33ED5">
        <w:rPr>
          <w:rFonts w:asciiTheme="majorHAnsi" w:eastAsiaTheme="majorEastAsia" w:hAnsiTheme="majorHAnsi" w:cstheme="majorBidi"/>
          <w:b/>
          <w:color w:val="AF272F" w:themeColor="text1"/>
          <w:sz w:val="28"/>
          <w:szCs w:val="28"/>
          <w:lang w:val="en-AU"/>
        </w:rPr>
        <w:t>h</w:t>
      </w:r>
      <w:r w:rsidRPr="00D33ED5">
        <w:rPr>
          <w:rFonts w:asciiTheme="majorHAnsi" w:eastAsiaTheme="majorEastAsia" w:hAnsiTheme="majorHAnsi" w:cstheme="majorBidi"/>
          <w:b/>
          <w:color w:val="AF272F" w:themeColor="text1"/>
          <w:sz w:val="28"/>
          <w:szCs w:val="28"/>
          <w:lang w:val="en-AU"/>
        </w:rPr>
        <w:t>ome</w:t>
      </w:r>
    </w:p>
    <w:p w:rsidR="003164CD" w:rsidRPr="00D33ED5" w:rsidRDefault="00F22963" w:rsidP="00CF3ADF">
      <w:pPr>
        <w:rPr>
          <w:lang w:val="en-AU"/>
        </w:rPr>
      </w:pPr>
      <w:r w:rsidRPr="00D33ED5">
        <w:rPr>
          <w:lang w:val="en-AU"/>
        </w:rPr>
        <w:t>L</w:t>
      </w:r>
      <w:r w:rsidR="00F828F1" w:rsidRPr="00D33ED5">
        <w:rPr>
          <w:lang w:val="en-AU"/>
        </w:rPr>
        <w:t>earning</w:t>
      </w:r>
      <w:r w:rsidRPr="00D33ED5">
        <w:rPr>
          <w:lang w:val="en-AU"/>
        </w:rPr>
        <w:t xml:space="preserve"> from home</w:t>
      </w:r>
      <w:r w:rsidR="00F828F1" w:rsidRPr="00D33ED5">
        <w:rPr>
          <w:lang w:val="en-AU"/>
        </w:rPr>
        <w:t xml:space="preserve"> </w:t>
      </w:r>
      <w:r w:rsidR="00237EE0" w:rsidRPr="00D33ED5">
        <w:rPr>
          <w:lang w:val="en-AU"/>
        </w:rPr>
        <w:t xml:space="preserve">arrangements </w:t>
      </w:r>
      <w:r w:rsidR="006B666F" w:rsidRPr="00D33ED5">
        <w:rPr>
          <w:lang w:val="en-AU"/>
        </w:rPr>
        <w:t xml:space="preserve">should </w:t>
      </w:r>
      <w:r w:rsidR="00F828F1" w:rsidRPr="00D33ED5">
        <w:rPr>
          <w:lang w:val="en-AU"/>
        </w:rPr>
        <w:t xml:space="preserve">be </w:t>
      </w:r>
      <w:r w:rsidR="006B666F" w:rsidRPr="00D33ED5">
        <w:rPr>
          <w:lang w:val="en-AU"/>
        </w:rPr>
        <w:t xml:space="preserve">facilitated </w:t>
      </w:r>
      <w:r w:rsidR="00F828F1" w:rsidRPr="00D33ED5">
        <w:rPr>
          <w:lang w:val="en-AU"/>
        </w:rPr>
        <w:t xml:space="preserve">where families and carers have identified health </w:t>
      </w:r>
      <w:r w:rsidR="000225C8" w:rsidRPr="00D33ED5">
        <w:rPr>
          <w:lang w:val="en-AU"/>
        </w:rPr>
        <w:t xml:space="preserve">risk </w:t>
      </w:r>
      <w:r w:rsidR="00F828F1" w:rsidRPr="00D33ED5">
        <w:rPr>
          <w:lang w:val="en-AU"/>
        </w:rPr>
        <w:t>concerns</w:t>
      </w:r>
      <w:r w:rsidR="001C138F" w:rsidRPr="00D33ED5">
        <w:rPr>
          <w:lang w:val="en-AU"/>
        </w:rPr>
        <w:t xml:space="preserve"> for children</w:t>
      </w:r>
      <w:r w:rsidR="00FF45B1" w:rsidRPr="00D33ED5">
        <w:rPr>
          <w:lang w:val="en-AU"/>
        </w:rPr>
        <w:t xml:space="preserve"> or their families</w:t>
      </w:r>
      <w:r w:rsidR="00F828F1" w:rsidRPr="00D33ED5">
        <w:rPr>
          <w:lang w:val="en-AU"/>
        </w:rPr>
        <w:t xml:space="preserve">. </w:t>
      </w:r>
    </w:p>
    <w:p w:rsidR="00980B9F" w:rsidRPr="00D33ED5" w:rsidRDefault="000D316B" w:rsidP="00F2367D">
      <w:pPr>
        <w:spacing w:after="240"/>
      </w:pPr>
      <w:r w:rsidRPr="00D33ED5">
        <w:t xml:space="preserve">Working with </w:t>
      </w:r>
      <w:r w:rsidR="00D54CA4" w:rsidRPr="00D33ED5">
        <w:t>families</w:t>
      </w:r>
      <w:r w:rsidRPr="00D33ED5">
        <w:t xml:space="preserve"> and carers to equip them in sustaining children’s learning </w:t>
      </w:r>
      <w:r w:rsidR="006B666F" w:rsidRPr="00D33ED5">
        <w:t xml:space="preserve">can be </w:t>
      </w:r>
      <w:r w:rsidRPr="00D33ED5">
        <w:t>particularly challenging in a remote context. Direct contact will be helpful, both in supporting communication but also</w:t>
      </w:r>
      <w:r w:rsidR="008F16E9" w:rsidRPr="00D33ED5">
        <w:t>,</w:t>
      </w:r>
      <w:r w:rsidRPr="00D33ED5">
        <w:t xml:space="preserve"> if </w:t>
      </w:r>
      <w:r w:rsidR="00856200" w:rsidRPr="00D33ED5">
        <w:t>possible,</w:t>
      </w:r>
      <w:r w:rsidRPr="00D33ED5">
        <w:t xml:space="preserve"> in observing and coaching </w:t>
      </w:r>
      <w:r w:rsidR="00D54CA4" w:rsidRPr="00D33ED5">
        <w:t>families and carers</w:t>
      </w:r>
      <w:r w:rsidRPr="00D33ED5">
        <w:t xml:space="preserve"> </w:t>
      </w:r>
      <w:r w:rsidR="008F16E9" w:rsidRPr="00D33ED5">
        <w:t>to</w:t>
      </w:r>
      <w:r w:rsidRPr="00D33ED5">
        <w:t xml:space="preserve"> initiat</w:t>
      </w:r>
      <w:r w:rsidR="008F16E9" w:rsidRPr="00D33ED5">
        <w:t>e</w:t>
      </w:r>
      <w:r w:rsidRPr="00D33ED5">
        <w:t xml:space="preserve"> and guid</w:t>
      </w:r>
      <w:r w:rsidR="008F16E9" w:rsidRPr="00D33ED5">
        <w:t>e</w:t>
      </w:r>
      <w:r w:rsidRPr="00D33ED5">
        <w:t xml:space="preserve"> learning activities.</w:t>
      </w:r>
      <w:r w:rsidR="00C64F4B" w:rsidRPr="00D33ED5">
        <w:t xml:space="preserve"> Every partnership will be unique and it will be important to identify with families what they do well and build their confidence. </w:t>
      </w:r>
      <w:r w:rsidRPr="00D33ED5">
        <w:t xml:space="preserve">  </w:t>
      </w:r>
    </w:p>
    <w:p w:rsidR="00CF3ADF" w:rsidRPr="00D33ED5" w:rsidRDefault="00CF3ADF" w:rsidP="00CF3ADF">
      <w:pPr>
        <w:rPr>
          <w:b/>
          <w:bCs/>
          <w:sz w:val="24"/>
          <w:szCs w:val="28"/>
        </w:rPr>
      </w:pPr>
      <w:r w:rsidRPr="00D33ED5">
        <w:rPr>
          <w:b/>
          <w:bCs/>
          <w:sz w:val="24"/>
          <w:szCs w:val="28"/>
        </w:rPr>
        <w:t xml:space="preserve">Critical practices to consider </w:t>
      </w:r>
    </w:p>
    <w:p w:rsidR="00616DE7" w:rsidRPr="00D33ED5" w:rsidRDefault="00616DE7" w:rsidP="00616DE7">
      <w:pPr>
        <w:pStyle w:val="ListParagraph"/>
        <w:numPr>
          <w:ilvl w:val="0"/>
          <w:numId w:val="29"/>
        </w:numPr>
      </w:pPr>
      <w:r w:rsidRPr="00D33ED5">
        <w:rPr>
          <w:b/>
        </w:rPr>
        <w:t>Making contact with families</w:t>
      </w:r>
      <w:r w:rsidRPr="00D33ED5">
        <w:t xml:space="preserve">. Find out the best way </w:t>
      </w:r>
      <w:r w:rsidR="00625C3D" w:rsidRPr="00D33ED5">
        <w:t>to</w:t>
      </w:r>
      <w:r w:rsidR="00FD3FC0" w:rsidRPr="00D33ED5">
        <w:t xml:space="preserve"> </w:t>
      </w:r>
      <w:r w:rsidRPr="00D33ED5">
        <w:t>maintain contact with families. The form of contact should be negotiated with families and carers, and should be secure, reliable and accessible. This may be a mix of telephone and online video such as Skype or FaceTime</w:t>
      </w:r>
      <w:r w:rsidR="00B36B71" w:rsidRPr="00D33ED5">
        <w:t>.</w:t>
      </w:r>
      <w:r w:rsidRPr="00D33ED5">
        <w:t xml:space="preserve">  </w:t>
      </w:r>
    </w:p>
    <w:p w:rsidR="00CF3ADF" w:rsidRPr="00D33ED5" w:rsidRDefault="00616DE7">
      <w:pPr>
        <w:pStyle w:val="ListParagraph"/>
        <w:numPr>
          <w:ilvl w:val="0"/>
          <w:numId w:val="29"/>
        </w:numPr>
        <w:rPr>
          <w:lang w:val="en-AU"/>
        </w:rPr>
      </w:pPr>
      <w:r w:rsidRPr="00D33ED5">
        <w:rPr>
          <w:b/>
        </w:rPr>
        <w:t>Forming a partnership</w:t>
      </w:r>
      <w:r w:rsidRPr="00D33ED5">
        <w:t>. It will be important to have a shared understanding between services and families about what learning from home means</w:t>
      </w:r>
      <w:r w:rsidR="00FD3F58" w:rsidRPr="00D33ED5">
        <w:t xml:space="preserve"> </w:t>
      </w:r>
      <w:r w:rsidR="006B666F" w:rsidRPr="00D33ED5">
        <w:t>for their circumstances</w:t>
      </w:r>
      <w:r w:rsidRPr="00D33ED5">
        <w:t xml:space="preserve">. </w:t>
      </w:r>
      <w:r w:rsidR="00CF3ADF" w:rsidRPr="00D33ED5">
        <w:t xml:space="preserve">Check in with </w:t>
      </w:r>
      <w:r w:rsidR="00F828F1" w:rsidRPr="00D33ED5">
        <w:t>families</w:t>
      </w:r>
      <w:r w:rsidR="00CF3ADF" w:rsidRPr="00D33ED5">
        <w:t xml:space="preserve"> </w:t>
      </w:r>
      <w:r w:rsidR="0066550B" w:rsidRPr="00D33ED5">
        <w:t xml:space="preserve">and carers </w:t>
      </w:r>
      <w:r w:rsidR="00CF3ADF" w:rsidRPr="00D33ED5">
        <w:t xml:space="preserve">to see if they need any </w:t>
      </w:r>
      <w:r w:rsidRPr="00D33ED5">
        <w:t xml:space="preserve">additional </w:t>
      </w:r>
      <w:r w:rsidR="00CF3ADF" w:rsidRPr="00D33ED5">
        <w:t xml:space="preserve">assistance </w:t>
      </w:r>
      <w:r w:rsidRPr="00D33ED5">
        <w:t>to</w:t>
      </w:r>
      <w:r w:rsidR="00CF3ADF" w:rsidRPr="00D33ED5">
        <w:t xml:space="preserve"> support children’s learning</w:t>
      </w:r>
      <w:r w:rsidR="00F828F1" w:rsidRPr="00D33ED5">
        <w:t xml:space="preserve">. </w:t>
      </w:r>
    </w:p>
    <w:p w:rsidR="00536C4A" w:rsidRPr="00D33ED5" w:rsidRDefault="00616DE7" w:rsidP="00BB5B1C">
      <w:pPr>
        <w:pStyle w:val="ListParagraph"/>
        <w:numPr>
          <w:ilvl w:val="0"/>
          <w:numId w:val="29"/>
        </w:numPr>
        <w:rPr>
          <w:lang w:val="en-AU"/>
        </w:rPr>
      </w:pPr>
      <w:r w:rsidRPr="00D33ED5">
        <w:rPr>
          <w:b/>
          <w:lang w:val="en-AU"/>
        </w:rPr>
        <w:t>Planning your approach</w:t>
      </w:r>
      <w:r w:rsidRPr="00D33ED5">
        <w:rPr>
          <w:lang w:val="en-AU"/>
        </w:rPr>
        <w:t xml:space="preserve">. </w:t>
      </w:r>
      <w:r w:rsidRPr="00D33ED5">
        <w:t>Find out the range of resources families have available.</w:t>
      </w:r>
      <w:r w:rsidRPr="00D33ED5">
        <w:rPr>
          <w:lang w:val="en-AU"/>
        </w:rPr>
        <w:t xml:space="preserve"> </w:t>
      </w:r>
      <w:r w:rsidR="00536C4A" w:rsidRPr="00D33ED5">
        <w:rPr>
          <w:lang w:val="en-AU"/>
        </w:rPr>
        <w:t>Tailor the learning</w:t>
      </w:r>
      <w:r w:rsidR="00F22963" w:rsidRPr="00D33ED5">
        <w:rPr>
          <w:lang w:val="en-AU"/>
        </w:rPr>
        <w:t xml:space="preserve"> </w:t>
      </w:r>
      <w:r w:rsidR="00536C4A" w:rsidRPr="00D33ED5">
        <w:rPr>
          <w:lang w:val="en-AU"/>
        </w:rPr>
        <w:t>approaches and activities</w:t>
      </w:r>
      <w:r w:rsidR="00CF3ADF" w:rsidRPr="00D33ED5">
        <w:rPr>
          <w:lang w:val="en-AU"/>
        </w:rPr>
        <w:t xml:space="preserve"> to </w:t>
      </w:r>
      <w:r w:rsidR="00297130" w:rsidRPr="00D33ED5">
        <w:rPr>
          <w:lang w:val="en-AU"/>
        </w:rPr>
        <w:t>children’s</w:t>
      </w:r>
      <w:r w:rsidR="007E6977" w:rsidRPr="00D33ED5">
        <w:rPr>
          <w:lang w:val="en-AU"/>
        </w:rPr>
        <w:t xml:space="preserve"> individual </w:t>
      </w:r>
      <w:r w:rsidR="005A35DE" w:rsidRPr="00D33ED5">
        <w:rPr>
          <w:lang w:val="en-AU"/>
        </w:rPr>
        <w:t>circumstances</w:t>
      </w:r>
      <w:r w:rsidR="00536C4A" w:rsidRPr="00D33ED5">
        <w:rPr>
          <w:lang w:val="en-AU"/>
        </w:rPr>
        <w:t xml:space="preserve"> </w:t>
      </w:r>
      <w:r w:rsidR="00586DA2" w:rsidRPr="00D33ED5">
        <w:rPr>
          <w:lang w:val="en-AU"/>
        </w:rPr>
        <w:t>considering</w:t>
      </w:r>
      <w:r w:rsidR="00CF3ADF" w:rsidRPr="00D33ED5">
        <w:rPr>
          <w:lang w:val="en-AU"/>
        </w:rPr>
        <w:t xml:space="preserve"> </w:t>
      </w:r>
      <w:r w:rsidR="00536C4A" w:rsidRPr="00D33ED5">
        <w:rPr>
          <w:lang w:val="en-AU"/>
        </w:rPr>
        <w:t>their</w:t>
      </w:r>
      <w:r w:rsidR="00CF3ADF" w:rsidRPr="00D33ED5">
        <w:rPr>
          <w:lang w:val="en-AU"/>
        </w:rPr>
        <w:t xml:space="preserve"> strengths,</w:t>
      </w:r>
      <w:r w:rsidRPr="00D33ED5">
        <w:rPr>
          <w:lang w:val="en-AU"/>
        </w:rPr>
        <w:t xml:space="preserve"> </w:t>
      </w:r>
      <w:r w:rsidR="00CF3ADF" w:rsidRPr="00D33ED5">
        <w:rPr>
          <w:lang w:val="en-AU"/>
        </w:rPr>
        <w:t>home environment</w:t>
      </w:r>
      <w:r w:rsidR="007E6977" w:rsidRPr="00D33ED5">
        <w:rPr>
          <w:lang w:val="en-AU"/>
        </w:rPr>
        <w:t xml:space="preserve"> </w:t>
      </w:r>
      <w:r w:rsidR="00CF3ADF" w:rsidRPr="00D33ED5">
        <w:rPr>
          <w:lang w:val="en-AU"/>
        </w:rPr>
        <w:t>and other factors such as language barriers</w:t>
      </w:r>
      <w:r w:rsidR="00BB5B1C" w:rsidRPr="00D33ED5">
        <w:rPr>
          <w:lang w:val="en-AU"/>
        </w:rPr>
        <w:t xml:space="preserve">. </w:t>
      </w:r>
      <w:r w:rsidR="00536C4A" w:rsidRPr="00D33ED5">
        <w:t xml:space="preserve">Plan to make contact on the days </w:t>
      </w:r>
      <w:r w:rsidR="00856200" w:rsidRPr="00D33ED5">
        <w:t>children</w:t>
      </w:r>
      <w:r w:rsidR="00536C4A" w:rsidRPr="00D33ED5">
        <w:t xml:space="preserve"> would</w:t>
      </w:r>
      <w:r w:rsidR="00B84657" w:rsidRPr="00D33ED5">
        <w:t xml:space="preserve"> usually</w:t>
      </w:r>
      <w:r w:rsidR="00536C4A" w:rsidRPr="00D33ED5">
        <w:t xml:space="preserve"> attend the service</w:t>
      </w:r>
      <w:r w:rsidR="00506D86" w:rsidRPr="00D33ED5">
        <w:t xml:space="preserve"> and continue to engage and interact </w:t>
      </w:r>
      <w:r w:rsidR="00297130" w:rsidRPr="00D33ED5">
        <w:t>directly with</w:t>
      </w:r>
      <w:r w:rsidR="00506D86" w:rsidRPr="00D33ED5">
        <w:t xml:space="preserve"> children</w:t>
      </w:r>
      <w:r w:rsidR="00297130" w:rsidRPr="00D33ED5">
        <w:t>.</w:t>
      </w:r>
      <w:r w:rsidR="00777DBF" w:rsidRPr="00D33ED5">
        <w:t xml:space="preserve"> Where possible, plan the focus of each contact</w:t>
      </w:r>
      <w:r w:rsidR="007056C4" w:rsidRPr="00D33ED5">
        <w:t xml:space="preserve"> in advance with families</w:t>
      </w:r>
      <w:r w:rsidR="00777DBF" w:rsidRPr="00D33ED5">
        <w:t xml:space="preserve">.  </w:t>
      </w:r>
    </w:p>
    <w:p w:rsidR="00271EBB" w:rsidRPr="00D33ED5" w:rsidRDefault="00BB5B1C" w:rsidP="00F2367D">
      <w:pPr>
        <w:pStyle w:val="ListParagraph"/>
        <w:numPr>
          <w:ilvl w:val="0"/>
          <w:numId w:val="29"/>
        </w:numPr>
        <w:spacing w:after="240"/>
        <w:ind w:left="357" w:hanging="357"/>
        <w:rPr>
          <w:lang w:val="en-AU"/>
        </w:rPr>
      </w:pPr>
      <w:r w:rsidRPr="00D33ED5">
        <w:rPr>
          <w:b/>
          <w:lang w:val="en-AU"/>
        </w:rPr>
        <w:t>Adapting your existing program</w:t>
      </w:r>
      <w:r w:rsidRPr="00D33ED5">
        <w:rPr>
          <w:lang w:val="en-AU"/>
        </w:rPr>
        <w:t>.</w:t>
      </w:r>
      <w:r w:rsidRPr="00D33ED5">
        <w:rPr>
          <w:rFonts w:ascii="Arial" w:hAnsi="Arial" w:cs="Arial"/>
          <w:lang w:val="en"/>
        </w:rPr>
        <w:t xml:space="preserve"> You will have already planned a program and/or focus areas for Term 2 in line with the Victorian Early Learning and Development Framework. Think about how you can adapt your existing curriculum plan into a learning from home program, rather than starting all over again.</w:t>
      </w:r>
    </w:p>
    <w:p w:rsidR="00772259" w:rsidRPr="00D33ED5" w:rsidRDefault="00772259" w:rsidP="00135B09">
      <w:pPr>
        <w:rPr>
          <w:b/>
          <w:bCs/>
          <w:sz w:val="24"/>
          <w:szCs w:val="28"/>
        </w:rPr>
      </w:pPr>
      <w:r w:rsidRPr="00D33ED5">
        <w:rPr>
          <w:b/>
          <w:bCs/>
          <w:sz w:val="24"/>
          <w:szCs w:val="28"/>
        </w:rPr>
        <w:t>Tools for learning from home</w:t>
      </w:r>
    </w:p>
    <w:p w:rsidR="001C138F" w:rsidRPr="00D33ED5" w:rsidRDefault="00772259">
      <w:r w:rsidRPr="00D33ED5">
        <w:t xml:space="preserve">The best tools for learning from home are those </w:t>
      </w:r>
      <w:r w:rsidR="000225C8" w:rsidRPr="00D33ED5">
        <w:t xml:space="preserve">that </w:t>
      </w:r>
      <w:r w:rsidRPr="00D33ED5">
        <w:t xml:space="preserve">engage and connect </w:t>
      </w:r>
      <w:r w:rsidR="003D7F86" w:rsidRPr="00D33ED5">
        <w:t>children, families</w:t>
      </w:r>
      <w:r w:rsidR="00D54CA4" w:rsidRPr="00D33ED5">
        <w:t xml:space="preserve"> and</w:t>
      </w:r>
      <w:r w:rsidRPr="00D33ED5">
        <w:t xml:space="preserve"> carers with your service </w:t>
      </w:r>
      <w:r w:rsidR="00F22963" w:rsidRPr="00D33ED5">
        <w:t xml:space="preserve">on an </w:t>
      </w:r>
      <w:r w:rsidRPr="00D33ED5">
        <w:t>ongoing</w:t>
      </w:r>
      <w:r w:rsidR="00F22963" w:rsidRPr="00D33ED5">
        <w:t xml:space="preserve"> basis</w:t>
      </w:r>
      <w:r w:rsidRPr="00D33ED5">
        <w:t xml:space="preserve">. </w:t>
      </w:r>
    </w:p>
    <w:p w:rsidR="00772259" w:rsidRPr="00D33ED5" w:rsidRDefault="000225C8" w:rsidP="00135B09">
      <w:r w:rsidRPr="00D33ED5">
        <w:t xml:space="preserve">Resources and activities </w:t>
      </w:r>
      <w:r w:rsidR="00772259" w:rsidRPr="00D33ED5">
        <w:t xml:space="preserve">may be a combination of online and </w:t>
      </w:r>
      <w:r w:rsidR="001C138F" w:rsidRPr="00D33ED5">
        <w:t>printed</w:t>
      </w:r>
      <w:r w:rsidR="00772259" w:rsidRPr="00D33ED5">
        <w:t xml:space="preserve"> </w:t>
      </w:r>
      <w:r w:rsidRPr="00D33ED5">
        <w:t>materials</w:t>
      </w:r>
      <w:r w:rsidR="001C138F" w:rsidRPr="00D33ED5">
        <w:t xml:space="preserve">. </w:t>
      </w:r>
      <w:r w:rsidRPr="00D33ED5">
        <w:t>Consider p</w:t>
      </w:r>
      <w:r w:rsidR="00772259" w:rsidRPr="00D33ED5">
        <w:t>rovid</w:t>
      </w:r>
      <w:r w:rsidRPr="00D33ED5">
        <w:t>ing</w:t>
      </w:r>
      <w:r w:rsidR="00772259" w:rsidRPr="00D33ED5">
        <w:t xml:space="preserve"> hard-copy materials to families that may have limited or minimal access to the internet. </w:t>
      </w:r>
    </w:p>
    <w:p w:rsidR="00772259" w:rsidRPr="00D33ED5" w:rsidRDefault="00772259">
      <w:pPr>
        <w:rPr>
          <w:lang w:val="en-AU"/>
        </w:rPr>
      </w:pPr>
      <w:r w:rsidRPr="00D33ED5">
        <w:rPr>
          <w:lang w:val="en-AU"/>
        </w:rPr>
        <w:t>The Department</w:t>
      </w:r>
      <w:r w:rsidR="00B777CF" w:rsidRPr="00D33ED5">
        <w:rPr>
          <w:lang w:val="en-AU"/>
        </w:rPr>
        <w:t>’s</w:t>
      </w:r>
      <w:r w:rsidRPr="00D33ED5">
        <w:rPr>
          <w:lang w:val="en-AU"/>
        </w:rPr>
        <w:t xml:space="preserve"> </w:t>
      </w:r>
      <w:hyperlink r:id="rId16" w:history="1">
        <w:r w:rsidRPr="00D33ED5">
          <w:rPr>
            <w:rStyle w:val="Hyperlink"/>
            <w:lang w:val="en-AU"/>
          </w:rPr>
          <w:t xml:space="preserve">Learning from </w:t>
        </w:r>
        <w:r w:rsidR="00A64FDC" w:rsidRPr="00D33ED5">
          <w:rPr>
            <w:rStyle w:val="Hyperlink"/>
            <w:lang w:val="en-AU"/>
          </w:rPr>
          <w:t>H</w:t>
        </w:r>
        <w:r w:rsidRPr="00D33ED5">
          <w:rPr>
            <w:rStyle w:val="Hyperlink"/>
            <w:lang w:val="en-AU"/>
          </w:rPr>
          <w:t>ome</w:t>
        </w:r>
      </w:hyperlink>
      <w:r w:rsidRPr="00D33ED5">
        <w:rPr>
          <w:lang w:val="en-AU"/>
        </w:rPr>
        <w:t xml:space="preserve"> </w:t>
      </w:r>
      <w:r w:rsidR="00F60B07" w:rsidRPr="00D33ED5">
        <w:rPr>
          <w:lang w:val="en-AU"/>
        </w:rPr>
        <w:t xml:space="preserve">website features </w:t>
      </w:r>
      <w:r w:rsidRPr="00D33ED5">
        <w:rPr>
          <w:lang w:val="en-AU"/>
        </w:rPr>
        <w:t xml:space="preserve">resources for families and carers, with specific </w:t>
      </w:r>
      <w:r w:rsidR="00B777CF" w:rsidRPr="00D33ED5">
        <w:rPr>
          <w:lang w:val="en-AU"/>
        </w:rPr>
        <w:t xml:space="preserve">information for </w:t>
      </w:r>
      <w:r w:rsidR="00D91A36" w:rsidRPr="00D33ED5">
        <w:rPr>
          <w:lang w:val="en-AU"/>
        </w:rPr>
        <w:t>ECEC</w:t>
      </w:r>
      <w:r w:rsidR="00B777CF" w:rsidRPr="00D33ED5">
        <w:rPr>
          <w:lang w:val="en-AU"/>
        </w:rPr>
        <w:t xml:space="preserve"> services. It</w:t>
      </w:r>
      <w:r w:rsidR="00F60B07" w:rsidRPr="00D33ED5">
        <w:rPr>
          <w:lang w:val="en-AU"/>
        </w:rPr>
        <w:t xml:space="preserve"> provides a range of activities you can share with families to support the continuity of their child’s learning.</w:t>
      </w:r>
      <w:r w:rsidRPr="00D33ED5">
        <w:rPr>
          <w:lang w:val="en-AU"/>
        </w:rPr>
        <w:t xml:space="preserve"> </w:t>
      </w:r>
    </w:p>
    <w:p w:rsidR="00586DA2" w:rsidRPr="00D33ED5" w:rsidRDefault="00271EBB" w:rsidP="0022012B">
      <w:pPr>
        <w:spacing w:after="240"/>
        <w:rPr>
          <w:rFonts w:cstheme="minorHAnsi"/>
          <w:szCs w:val="20"/>
        </w:rPr>
      </w:pPr>
      <w:r w:rsidRPr="00D33ED5">
        <w:t xml:space="preserve">The </w:t>
      </w:r>
      <w:hyperlink r:id="rId17" w:history="1">
        <w:r w:rsidR="00586DA2" w:rsidRPr="00D33ED5">
          <w:rPr>
            <w:rStyle w:val="Hyperlink"/>
            <w:rFonts w:cstheme="minorHAnsi"/>
            <w:szCs w:val="20"/>
          </w:rPr>
          <w:t>Australian Childhood Foundation</w:t>
        </w:r>
      </w:hyperlink>
      <w:r w:rsidR="00586DA2" w:rsidRPr="00D33ED5">
        <w:rPr>
          <w:rFonts w:cstheme="minorHAnsi"/>
          <w:szCs w:val="20"/>
        </w:rPr>
        <w:t xml:space="preserve"> has a number of resources for professionals to support work</w:t>
      </w:r>
      <w:r w:rsidR="00B777CF" w:rsidRPr="00D33ED5">
        <w:rPr>
          <w:rFonts w:cstheme="minorHAnsi"/>
          <w:szCs w:val="20"/>
        </w:rPr>
        <w:t>ing</w:t>
      </w:r>
      <w:r w:rsidR="00586DA2" w:rsidRPr="00D33ED5">
        <w:rPr>
          <w:rFonts w:cstheme="minorHAnsi"/>
          <w:szCs w:val="20"/>
        </w:rPr>
        <w:t xml:space="preserve"> with children</w:t>
      </w:r>
      <w:r w:rsidR="00C64F4B" w:rsidRPr="00D33ED5">
        <w:rPr>
          <w:rFonts w:cstheme="minorHAnsi"/>
          <w:szCs w:val="20"/>
        </w:rPr>
        <w:t xml:space="preserve"> and families experiencing vulnerability</w:t>
      </w:r>
      <w:r w:rsidR="00586DA2" w:rsidRPr="00D33ED5">
        <w:rPr>
          <w:rFonts w:cstheme="minorHAnsi"/>
          <w:szCs w:val="20"/>
        </w:rPr>
        <w:t xml:space="preserve">. </w:t>
      </w:r>
    </w:p>
    <w:p w:rsidR="008F2C39" w:rsidRPr="00D33ED5" w:rsidRDefault="008F2C39" w:rsidP="0022012B">
      <w:pPr>
        <w:spacing w:after="240"/>
        <w:rPr>
          <w:rFonts w:cstheme="minorHAnsi"/>
          <w:szCs w:val="20"/>
        </w:rPr>
      </w:pPr>
    </w:p>
    <w:p w:rsidR="00CE1E79" w:rsidRPr="00D33ED5" w:rsidRDefault="00153A60">
      <w:pPr>
        <w:rPr>
          <w:rFonts w:asciiTheme="majorHAnsi" w:eastAsiaTheme="majorEastAsia" w:hAnsiTheme="majorHAnsi" w:cstheme="majorBidi"/>
          <w:b/>
          <w:color w:val="AF272F" w:themeColor="text1"/>
          <w:sz w:val="28"/>
          <w:szCs w:val="28"/>
          <w:lang w:val="en-AU"/>
        </w:rPr>
      </w:pPr>
      <w:r w:rsidRPr="00D33ED5">
        <w:rPr>
          <w:rFonts w:asciiTheme="majorHAnsi" w:eastAsiaTheme="majorEastAsia" w:hAnsiTheme="majorHAnsi" w:cstheme="majorBidi"/>
          <w:b/>
          <w:color w:val="AF272F" w:themeColor="text1"/>
          <w:sz w:val="28"/>
          <w:szCs w:val="28"/>
          <w:lang w:val="en-AU"/>
        </w:rPr>
        <w:lastRenderedPageBreak/>
        <w:t xml:space="preserve">Addressing </w:t>
      </w:r>
      <w:r w:rsidR="007A70A0" w:rsidRPr="00D33ED5">
        <w:rPr>
          <w:rFonts w:asciiTheme="majorHAnsi" w:eastAsiaTheme="majorEastAsia" w:hAnsiTheme="majorHAnsi" w:cstheme="majorBidi"/>
          <w:b/>
          <w:color w:val="AF272F" w:themeColor="text1"/>
          <w:sz w:val="28"/>
          <w:szCs w:val="28"/>
          <w:lang w:val="en-AU"/>
        </w:rPr>
        <w:t xml:space="preserve">safety </w:t>
      </w:r>
      <w:r w:rsidRPr="00D33ED5">
        <w:rPr>
          <w:rFonts w:asciiTheme="majorHAnsi" w:eastAsiaTheme="majorEastAsia" w:hAnsiTheme="majorHAnsi" w:cstheme="majorBidi"/>
          <w:b/>
          <w:color w:val="AF272F" w:themeColor="text1"/>
          <w:sz w:val="28"/>
          <w:szCs w:val="28"/>
          <w:lang w:val="en-AU"/>
        </w:rPr>
        <w:t>concerns</w:t>
      </w:r>
    </w:p>
    <w:p w:rsidR="00153A60" w:rsidRPr="00D33ED5" w:rsidRDefault="00153A60" w:rsidP="00153A60">
      <w:r w:rsidRPr="00D33ED5">
        <w:t xml:space="preserve">If you become concerned for a child’s safety or wellbeing at home, your obligations regarding reporting these issues remain. See the </w:t>
      </w:r>
      <w:hyperlink r:id="rId18" w:history="1">
        <w:r w:rsidRPr="00D33ED5">
          <w:rPr>
            <w:rStyle w:val="Hyperlink"/>
          </w:rPr>
          <w:t>PROTECT website</w:t>
        </w:r>
      </w:hyperlink>
      <w:r w:rsidRPr="00D33ED5">
        <w:t xml:space="preserve"> for information and guidance on identifying and responding to child abuse. </w:t>
      </w:r>
    </w:p>
    <w:p w:rsidR="00586DA2" w:rsidRPr="00D33ED5" w:rsidRDefault="00153A60" w:rsidP="0022012B">
      <w:pPr>
        <w:spacing w:after="240"/>
        <w:rPr>
          <w:lang w:val="en-AU"/>
        </w:rPr>
      </w:pPr>
      <w:r w:rsidRPr="00D33ED5">
        <w:t>You may also consider</w:t>
      </w:r>
      <w:r w:rsidR="00135B09" w:rsidRPr="00D33ED5">
        <w:t xml:space="preserve"> consulting with other services that are involved with the family</w:t>
      </w:r>
      <w:r w:rsidR="00DA3AE7" w:rsidRPr="00D33ED5">
        <w:t>,</w:t>
      </w:r>
      <w:r w:rsidR="00135B09" w:rsidRPr="00D33ED5">
        <w:t xml:space="preserve"> or</w:t>
      </w:r>
      <w:r w:rsidR="00DA3AE7" w:rsidRPr="00D33ED5">
        <w:t xml:space="preserve"> providing</w:t>
      </w:r>
      <w:r w:rsidR="00135B09" w:rsidRPr="00D33ED5">
        <w:rPr>
          <w:lang w:val="en-AU"/>
        </w:rPr>
        <w:t xml:space="preserve"> a</w:t>
      </w:r>
      <w:r w:rsidR="00955CE8" w:rsidRPr="00D33ED5">
        <w:rPr>
          <w:lang w:val="en-AU"/>
        </w:rPr>
        <w:t xml:space="preserve"> referral to </w:t>
      </w:r>
      <w:hyperlink r:id="rId19" w:history="1">
        <w:r w:rsidR="00955CE8" w:rsidRPr="00D33ED5">
          <w:rPr>
            <w:rStyle w:val="Hyperlink"/>
            <w:lang w:val="en-AU"/>
          </w:rPr>
          <w:t>Child FIRST</w:t>
        </w:r>
      </w:hyperlink>
      <w:r w:rsidR="00955CE8" w:rsidRPr="00D33ED5">
        <w:rPr>
          <w:lang w:val="en-AU"/>
        </w:rPr>
        <w:t xml:space="preserve"> or </w:t>
      </w:r>
      <w:hyperlink r:id="rId20" w:history="1">
        <w:r w:rsidR="00955CE8" w:rsidRPr="00D33ED5">
          <w:rPr>
            <w:rStyle w:val="Hyperlink"/>
            <w:lang w:val="en-AU"/>
          </w:rPr>
          <w:t>The Orange Door</w:t>
        </w:r>
      </w:hyperlink>
      <w:r w:rsidR="00955CE8" w:rsidRPr="00D33ED5">
        <w:rPr>
          <w:lang w:val="en-AU"/>
        </w:rPr>
        <w:t xml:space="preserve"> </w:t>
      </w:r>
      <w:r w:rsidR="00135B09" w:rsidRPr="00D33ED5">
        <w:rPr>
          <w:lang w:val="en-AU"/>
        </w:rPr>
        <w:t xml:space="preserve">in circumstances where families are experiencing stress but there is no immediate or significant risk of harm. </w:t>
      </w:r>
    </w:p>
    <w:p w:rsidR="00772259" w:rsidRPr="00D33ED5" w:rsidRDefault="00772259" w:rsidP="00772259">
      <w:pPr>
        <w:rPr>
          <w:b/>
          <w:bCs/>
          <w:color w:val="AF272F" w:themeColor="text1"/>
          <w:sz w:val="28"/>
          <w:szCs w:val="32"/>
          <w:lang w:val="en-AU"/>
        </w:rPr>
      </w:pPr>
      <w:r w:rsidRPr="00D33ED5">
        <w:rPr>
          <w:b/>
          <w:bCs/>
          <w:color w:val="AF272F" w:themeColor="text1"/>
          <w:sz w:val="28"/>
          <w:szCs w:val="32"/>
          <w:lang w:val="en-AU"/>
        </w:rPr>
        <w:t>Resources and contacts</w:t>
      </w:r>
    </w:p>
    <w:p w:rsidR="00586DA2" w:rsidRPr="00D33ED5" w:rsidRDefault="00586DA2" w:rsidP="00586DA2">
      <w:pPr>
        <w:rPr>
          <w:rFonts w:asciiTheme="majorHAnsi" w:eastAsiaTheme="majorEastAsia" w:hAnsiTheme="majorHAnsi" w:cstheme="majorBidi"/>
          <w:b/>
          <w:sz w:val="24"/>
          <w:lang w:val="en-AU"/>
        </w:rPr>
      </w:pPr>
      <w:r w:rsidRPr="00D33ED5">
        <w:rPr>
          <w:rFonts w:asciiTheme="majorHAnsi" w:eastAsiaTheme="majorEastAsia" w:hAnsiTheme="majorHAnsi" w:cstheme="majorBidi"/>
          <w:b/>
          <w:sz w:val="24"/>
          <w:lang w:val="en-AU"/>
        </w:rPr>
        <w:t xml:space="preserve">Family Violence </w:t>
      </w:r>
    </w:p>
    <w:p w:rsidR="00586DA2" w:rsidRPr="00D33ED5" w:rsidRDefault="00586DA2" w:rsidP="00586DA2">
      <w:pPr>
        <w:rPr>
          <w:i/>
          <w:iCs/>
          <w:lang w:val="en-AU"/>
        </w:rPr>
      </w:pPr>
      <w:r w:rsidRPr="00D33ED5">
        <w:rPr>
          <w:i/>
          <w:iCs/>
          <w:lang w:val="en-AU"/>
        </w:rPr>
        <w:t>Safe Steps</w:t>
      </w:r>
      <w:r w:rsidRPr="00D33ED5">
        <w:rPr>
          <w:i/>
          <w:iCs/>
          <w:lang w:val="en-AU"/>
        </w:rPr>
        <w:tab/>
      </w:r>
    </w:p>
    <w:p w:rsidR="008F2C39" w:rsidRPr="00D33ED5" w:rsidRDefault="00586DA2" w:rsidP="008F2C39">
      <w:pPr>
        <w:rPr>
          <w:lang w:val="en-AU"/>
        </w:rPr>
      </w:pPr>
      <w:r w:rsidRPr="00D33ED5">
        <w:rPr>
          <w:lang w:val="en-AU"/>
        </w:rPr>
        <w:t>Safe Steps is a state</w:t>
      </w:r>
      <w:r w:rsidR="00AD5EB3" w:rsidRPr="00D33ED5">
        <w:rPr>
          <w:lang w:val="en-AU"/>
        </w:rPr>
        <w:t>-</w:t>
      </w:r>
      <w:r w:rsidRPr="00D33ED5">
        <w:rPr>
          <w:lang w:val="en-AU"/>
        </w:rPr>
        <w:t>wide 24-hour family violence crisis support for women and children</w:t>
      </w:r>
      <w:r w:rsidR="00FA69B8" w:rsidRPr="00D33ED5">
        <w:rPr>
          <w:lang w:val="en-AU"/>
        </w:rPr>
        <w:t>, which can provide</w:t>
      </w:r>
      <w:r w:rsidR="00DA3AE7" w:rsidRPr="00D33ED5">
        <w:rPr>
          <w:lang w:val="en-AU"/>
        </w:rPr>
        <w:t xml:space="preserve"> </w:t>
      </w:r>
      <w:r w:rsidRPr="00D33ED5">
        <w:rPr>
          <w:lang w:val="en-AU"/>
        </w:rPr>
        <w:t>accommodation (refuge) options.</w:t>
      </w:r>
    </w:p>
    <w:p w:rsidR="00586DA2" w:rsidRPr="00D33ED5" w:rsidRDefault="009E483E" w:rsidP="008F2C39">
      <w:pPr>
        <w:spacing w:after="240"/>
        <w:rPr>
          <w:rStyle w:val="Hyperlink"/>
          <w:lang w:val="en-AU"/>
        </w:rPr>
      </w:pPr>
      <w:hyperlink r:id="rId21" w:history="1">
        <w:r w:rsidR="005E1056" w:rsidRPr="00D33ED5">
          <w:rPr>
            <w:rStyle w:val="Hyperlink"/>
            <w:lang w:val="en-AU"/>
          </w:rPr>
          <w:t>www.safesteps.org.au</w:t>
        </w:r>
      </w:hyperlink>
    </w:p>
    <w:p w:rsidR="005E1056" w:rsidRPr="00D33ED5" w:rsidRDefault="005E1056" w:rsidP="00586DA2">
      <w:pPr>
        <w:rPr>
          <w:lang w:val="en-AU"/>
        </w:rPr>
      </w:pPr>
    </w:p>
    <w:p w:rsidR="00586DA2" w:rsidRPr="00D33ED5" w:rsidRDefault="00586DA2" w:rsidP="00586DA2">
      <w:pPr>
        <w:rPr>
          <w:i/>
          <w:iCs/>
          <w:lang w:val="en-AU"/>
        </w:rPr>
      </w:pPr>
      <w:r w:rsidRPr="00D33ED5">
        <w:rPr>
          <w:i/>
          <w:iCs/>
          <w:lang w:val="en-AU"/>
        </w:rPr>
        <w:t>1800RESPECT</w:t>
      </w:r>
    </w:p>
    <w:p w:rsidR="00B36B71" w:rsidRPr="00D33ED5" w:rsidRDefault="00586DA2" w:rsidP="00586DA2">
      <w:pPr>
        <w:rPr>
          <w:lang w:val="en-AU"/>
        </w:rPr>
      </w:pPr>
      <w:r w:rsidRPr="00D33ED5">
        <w:rPr>
          <w:lang w:val="en-AU"/>
        </w:rPr>
        <w:t>People experiencing family violence can contact 1800RESPECT on 1800 737 732 or through online chat</w:t>
      </w:r>
      <w:r w:rsidR="00B36B71" w:rsidRPr="00D33ED5">
        <w:rPr>
          <w:lang w:val="en-AU"/>
        </w:rPr>
        <w:t>.</w:t>
      </w:r>
      <w:r w:rsidRPr="00D33ED5">
        <w:rPr>
          <w:lang w:val="en-AU"/>
        </w:rPr>
        <w:t xml:space="preserve"> </w:t>
      </w:r>
    </w:p>
    <w:p w:rsidR="00586DA2" w:rsidRPr="00D33ED5" w:rsidRDefault="009E483E" w:rsidP="00586DA2">
      <w:pPr>
        <w:rPr>
          <w:rStyle w:val="Hyperlink"/>
          <w:lang w:val="en-AU"/>
        </w:rPr>
      </w:pPr>
      <w:hyperlink r:id="rId22" w:history="1">
        <w:r w:rsidR="00B36B71" w:rsidRPr="00D33ED5">
          <w:rPr>
            <w:rStyle w:val="Hyperlink"/>
            <w:lang w:val="en-AU"/>
          </w:rPr>
          <w:t>www.1800respect.org.au</w:t>
        </w:r>
      </w:hyperlink>
    </w:p>
    <w:p w:rsidR="005E1056" w:rsidRPr="00D33ED5" w:rsidRDefault="005E1056" w:rsidP="00586DA2">
      <w:pPr>
        <w:rPr>
          <w:lang w:val="en-AU"/>
        </w:rPr>
      </w:pPr>
    </w:p>
    <w:p w:rsidR="00586DA2" w:rsidRPr="00D33ED5" w:rsidRDefault="00586DA2" w:rsidP="00586DA2">
      <w:pPr>
        <w:rPr>
          <w:i/>
          <w:iCs/>
          <w:lang w:val="en-AU"/>
        </w:rPr>
      </w:pPr>
      <w:r w:rsidRPr="00D33ED5">
        <w:rPr>
          <w:i/>
          <w:iCs/>
          <w:lang w:val="en-AU"/>
        </w:rPr>
        <w:t>InTouch Multicultural Centre Against Family Violence</w:t>
      </w:r>
      <w:r w:rsidRPr="00D33ED5">
        <w:rPr>
          <w:i/>
          <w:iCs/>
          <w:lang w:val="en-AU"/>
        </w:rPr>
        <w:tab/>
      </w:r>
    </w:p>
    <w:p w:rsidR="008F2C39" w:rsidRPr="00D33ED5" w:rsidRDefault="00586DA2" w:rsidP="00586DA2">
      <w:pPr>
        <w:rPr>
          <w:lang w:val="en-AU"/>
        </w:rPr>
      </w:pPr>
      <w:r w:rsidRPr="00D33ED5">
        <w:rPr>
          <w:lang w:val="en-AU"/>
        </w:rPr>
        <w:t>A statewide service which provides services, programs and responses to issues of family violence in</w:t>
      </w:r>
      <w:r w:rsidR="009F134E" w:rsidRPr="00D33ED5">
        <w:rPr>
          <w:lang w:val="en-AU"/>
        </w:rPr>
        <w:t xml:space="preserve"> culturally and linguistically diverse</w:t>
      </w:r>
      <w:r w:rsidRPr="00D33ED5">
        <w:rPr>
          <w:lang w:val="en-AU"/>
        </w:rPr>
        <w:t xml:space="preserve"> </w:t>
      </w:r>
      <w:r w:rsidR="009F134E" w:rsidRPr="00D33ED5">
        <w:rPr>
          <w:lang w:val="en-AU"/>
        </w:rPr>
        <w:t>(</w:t>
      </w:r>
      <w:r w:rsidRPr="00D33ED5">
        <w:rPr>
          <w:lang w:val="en-AU"/>
        </w:rPr>
        <w:t>CALD</w:t>
      </w:r>
      <w:r w:rsidR="009F134E" w:rsidRPr="00D33ED5">
        <w:rPr>
          <w:lang w:val="en-AU"/>
        </w:rPr>
        <w:t>)</w:t>
      </w:r>
      <w:r w:rsidRPr="00D33ED5">
        <w:rPr>
          <w:lang w:val="en-AU"/>
        </w:rPr>
        <w:t xml:space="preserve"> communities.</w:t>
      </w:r>
    </w:p>
    <w:p w:rsidR="00D445FF" w:rsidRPr="00D33ED5" w:rsidRDefault="00586DA2" w:rsidP="00586DA2">
      <w:pPr>
        <w:rPr>
          <w:lang w:val="en-AU"/>
        </w:rPr>
      </w:pPr>
      <w:r w:rsidRPr="00D33ED5">
        <w:rPr>
          <w:lang w:val="en-AU"/>
        </w:rPr>
        <w:t>1800 755 988</w:t>
      </w:r>
      <w:r w:rsidRPr="00D33ED5">
        <w:rPr>
          <w:lang w:val="en-AU"/>
        </w:rPr>
        <w:br/>
      </w:r>
      <w:hyperlink r:id="rId23" w:history="1">
        <w:r w:rsidR="005E1056" w:rsidRPr="00D33ED5">
          <w:rPr>
            <w:rStyle w:val="Hyperlink"/>
            <w:lang w:val="en-AU"/>
          </w:rPr>
          <w:t>www.intouch.org.au</w:t>
        </w:r>
      </w:hyperlink>
    </w:p>
    <w:p w:rsidR="00D445FF" w:rsidRPr="00D33ED5" w:rsidRDefault="00D445FF" w:rsidP="00586DA2">
      <w:pPr>
        <w:rPr>
          <w:lang w:val="en-AU"/>
        </w:rPr>
      </w:pPr>
    </w:p>
    <w:p w:rsidR="00586DA2" w:rsidRPr="00D33ED5" w:rsidRDefault="00586DA2" w:rsidP="00586DA2">
      <w:pPr>
        <w:rPr>
          <w:rFonts w:asciiTheme="majorHAnsi" w:eastAsiaTheme="majorEastAsia" w:hAnsiTheme="majorHAnsi" w:cstheme="majorBidi"/>
          <w:b/>
          <w:sz w:val="24"/>
          <w:lang w:val="en-AU"/>
        </w:rPr>
      </w:pPr>
      <w:r w:rsidRPr="00D33ED5">
        <w:rPr>
          <w:rFonts w:asciiTheme="majorHAnsi" w:eastAsiaTheme="majorEastAsia" w:hAnsiTheme="majorHAnsi" w:cstheme="majorBidi"/>
          <w:b/>
          <w:sz w:val="24"/>
          <w:lang w:val="en-AU"/>
        </w:rPr>
        <w:t>English as an Additional Language</w:t>
      </w:r>
    </w:p>
    <w:p w:rsidR="00586DA2" w:rsidRPr="00D33ED5" w:rsidRDefault="00586DA2" w:rsidP="00586DA2">
      <w:pPr>
        <w:rPr>
          <w:i/>
          <w:iCs/>
          <w:lang w:val="en-AU"/>
        </w:rPr>
      </w:pPr>
      <w:r w:rsidRPr="00D33ED5">
        <w:rPr>
          <w:i/>
          <w:iCs/>
          <w:lang w:val="en-AU"/>
        </w:rPr>
        <w:t>Language Loop</w:t>
      </w:r>
    </w:p>
    <w:p w:rsidR="001B1234" w:rsidRPr="00D33ED5" w:rsidRDefault="00586DA2" w:rsidP="001B1234">
      <w:pPr>
        <w:rPr>
          <w:lang w:val="en-AU"/>
        </w:rPr>
      </w:pPr>
      <w:r w:rsidRPr="00D33ED5">
        <w:rPr>
          <w:lang w:val="en-AU"/>
        </w:rPr>
        <w:t>All early childhood education services are able to access funded telephone interpreters through VITS Language Loop.</w:t>
      </w:r>
    </w:p>
    <w:p w:rsidR="00586DA2" w:rsidRPr="00D33ED5" w:rsidRDefault="009E483E" w:rsidP="00586DA2">
      <w:pPr>
        <w:rPr>
          <w:rStyle w:val="Hyperlink"/>
          <w:color w:val="auto"/>
          <w:u w:val="none"/>
          <w:lang w:val="en-AU"/>
        </w:rPr>
      </w:pPr>
      <w:hyperlink r:id="rId24" w:history="1">
        <w:r w:rsidR="005E1056" w:rsidRPr="00D33ED5">
          <w:rPr>
            <w:rStyle w:val="Hyperlink"/>
            <w:lang w:val="en-AU"/>
          </w:rPr>
          <w:t>www.languageloop.com.au</w:t>
        </w:r>
      </w:hyperlink>
    </w:p>
    <w:p w:rsidR="00D55762" w:rsidRPr="00D33ED5" w:rsidRDefault="00D55762" w:rsidP="00586DA2">
      <w:pPr>
        <w:rPr>
          <w:lang w:val="en-AU"/>
        </w:rPr>
      </w:pPr>
    </w:p>
    <w:p w:rsidR="00FE31E6" w:rsidRPr="00D33ED5" w:rsidRDefault="00FE31E6" w:rsidP="00FE31E6">
      <w:pPr>
        <w:rPr>
          <w:i/>
          <w:iCs/>
          <w:lang w:val="en-AU"/>
        </w:rPr>
      </w:pPr>
      <w:r w:rsidRPr="00D33ED5">
        <w:rPr>
          <w:i/>
          <w:iCs/>
          <w:lang w:val="en-AU"/>
        </w:rPr>
        <w:t>Foundation House</w:t>
      </w:r>
    </w:p>
    <w:p w:rsidR="001B1234" w:rsidRPr="00D33ED5" w:rsidRDefault="00FE31E6" w:rsidP="00586DA2">
      <w:pPr>
        <w:rPr>
          <w:lang w:val="en-AU"/>
        </w:rPr>
      </w:pPr>
      <w:r w:rsidRPr="00D33ED5">
        <w:rPr>
          <w:lang w:val="en-AU"/>
        </w:rPr>
        <w:t>Educators and services are encouraged to contact Foundation House to seek tailored advice for children from a refugee background</w:t>
      </w:r>
      <w:r w:rsidR="00D91A36" w:rsidRPr="00D33ED5">
        <w:rPr>
          <w:lang w:val="en-AU"/>
        </w:rPr>
        <w:t xml:space="preserve"> </w:t>
      </w:r>
      <w:r w:rsidRPr="00D33ED5">
        <w:rPr>
          <w:lang w:val="en-AU"/>
        </w:rPr>
        <w:t>(via the Early Years Program).</w:t>
      </w:r>
    </w:p>
    <w:p w:rsidR="00FE31E6" w:rsidRPr="00D33ED5" w:rsidRDefault="009E483E" w:rsidP="00586DA2">
      <w:pPr>
        <w:rPr>
          <w:lang w:val="en-AU"/>
        </w:rPr>
      </w:pPr>
      <w:hyperlink r:id="rId25" w:history="1">
        <w:r w:rsidR="001B1234" w:rsidRPr="00D33ED5">
          <w:rPr>
            <w:rStyle w:val="Hyperlink"/>
          </w:rPr>
          <w:t>www.</w:t>
        </w:r>
        <w:r w:rsidR="001B1234" w:rsidRPr="00D33ED5">
          <w:rPr>
            <w:rStyle w:val="Hyperlink"/>
            <w:lang w:val="en-AU"/>
          </w:rPr>
          <w:t>foundationhouse.org.au</w:t>
        </w:r>
      </w:hyperlink>
      <w:r w:rsidR="001B1234" w:rsidRPr="00D33ED5">
        <w:rPr>
          <w:lang w:val="en-AU"/>
        </w:rPr>
        <w:t xml:space="preserve"> </w:t>
      </w:r>
      <w:r w:rsidR="00FE31E6" w:rsidRPr="00D33ED5">
        <w:rPr>
          <w:lang w:val="en-AU"/>
        </w:rPr>
        <w:t xml:space="preserve"> </w:t>
      </w:r>
    </w:p>
    <w:p w:rsidR="00B93765" w:rsidRPr="00D33ED5" w:rsidRDefault="00B93765" w:rsidP="00586DA2">
      <w:pPr>
        <w:rPr>
          <w:lang w:val="en-AU"/>
        </w:rPr>
      </w:pPr>
    </w:p>
    <w:p w:rsidR="001B1234" w:rsidRPr="00D33ED5" w:rsidRDefault="001B1234" w:rsidP="00586DA2">
      <w:pPr>
        <w:rPr>
          <w:lang w:val="en-AU"/>
        </w:rPr>
      </w:pPr>
    </w:p>
    <w:p w:rsidR="00B93765" w:rsidRPr="00D33ED5" w:rsidRDefault="00B93765" w:rsidP="00B93765">
      <w:pPr>
        <w:rPr>
          <w:i/>
          <w:iCs/>
        </w:rPr>
      </w:pPr>
      <w:proofErr w:type="spellStart"/>
      <w:proofErr w:type="gramStart"/>
      <w:r w:rsidRPr="00D33ED5">
        <w:rPr>
          <w:i/>
          <w:iCs/>
        </w:rPr>
        <w:lastRenderedPageBreak/>
        <w:t>fka</w:t>
      </w:r>
      <w:proofErr w:type="spellEnd"/>
      <w:proofErr w:type="gramEnd"/>
      <w:r w:rsidRPr="00D33ED5">
        <w:rPr>
          <w:i/>
          <w:iCs/>
        </w:rPr>
        <w:t xml:space="preserve"> Children’s Services</w:t>
      </w:r>
    </w:p>
    <w:p w:rsidR="00B93765" w:rsidRPr="00D33ED5" w:rsidRDefault="00B93765" w:rsidP="00B93765">
      <w:r w:rsidRPr="00D33ED5">
        <w:t>Telephone support and advice is available for kindergartens to support services in continuing to maintain strong connections and engagement with multilingual families.</w:t>
      </w:r>
    </w:p>
    <w:p w:rsidR="008F2C39" w:rsidRPr="00D33ED5" w:rsidRDefault="008F2C39" w:rsidP="00B24CB2">
      <w:pPr>
        <w:spacing w:after="0"/>
      </w:pPr>
      <w:r w:rsidRPr="00D33ED5">
        <w:t>03 9428 4471</w:t>
      </w:r>
    </w:p>
    <w:p w:rsidR="00B93765" w:rsidRPr="00D33ED5" w:rsidRDefault="009E483E" w:rsidP="00B24CB2">
      <w:pPr>
        <w:spacing w:after="0"/>
      </w:pPr>
      <w:hyperlink r:id="rId26" w:history="1">
        <w:r w:rsidR="008F2C39" w:rsidRPr="00D33ED5">
          <w:rPr>
            <w:rStyle w:val="Hyperlink"/>
          </w:rPr>
          <w:t>www.fkacs.org.au</w:t>
        </w:r>
      </w:hyperlink>
      <w:r w:rsidR="008F2C39" w:rsidRPr="00D33ED5">
        <w:t xml:space="preserve"> </w:t>
      </w:r>
    </w:p>
    <w:p w:rsidR="00FE31E6" w:rsidRPr="00D33ED5" w:rsidRDefault="009E483E" w:rsidP="00586DA2">
      <w:pPr>
        <w:rPr>
          <w:rStyle w:val="Hyperlink"/>
        </w:rPr>
      </w:pPr>
      <w:hyperlink r:id="rId27" w:history="1">
        <w:r w:rsidR="00B93765" w:rsidRPr="00D33ED5">
          <w:rPr>
            <w:rStyle w:val="Hyperlink"/>
          </w:rPr>
          <w:t>culturalinclusion@fka.org.au</w:t>
        </w:r>
      </w:hyperlink>
      <w:r w:rsidR="00B93765" w:rsidRPr="00D33ED5">
        <w:rPr>
          <w:rStyle w:val="Hyperlink"/>
        </w:rPr>
        <w:t xml:space="preserve"> </w:t>
      </w:r>
    </w:p>
    <w:p w:rsidR="008F2C39" w:rsidRPr="00D33ED5" w:rsidRDefault="008F2C39" w:rsidP="00586DA2">
      <w:pPr>
        <w:rPr>
          <w:lang w:val="en-AU"/>
        </w:rPr>
      </w:pPr>
    </w:p>
    <w:p w:rsidR="00586DA2" w:rsidRPr="00D33ED5" w:rsidRDefault="00586DA2" w:rsidP="00586DA2">
      <w:pPr>
        <w:rPr>
          <w:rFonts w:asciiTheme="majorHAnsi" w:eastAsiaTheme="majorEastAsia" w:hAnsiTheme="majorHAnsi" w:cstheme="majorBidi"/>
          <w:b/>
          <w:sz w:val="24"/>
          <w:lang w:val="en-AU"/>
        </w:rPr>
      </w:pPr>
      <w:r w:rsidRPr="00D33ED5">
        <w:rPr>
          <w:rFonts w:asciiTheme="majorHAnsi" w:eastAsiaTheme="majorEastAsia" w:hAnsiTheme="majorHAnsi" w:cstheme="majorBidi"/>
          <w:b/>
          <w:sz w:val="24"/>
          <w:lang w:val="en-AU"/>
        </w:rPr>
        <w:t>Aboriginal and Torres Strait Islander</w:t>
      </w:r>
    </w:p>
    <w:p w:rsidR="00764137" w:rsidRPr="00D33ED5" w:rsidRDefault="00764137" w:rsidP="00586DA2">
      <w:pPr>
        <w:rPr>
          <w:i/>
          <w:iCs/>
          <w:lang w:val="en-AU"/>
        </w:rPr>
      </w:pPr>
      <w:r w:rsidRPr="00D33ED5">
        <w:rPr>
          <w:i/>
          <w:iCs/>
          <w:lang w:val="en-AU"/>
        </w:rPr>
        <w:t>DET Koorie Education Support Officer (KESO)</w:t>
      </w:r>
    </w:p>
    <w:p w:rsidR="00B24CB2" w:rsidRPr="00D33ED5" w:rsidRDefault="00764137" w:rsidP="00586DA2">
      <w:pPr>
        <w:rPr>
          <w:lang w:val="en-AU"/>
        </w:rPr>
      </w:pPr>
      <w:r w:rsidRPr="00D33ED5">
        <w:rPr>
          <w:lang w:val="en-AU"/>
        </w:rPr>
        <w:t>KESOs are area-based professionals who are members of the local Aboriginal community with an understanding of Aboriginal culture and the history of their community. KESOs provide advice about culturally inclusive learning environments</w:t>
      </w:r>
      <w:r w:rsidR="00D91A36" w:rsidRPr="00D33ED5">
        <w:rPr>
          <w:lang w:val="en-AU"/>
        </w:rPr>
        <w:t>,</w:t>
      </w:r>
      <w:r w:rsidRPr="00D33ED5">
        <w:rPr>
          <w:lang w:val="en-AU"/>
        </w:rPr>
        <w:t xml:space="preserve"> support engagement </w:t>
      </w:r>
      <w:r w:rsidR="00FA69B8" w:rsidRPr="00D33ED5">
        <w:rPr>
          <w:lang w:val="en-AU"/>
        </w:rPr>
        <w:t xml:space="preserve">in education </w:t>
      </w:r>
      <w:r w:rsidRPr="00D33ED5">
        <w:rPr>
          <w:lang w:val="en-AU"/>
        </w:rPr>
        <w:t>and improved outcomes for Koorie children and young people.</w:t>
      </w:r>
    </w:p>
    <w:p w:rsidR="00764137" w:rsidRPr="00D33ED5" w:rsidRDefault="009E483E" w:rsidP="00586DA2">
      <w:pPr>
        <w:rPr>
          <w:lang w:val="en-AU"/>
        </w:rPr>
      </w:pPr>
      <w:hyperlink r:id="rId28" w:history="1">
        <w:r w:rsidR="005E1056" w:rsidRPr="00D33ED5">
          <w:rPr>
            <w:rStyle w:val="Hyperlink"/>
            <w:lang w:val="en-AU"/>
          </w:rPr>
          <w:t>www.education.vic.gov.au/about/contact/Pages/marrungregional.aspx</w:t>
        </w:r>
      </w:hyperlink>
      <w:r w:rsidR="00764137" w:rsidRPr="00D33ED5">
        <w:rPr>
          <w:lang w:val="en-AU"/>
        </w:rPr>
        <w:t xml:space="preserve"> </w:t>
      </w:r>
    </w:p>
    <w:p w:rsidR="00F2367D" w:rsidRPr="00D33ED5" w:rsidRDefault="00F2367D" w:rsidP="00586DA2">
      <w:pPr>
        <w:rPr>
          <w:lang w:val="en-AU"/>
        </w:rPr>
      </w:pPr>
    </w:p>
    <w:p w:rsidR="00586DA2" w:rsidRPr="00D33ED5" w:rsidRDefault="00586DA2" w:rsidP="00586DA2">
      <w:pPr>
        <w:rPr>
          <w:i/>
          <w:iCs/>
          <w:lang w:val="en-AU"/>
        </w:rPr>
      </w:pPr>
      <w:r w:rsidRPr="00D33ED5">
        <w:rPr>
          <w:i/>
          <w:iCs/>
          <w:lang w:val="en-AU"/>
        </w:rPr>
        <w:t>VACCHO (Victorian Aboriginal Community Controlled Health Organisation Inc.)</w:t>
      </w:r>
      <w:r w:rsidRPr="00D33ED5">
        <w:rPr>
          <w:i/>
          <w:iCs/>
          <w:lang w:val="en-AU"/>
        </w:rPr>
        <w:tab/>
      </w:r>
    </w:p>
    <w:p w:rsidR="00B24CB2" w:rsidRPr="00D33ED5" w:rsidRDefault="00586DA2" w:rsidP="00586DA2">
      <w:pPr>
        <w:rPr>
          <w:lang w:val="en-AU"/>
        </w:rPr>
      </w:pPr>
      <w:r w:rsidRPr="00D33ED5">
        <w:rPr>
          <w:lang w:val="en-AU"/>
        </w:rPr>
        <w:t>The peak body for the health and wellbeing of Aboriginal people living in Victoria, with member organisations located throughout Victoria.</w:t>
      </w:r>
    </w:p>
    <w:p w:rsidR="00586DA2" w:rsidRPr="00D33ED5" w:rsidRDefault="00586DA2" w:rsidP="00586DA2">
      <w:pPr>
        <w:rPr>
          <w:lang w:val="en-AU"/>
        </w:rPr>
      </w:pPr>
      <w:r w:rsidRPr="00D33ED5">
        <w:rPr>
          <w:lang w:val="en-AU"/>
        </w:rPr>
        <w:t>03 9411 9411</w:t>
      </w:r>
      <w:r w:rsidRPr="00D33ED5">
        <w:rPr>
          <w:lang w:val="en-AU"/>
        </w:rPr>
        <w:br/>
      </w:r>
      <w:hyperlink r:id="rId29" w:history="1">
        <w:r w:rsidRPr="00D33ED5">
          <w:rPr>
            <w:rStyle w:val="Hyperlink"/>
            <w:lang w:val="en-AU"/>
          </w:rPr>
          <w:t>enquiries@vaccho.org.au</w:t>
        </w:r>
      </w:hyperlink>
      <w:r w:rsidRPr="00D33ED5">
        <w:rPr>
          <w:lang w:val="en-AU"/>
        </w:rPr>
        <w:t xml:space="preserve">  </w:t>
      </w:r>
    </w:p>
    <w:p w:rsidR="005E1056" w:rsidRPr="00D33ED5" w:rsidRDefault="005E1056" w:rsidP="00586DA2">
      <w:pPr>
        <w:rPr>
          <w:lang w:val="en-AU"/>
        </w:rPr>
      </w:pPr>
    </w:p>
    <w:p w:rsidR="00586DA2" w:rsidRPr="00D33ED5" w:rsidRDefault="00586DA2" w:rsidP="00586DA2">
      <w:pPr>
        <w:rPr>
          <w:i/>
          <w:iCs/>
          <w:lang w:val="en-AU"/>
        </w:rPr>
      </w:pPr>
      <w:r w:rsidRPr="00D33ED5">
        <w:rPr>
          <w:i/>
          <w:iCs/>
          <w:lang w:val="en-AU"/>
        </w:rPr>
        <w:t>VAEAI (Victorian Aboriginal Education Association Incorporated)</w:t>
      </w:r>
      <w:r w:rsidRPr="00D33ED5">
        <w:rPr>
          <w:i/>
          <w:iCs/>
          <w:lang w:val="en-AU"/>
        </w:rPr>
        <w:tab/>
      </w:r>
    </w:p>
    <w:p w:rsidR="00B24CB2" w:rsidRPr="00D33ED5" w:rsidRDefault="00586DA2" w:rsidP="008524FF">
      <w:pPr>
        <w:rPr>
          <w:lang w:val="en-AU"/>
        </w:rPr>
      </w:pPr>
      <w:r w:rsidRPr="00D33ED5">
        <w:rPr>
          <w:lang w:val="en-AU"/>
        </w:rPr>
        <w:t xml:space="preserve">VAEAI supports and </w:t>
      </w:r>
      <w:r w:rsidR="000C38B5" w:rsidRPr="00D33ED5">
        <w:rPr>
          <w:lang w:val="en-AU"/>
        </w:rPr>
        <w:t xml:space="preserve">advises </w:t>
      </w:r>
      <w:r w:rsidRPr="00D33ED5">
        <w:rPr>
          <w:lang w:val="en-AU"/>
        </w:rPr>
        <w:t xml:space="preserve">services that provide early childhood education for </w:t>
      </w:r>
      <w:proofErr w:type="spellStart"/>
      <w:r w:rsidRPr="00D33ED5">
        <w:rPr>
          <w:lang w:val="en-AU"/>
        </w:rPr>
        <w:t>Koorie</w:t>
      </w:r>
      <w:proofErr w:type="spellEnd"/>
      <w:r w:rsidRPr="00D33ED5">
        <w:rPr>
          <w:lang w:val="en-AU"/>
        </w:rPr>
        <w:t xml:space="preserve"> children.</w:t>
      </w:r>
    </w:p>
    <w:p w:rsidR="005E1C30" w:rsidRDefault="00586DA2" w:rsidP="008524FF">
      <w:pPr>
        <w:rPr>
          <w:lang w:val="en-AU"/>
        </w:rPr>
      </w:pPr>
      <w:r w:rsidRPr="00D33ED5">
        <w:rPr>
          <w:lang w:val="en-AU"/>
        </w:rPr>
        <w:t>03 9481 0800</w:t>
      </w:r>
      <w:r w:rsidRPr="00D33ED5">
        <w:rPr>
          <w:lang w:val="en-AU"/>
        </w:rPr>
        <w:br/>
      </w:r>
      <w:hyperlink r:id="rId30" w:history="1">
        <w:r w:rsidRPr="00D33ED5">
          <w:rPr>
            <w:rStyle w:val="Hyperlink"/>
            <w:lang w:val="en-AU"/>
          </w:rPr>
          <w:t>vaeai@vaeai.org.au</w:t>
        </w:r>
      </w:hyperlink>
      <w:r>
        <w:rPr>
          <w:lang w:val="en-AU"/>
        </w:rPr>
        <w:t xml:space="preserve"> </w:t>
      </w:r>
    </w:p>
    <w:p w:rsidR="00920FD1" w:rsidRPr="00920FD1" w:rsidRDefault="00920FD1" w:rsidP="008524FF">
      <w:pPr>
        <w:rPr>
          <w:rFonts w:cstheme="minorHAnsi"/>
          <w:szCs w:val="22"/>
          <w:lang w:val="en-AU"/>
        </w:rPr>
      </w:pPr>
      <w:bookmarkStart w:id="0" w:name="_GoBack"/>
      <w:bookmarkEnd w:id="0"/>
    </w:p>
    <w:sectPr w:rsidR="00920FD1" w:rsidRPr="00920FD1" w:rsidSect="00D604F0">
      <w:headerReference w:type="default" r:id="rId31"/>
      <w:footerReference w:type="default" r:id="rId32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3E" w:rsidRDefault="009E483E" w:rsidP="003967DD">
      <w:pPr>
        <w:spacing w:after="0"/>
      </w:pPr>
      <w:r>
        <w:separator/>
      </w:r>
    </w:p>
  </w:endnote>
  <w:endnote w:type="continuationSeparator" w:id="0">
    <w:p w:rsidR="009E483E" w:rsidRDefault="009E483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86" w:rsidRDefault="003D7F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EF3A84" wp14:editId="37B2829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d45848deb95fe6fc1d6e2a1a" descr="{&quot;HashCode&quot;:-12676035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7F86" w:rsidRPr="003D7F86" w:rsidRDefault="003D7F86" w:rsidP="003D7F8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D7F86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2EF3A84" id="_x0000_t202" coordsize="21600,21600" o:spt="202" path="m,l,21600r21600,l21600,xe">
              <v:stroke joinstyle="miter"/>
              <v:path gradientshapeok="t" o:connecttype="rect"/>
            </v:shapetype>
            <v:shape id="MSIPCMd45848deb95fe6fc1d6e2a1a" o:spid="_x0000_s1026" type="#_x0000_t202" alt="{&quot;HashCode&quot;:-126760350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tsGwMAADgGAAAOAAAAZHJzL2Uyb0RvYy54bWysVF1v0zwUvn8l/oPlC67o8kGSNmEd2jr1&#10;ZVKBSh3atWs7i0ViB9tdMxD/nWPHKQy4QIgb+3z5+JznfJy/HroWPXBthJJLnJzFGHFJFRPyfok/&#10;3K5nC4yMJZKRVkm+xI/c4NcXz/47P/YVT1WjWsY1AifSVMd+iRtr+yqKDG14R8yZ6rkEZa10Ryyw&#10;+j5imhzBe9dGaRwX0VFp1mtFuTEgvR6V+ML7r2tO7fu6NtyidokhNutP7c+9O6OLc1Lda9I3goYw&#10;yF9E0REh4dOTq2tiCTpo8YurTlCtjKrtGVVdpOpaUO5zgGyS+Kdsdg3puc8FwDH9CSbz79zSdw9b&#10;jQSD2mEkSQcleru72a7esixfZAvG92Ve86KmCSt4ShKCEeOGAoJfnn86KPvqDTHNSjE+ctUsSYt5&#10;Eb/M45cvggEX940N6kWWnsVBcSeYbYI8L/OTfNsSyjsupzejyVopy/VIBwc3kvEhOBivrRYd0Y9P&#10;rHbQA9CcwS4Jb29VHyTx6eMNr6c/QfjV9caxNxVAtOsBJDtcqcHhFOQGhK7kQ607d0MxEeihyx5P&#10;ncUHiygI53le5DGoKOjSopgDDW6i7697bez/XHXIEUusIWrfUORhY+xoOpm4z6Rai7YFOalaiY5L&#10;XADk/sFJA85b6QwgCPARqLErv5RJmsVXaTlbF4v5LFtn+aycx4tZnJRXZRFnZXa9/ur8JVnVCMa4&#10;3AjJpwlJsj/rwDCrY2/7GXkSqlGtYC4PF5vLbtVq9EBgVPfQAx8DQj9YRU/D8QBCdtPts4xczcba&#10;OMoO+yEUbK/YI9RRK8AXSmF6uhbw6YYYuyUaxh6EsMrsezjqVgGoKlAYNUp//p3c2QMWoMXoCGtk&#10;ic2nA9Eco/ZGwpymeRa7ulvPAaE9USZZBsx+kspDt1KQNwwhhOVJZ2vbiay16u5g1V2670BFJIVP&#10;AaiJXFngQAGrkvLLS0/DiumJ3chdT53rCeXb4Y7oPjSaBfzeqWnTkOqnfhtt3UupLg9W1cI3o0N2&#10;hBOwdwysJ1+FsErd/vuR91bfF/7FNwAAAP//AwBQSwMEFAAGAAgAAAAhAOydJWzcAAAACwEAAA8A&#10;AABkcnMvZG93bnJldi54bWxMT0FOwzAQvCPxB2uRuFE7FVQ0xKmqSkWCA4LQB7jxkqTE68h22vB7&#10;Nie4zc6MZmeKzeR6ccYQO08asoUCgVR721Gj4fC5v3sEEZMha3pPqOEHI2zK66vC5NZf6APPVWoE&#10;h1DMjYY2pSGXMtYtOhMXfkBi7csHZxKfoZE2mAuHu14ulVpJZzriD60ZcNdi/V2NTsMWxyy+9PvT&#10;c3eo3l9PbynY3Vrr25tp+wQi4ZT+zDDX5+pQcqejH8lG0WvgIYnZVbZkNOvZWjE6ztzDvQJZFvL/&#10;hvIXAAD//wMAUEsBAi0AFAAGAAgAAAAhALaDOJL+AAAA4QEAABMAAAAAAAAAAAAAAAAAAAAAAFtD&#10;b250ZW50X1R5cGVzXS54bWxQSwECLQAUAAYACAAAACEAOP0h/9YAAACUAQAACwAAAAAAAAAAAAAA&#10;AAAvAQAAX3JlbHMvLnJlbHNQSwECLQAUAAYACAAAACEA977rbBsDAAA4BgAADgAAAAAAAAAAAAAA&#10;AAAuAgAAZHJzL2Uyb0RvYy54bWxQSwECLQAUAAYACAAAACEA7J0lbNwAAAALAQAADwAAAAAAAAAA&#10;AAAAAAB1BQAAZHJzL2Rvd25yZXYueG1sUEsFBgAAAAAEAAQA8wAAAH4GAAAAAA==&#10;" o:allowincell="f" filled="f" stroked="f" strokeweight=".5pt">
              <v:textbox inset="20pt,0,,0">
                <w:txbxContent>
                  <w:p w:rsidR="003D7F86" w:rsidRPr="003D7F86" w:rsidRDefault="003D7F86" w:rsidP="003D7F86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D7F86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3E" w:rsidRDefault="009E483E" w:rsidP="003967DD">
      <w:pPr>
        <w:spacing w:after="0"/>
      </w:pPr>
      <w:r>
        <w:separator/>
      </w:r>
    </w:p>
  </w:footnote>
  <w:footnote w:type="continuationSeparator" w:id="0">
    <w:p w:rsidR="009E483E" w:rsidRDefault="009E483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82" w:rsidRDefault="002C1FD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F7A1890" wp14:editId="7A0D154A">
          <wp:simplePos x="0" y="0"/>
          <wp:positionH relativeFrom="page">
            <wp:posOffset>-3810</wp:posOffset>
          </wp:positionH>
          <wp:positionV relativeFrom="page">
            <wp:posOffset>5080</wp:posOffset>
          </wp:positionV>
          <wp:extent cx="7560000" cy="106848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77B93"/>
    <w:multiLevelType w:val="hybridMultilevel"/>
    <w:tmpl w:val="08ECC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041F29"/>
    <w:multiLevelType w:val="hybridMultilevel"/>
    <w:tmpl w:val="C7E06D62"/>
    <w:lvl w:ilvl="0" w:tplc="FC167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1DA32D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A51C9"/>
    <w:multiLevelType w:val="hybridMultilevel"/>
    <w:tmpl w:val="8FDEB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670539"/>
    <w:multiLevelType w:val="hybridMultilevel"/>
    <w:tmpl w:val="CFF6A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37541"/>
    <w:multiLevelType w:val="hybridMultilevel"/>
    <w:tmpl w:val="08781CC0"/>
    <w:lvl w:ilvl="0" w:tplc="FC167E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18D4FFC"/>
    <w:multiLevelType w:val="hybridMultilevel"/>
    <w:tmpl w:val="9CF4CDCC"/>
    <w:lvl w:ilvl="0" w:tplc="FC167E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C03AB5"/>
    <w:multiLevelType w:val="hybridMultilevel"/>
    <w:tmpl w:val="FAF88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35D2"/>
    <w:multiLevelType w:val="hybridMultilevel"/>
    <w:tmpl w:val="087E3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F2DCB"/>
    <w:multiLevelType w:val="hybridMultilevel"/>
    <w:tmpl w:val="479A6A1E"/>
    <w:lvl w:ilvl="0" w:tplc="7068A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8A3E99"/>
    <w:multiLevelType w:val="hybridMultilevel"/>
    <w:tmpl w:val="7CE25738"/>
    <w:lvl w:ilvl="0" w:tplc="FC167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36AF0"/>
    <w:multiLevelType w:val="multilevel"/>
    <w:tmpl w:val="AC0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4F52F4"/>
    <w:multiLevelType w:val="hybridMultilevel"/>
    <w:tmpl w:val="811A3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D5223"/>
    <w:multiLevelType w:val="hybridMultilevel"/>
    <w:tmpl w:val="8D847506"/>
    <w:lvl w:ilvl="0" w:tplc="FC167E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417670"/>
    <w:multiLevelType w:val="multilevel"/>
    <w:tmpl w:val="CB18F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422D46"/>
    <w:multiLevelType w:val="hybridMultilevel"/>
    <w:tmpl w:val="8B42EA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B2DE3"/>
    <w:multiLevelType w:val="hybridMultilevel"/>
    <w:tmpl w:val="102850E8"/>
    <w:lvl w:ilvl="0" w:tplc="FC167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B2059"/>
    <w:multiLevelType w:val="hybridMultilevel"/>
    <w:tmpl w:val="4D289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6501B"/>
    <w:multiLevelType w:val="hybridMultilevel"/>
    <w:tmpl w:val="D29C4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0E21"/>
    <w:multiLevelType w:val="hybridMultilevel"/>
    <w:tmpl w:val="78CA5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30"/>
  </w:num>
  <w:num w:numId="14">
    <w:abstractNumId w:val="33"/>
  </w:num>
  <w:num w:numId="15">
    <w:abstractNumId w:val="19"/>
  </w:num>
  <w:num w:numId="16">
    <w:abstractNumId w:val="26"/>
  </w:num>
  <w:num w:numId="17">
    <w:abstractNumId w:val="20"/>
  </w:num>
  <w:num w:numId="18">
    <w:abstractNumId w:val="12"/>
  </w:num>
  <w:num w:numId="19">
    <w:abstractNumId w:val="23"/>
  </w:num>
  <w:num w:numId="20">
    <w:abstractNumId w:val="14"/>
  </w:num>
  <w:num w:numId="21">
    <w:abstractNumId w:val="32"/>
  </w:num>
  <w:num w:numId="22">
    <w:abstractNumId w:val="28"/>
  </w:num>
  <w:num w:numId="23">
    <w:abstractNumId w:val="22"/>
  </w:num>
  <w:num w:numId="24">
    <w:abstractNumId w:val="31"/>
  </w:num>
  <w:num w:numId="25">
    <w:abstractNumId w:val="25"/>
  </w:num>
  <w:num w:numId="26">
    <w:abstractNumId w:val="18"/>
  </w:num>
  <w:num w:numId="27">
    <w:abstractNumId w:val="35"/>
  </w:num>
  <w:num w:numId="28">
    <w:abstractNumId w:val="34"/>
  </w:num>
  <w:num w:numId="29">
    <w:abstractNumId w:val="11"/>
  </w:num>
  <w:num w:numId="30">
    <w:abstractNumId w:val="17"/>
  </w:num>
  <w:num w:numId="31">
    <w:abstractNumId w:val="15"/>
  </w:num>
  <w:num w:numId="32">
    <w:abstractNumId w:val="27"/>
  </w:num>
  <w:num w:numId="33">
    <w:abstractNumId w:val="16"/>
  </w:num>
  <w:num w:numId="34">
    <w:abstractNumId w:val="13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NDA3NLK0tLQwMDVQ0lEKTi0uzszPAykwtKgFAGQLd68tAAAA"/>
  </w:docVars>
  <w:rsids>
    <w:rsidRoot w:val="003967DD"/>
    <w:rsid w:val="00011F31"/>
    <w:rsid w:val="00013339"/>
    <w:rsid w:val="00015065"/>
    <w:rsid w:val="000225C8"/>
    <w:rsid w:val="000256E2"/>
    <w:rsid w:val="00033715"/>
    <w:rsid w:val="000625BF"/>
    <w:rsid w:val="0007435A"/>
    <w:rsid w:val="00077A5F"/>
    <w:rsid w:val="00080DA9"/>
    <w:rsid w:val="00090CA4"/>
    <w:rsid w:val="000A47D4"/>
    <w:rsid w:val="000A5749"/>
    <w:rsid w:val="000C38B5"/>
    <w:rsid w:val="000C600E"/>
    <w:rsid w:val="000D316B"/>
    <w:rsid w:val="000D5DCB"/>
    <w:rsid w:val="000D7D16"/>
    <w:rsid w:val="000F1123"/>
    <w:rsid w:val="00122369"/>
    <w:rsid w:val="00135B09"/>
    <w:rsid w:val="00136A2A"/>
    <w:rsid w:val="00150E0F"/>
    <w:rsid w:val="00153A60"/>
    <w:rsid w:val="00157212"/>
    <w:rsid w:val="0016287D"/>
    <w:rsid w:val="0018508E"/>
    <w:rsid w:val="001B1234"/>
    <w:rsid w:val="001C138F"/>
    <w:rsid w:val="001C65DF"/>
    <w:rsid w:val="001C7960"/>
    <w:rsid w:val="001D0D94"/>
    <w:rsid w:val="001D13F9"/>
    <w:rsid w:val="001E2872"/>
    <w:rsid w:val="001E2B88"/>
    <w:rsid w:val="001E2BDE"/>
    <w:rsid w:val="001E4E6C"/>
    <w:rsid w:val="001F3345"/>
    <w:rsid w:val="001F39DD"/>
    <w:rsid w:val="0022012B"/>
    <w:rsid w:val="00237EE0"/>
    <w:rsid w:val="002428C9"/>
    <w:rsid w:val="00243DF3"/>
    <w:rsid w:val="002512BE"/>
    <w:rsid w:val="00266C20"/>
    <w:rsid w:val="00271EBB"/>
    <w:rsid w:val="00275FB8"/>
    <w:rsid w:val="002805F5"/>
    <w:rsid w:val="0028217E"/>
    <w:rsid w:val="00297130"/>
    <w:rsid w:val="002A4A96"/>
    <w:rsid w:val="002A6288"/>
    <w:rsid w:val="002B13EE"/>
    <w:rsid w:val="002B5FCE"/>
    <w:rsid w:val="002C1FD1"/>
    <w:rsid w:val="002C5E3D"/>
    <w:rsid w:val="002E3BED"/>
    <w:rsid w:val="002F1799"/>
    <w:rsid w:val="002F6115"/>
    <w:rsid w:val="003106D9"/>
    <w:rsid w:val="00312720"/>
    <w:rsid w:val="003164CD"/>
    <w:rsid w:val="00316F8A"/>
    <w:rsid w:val="00321078"/>
    <w:rsid w:val="00343AFC"/>
    <w:rsid w:val="0034745C"/>
    <w:rsid w:val="00347A4C"/>
    <w:rsid w:val="00361A68"/>
    <w:rsid w:val="003657B4"/>
    <w:rsid w:val="00376F76"/>
    <w:rsid w:val="0038065B"/>
    <w:rsid w:val="00395031"/>
    <w:rsid w:val="003967DD"/>
    <w:rsid w:val="003A4AFF"/>
    <w:rsid w:val="003A4C39"/>
    <w:rsid w:val="003A7931"/>
    <w:rsid w:val="003B50E2"/>
    <w:rsid w:val="003B7491"/>
    <w:rsid w:val="003C300A"/>
    <w:rsid w:val="003D2755"/>
    <w:rsid w:val="003D31A3"/>
    <w:rsid w:val="003D7F86"/>
    <w:rsid w:val="003E220C"/>
    <w:rsid w:val="00406F32"/>
    <w:rsid w:val="00412338"/>
    <w:rsid w:val="00422DFA"/>
    <w:rsid w:val="0042333B"/>
    <w:rsid w:val="0044791F"/>
    <w:rsid w:val="00453038"/>
    <w:rsid w:val="0047589C"/>
    <w:rsid w:val="004801F4"/>
    <w:rsid w:val="004B2ED6"/>
    <w:rsid w:val="004B5C79"/>
    <w:rsid w:val="00506D86"/>
    <w:rsid w:val="00512BBA"/>
    <w:rsid w:val="00527C05"/>
    <w:rsid w:val="00536C4A"/>
    <w:rsid w:val="00536F43"/>
    <w:rsid w:val="00555277"/>
    <w:rsid w:val="00566889"/>
    <w:rsid w:val="00567CF0"/>
    <w:rsid w:val="00581074"/>
    <w:rsid w:val="00584366"/>
    <w:rsid w:val="00586DA2"/>
    <w:rsid w:val="00595022"/>
    <w:rsid w:val="005A35DE"/>
    <w:rsid w:val="005A4F12"/>
    <w:rsid w:val="005B4BFB"/>
    <w:rsid w:val="005C4C01"/>
    <w:rsid w:val="005C53D6"/>
    <w:rsid w:val="005D0E6F"/>
    <w:rsid w:val="005E1056"/>
    <w:rsid w:val="005E1C30"/>
    <w:rsid w:val="005F228E"/>
    <w:rsid w:val="005F5B21"/>
    <w:rsid w:val="0060113C"/>
    <w:rsid w:val="0061593D"/>
    <w:rsid w:val="00616DE7"/>
    <w:rsid w:val="006244BA"/>
    <w:rsid w:val="00624A55"/>
    <w:rsid w:val="00625C3D"/>
    <w:rsid w:val="00656CCD"/>
    <w:rsid w:val="0066550B"/>
    <w:rsid w:val="006671CE"/>
    <w:rsid w:val="006704BE"/>
    <w:rsid w:val="00671BEF"/>
    <w:rsid w:val="00685F19"/>
    <w:rsid w:val="00697B04"/>
    <w:rsid w:val="006A1B30"/>
    <w:rsid w:val="006A25AC"/>
    <w:rsid w:val="006B666F"/>
    <w:rsid w:val="006C2635"/>
    <w:rsid w:val="006E2B9A"/>
    <w:rsid w:val="006E5C7A"/>
    <w:rsid w:val="006F182E"/>
    <w:rsid w:val="00705374"/>
    <w:rsid w:val="007056C4"/>
    <w:rsid w:val="00710CED"/>
    <w:rsid w:val="007172CF"/>
    <w:rsid w:val="00717D30"/>
    <w:rsid w:val="00726670"/>
    <w:rsid w:val="0076289C"/>
    <w:rsid w:val="00764137"/>
    <w:rsid w:val="00772259"/>
    <w:rsid w:val="00777DBF"/>
    <w:rsid w:val="007869C1"/>
    <w:rsid w:val="0078756C"/>
    <w:rsid w:val="007964E1"/>
    <w:rsid w:val="007967AD"/>
    <w:rsid w:val="007A70A0"/>
    <w:rsid w:val="007B14EA"/>
    <w:rsid w:val="007B556E"/>
    <w:rsid w:val="007D0730"/>
    <w:rsid w:val="007D3E38"/>
    <w:rsid w:val="007E6977"/>
    <w:rsid w:val="007E6B5C"/>
    <w:rsid w:val="007F5942"/>
    <w:rsid w:val="00800BA9"/>
    <w:rsid w:val="008065DA"/>
    <w:rsid w:val="008077F2"/>
    <w:rsid w:val="00810B5F"/>
    <w:rsid w:val="00812A36"/>
    <w:rsid w:val="00815ECE"/>
    <w:rsid w:val="00825545"/>
    <w:rsid w:val="0083689C"/>
    <w:rsid w:val="008428D3"/>
    <w:rsid w:val="008524FF"/>
    <w:rsid w:val="00853D02"/>
    <w:rsid w:val="00856200"/>
    <w:rsid w:val="008632DC"/>
    <w:rsid w:val="00873B92"/>
    <w:rsid w:val="00890680"/>
    <w:rsid w:val="00894036"/>
    <w:rsid w:val="008A36E5"/>
    <w:rsid w:val="008B1737"/>
    <w:rsid w:val="008C1555"/>
    <w:rsid w:val="008D16D7"/>
    <w:rsid w:val="008F16E9"/>
    <w:rsid w:val="008F2C39"/>
    <w:rsid w:val="00910912"/>
    <w:rsid w:val="009144F7"/>
    <w:rsid w:val="00920FD1"/>
    <w:rsid w:val="0094327D"/>
    <w:rsid w:val="00952690"/>
    <w:rsid w:val="0095546D"/>
    <w:rsid w:val="00955CE8"/>
    <w:rsid w:val="00980B9F"/>
    <w:rsid w:val="009822CD"/>
    <w:rsid w:val="00991A21"/>
    <w:rsid w:val="009940E9"/>
    <w:rsid w:val="009A5296"/>
    <w:rsid w:val="009B1F1C"/>
    <w:rsid w:val="009B73E9"/>
    <w:rsid w:val="009E3876"/>
    <w:rsid w:val="009E483E"/>
    <w:rsid w:val="009F134E"/>
    <w:rsid w:val="009F31D6"/>
    <w:rsid w:val="009F6739"/>
    <w:rsid w:val="00A16B69"/>
    <w:rsid w:val="00A31926"/>
    <w:rsid w:val="00A457FD"/>
    <w:rsid w:val="00A64FDC"/>
    <w:rsid w:val="00A710DF"/>
    <w:rsid w:val="00A903E5"/>
    <w:rsid w:val="00A95905"/>
    <w:rsid w:val="00AD2570"/>
    <w:rsid w:val="00AD2C17"/>
    <w:rsid w:val="00AD483B"/>
    <w:rsid w:val="00AD5459"/>
    <w:rsid w:val="00AD5EB3"/>
    <w:rsid w:val="00AE0F24"/>
    <w:rsid w:val="00AF0568"/>
    <w:rsid w:val="00AF5FB9"/>
    <w:rsid w:val="00B034B7"/>
    <w:rsid w:val="00B21562"/>
    <w:rsid w:val="00B24CB2"/>
    <w:rsid w:val="00B35CD1"/>
    <w:rsid w:val="00B36B71"/>
    <w:rsid w:val="00B5463F"/>
    <w:rsid w:val="00B60DEF"/>
    <w:rsid w:val="00B67D46"/>
    <w:rsid w:val="00B71F7D"/>
    <w:rsid w:val="00B751FB"/>
    <w:rsid w:val="00B755C7"/>
    <w:rsid w:val="00B777CF"/>
    <w:rsid w:val="00B84657"/>
    <w:rsid w:val="00B93765"/>
    <w:rsid w:val="00BA182D"/>
    <w:rsid w:val="00BA545A"/>
    <w:rsid w:val="00BB5B1C"/>
    <w:rsid w:val="00BD3087"/>
    <w:rsid w:val="00BD4E1C"/>
    <w:rsid w:val="00BE2EA4"/>
    <w:rsid w:val="00BE36DF"/>
    <w:rsid w:val="00BE556B"/>
    <w:rsid w:val="00BF5371"/>
    <w:rsid w:val="00C1018B"/>
    <w:rsid w:val="00C12AF9"/>
    <w:rsid w:val="00C469D1"/>
    <w:rsid w:val="00C539BB"/>
    <w:rsid w:val="00C64F4B"/>
    <w:rsid w:val="00C66969"/>
    <w:rsid w:val="00C83345"/>
    <w:rsid w:val="00C94D10"/>
    <w:rsid w:val="00CA41C1"/>
    <w:rsid w:val="00CC5AA8"/>
    <w:rsid w:val="00CD2C10"/>
    <w:rsid w:val="00CD5993"/>
    <w:rsid w:val="00CE1E79"/>
    <w:rsid w:val="00CF0955"/>
    <w:rsid w:val="00CF3ADF"/>
    <w:rsid w:val="00D13B62"/>
    <w:rsid w:val="00D33ED5"/>
    <w:rsid w:val="00D445FF"/>
    <w:rsid w:val="00D47757"/>
    <w:rsid w:val="00D54CA4"/>
    <w:rsid w:val="00D55762"/>
    <w:rsid w:val="00D604F0"/>
    <w:rsid w:val="00D60C79"/>
    <w:rsid w:val="00D76C82"/>
    <w:rsid w:val="00D80FB3"/>
    <w:rsid w:val="00D907A4"/>
    <w:rsid w:val="00D91A36"/>
    <w:rsid w:val="00D93CE6"/>
    <w:rsid w:val="00D9759B"/>
    <w:rsid w:val="00DA3AE7"/>
    <w:rsid w:val="00DA65E0"/>
    <w:rsid w:val="00DA774C"/>
    <w:rsid w:val="00DB25FE"/>
    <w:rsid w:val="00DC4D0D"/>
    <w:rsid w:val="00DD408E"/>
    <w:rsid w:val="00E24ECD"/>
    <w:rsid w:val="00E34263"/>
    <w:rsid w:val="00E34721"/>
    <w:rsid w:val="00E4317E"/>
    <w:rsid w:val="00E47C05"/>
    <w:rsid w:val="00E5030B"/>
    <w:rsid w:val="00E55689"/>
    <w:rsid w:val="00E646C8"/>
    <w:rsid w:val="00E64758"/>
    <w:rsid w:val="00E70258"/>
    <w:rsid w:val="00E77EB9"/>
    <w:rsid w:val="00E902C5"/>
    <w:rsid w:val="00EA49D5"/>
    <w:rsid w:val="00EB174F"/>
    <w:rsid w:val="00EB6752"/>
    <w:rsid w:val="00EC36CF"/>
    <w:rsid w:val="00F0790F"/>
    <w:rsid w:val="00F22963"/>
    <w:rsid w:val="00F2367D"/>
    <w:rsid w:val="00F24E8B"/>
    <w:rsid w:val="00F5271F"/>
    <w:rsid w:val="00F57E3F"/>
    <w:rsid w:val="00F60B07"/>
    <w:rsid w:val="00F72868"/>
    <w:rsid w:val="00F7551A"/>
    <w:rsid w:val="00F807EF"/>
    <w:rsid w:val="00F828F1"/>
    <w:rsid w:val="00F82E14"/>
    <w:rsid w:val="00F94715"/>
    <w:rsid w:val="00FA69B8"/>
    <w:rsid w:val="00FC77A4"/>
    <w:rsid w:val="00FD3F58"/>
    <w:rsid w:val="00FD3FC0"/>
    <w:rsid w:val="00FD5F70"/>
    <w:rsid w:val="00FE150E"/>
    <w:rsid w:val="00FE31E6"/>
    <w:rsid w:val="00FE6B8B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2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656CCD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07435A"/>
    <w:rPr>
      <w:sz w:val="22"/>
    </w:rPr>
  </w:style>
  <w:style w:type="paragraph" w:styleId="BodyText">
    <w:name w:val="Body Text"/>
    <w:basedOn w:val="Normal"/>
    <w:link w:val="BodyTextChar"/>
    <w:uiPriority w:val="1"/>
    <w:unhideWhenUsed/>
    <w:rsid w:val="0007435A"/>
    <w:pPr>
      <w:autoSpaceDE w:val="0"/>
      <w:autoSpaceDN w:val="0"/>
      <w:spacing w:after="0"/>
    </w:pPr>
    <w:rPr>
      <w:rFonts w:ascii="Arial" w:hAnsi="Arial" w:cs="Arial"/>
      <w:sz w:val="21"/>
      <w:szCs w:val="21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07435A"/>
    <w:rPr>
      <w:rFonts w:ascii="Arial" w:hAnsi="Arial" w:cs="Arial"/>
      <w:sz w:val="21"/>
      <w:szCs w:val="21"/>
      <w:lang w:val="en-AU"/>
    </w:rPr>
  </w:style>
  <w:style w:type="paragraph" w:customStyle="1" w:styleId="paragraph">
    <w:name w:val="paragraph"/>
    <w:basedOn w:val="Normal"/>
    <w:rsid w:val="0007435A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customStyle="1" w:styleId="normaltextrun">
    <w:name w:val="normaltextrun"/>
    <w:basedOn w:val="DefaultParagraphFont"/>
    <w:rsid w:val="0007435A"/>
  </w:style>
  <w:style w:type="character" w:customStyle="1" w:styleId="header-phone">
    <w:name w:val="header-phone"/>
    <w:basedOn w:val="DefaultParagraphFont"/>
    <w:rsid w:val="0007435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43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0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3E5"/>
    <w:rPr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D76C82"/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  <w:insideV w:val="single" w:sz="4" w:space="0" w:color="DE6D7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  <w:insideV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styleId="GridTable5Dark">
    <w:name w:val="Grid Table 5 Dark"/>
    <w:basedOn w:val="TableNormal"/>
    <w:uiPriority w:val="50"/>
    <w:rsid w:val="00136A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ED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272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272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272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272F" w:themeFill="text1"/>
      </w:tcPr>
    </w:tblStylePr>
    <w:tblStylePr w:type="band1Vert">
      <w:tblPr/>
      <w:tcPr>
        <w:shd w:val="clear" w:color="auto" w:fill="E99DA2" w:themeFill="text1" w:themeFillTint="66"/>
      </w:tcPr>
    </w:tblStylePr>
    <w:tblStylePr w:type="band1Horz">
      <w:tblPr/>
      <w:tcPr>
        <w:shd w:val="clear" w:color="auto" w:fill="E99DA2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136A2A"/>
    <w:tblPr>
      <w:tblStyleRowBandSize w:val="1"/>
      <w:tblStyleColBandSize w:val="1"/>
      <w:tblBorders>
        <w:top w:val="single" w:sz="4" w:space="0" w:color="DE6D74" w:themeColor="accent4" w:themeTint="99"/>
        <w:left w:val="single" w:sz="4" w:space="0" w:color="DE6D74" w:themeColor="accent4" w:themeTint="99"/>
        <w:bottom w:val="single" w:sz="4" w:space="0" w:color="DE6D74" w:themeColor="accent4" w:themeTint="99"/>
        <w:right w:val="single" w:sz="4" w:space="0" w:color="DE6D74" w:themeColor="accent4" w:themeTint="99"/>
        <w:insideH w:val="single" w:sz="4" w:space="0" w:color="DE6D74" w:themeColor="accent4" w:themeTint="99"/>
        <w:insideV w:val="single" w:sz="4" w:space="0" w:color="DE6D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4"/>
          <w:left w:val="single" w:sz="4" w:space="0" w:color="AF272F" w:themeColor="accent4"/>
          <w:bottom w:val="single" w:sz="4" w:space="0" w:color="AF272F" w:themeColor="accent4"/>
          <w:right w:val="single" w:sz="4" w:space="0" w:color="AF272F" w:themeColor="accent4"/>
          <w:insideH w:val="nil"/>
          <w:insideV w:val="nil"/>
        </w:tcBorders>
        <w:shd w:val="clear" w:color="auto" w:fill="AF272F" w:themeFill="accent4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4" w:themeFillTint="33"/>
      </w:tcPr>
    </w:tblStylePr>
    <w:tblStylePr w:type="band1Horz">
      <w:tblPr/>
      <w:tcPr>
        <w:shd w:val="clear" w:color="auto" w:fill="F4CE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6A2A"/>
    <w:tblPr>
      <w:tblStyleRowBandSize w:val="1"/>
      <w:tblStyleColBandSize w:val="1"/>
      <w:tblBorders>
        <w:top w:val="single" w:sz="4" w:space="0" w:color="95999E" w:themeColor="accent5" w:themeTint="99"/>
        <w:left w:val="single" w:sz="4" w:space="0" w:color="95999E" w:themeColor="accent5" w:themeTint="99"/>
        <w:bottom w:val="single" w:sz="4" w:space="0" w:color="95999E" w:themeColor="accent5" w:themeTint="99"/>
        <w:right w:val="single" w:sz="4" w:space="0" w:color="95999E" w:themeColor="accent5" w:themeTint="99"/>
        <w:insideH w:val="single" w:sz="4" w:space="0" w:color="95999E" w:themeColor="accent5" w:themeTint="99"/>
        <w:insideV w:val="single" w:sz="4" w:space="0" w:color="95999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65A" w:themeColor="accent5"/>
          <w:left w:val="single" w:sz="4" w:space="0" w:color="53565A" w:themeColor="accent5"/>
          <w:bottom w:val="single" w:sz="4" w:space="0" w:color="53565A" w:themeColor="accent5"/>
          <w:right w:val="single" w:sz="4" w:space="0" w:color="53565A" w:themeColor="accent5"/>
          <w:insideH w:val="nil"/>
          <w:insideV w:val="nil"/>
        </w:tcBorders>
        <w:shd w:val="clear" w:color="auto" w:fill="53565A" w:themeFill="accent5"/>
      </w:tcPr>
    </w:tblStylePr>
    <w:tblStylePr w:type="lastRow">
      <w:rPr>
        <w:b/>
        <w:bCs/>
      </w:rPr>
      <w:tblPr/>
      <w:tcPr>
        <w:tcBorders>
          <w:top w:val="double" w:sz="4" w:space="0" w:color="5356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E" w:themeFill="accent5" w:themeFillTint="33"/>
      </w:tcPr>
    </w:tblStylePr>
    <w:tblStylePr w:type="band1Horz">
      <w:tblPr/>
      <w:tcPr>
        <w:shd w:val="clear" w:color="auto" w:fill="DBDCDE" w:themeFill="accent5" w:themeFillTint="33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F3ADF"/>
    <w:rPr>
      <w:vertAlign w:val="superscript"/>
    </w:rPr>
  </w:style>
  <w:style w:type="paragraph" w:styleId="Revision">
    <w:name w:val="Revision"/>
    <w:hidden/>
    <w:uiPriority w:val="99"/>
    <w:semiHidden/>
    <w:rsid w:val="00361A68"/>
    <w:rPr>
      <w:sz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7A5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E31E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36B71"/>
    <w:rPr>
      <w:color w:val="605E5C"/>
      <w:shd w:val="clear" w:color="auto" w:fill="E1DFDD"/>
    </w:rPr>
  </w:style>
  <w:style w:type="paragraph" w:customStyle="1" w:styleId="mld-paragraph">
    <w:name w:val="mld-paragraph"/>
    <w:basedOn w:val="Normal"/>
    <w:rsid w:val="0078756C"/>
    <w:pPr>
      <w:spacing w:before="100" w:beforeAutospacing="1" w:after="100" w:afterAutospacing="1"/>
    </w:pPr>
    <w:rPr>
      <w:rFonts w:ascii="Times New Roman" w:hAnsi="Times New Roman" w:cs="Times New Roman"/>
      <w:sz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CD2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childhood/professionals/needs/Pages/psfo.aspx" TargetMode="External"/><Relationship Id="rId18" Type="http://schemas.openxmlformats.org/officeDocument/2006/relationships/hyperlink" Target="https://www.education.vic.gov.au/childhood/professionals/health/childprotection/Pages/ecguidance.aspx" TargetMode="External"/><Relationship Id="rId26" Type="http://schemas.openxmlformats.org/officeDocument/2006/relationships/hyperlink" Target="http://www.fkacs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festeps.org.au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about/programs/Pages/lookout.aspx" TargetMode="External"/><Relationship Id="rId17" Type="http://schemas.openxmlformats.org/officeDocument/2006/relationships/hyperlink" Target="https://professionals.childhood.org.au/resources/" TargetMode="External"/><Relationship Id="rId25" Type="http://schemas.openxmlformats.org/officeDocument/2006/relationships/hyperlink" Target="http://www.foundationhouse.org.a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about/department/Pages/learningfromhome.aspx" TargetMode="External"/><Relationship Id="rId20" Type="http://schemas.openxmlformats.org/officeDocument/2006/relationships/hyperlink" Target="https://orangedoor.vic.gov.au/" TargetMode="External"/><Relationship Id="rId29" Type="http://schemas.openxmlformats.org/officeDocument/2006/relationships/hyperlink" Target="mailto:enquiries@vaccho.org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anguageloop.com.au/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fka.org.au/" TargetMode="External"/><Relationship Id="rId23" Type="http://schemas.openxmlformats.org/officeDocument/2006/relationships/hyperlink" Target="http://www.intouch.org.au" TargetMode="External"/><Relationship Id="rId28" Type="http://schemas.openxmlformats.org/officeDocument/2006/relationships/hyperlink" Target="http://www.education.vic.gov.au/about/contact/Pages/marrungregional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ervices.dhhs.vic.gov.au/child-first-and-family-service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undationhouse.org.au" TargetMode="External"/><Relationship Id="rId22" Type="http://schemas.openxmlformats.org/officeDocument/2006/relationships/hyperlink" Target="http://www.1800respect.org.au" TargetMode="External"/><Relationship Id="rId27" Type="http://schemas.openxmlformats.org/officeDocument/2006/relationships/hyperlink" Target="mailto:culturalinclusion@fka.org.au" TargetMode="External"/><Relationship Id="rId30" Type="http://schemas.openxmlformats.org/officeDocument/2006/relationships/hyperlink" Target="mailto:vaeai@vaeai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Supporting vulnerable children during Coronavirus (COVID-19)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D8638-14C9-4D9C-9D97-339EB99A4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2477E-8DA1-4207-B164-A0C6C8E39C83}"/>
</file>

<file path=customXml/itemProps3.xml><?xml version="1.0" encoding="utf-8"?>
<ds:datastoreItem xmlns:ds="http://schemas.openxmlformats.org/officeDocument/2006/customXml" ds:itemID="{F8FFFB9C-4E70-4A71-99FF-F6BC8FE451B1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3FB6C55-0510-4343-B39C-E2659D3320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5.xml><?xml version="1.0" encoding="utf-8"?>
<ds:datastoreItem xmlns:ds="http://schemas.openxmlformats.org/officeDocument/2006/customXml" ds:itemID="{1AC410F5-20F5-4156-9230-66FEA502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Downie, Fiona L</dc:creator>
  <cp:keywords/>
  <dc:description/>
  <cp:lastModifiedBy>Kaddour, Josie J</cp:lastModifiedBy>
  <cp:revision>7</cp:revision>
  <dcterms:created xsi:type="dcterms:W3CDTF">2020-05-04T03:34:00Z</dcterms:created>
  <dcterms:modified xsi:type="dcterms:W3CDTF">2020-05-04T04:33:00Z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iteId">
    <vt:lpwstr>722ea0be-3e1c-4b11-ad6f-9401d6856e24</vt:lpwstr>
  </property>
  <property fmtid="{D5CDD505-2E9C-101B-9397-08002B2CF9AE}" pid="5" name="MSIP_Label_7158ebbd-6c5e-441f-bfc9-4eb8c11e3978_Owner">
    <vt:lpwstr>emily.curran@dpc.vic.gov.au</vt:lpwstr>
  </property>
  <property fmtid="{D5CDD505-2E9C-101B-9397-08002B2CF9AE}" pid="6" name="MSIP_Label_7158ebbd-6c5e-441f-bfc9-4eb8c11e3978_SetDate">
    <vt:lpwstr>2020-04-27T08:23:37.1649607Z</vt:lpwstr>
  </property>
  <property fmtid="{D5CDD505-2E9C-101B-9397-08002B2CF9AE}" pid="7" name="MSIP_Label_7158ebbd-6c5e-441f-bfc9-4eb8c11e3978_Name">
    <vt:lpwstr>OFFICIAL</vt:lpwstr>
  </property>
  <property fmtid="{D5CDD505-2E9C-101B-9397-08002B2CF9AE}" pid="8" name="MSIP_Label_7158ebbd-6c5e-441f-bfc9-4eb8c11e3978_Application">
    <vt:lpwstr>Microsoft Azure Information Protection</vt:lpwstr>
  </property>
  <property fmtid="{D5CDD505-2E9C-101B-9397-08002B2CF9AE}" pid="9" name="MSIP_Label_7158ebbd-6c5e-441f-bfc9-4eb8c11e3978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DEECD_Author">
    <vt:lpwstr/>
  </property>
  <property fmtid="{D5CDD505-2E9C-101B-9397-08002B2CF9AE}" pid="12" name="DEECD_SubjectCategory">
    <vt:lpwstr/>
  </property>
  <property fmtid="{D5CDD505-2E9C-101B-9397-08002B2CF9AE}" pid="13" name="DEECD_ItemType">
    <vt:lpwstr/>
  </property>
  <property fmtid="{D5CDD505-2E9C-101B-9397-08002B2CF9AE}" pid="14" name="DEECD_Audience">
    <vt:lpwstr/>
  </property>
</Properties>
</file>