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0D95" w14:textId="77777777" w:rsidR="00FE252C" w:rsidRPr="003240C7" w:rsidRDefault="00FE252C" w:rsidP="00FE252C">
      <w:pPr>
        <w:pStyle w:val="Heading1"/>
        <w:spacing w:before="0" w:after="240"/>
        <w:rPr>
          <w:rFonts w:ascii="Arial" w:hAnsi="Arial" w:cs="Arial"/>
          <w:b/>
          <w:bCs/>
          <w:color w:val="233775"/>
          <w:sz w:val="48"/>
          <w:szCs w:val="48"/>
        </w:rPr>
      </w:pPr>
      <w:r w:rsidRPr="003240C7">
        <w:rPr>
          <w:rFonts w:ascii="Arial" w:hAnsi="Arial" w:cs="Arial"/>
          <w:b/>
          <w:bCs/>
          <w:color w:val="233775"/>
          <w:sz w:val="48"/>
          <w:szCs w:val="48"/>
        </w:rPr>
        <w:t xml:space="preserve">Resilience and Wellbeing: </w:t>
      </w:r>
      <w:r w:rsidRPr="003240C7">
        <w:rPr>
          <w:rFonts w:ascii="Arial" w:hAnsi="Arial" w:cs="Arial"/>
          <w:b/>
          <w:bCs/>
          <w:color w:val="233775"/>
          <w:sz w:val="48"/>
          <w:szCs w:val="48"/>
        </w:rPr>
        <w:br/>
        <w:t>What works for you?</w:t>
      </w:r>
    </w:p>
    <w:p w14:paraId="7D3BF4D4" w14:textId="02032479" w:rsidR="00FE252C" w:rsidRPr="00A02519" w:rsidRDefault="004637FE" w:rsidP="00A02519">
      <w:pPr>
        <w:pStyle w:val="BasicParagraph"/>
        <w:spacing w:after="227"/>
        <w:rPr>
          <w:i/>
          <w:iCs/>
        </w:rPr>
      </w:pPr>
      <w:r>
        <w:rPr>
          <w:rFonts w:ascii="Avenir Black" w:hAnsi="Avenir Black" w:cs="Avenir Black"/>
          <w:color w:val="1174BB"/>
          <w:spacing w:val="-2"/>
          <w:sz w:val="36"/>
          <w:szCs w:val="36"/>
        </w:rPr>
        <w:t xml:space="preserve">Tip Sheet </w:t>
      </w:r>
      <w:r w:rsidR="00A02519">
        <w:rPr>
          <w:rFonts w:ascii="Avenir Black" w:hAnsi="Avenir Black" w:cs="Avenir Black"/>
          <w:color w:val="1174BB"/>
          <w:spacing w:val="-2"/>
          <w:sz w:val="36"/>
          <w:szCs w:val="36"/>
        </w:rPr>
        <w:t>2</w:t>
      </w:r>
      <w:r>
        <w:rPr>
          <w:rFonts w:ascii="Avenir Black" w:hAnsi="Avenir Black" w:cs="Avenir Black"/>
          <w:color w:val="1174BB"/>
          <w:spacing w:val="-2"/>
          <w:sz w:val="36"/>
          <w:szCs w:val="36"/>
        </w:rPr>
        <w:t xml:space="preserve">: </w:t>
      </w:r>
      <w:r w:rsidR="00A02519" w:rsidRPr="00A02519">
        <w:rPr>
          <w:rFonts w:ascii="Avenir Black" w:hAnsi="Avenir Black" w:cs="Avenir Black"/>
          <w:color w:val="1174BB"/>
          <w:spacing w:val="-2"/>
          <w:sz w:val="36"/>
          <w:szCs w:val="36"/>
        </w:rPr>
        <w:t>Strategies for teams and services</w:t>
      </w:r>
      <w:r>
        <w:rPr>
          <w:rFonts w:ascii="Avenir Black" w:hAnsi="Avenir Black" w:cs="Avenir Black"/>
          <w:color w:val="1174BB"/>
          <w:spacing w:val="-2"/>
          <w:sz w:val="36"/>
          <w:szCs w:val="36"/>
        </w:rPr>
        <w:br/>
      </w:r>
      <w:r w:rsidR="00FE252C" w:rsidRPr="00A02519">
        <w:rPr>
          <w:rFonts w:ascii="Arial" w:hAnsi="Arial" w:cs="Arial"/>
          <w:i/>
          <w:iCs/>
          <w:sz w:val="23"/>
          <w:szCs w:val="23"/>
        </w:rPr>
        <w:t xml:space="preserve">This </w:t>
      </w:r>
      <w:r w:rsidR="00D70966">
        <w:rPr>
          <w:rFonts w:ascii="Arial" w:hAnsi="Arial" w:cs="Arial"/>
          <w:i/>
          <w:iCs/>
          <w:sz w:val="23"/>
          <w:szCs w:val="23"/>
        </w:rPr>
        <w:t>tip</w:t>
      </w:r>
      <w:r w:rsidR="00FE252C" w:rsidRPr="00A02519">
        <w:rPr>
          <w:rFonts w:ascii="Arial" w:hAnsi="Arial" w:cs="Arial"/>
          <w:i/>
          <w:iCs/>
          <w:sz w:val="23"/>
          <w:szCs w:val="23"/>
        </w:rPr>
        <w:t xml:space="preserve"> sheet is designed to be used with the associated video, </w:t>
      </w:r>
      <w:r w:rsidR="00247E97" w:rsidRPr="00A02519">
        <w:rPr>
          <w:rFonts w:ascii="Arial" w:hAnsi="Arial" w:cs="Arial"/>
          <w:i/>
          <w:iCs/>
          <w:sz w:val="23"/>
          <w:szCs w:val="23"/>
        </w:rPr>
        <w:br/>
      </w:r>
      <w:r w:rsidR="009A3AFD">
        <w:rPr>
          <w:rFonts w:ascii="Arial" w:hAnsi="Arial" w:cs="Arial"/>
          <w:i/>
          <w:sz w:val="23"/>
          <w:szCs w:val="23"/>
        </w:rPr>
        <w:t>‘</w:t>
      </w:r>
      <w:r w:rsidR="00A02519" w:rsidRPr="00F51397">
        <w:rPr>
          <w:rFonts w:ascii="Arial" w:hAnsi="Arial" w:cs="Arial"/>
          <w:i/>
          <w:sz w:val="23"/>
          <w:szCs w:val="23"/>
        </w:rPr>
        <w:t>Strategies to support resilience and wellbeing for teams and services</w:t>
      </w:r>
      <w:r w:rsidR="009A3AFD">
        <w:rPr>
          <w:rFonts w:ascii="Arial" w:hAnsi="Arial" w:cs="Arial"/>
          <w:i/>
          <w:sz w:val="23"/>
          <w:szCs w:val="23"/>
        </w:rPr>
        <w:t>’</w:t>
      </w:r>
      <w:r w:rsidR="00FE252C" w:rsidRPr="00A02519">
        <w:rPr>
          <w:rFonts w:ascii="Arial" w:hAnsi="Arial" w:cs="Arial"/>
          <w:i/>
          <w:iCs/>
          <w:sz w:val="23"/>
          <w:szCs w:val="23"/>
        </w:rPr>
        <w:t xml:space="preserve">, which can be </w:t>
      </w:r>
      <w:r w:rsidR="00247E97" w:rsidRPr="00A02519">
        <w:rPr>
          <w:rFonts w:ascii="Arial" w:hAnsi="Arial" w:cs="Arial"/>
          <w:i/>
          <w:iCs/>
          <w:sz w:val="23"/>
          <w:szCs w:val="23"/>
        </w:rPr>
        <w:br/>
      </w:r>
      <w:r w:rsidR="00FE252C" w:rsidRPr="00A02519">
        <w:rPr>
          <w:rFonts w:ascii="Arial" w:hAnsi="Arial" w:cs="Arial"/>
          <w:i/>
          <w:iCs/>
          <w:sz w:val="23"/>
          <w:szCs w:val="23"/>
        </w:rPr>
        <w:t xml:space="preserve">accessed at: </w:t>
      </w:r>
      <w:hyperlink r:id="rId12" w:history="1">
        <w:r w:rsidR="00992267" w:rsidRPr="00A02519">
          <w:rPr>
            <w:rStyle w:val="Hyperlink"/>
            <w:rFonts w:ascii="Arial" w:hAnsi="Arial" w:cs="Arial"/>
            <w:i/>
            <w:iCs/>
            <w:sz w:val="23"/>
            <w:szCs w:val="23"/>
          </w:rPr>
          <w:t>Supporting early childhood educator mental health and wellbeing</w:t>
        </w:r>
      </w:hyperlink>
      <w:r w:rsidR="00992267" w:rsidRPr="00992267">
        <w:rPr>
          <w:rFonts w:ascii="Arial" w:hAnsi="Arial" w:cs="Arial"/>
          <w:sz w:val="23"/>
          <w:szCs w:val="23"/>
        </w:rPr>
        <w:t xml:space="preserve"> </w:t>
      </w:r>
    </w:p>
    <w:p w14:paraId="002C5D4F" w14:textId="77777777" w:rsidR="00C55BDA" w:rsidRDefault="00DE4294"/>
    <w:p w14:paraId="13BB1317" w14:textId="77777777" w:rsidR="003240C7" w:rsidRPr="00247E97" w:rsidRDefault="003240C7" w:rsidP="00247E97">
      <w:pPr>
        <w:spacing w:after="120"/>
        <w:rPr>
          <w:sz w:val="20"/>
          <w:szCs w:val="20"/>
        </w:rPr>
        <w:sectPr w:rsidR="003240C7" w:rsidRPr="00247E97" w:rsidSect="00247E97">
          <w:headerReference w:type="even" r:id="rId13"/>
          <w:headerReference w:type="default" r:id="rId14"/>
          <w:headerReference w:type="first" r:id="rId15"/>
          <w:pgSz w:w="11900" w:h="16840"/>
          <w:pgMar w:top="1134" w:right="851" w:bottom="1701" w:left="851" w:header="709" w:footer="709" w:gutter="0"/>
          <w:cols w:space="708"/>
          <w:docGrid w:linePitch="360"/>
        </w:sectPr>
      </w:pPr>
    </w:p>
    <w:p w14:paraId="0AD80411" w14:textId="77777777" w:rsidR="00A02519" w:rsidRPr="00A02519" w:rsidRDefault="00A02519" w:rsidP="00A02519">
      <w:pPr>
        <w:spacing w:before="120" w:after="80"/>
        <w:rPr>
          <w:sz w:val="24"/>
          <w:lang w:val="en-GB"/>
        </w:rPr>
      </w:pPr>
      <w:r w:rsidRPr="00A02519">
        <w:rPr>
          <w:sz w:val="24"/>
          <w:lang w:val="en-GB"/>
        </w:rPr>
        <w:t xml:space="preserve">In October 2021, research was undertaken by Early Childhood Australia (ECA) on behalf of the Department of Education and Training to explore factors that support resilience and wellbeing in the Victorian early childhood and care (ECEC) sector. </w:t>
      </w:r>
    </w:p>
    <w:p w14:paraId="1C20C82F" w14:textId="77777777" w:rsidR="00A02519" w:rsidRDefault="00A02519" w:rsidP="00A02519">
      <w:pPr>
        <w:spacing w:before="120" w:after="80"/>
        <w:rPr>
          <w:sz w:val="24"/>
          <w:lang w:val="en-GB"/>
        </w:rPr>
      </w:pPr>
      <w:r w:rsidRPr="00A02519">
        <w:rPr>
          <w:sz w:val="24"/>
          <w:lang w:val="en-GB"/>
        </w:rPr>
        <w:t>This tip sheet includes ideas from the research for teams, services and organisations to consider as they help to build wellbeing and resilience in the workplace.</w:t>
      </w:r>
    </w:p>
    <w:p w14:paraId="30AC7BE8" w14:textId="77777777" w:rsidR="00A02519" w:rsidRPr="00197F7D" w:rsidRDefault="00A02519" w:rsidP="00A02519">
      <w:pPr>
        <w:rPr>
          <w:rFonts w:cs="Times New Roman (Body CS)"/>
          <w:b/>
          <w:bCs/>
          <w:caps/>
          <w:color w:val="B2292E"/>
          <w:sz w:val="28"/>
          <w:szCs w:val="28"/>
          <w:lang w:val="en-GB"/>
        </w:rPr>
      </w:pPr>
      <w:r w:rsidRPr="00197F7D">
        <w:rPr>
          <w:rFonts w:cs="Times New Roman (Body CS)"/>
          <w:b/>
          <w:bCs/>
          <w:caps/>
          <w:color w:val="B2292E"/>
          <w:sz w:val="28"/>
          <w:szCs w:val="28"/>
          <w:lang w:val="en-GB"/>
        </w:rPr>
        <w:t xml:space="preserve">Focus on wellbeing </w:t>
      </w:r>
      <w:r w:rsidRPr="00197F7D">
        <w:rPr>
          <w:rFonts w:cs="Times New Roman (Body CS)"/>
          <w:b/>
          <w:bCs/>
          <w:caps/>
          <w:color w:val="B2292E"/>
          <w:sz w:val="28"/>
          <w:szCs w:val="28"/>
          <w:lang w:val="en-GB"/>
        </w:rPr>
        <w:br/>
        <w:t>at a whole-of-service level</w:t>
      </w:r>
    </w:p>
    <w:p w14:paraId="641A3C09" w14:textId="77777777" w:rsidR="00A02519" w:rsidRPr="00A02519" w:rsidRDefault="00A02519" w:rsidP="00A02519">
      <w:pPr>
        <w:rPr>
          <w:noProof/>
          <w:sz w:val="24"/>
          <w:lang w:val="en-GB"/>
        </w:rPr>
      </w:pPr>
      <w:r w:rsidRPr="00A02519">
        <w:rPr>
          <w:noProof/>
          <w:sz w:val="24"/>
          <w:lang w:val="en-GB"/>
        </w:rPr>
        <w:t xml:space="preserve">Services play a key role in enabling wellbeing and creating contexts that build resilience. A whole-of-service or organisation approach to wellbeing is the most effective in proactively enabling educators to build their wellbeing and resilience skills. </w:t>
      </w:r>
    </w:p>
    <w:p w14:paraId="5D7E0D6B" w14:textId="77777777" w:rsidR="00A02519" w:rsidRPr="00A02519" w:rsidRDefault="00DE4294" w:rsidP="00A02519">
      <w:pPr>
        <w:rPr>
          <w:noProof/>
          <w:sz w:val="24"/>
          <w:lang w:val="en-GB"/>
        </w:rPr>
      </w:pPr>
      <w:hyperlink r:id="rId16" w:history="1">
        <w:r w:rsidR="00A02519" w:rsidRPr="00A02519">
          <w:rPr>
            <w:rStyle w:val="Hyperlink"/>
            <w:noProof/>
            <w:sz w:val="24"/>
            <w:lang w:val="en-GB"/>
          </w:rPr>
          <w:t>Be You</w:t>
        </w:r>
      </w:hyperlink>
      <w:r w:rsidR="00A02519" w:rsidRPr="00A02519">
        <w:rPr>
          <w:noProof/>
          <w:sz w:val="24"/>
          <w:lang w:val="en-GB"/>
        </w:rPr>
        <w:t xml:space="preserve"> recommends that services and teams take time to lay foundations for success in addressing wellbeing through:</w:t>
      </w:r>
    </w:p>
    <w:p w14:paraId="47D5AE24" w14:textId="77777777" w:rsidR="00A02519" w:rsidRPr="00A02519" w:rsidRDefault="00A02519" w:rsidP="00A02519">
      <w:pPr>
        <w:pStyle w:val="ListParagraph"/>
        <w:numPr>
          <w:ilvl w:val="0"/>
          <w:numId w:val="6"/>
        </w:numPr>
        <w:ind w:left="426"/>
        <w:rPr>
          <w:noProof/>
          <w:sz w:val="24"/>
          <w:lang w:val="en-GB"/>
        </w:rPr>
      </w:pPr>
      <w:r w:rsidRPr="00A02519">
        <w:rPr>
          <w:noProof/>
          <w:sz w:val="24"/>
          <w:lang w:val="en-GB"/>
        </w:rPr>
        <w:t>identifying the community’s needs (including educator and family wellbeing)</w:t>
      </w:r>
    </w:p>
    <w:p w14:paraId="6B8686F9" w14:textId="77777777" w:rsidR="00A02519" w:rsidRPr="00A02519" w:rsidRDefault="00A02519" w:rsidP="00A02519">
      <w:pPr>
        <w:pStyle w:val="ListParagraph"/>
        <w:numPr>
          <w:ilvl w:val="0"/>
          <w:numId w:val="6"/>
        </w:numPr>
        <w:ind w:left="426"/>
        <w:rPr>
          <w:noProof/>
          <w:sz w:val="24"/>
          <w:lang w:val="en-GB"/>
        </w:rPr>
      </w:pPr>
      <w:r w:rsidRPr="00A02519">
        <w:rPr>
          <w:noProof/>
          <w:sz w:val="24"/>
          <w:lang w:val="en-GB"/>
        </w:rPr>
        <w:t>developing a plan</w:t>
      </w:r>
    </w:p>
    <w:p w14:paraId="22F4EDE1" w14:textId="77777777" w:rsidR="00A02519" w:rsidRPr="00A02519" w:rsidRDefault="00A02519" w:rsidP="00A02519">
      <w:pPr>
        <w:pStyle w:val="ListParagraph"/>
        <w:numPr>
          <w:ilvl w:val="0"/>
          <w:numId w:val="6"/>
        </w:numPr>
        <w:ind w:left="426"/>
        <w:rPr>
          <w:noProof/>
          <w:sz w:val="24"/>
          <w:lang w:val="en-GB"/>
        </w:rPr>
      </w:pPr>
      <w:r w:rsidRPr="00A02519">
        <w:rPr>
          <w:noProof/>
          <w:sz w:val="24"/>
          <w:lang w:val="en-GB"/>
        </w:rPr>
        <w:t>taking action, and</w:t>
      </w:r>
    </w:p>
    <w:p w14:paraId="2956881D" w14:textId="77777777" w:rsidR="00A02519" w:rsidRPr="00A02519" w:rsidRDefault="00A02519" w:rsidP="00A02519">
      <w:pPr>
        <w:pStyle w:val="ListParagraph"/>
        <w:numPr>
          <w:ilvl w:val="0"/>
          <w:numId w:val="6"/>
        </w:numPr>
        <w:ind w:left="426"/>
        <w:rPr>
          <w:noProof/>
          <w:sz w:val="24"/>
          <w:lang w:val="en-GB"/>
        </w:rPr>
      </w:pPr>
      <w:r w:rsidRPr="00A02519">
        <w:rPr>
          <w:noProof/>
          <w:sz w:val="24"/>
          <w:lang w:val="en-GB"/>
        </w:rPr>
        <w:t xml:space="preserve">monitoring, reviewing and improving </w:t>
      </w:r>
      <w:r w:rsidRPr="00A02519">
        <w:rPr>
          <w:noProof/>
          <w:sz w:val="24"/>
          <w:lang w:val="en-GB"/>
        </w:rPr>
        <w:br/>
        <w:t xml:space="preserve">the plan. </w:t>
      </w:r>
    </w:p>
    <w:p w14:paraId="77B07CED" w14:textId="77777777" w:rsidR="00A02519" w:rsidRDefault="00A02519" w:rsidP="00A02519">
      <w:pPr>
        <w:rPr>
          <w:rFonts w:cs="Times New Roman (Body CS)"/>
          <w:caps/>
          <w:color w:val="B2292E"/>
          <w:sz w:val="28"/>
          <w:szCs w:val="28"/>
          <w:lang w:val="en-GB"/>
        </w:rPr>
      </w:pPr>
    </w:p>
    <w:p w14:paraId="48B5795F" w14:textId="77777777" w:rsidR="00A02519" w:rsidRPr="00197F7D" w:rsidRDefault="00A02519" w:rsidP="00AE3C23">
      <w:pPr>
        <w:spacing w:after="80"/>
        <w:rPr>
          <w:rFonts w:cs="Times New Roman (Body CS)"/>
          <w:b/>
          <w:bCs/>
          <w:caps/>
          <w:color w:val="B2292E"/>
          <w:sz w:val="28"/>
          <w:szCs w:val="28"/>
          <w:lang w:val="en-GB"/>
        </w:rPr>
      </w:pPr>
      <w:bookmarkStart w:id="0" w:name="_Hlk90538057"/>
      <w:r w:rsidRPr="00197F7D">
        <w:rPr>
          <w:rFonts w:cs="Times New Roman (Body CS)"/>
          <w:b/>
          <w:bCs/>
          <w:caps/>
          <w:color w:val="B2292E"/>
          <w:sz w:val="28"/>
          <w:szCs w:val="28"/>
          <w:lang w:val="en-GB"/>
        </w:rPr>
        <w:t xml:space="preserve">Strategies to support team </w:t>
      </w:r>
      <w:r w:rsidRPr="00197F7D">
        <w:rPr>
          <w:rFonts w:cs="Times New Roman (Body CS)"/>
          <w:b/>
          <w:bCs/>
          <w:caps/>
          <w:color w:val="B2292E"/>
          <w:sz w:val="28"/>
          <w:szCs w:val="28"/>
          <w:lang w:val="en-GB"/>
        </w:rPr>
        <w:br/>
        <w:t xml:space="preserve">and service wellbeing </w:t>
      </w:r>
    </w:p>
    <w:p w14:paraId="74FE134A" w14:textId="77777777" w:rsidR="00A02519" w:rsidRPr="00A02519" w:rsidRDefault="00A02519" w:rsidP="00A02519">
      <w:pPr>
        <w:rPr>
          <w:noProof/>
          <w:sz w:val="24"/>
          <w:lang w:val="en-GB"/>
        </w:rPr>
      </w:pPr>
      <w:r w:rsidRPr="00A02519">
        <w:rPr>
          <w:noProof/>
          <w:sz w:val="24"/>
          <w:lang w:val="en-GB"/>
        </w:rPr>
        <w:t>Educators shared a range of useful ways for service leaders and organisations to support staff wellbeing as part of ECA’s research. This included:</w:t>
      </w:r>
    </w:p>
    <w:p w14:paraId="5236FFA8" w14:textId="77777777" w:rsidR="00A02519" w:rsidRPr="00A02519" w:rsidRDefault="00A02519" w:rsidP="00A02519">
      <w:pPr>
        <w:pStyle w:val="ListParagraph"/>
        <w:numPr>
          <w:ilvl w:val="0"/>
          <w:numId w:val="2"/>
        </w:numPr>
        <w:ind w:left="360"/>
        <w:rPr>
          <w:sz w:val="24"/>
          <w:szCs w:val="24"/>
        </w:rPr>
      </w:pPr>
      <w:r w:rsidRPr="00A02519">
        <w:rPr>
          <w:b/>
          <w:sz w:val="24"/>
          <w:szCs w:val="24"/>
        </w:rPr>
        <w:t>providing space for ongoing conversations</w:t>
      </w:r>
      <w:r w:rsidRPr="00A02519">
        <w:rPr>
          <w:sz w:val="24"/>
          <w:szCs w:val="24"/>
        </w:rPr>
        <w:t xml:space="preserve"> about wellbeing and resilience. This can be done informally through everyday conversations and formally during staff meetings. Adding ‘wellbeing check-in’ as a regular agenda item can ensure time is set aside for these conversations</w:t>
      </w:r>
    </w:p>
    <w:p w14:paraId="22FAC0F3" w14:textId="77777777" w:rsidR="00A02519" w:rsidRPr="00A02519" w:rsidRDefault="00A02519" w:rsidP="00A02519">
      <w:pPr>
        <w:pStyle w:val="ListParagraph"/>
        <w:numPr>
          <w:ilvl w:val="0"/>
          <w:numId w:val="2"/>
        </w:numPr>
        <w:ind w:left="360"/>
        <w:rPr>
          <w:sz w:val="24"/>
          <w:szCs w:val="24"/>
        </w:rPr>
      </w:pPr>
      <w:r w:rsidRPr="00A02519">
        <w:rPr>
          <w:sz w:val="24"/>
          <w:szCs w:val="24"/>
        </w:rPr>
        <w:t xml:space="preserve">encouraging educators to participate in </w:t>
      </w:r>
      <w:r w:rsidRPr="00A02519">
        <w:rPr>
          <w:b/>
          <w:sz w:val="24"/>
          <w:szCs w:val="24"/>
        </w:rPr>
        <w:t>ongoing professional learning</w:t>
      </w:r>
      <w:r w:rsidRPr="00A02519">
        <w:rPr>
          <w:sz w:val="24"/>
          <w:szCs w:val="24"/>
        </w:rPr>
        <w:t xml:space="preserve"> to support both their own wellbeing and the wellbeing of children and families</w:t>
      </w:r>
    </w:p>
    <w:p w14:paraId="08C8F9DB" w14:textId="77777777" w:rsidR="00A02519" w:rsidRPr="00A02519" w:rsidRDefault="00A02519" w:rsidP="00A02519">
      <w:pPr>
        <w:pStyle w:val="ListParagraph"/>
        <w:numPr>
          <w:ilvl w:val="0"/>
          <w:numId w:val="2"/>
        </w:numPr>
        <w:ind w:left="360"/>
        <w:rPr>
          <w:sz w:val="24"/>
          <w:szCs w:val="24"/>
        </w:rPr>
      </w:pPr>
      <w:r w:rsidRPr="00A02519">
        <w:rPr>
          <w:sz w:val="24"/>
          <w:szCs w:val="24"/>
        </w:rPr>
        <w:t xml:space="preserve">encouraging </w:t>
      </w:r>
      <w:r w:rsidRPr="00A02519">
        <w:rPr>
          <w:b/>
          <w:sz w:val="24"/>
          <w:szCs w:val="24"/>
        </w:rPr>
        <w:t xml:space="preserve">help-seeking and ongoing reflection </w:t>
      </w:r>
      <w:r w:rsidRPr="00A02519">
        <w:rPr>
          <w:sz w:val="24"/>
          <w:szCs w:val="24"/>
        </w:rPr>
        <w:t>on how to best support educators’ wellbeing</w:t>
      </w:r>
    </w:p>
    <w:p w14:paraId="2125F64A" w14:textId="77777777" w:rsidR="00A02519" w:rsidRPr="00A02519" w:rsidRDefault="00A02519" w:rsidP="00A02519">
      <w:pPr>
        <w:pStyle w:val="ListParagraph"/>
        <w:numPr>
          <w:ilvl w:val="0"/>
          <w:numId w:val="2"/>
        </w:numPr>
        <w:ind w:left="360"/>
        <w:rPr>
          <w:sz w:val="24"/>
          <w:szCs w:val="24"/>
        </w:rPr>
      </w:pPr>
      <w:r w:rsidRPr="00A02519">
        <w:rPr>
          <w:sz w:val="24"/>
          <w:szCs w:val="24"/>
        </w:rPr>
        <w:t xml:space="preserve">building </w:t>
      </w:r>
      <w:r w:rsidRPr="00A02519">
        <w:rPr>
          <w:b/>
          <w:sz w:val="24"/>
          <w:szCs w:val="24"/>
        </w:rPr>
        <w:t>strong, supportive teams</w:t>
      </w:r>
      <w:r w:rsidRPr="00A02519">
        <w:rPr>
          <w:sz w:val="24"/>
          <w:szCs w:val="24"/>
        </w:rPr>
        <w:t xml:space="preserve"> that foster collaborative relationships and support connection, celebration and conversations about purpose.</w:t>
      </w:r>
    </w:p>
    <w:p w14:paraId="48664368" w14:textId="77777777" w:rsidR="00A02519" w:rsidRPr="00A02519" w:rsidRDefault="00A02519" w:rsidP="00A02519">
      <w:pPr>
        <w:pStyle w:val="ListParagraph"/>
        <w:numPr>
          <w:ilvl w:val="0"/>
          <w:numId w:val="2"/>
        </w:numPr>
        <w:ind w:left="360"/>
        <w:rPr>
          <w:sz w:val="24"/>
          <w:szCs w:val="24"/>
        </w:rPr>
      </w:pPr>
      <w:r w:rsidRPr="00A02519">
        <w:rPr>
          <w:sz w:val="24"/>
          <w:szCs w:val="24"/>
        </w:rPr>
        <w:t xml:space="preserve">modelling </w:t>
      </w:r>
      <w:r w:rsidRPr="00A02519">
        <w:rPr>
          <w:b/>
          <w:sz w:val="24"/>
          <w:szCs w:val="24"/>
        </w:rPr>
        <w:t>professional boundaries</w:t>
      </w:r>
      <w:r w:rsidRPr="00A02519">
        <w:rPr>
          <w:sz w:val="24"/>
          <w:szCs w:val="24"/>
        </w:rPr>
        <w:t xml:space="preserve"> and supporting educators to maintain a healthy work-life balance. </w:t>
      </w:r>
    </w:p>
    <w:p w14:paraId="1634D469" w14:textId="77777777" w:rsidR="00A02519" w:rsidRPr="00197F7D" w:rsidRDefault="00A02519" w:rsidP="00E47658">
      <w:pPr>
        <w:pStyle w:val="BasicParagraph"/>
        <w:spacing w:line="264" w:lineRule="auto"/>
        <w:rPr>
          <w:rFonts w:ascii="Arial" w:hAnsi="Arial" w:cs="Arial"/>
          <w:color w:val="B1282E"/>
          <w:spacing w:val="-2"/>
          <w:sz w:val="28"/>
          <w:szCs w:val="28"/>
        </w:rPr>
      </w:pPr>
      <w:r w:rsidRPr="00197F7D">
        <w:rPr>
          <w:rFonts w:ascii="Arial" w:hAnsi="Arial" w:cs="Arial"/>
          <w:color w:val="B1282E"/>
          <w:spacing w:val="-2"/>
          <w:sz w:val="28"/>
          <w:szCs w:val="28"/>
        </w:rPr>
        <w:t xml:space="preserve">‘Take time to get to know your </w:t>
      </w:r>
      <w:r w:rsidR="00E47658" w:rsidRPr="00197F7D">
        <w:rPr>
          <w:rFonts w:ascii="Arial" w:hAnsi="Arial" w:cs="Arial"/>
          <w:color w:val="B1282E"/>
          <w:spacing w:val="-2"/>
          <w:sz w:val="28"/>
          <w:szCs w:val="28"/>
        </w:rPr>
        <w:br/>
      </w:r>
      <w:r w:rsidRPr="00197F7D">
        <w:rPr>
          <w:rFonts w:ascii="Arial" w:hAnsi="Arial" w:cs="Arial"/>
          <w:color w:val="B1282E"/>
          <w:spacing w:val="-2"/>
          <w:sz w:val="28"/>
          <w:szCs w:val="28"/>
        </w:rPr>
        <w:t xml:space="preserve">teams and what supports each </w:t>
      </w:r>
      <w:r w:rsidR="00E47658" w:rsidRPr="00197F7D">
        <w:rPr>
          <w:rFonts w:ascii="Arial" w:hAnsi="Arial" w:cs="Arial"/>
          <w:color w:val="B1282E"/>
          <w:spacing w:val="-2"/>
          <w:sz w:val="28"/>
          <w:szCs w:val="28"/>
        </w:rPr>
        <w:br/>
      </w:r>
      <w:r w:rsidRPr="00197F7D">
        <w:rPr>
          <w:rFonts w:ascii="Arial" w:hAnsi="Arial" w:cs="Arial"/>
          <w:color w:val="B1282E"/>
          <w:spacing w:val="-2"/>
          <w:sz w:val="28"/>
          <w:szCs w:val="28"/>
        </w:rPr>
        <w:t xml:space="preserve">team member.’ </w:t>
      </w:r>
    </w:p>
    <w:p w14:paraId="03C57BA4" w14:textId="77777777" w:rsidR="00A02519" w:rsidRPr="00F61780" w:rsidRDefault="00E47658" w:rsidP="00A02519">
      <w:pPr>
        <w:pStyle w:val="BasicParagraph"/>
        <w:spacing w:after="283" w:line="264" w:lineRule="auto"/>
        <w:ind w:left="284"/>
        <w:rPr>
          <w:rFonts w:ascii="Arial" w:hAnsi="Arial" w:cs="Arial"/>
          <w:color w:val="B1282E"/>
          <w:spacing w:val="-2"/>
          <w:sz w:val="28"/>
          <w:szCs w:val="28"/>
        </w:rPr>
      </w:pPr>
      <w:r>
        <w:rPr>
          <w:noProof/>
        </w:rPr>
        <w:lastRenderedPageBreak/>
        <mc:AlternateContent>
          <mc:Choice Requires="wps">
            <w:drawing>
              <wp:anchor distT="0" distB="360045" distL="114300" distR="114300" simplePos="0" relativeHeight="251667456" behindDoc="0" locked="0" layoutInCell="1" allowOverlap="1" wp14:anchorId="0B028228" wp14:editId="7A47F43F">
                <wp:simplePos x="0" y="0"/>
                <wp:positionH relativeFrom="column">
                  <wp:posOffset>3442970</wp:posOffset>
                </wp:positionH>
                <wp:positionV relativeFrom="paragraph">
                  <wp:posOffset>39370</wp:posOffset>
                </wp:positionV>
                <wp:extent cx="2869200" cy="2437200"/>
                <wp:effectExtent l="0" t="0" r="1270" b="1270"/>
                <wp:wrapSquare wrapText="bothSides"/>
                <wp:docPr id="20" name="Text Box 20"/>
                <wp:cNvGraphicFramePr/>
                <a:graphic xmlns:a="http://schemas.openxmlformats.org/drawingml/2006/main">
                  <a:graphicData uri="http://schemas.microsoft.com/office/word/2010/wordprocessingShape">
                    <wps:wsp>
                      <wps:cNvSpPr txBox="1"/>
                      <wps:spPr>
                        <a:xfrm>
                          <a:off x="0" y="0"/>
                          <a:ext cx="2869200" cy="2437200"/>
                        </a:xfrm>
                        <a:prstGeom prst="rect">
                          <a:avLst/>
                        </a:prstGeom>
                        <a:solidFill>
                          <a:srgbClr val="B2292E">
                            <a:alpha val="20000"/>
                          </a:srgbClr>
                        </a:solidFill>
                        <a:ln w="6350">
                          <a:noFill/>
                        </a:ln>
                      </wps:spPr>
                      <wps:txbx>
                        <w:txbxContent>
                          <w:p w14:paraId="16A6B0FE" w14:textId="77777777" w:rsidR="00E47658" w:rsidRPr="00197F7D" w:rsidRDefault="00E47658" w:rsidP="00E47658">
                            <w:pPr>
                              <w:spacing w:after="80"/>
                              <w:rPr>
                                <w:b/>
                                <w:bCs/>
                                <w:color w:val="B2292E"/>
                                <w:sz w:val="28"/>
                                <w:szCs w:val="28"/>
                              </w:rPr>
                            </w:pPr>
                            <w:r w:rsidRPr="00197F7D">
                              <w:rPr>
                                <w:b/>
                                <w:bCs/>
                                <w:color w:val="B2292E"/>
                                <w:sz w:val="28"/>
                                <w:szCs w:val="28"/>
                              </w:rPr>
                              <w:t>QUESTIONS TO GUIDE TEAM REFLECTION</w:t>
                            </w:r>
                          </w:p>
                          <w:p w14:paraId="13E0BA32"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Do we have a staff wellbeing plan?</w:t>
                            </w:r>
                          </w:p>
                          <w:p w14:paraId="2F53D34D"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What resources do we offer to help staff build their sense of wellbeing?</w:t>
                            </w:r>
                          </w:p>
                          <w:p w14:paraId="3DDE0139"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What opportunities do we give staff to engage in collaborative relationships and ongoing professional learning?</w:t>
                            </w:r>
                          </w:p>
                          <w:p w14:paraId="08E1AFCB"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How do we support each other to seek help when we need it?</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28228" id="_x0000_t202" coordsize="21600,21600" o:spt="202" path="m,l,21600r21600,l21600,xe">
                <v:stroke joinstyle="miter"/>
                <v:path gradientshapeok="t" o:connecttype="rect"/>
              </v:shapetype>
              <v:shape id="Text Box 20" o:spid="_x0000_s1026" type="#_x0000_t202" style="position:absolute;left:0;text-align:left;margin-left:271.1pt;margin-top:3.1pt;width:225.9pt;height:191.9pt;z-index:251667456;visibility:visible;mso-wrap-style:square;mso-width-percent:0;mso-height-percent:0;mso-wrap-distance-left:9pt;mso-wrap-distance-top:0;mso-wrap-distance-right:9pt;mso-wrap-distance-bottom:28.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" fillcolor="#b2292e" stroked="f" strokeweight=".5pt">
                <v:fill opacity="13107f"/>
                <v:textbox inset="3mm,3mm,3mm,3mm">
                  <w:txbxContent>
                    <w:p w14:paraId="16A6B0FE" w14:textId="77777777" w:rsidR="00E47658" w:rsidRPr="00197F7D" w:rsidRDefault="00E47658" w:rsidP="00E47658">
                      <w:pPr>
                        <w:spacing w:after="80"/>
                        <w:rPr>
                          <w:b/>
                          <w:bCs/>
                          <w:color w:val="B2292E"/>
                          <w:sz w:val="28"/>
                          <w:szCs w:val="28"/>
                        </w:rPr>
                      </w:pPr>
                      <w:r w:rsidRPr="00197F7D">
                        <w:rPr>
                          <w:b/>
                          <w:bCs/>
                          <w:color w:val="B2292E"/>
                          <w:sz w:val="28"/>
                          <w:szCs w:val="28"/>
                        </w:rPr>
                        <w:t>QUESTIONS TO GUIDE TEAM REFLECTION</w:t>
                      </w:r>
                    </w:p>
                    <w:p w14:paraId="13E0BA32"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Do we have a staff wellbeing plan?</w:t>
                      </w:r>
                    </w:p>
                    <w:p w14:paraId="2F53D34D"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What resources do we offer to help staff build their sense of wellbeing?</w:t>
                      </w:r>
                    </w:p>
                    <w:p w14:paraId="3DDE0139"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What opportunities do we give staff to engage in collaborative relationships and ongoing professional learning?</w:t>
                      </w:r>
                    </w:p>
                    <w:p w14:paraId="08E1AFCB" w14:textId="77777777" w:rsidR="00E47658" w:rsidRPr="00E47658" w:rsidRDefault="00E47658" w:rsidP="00E47658">
                      <w:pPr>
                        <w:pStyle w:val="ListParagraph"/>
                        <w:numPr>
                          <w:ilvl w:val="0"/>
                          <w:numId w:val="5"/>
                        </w:numPr>
                        <w:ind w:left="426"/>
                        <w:rPr>
                          <w:rFonts w:asciiTheme="majorHAnsi" w:eastAsiaTheme="majorEastAsia" w:hAnsiTheme="majorHAnsi" w:cstheme="minorHAnsi"/>
                          <w:color w:val="000000" w:themeColor="text1"/>
                          <w:sz w:val="24"/>
                          <w:szCs w:val="24"/>
                        </w:rPr>
                      </w:pPr>
                      <w:r w:rsidRPr="00E47658">
                        <w:rPr>
                          <w:rFonts w:asciiTheme="majorHAnsi" w:eastAsiaTheme="majorEastAsia" w:hAnsiTheme="majorHAnsi" w:cstheme="minorHAnsi"/>
                          <w:color w:val="000000" w:themeColor="text1"/>
                          <w:sz w:val="24"/>
                          <w:szCs w:val="24"/>
                        </w:rPr>
                        <w:t>How do we support each other to seek help when we need it?</w:t>
                      </w:r>
                    </w:p>
                  </w:txbxContent>
                </v:textbox>
                <w10:wrap type="square"/>
              </v:shape>
            </w:pict>
          </mc:Fallback>
        </mc:AlternateContent>
      </w:r>
      <w:r w:rsidR="00A02519" w:rsidRPr="00F61780">
        <w:rPr>
          <w:rFonts w:ascii="Arial" w:hAnsi="Arial" w:cs="Arial"/>
          <w:color w:val="B1282E"/>
          <w:spacing w:val="-2"/>
          <w:sz w:val="28"/>
          <w:szCs w:val="28"/>
        </w:rPr>
        <w:t>‘Recognise the small and large achievements, celebrate small moments and successes that remind us of why we are working this sector.’</w:t>
      </w:r>
    </w:p>
    <w:p w14:paraId="5521A82E" w14:textId="77777777" w:rsidR="00A02519" w:rsidRPr="00F61780" w:rsidRDefault="00A02519" w:rsidP="00A02519">
      <w:pPr>
        <w:pStyle w:val="BasicParagraph"/>
        <w:spacing w:before="227" w:after="283" w:line="264" w:lineRule="auto"/>
        <w:ind w:left="284"/>
        <w:rPr>
          <w:rFonts w:ascii="Arial" w:hAnsi="Arial" w:cs="Arial"/>
          <w:color w:val="B1282E"/>
          <w:spacing w:val="-2"/>
          <w:sz w:val="28"/>
          <w:szCs w:val="28"/>
        </w:rPr>
      </w:pPr>
      <w:r w:rsidRPr="00F61780">
        <w:rPr>
          <w:rFonts w:ascii="Arial" w:hAnsi="Arial" w:cs="Arial"/>
          <w:color w:val="B1282E"/>
          <w:spacing w:val="-2"/>
          <w:sz w:val="28"/>
          <w:szCs w:val="28"/>
        </w:rPr>
        <w:t>‘Help teams make time to connect and collaborate; trusting your team and knowing you are there to support each other is important.’</w:t>
      </w:r>
    </w:p>
    <w:bookmarkEnd w:id="0"/>
    <w:p w14:paraId="073DD7B6" w14:textId="77777777" w:rsidR="00F61780" w:rsidRPr="00197F7D" w:rsidRDefault="00F61780" w:rsidP="00F61780">
      <w:pPr>
        <w:rPr>
          <w:rFonts w:cs="Times New Roman (Body CS)"/>
          <w:b/>
          <w:bCs/>
          <w:caps/>
          <w:color w:val="B2292E"/>
          <w:sz w:val="28"/>
          <w:szCs w:val="28"/>
          <w:lang w:val="en-GB"/>
        </w:rPr>
      </w:pPr>
      <w:r w:rsidRPr="00197F7D">
        <w:rPr>
          <w:rFonts w:cs="Times New Roman (Body CS)"/>
          <w:b/>
          <w:bCs/>
          <w:caps/>
          <w:color w:val="B2292E"/>
          <w:sz w:val="28"/>
          <w:szCs w:val="28"/>
          <w:lang w:val="en-GB"/>
        </w:rPr>
        <w:t>SUPPORTS AVAILABLE FOR SERVICES</w:t>
      </w:r>
    </w:p>
    <w:p w14:paraId="6A892347" w14:textId="77777777" w:rsidR="00F61780" w:rsidRPr="00A02519" w:rsidRDefault="00DE4294" w:rsidP="00F61780">
      <w:pPr>
        <w:rPr>
          <w:noProof/>
          <w:sz w:val="24"/>
          <w:lang w:val="en-GB"/>
        </w:rPr>
      </w:pPr>
      <w:hyperlink r:id="rId17" w:history="1">
        <w:r w:rsidR="00F61780" w:rsidRPr="00A02519">
          <w:rPr>
            <w:rStyle w:val="Hyperlink"/>
            <w:noProof/>
            <w:sz w:val="24"/>
            <w:lang w:val="en-GB"/>
          </w:rPr>
          <w:t>Be You</w:t>
        </w:r>
      </w:hyperlink>
      <w:r w:rsidR="00F61780" w:rsidRPr="00A02519">
        <w:rPr>
          <w:noProof/>
          <w:sz w:val="24"/>
          <w:lang w:val="en-GB"/>
        </w:rPr>
        <w:t xml:space="preserve"> provides free evidence-based resources, research, strategies and tips for educator wellbeing. To find out more visit the </w:t>
      </w:r>
      <w:hyperlink r:id="rId18" w:history="1">
        <w:r w:rsidR="00F61780" w:rsidRPr="00A02519">
          <w:rPr>
            <w:rStyle w:val="Hyperlink"/>
            <w:noProof/>
            <w:sz w:val="24"/>
            <w:lang w:val="en-GB"/>
          </w:rPr>
          <w:t>Be You website</w:t>
        </w:r>
      </w:hyperlink>
      <w:r w:rsidR="00F61780" w:rsidRPr="00A02519">
        <w:rPr>
          <w:noProof/>
          <w:sz w:val="24"/>
          <w:lang w:val="en-GB"/>
        </w:rPr>
        <w:t xml:space="preserve">. Services can access the free Be You program through the </w:t>
      </w:r>
      <w:hyperlink r:id="rId19" w:history="1">
        <w:r w:rsidR="00F61780" w:rsidRPr="00A02519">
          <w:rPr>
            <w:rStyle w:val="Hyperlink"/>
            <w:noProof/>
            <w:sz w:val="24"/>
            <w:lang w:val="en-GB"/>
          </w:rPr>
          <w:t>School Readiness Funding</w:t>
        </w:r>
      </w:hyperlink>
      <w:r w:rsidR="00F61780" w:rsidRPr="00A02519">
        <w:rPr>
          <w:noProof/>
          <w:sz w:val="24"/>
          <w:lang w:val="en-GB"/>
        </w:rPr>
        <w:t xml:space="preserve"> menu.</w:t>
      </w:r>
    </w:p>
    <w:p w14:paraId="2A1B438B" w14:textId="77777777" w:rsidR="00F61780" w:rsidRPr="00A02519" w:rsidRDefault="00F61780" w:rsidP="00F61780">
      <w:pPr>
        <w:rPr>
          <w:noProof/>
          <w:sz w:val="24"/>
          <w:lang w:val="en-GB"/>
        </w:rPr>
      </w:pPr>
      <w:r w:rsidRPr="00A02519">
        <w:rPr>
          <w:noProof/>
          <w:sz w:val="24"/>
          <w:lang w:val="en-GB"/>
        </w:rPr>
        <w:t>The Victorian Government has invested in a</w:t>
      </w:r>
      <w:r>
        <w:rPr>
          <w:noProof/>
          <w:sz w:val="24"/>
          <w:lang w:val="en-GB"/>
        </w:rPr>
        <w:t xml:space="preserve"> </w:t>
      </w:r>
      <w:r w:rsidRPr="00A02519">
        <w:rPr>
          <w:noProof/>
          <w:sz w:val="24"/>
          <w:lang w:val="en-GB"/>
        </w:rPr>
        <w:t>range of additional career and wellbeing supports for early childhood educators, including:</w:t>
      </w:r>
    </w:p>
    <w:p w14:paraId="72FB02C9" w14:textId="77777777" w:rsidR="00F61780" w:rsidRDefault="00F61780" w:rsidP="00F61780">
      <w:pPr>
        <w:pStyle w:val="ListParagraph"/>
        <w:numPr>
          <w:ilvl w:val="0"/>
          <w:numId w:val="2"/>
        </w:numPr>
        <w:ind w:left="360"/>
        <w:rPr>
          <w:sz w:val="24"/>
          <w:szCs w:val="24"/>
        </w:rPr>
      </w:pPr>
      <w:r w:rsidRPr="00A02519">
        <w:rPr>
          <w:sz w:val="24"/>
          <w:szCs w:val="24"/>
        </w:rPr>
        <w:t xml:space="preserve">the </w:t>
      </w:r>
      <w:r w:rsidRPr="00A02519">
        <w:rPr>
          <w:b/>
          <w:sz w:val="24"/>
          <w:szCs w:val="24"/>
        </w:rPr>
        <w:t>Early Childhood Wellbeing Support Program</w:t>
      </w:r>
      <w:r w:rsidRPr="00A02519">
        <w:rPr>
          <w:sz w:val="24"/>
          <w:szCs w:val="24"/>
        </w:rPr>
        <w:t>, which provides free confidential counselling for teachers and educators of funded kindergarten services employed under the Victorian Early Childhood Teachers and Educators Agreement (VECTEA) 2020</w:t>
      </w:r>
    </w:p>
    <w:p w14:paraId="22A6CA50" w14:textId="77777777" w:rsidR="00F61780" w:rsidRPr="00F61780" w:rsidRDefault="00DE4294" w:rsidP="00F61780">
      <w:pPr>
        <w:pStyle w:val="ListParagraph"/>
        <w:numPr>
          <w:ilvl w:val="0"/>
          <w:numId w:val="2"/>
        </w:numPr>
        <w:ind w:left="360"/>
        <w:rPr>
          <w:sz w:val="24"/>
          <w:szCs w:val="24"/>
        </w:rPr>
      </w:pPr>
      <w:hyperlink r:id="rId20" w:history="1">
        <w:r w:rsidR="00F61780" w:rsidRPr="00F61780">
          <w:rPr>
            <w:rStyle w:val="Hyperlink"/>
            <w:sz w:val="24"/>
            <w:szCs w:val="24"/>
          </w:rPr>
          <w:t>Wellbeing Webinars</w:t>
        </w:r>
      </w:hyperlink>
      <w:r w:rsidR="00F61780" w:rsidRPr="00F61780">
        <w:rPr>
          <w:sz w:val="24"/>
          <w:szCs w:val="24"/>
        </w:rPr>
        <w:t>, which are available to watch on-demand, accompanied by positive psychology resources</w:t>
      </w:r>
    </w:p>
    <w:p w14:paraId="73AC2B1D" w14:textId="77777777" w:rsidR="00F61780" w:rsidRPr="00AE3C23" w:rsidRDefault="00DE4294" w:rsidP="00F61780">
      <w:pPr>
        <w:pStyle w:val="ListParagraph"/>
        <w:numPr>
          <w:ilvl w:val="0"/>
          <w:numId w:val="2"/>
        </w:numPr>
        <w:ind w:left="360"/>
        <w:rPr>
          <w:sz w:val="24"/>
          <w:szCs w:val="24"/>
        </w:rPr>
      </w:pPr>
      <w:hyperlink r:id="rId21" w:history="1">
        <w:r w:rsidR="00F61780" w:rsidRPr="00AE3C23">
          <w:rPr>
            <w:rStyle w:val="Hyperlink"/>
            <w:sz w:val="24"/>
            <w:szCs w:val="24"/>
          </w:rPr>
          <w:t>Professional learning opportunities</w:t>
        </w:r>
      </w:hyperlink>
      <w:r w:rsidR="00F61780" w:rsidRPr="00AE3C23">
        <w:rPr>
          <w:sz w:val="24"/>
          <w:szCs w:val="24"/>
        </w:rPr>
        <w:t xml:space="preserve">, including the </w:t>
      </w:r>
      <w:hyperlink r:id="rId22" w:anchor="link44" w:history="1">
        <w:r w:rsidR="00F61780" w:rsidRPr="00AE3C23">
          <w:rPr>
            <w:rStyle w:val="Hyperlink"/>
            <w:sz w:val="24"/>
            <w:szCs w:val="24"/>
          </w:rPr>
          <w:t>Early Childhood Beginning Teacher Conferences</w:t>
        </w:r>
      </w:hyperlink>
      <w:r w:rsidR="00F61780" w:rsidRPr="00AE3C23">
        <w:rPr>
          <w:sz w:val="24"/>
          <w:szCs w:val="24"/>
        </w:rPr>
        <w:t>, which support early career teachers to develop their practice and create meaningful relationships with children, families, peers and other professionals.</w:t>
      </w:r>
    </w:p>
    <w:p w14:paraId="2EFEDF63" w14:textId="77777777" w:rsidR="00F61780" w:rsidRPr="00197F7D" w:rsidRDefault="00F61780" w:rsidP="00F61780">
      <w:pPr>
        <w:rPr>
          <w:rFonts w:cs="Times New Roman (Body CS)"/>
          <w:b/>
          <w:bCs/>
          <w:caps/>
          <w:color w:val="B2292E"/>
          <w:sz w:val="28"/>
          <w:szCs w:val="28"/>
          <w:lang w:val="en-GB"/>
        </w:rPr>
      </w:pPr>
      <w:r w:rsidRPr="00197F7D">
        <w:rPr>
          <w:rFonts w:cs="Times New Roman (Body CS)"/>
          <w:b/>
          <w:bCs/>
          <w:caps/>
          <w:color w:val="B2292E"/>
          <w:sz w:val="28"/>
          <w:szCs w:val="28"/>
          <w:lang w:val="en-GB"/>
        </w:rPr>
        <w:t xml:space="preserve">FURTHER INFORMATION </w:t>
      </w:r>
      <w:r w:rsidRPr="00197F7D">
        <w:rPr>
          <w:rFonts w:cs="Times New Roman (Body CS)"/>
          <w:b/>
          <w:bCs/>
          <w:caps/>
          <w:color w:val="B2292E"/>
          <w:sz w:val="28"/>
          <w:szCs w:val="28"/>
          <w:lang w:val="en-GB"/>
        </w:rPr>
        <w:br/>
        <w:t>AND SUPPORT</w:t>
      </w:r>
    </w:p>
    <w:p w14:paraId="02CCA984" w14:textId="77777777" w:rsidR="00F61780" w:rsidRPr="00AE3C23" w:rsidRDefault="00F61780" w:rsidP="00F61780">
      <w:pPr>
        <w:rPr>
          <w:noProof/>
          <w:sz w:val="24"/>
          <w:lang w:val="en-GB"/>
        </w:rPr>
      </w:pPr>
      <w:r w:rsidRPr="00AE3C23">
        <w:rPr>
          <w:noProof/>
          <w:sz w:val="24"/>
          <w:lang w:val="en-GB"/>
        </w:rPr>
        <w:t xml:space="preserve">To hear more about strategies that </w:t>
      </w:r>
      <w:r w:rsidRPr="00AE3C23">
        <w:rPr>
          <w:noProof/>
          <w:sz w:val="24"/>
          <w:lang w:val="en-GB"/>
        </w:rPr>
        <w:br/>
        <w:t xml:space="preserve">Victorian ECEC services are using to </w:t>
      </w:r>
      <w:r w:rsidRPr="00AE3C23">
        <w:rPr>
          <w:noProof/>
          <w:sz w:val="24"/>
          <w:lang w:val="en-GB"/>
        </w:rPr>
        <w:br/>
        <w:t xml:space="preserve">improve wellbeing and resilience, </w:t>
      </w:r>
      <w:r w:rsidRPr="00AE3C23">
        <w:rPr>
          <w:noProof/>
          <w:sz w:val="24"/>
          <w:lang w:val="en-GB"/>
        </w:rPr>
        <w:br/>
        <w:t xml:space="preserve">see </w:t>
      </w:r>
      <w:hyperlink r:id="rId23" w:history="1">
        <w:r w:rsidRPr="00F61780">
          <w:rPr>
            <w:rStyle w:val="Hyperlink"/>
            <w:noProof/>
            <w:sz w:val="24"/>
            <w:lang w:val="en-GB"/>
          </w:rPr>
          <w:t>Strategies to support resilience and wellbeing for teams and services</w:t>
        </w:r>
      </w:hyperlink>
      <w:r>
        <w:rPr>
          <w:noProof/>
          <w:sz w:val="24"/>
          <w:lang w:val="en-GB"/>
        </w:rPr>
        <w:t>.</w:t>
      </w:r>
    </w:p>
    <w:p w14:paraId="008FEA8C" w14:textId="77777777" w:rsidR="00F61780" w:rsidRPr="00AE3C23" w:rsidRDefault="00F61780" w:rsidP="00F61780">
      <w:pPr>
        <w:rPr>
          <w:noProof/>
          <w:sz w:val="24"/>
          <w:lang w:val="en-GB"/>
        </w:rPr>
      </w:pPr>
      <w:r w:rsidRPr="00AE3C23">
        <w:rPr>
          <w:noProof/>
          <w:sz w:val="24"/>
          <w:lang w:val="en-GB"/>
        </w:rPr>
        <w:t>Remember, there are a range of services and resources available to support your wellbeing:</w:t>
      </w:r>
    </w:p>
    <w:p w14:paraId="2C25BC2D" w14:textId="77777777" w:rsidR="00F61780" w:rsidRPr="000937B8" w:rsidRDefault="00F61780" w:rsidP="00F61780">
      <w:pPr>
        <w:pStyle w:val="ListParagraph"/>
        <w:numPr>
          <w:ilvl w:val="0"/>
          <w:numId w:val="2"/>
        </w:numPr>
        <w:ind w:left="360"/>
        <w:rPr>
          <w:sz w:val="24"/>
          <w:szCs w:val="24"/>
        </w:rPr>
      </w:pPr>
      <w:r w:rsidRPr="000937B8">
        <w:rPr>
          <w:sz w:val="24"/>
          <w:szCs w:val="24"/>
        </w:rPr>
        <w:t>Call the Beyond Blue Support Service on 1300 22 4636</w:t>
      </w:r>
    </w:p>
    <w:p w14:paraId="3EB0E77A" w14:textId="77777777" w:rsidR="00F61780" w:rsidRPr="000937B8" w:rsidRDefault="00F61780" w:rsidP="00F61780">
      <w:pPr>
        <w:pStyle w:val="ListParagraph"/>
        <w:numPr>
          <w:ilvl w:val="0"/>
          <w:numId w:val="2"/>
        </w:numPr>
        <w:ind w:left="360"/>
        <w:rPr>
          <w:sz w:val="24"/>
          <w:szCs w:val="24"/>
        </w:rPr>
      </w:pPr>
      <w:r w:rsidRPr="000937B8">
        <w:rPr>
          <w:sz w:val="24"/>
          <w:szCs w:val="24"/>
        </w:rPr>
        <w:t xml:space="preserve">Explore </w:t>
      </w:r>
      <w:hyperlink r:id="rId24" w:history="1">
        <w:r w:rsidRPr="00F61780">
          <w:rPr>
            <w:rStyle w:val="Hyperlink"/>
            <w:sz w:val="24"/>
            <w:szCs w:val="24"/>
          </w:rPr>
          <w:t>Be You</w:t>
        </w:r>
      </w:hyperlink>
    </w:p>
    <w:p w14:paraId="23AD17EA" w14:textId="77777777" w:rsidR="00F61780" w:rsidRPr="000937B8" w:rsidRDefault="00F61780" w:rsidP="00F61780">
      <w:pPr>
        <w:pStyle w:val="ListParagraph"/>
        <w:numPr>
          <w:ilvl w:val="0"/>
          <w:numId w:val="2"/>
        </w:numPr>
        <w:ind w:left="360"/>
        <w:rPr>
          <w:sz w:val="24"/>
          <w:szCs w:val="24"/>
        </w:rPr>
      </w:pPr>
      <w:r w:rsidRPr="000937B8">
        <w:rPr>
          <w:sz w:val="24"/>
          <w:szCs w:val="24"/>
        </w:rPr>
        <w:t>Access your Employee Assistance Program (EAP), if available</w:t>
      </w:r>
    </w:p>
    <w:p w14:paraId="427B2D0C" w14:textId="77777777" w:rsidR="00F61780" w:rsidRPr="000937B8" w:rsidRDefault="00F61780" w:rsidP="00F61780">
      <w:pPr>
        <w:pStyle w:val="ListParagraph"/>
        <w:numPr>
          <w:ilvl w:val="0"/>
          <w:numId w:val="2"/>
        </w:numPr>
        <w:ind w:left="360"/>
        <w:rPr>
          <w:sz w:val="24"/>
          <w:szCs w:val="24"/>
        </w:rPr>
      </w:pPr>
      <w:r w:rsidRPr="000937B8">
        <w:rPr>
          <w:sz w:val="24"/>
          <w:szCs w:val="24"/>
        </w:rPr>
        <w:t>Speak with your General Practitioner (GP)</w:t>
      </w:r>
    </w:p>
    <w:p w14:paraId="0A7BF250" w14:textId="77777777" w:rsidR="00F61780" w:rsidRPr="000937B8" w:rsidRDefault="00F61780" w:rsidP="00F61780">
      <w:pPr>
        <w:pStyle w:val="ListParagraph"/>
        <w:numPr>
          <w:ilvl w:val="0"/>
          <w:numId w:val="2"/>
        </w:numPr>
        <w:ind w:left="360"/>
        <w:rPr>
          <w:sz w:val="24"/>
          <w:szCs w:val="24"/>
        </w:rPr>
      </w:pPr>
      <w:r w:rsidRPr="000937B8">
        <w:rPr>
          <w:sz w:val="24"/>
          <w:szCs w:val="24"/>
        </w:rPr>
        <w:t xml:space="preserve">Visit the Department’s </w:t>
      </w:r>
      <w:hyperlink r:id="rId25" w:history="1">
        <w:r w:rsidRPr="00F61780">
          <w:rPr>
            <w:rStyle w:val="Hyperlink"/>
            <w:sz w:val="24"/>
            <w:szCs w:val="24"/>
          </w:rPr>
          <w:t>Supporting early childhood educator mental health and wellbeing</w:t>
        </w:r>
      </w:hyperlink>
      <w:r w:rsidRPr="000937B8">
        <w:rPr>
          <w:sz w:val="24"/>
          <w:szCs w:val="24"/>
        </w:rPr>
        <w:t xml:space="preserve"> webpage.</w:t>
      </w:r>
    </w:p>
    <w:p w14:paraId="500BAF71" w14:textId="0F99E1F1" w:rsidR="00F61780" w:rsidRPr="00AE3C23" w:rsidRDefault="00F61780" w:rsidP="005F687B">
      <w:pPr>
        <w:rPr>
          <w:noProof/>
          <w:sz w:val="24"/>
          <w:lang w:val="en-GB"/>
        </w:rPr>
        <w:sectPr w:rsidR="00F61780" w:rsidRPr="00AE3C23" w:rsidSect="00F61780">
          <w:type w:val="continuous"/>
          <w:pgSz w:w="11900" w:h="16840"/>
          <w:pgMar w:top="1588" w:right="851" w:bottom="1418" w:left="851" w:header="709" w:footer="709" w:gutter="0"/>
          <w:cols w:num="2" w:space="708"/>
          <w:docGrid w:linePitch="360"/>
        </w:sectPr>
      </w:pPr>
      <w:r w:rsidRPr="00AE3C23">
        <w:rPr>
          <w:noProof/>
          <w:sz w:val="24"/>
          <w:lang w:val="en-GB"/>
        </w:rPr>
        <w:t>If you need an interpreter to help you speak with any of these services, you can call the Translating and Interpreting Ser</w:t>
      </w:r>
      <w:r>
        <w:rPr>
          <w:noProof/>
          <w:sz w:val="24"/>
          <w:lang w:val="en-GB"/>
        </w:rPr>
        <w:t xml:space="preserve">vice </w:t>
      </w:r>
      <w:r>
        <w:rPr>
          <w:noProof/>
          <w:sz w:val="24"/>
          <w:lang w:val="en-GB"/>
        </w:rPr>
        <w:br/>
        <w:t>(TIS National) on 13 14 5</w:t>
      </w:r>
      <w:r w:rsidR="00F51397">
        <w:rPr>
          <w:noProof/>
          <w:sz w:val="24"/>
          <w:lang w:val="en-GB"/>
        </w:rPr>
        <w:t>0.</w:t>
      </w:r>
    </w:p>
    <w:p w14:paraId="6DBC2CB8" w14:textId="77777777" w:rsidR="003240C7" w:rsidRPr="00F61780" w:rsidRDefault="003240C7" w:rsidP="005F687B">
      <w:pPr>
        <w:rPr>
          <w:lang w:val="en-GB"/>
        </w:rPr>
      </w:pPr>
    </w:p>
    <w:sectPr w:rsidR="003240C7" w:rsidRPr="00F61780" w:rsidSect="003240C7">
      <w:type w:val="continuous"/>
      <w:pgSz w:w="11900" w:h="16840"/>
      <w:pgMar w:top="170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2987" w14:textId="77777777" w:rsidR="00777BA4" w:rsidRDefault="00777BA4" w:rsidP="00FE252C">
      <w:pPr>
        <w:spacing w:after="0" w:line="240" w:lineRule="auto"/>
      </w:pPr>
      <w:r>
        <w:separator/>
      </w:r>
    </w:p>
  </w:endnote>
  <w:endnote w:type="continuationSeparator" w:id="0">
    <w:p w14:paraId="3E1B14B5" w14:textId="77777777" w:rsidR="00777BA4" w:rsidRDefault="00777BA4" w:rsidP="00FE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78DD" w14:textId="77777777" w:rsidR="00777BA4" w:rsidRDefault="00777BA4" w:rsidP="00FE252C">
      <w:pPr>
        <w:spacing w:after="0" w:line="240" w:lineRule="auto"/>
      </w:pPr>
      <w:r>
        <w:separator/>
      </w:r>
    </w:p>
  </w:footnote>
  <w:footnote w:type="continuationSeparator" w:id="0">
    <w:p w14:paraId="6485B762" w14:textId="77777777" w:rsidR="00777BA4" w:rsidRDefault="00777BA4" w:rsidP="00FE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BD3A" w14:textId="77777777" w:rsidR="00FE252C" w:rsidRDefault="00DE4294">
    <w:pPr>
      <w:pStyle w:val="Header"/>
    </w:pPr>
    <w:r>
      <w:rPr>
        <w:noProof/>
      </w:rPr>
      <w:pict w14:anchorId="04DFA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5" o:spid="_x0000_s2051" type="#_x0000_t75" alt="/Users/christopherjones/Documents/Chris's ECA Design Work/VDET/Wellbeing-fact-sheets-December 2021/VDET files/Tip Sheet/01_Background-images/ECA-VDET-Tip-Sheet-flip-01.jpg" style="position:absolute;margin-left:0;margin-top:0;width:449.05pt;height:635.1pt;z-index:-251653120;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E0EB" w14:textId="77777777" w:rsidR="00FE252C" w:rsidRDefault="00DE4294">
    <w:pPr>
      <w:pStyle w:val="Header"/>
    </w:pPr>
    <w:r>
      <w:rPr>
        <w:noProof/>
      </w:rPr>
      <w:pict w14:anchorId="1CF5B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6" o:spid="_x0000_s2050" type="#_x0000_t75" alt="ECA-VDET-Tip-Sheet-flip-01" style="position:absolute;margin-left:0;margin-top:0;width:598.65pt;height:846.7pt;z-index:-251650048;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712" w14:textId="77777777" w:rsidR="00FE252C" w:rsidRDefault="00DE4294">
    <w:pPr>
      <w:pStyle w:val="Header"/>
    </w:pPr>
    <w:r>
      <w:rPr>
        <w:noProof/>
      </w:rPr>
      <w:pict w14:anchorId="5ACC3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4" o:spid="_x0000_s2049" type="#_x0000_t75" alt="/Users/christopherjones/Documents/Chris's ECA Design Work/VDET/Wellbeing-fact-sheets-December 2021/VDET files/Tip Sheet/01_Background-images/ECA-VDET-Tip-Sheet-flip-01.jpg" style="position:absolute;margin-left:0;margin-top:0;width:449.05pt;height:635.1pt;z-index:-251656192;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7F9"/>
    <w:multiLevelType w:val="hybridMultilevel"/>
    <w:tmpl w:val="F418D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455D"/>
    <w:multiLevelType w:val="hybridMultilevel"/>
    <w:tmpl w:val="88386A8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23EAC"/>
    <w:multiLevelType w:val="hybridMultilevel"/>
    <w:tmpl w:val="E6387558"/>
    <w:lvl w:ilvl="0" w:tplc="A9803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A3855"/>
    <w:multiLevelType w:val="hybridMultilevel"/>
    <w:tmpl w:val="9174983A"/>
    <w:lvl w:ilvl="0" w:tplc="0C09000D">
      <w:start w:val="1"/>
      <w:numFmt w:val="bullet"/>
      <w:lvlText w:val=""/>
      <w:lvlJc w:val="left"/>
      <w:pPr>
        <w:ind w:left="719" w:hanging="435"/>
      </w:pPr>
      <w:rPr>
        <w:rFonts w:ascii="Wingdings" w:hAnsi="Wingding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EDC46C1"/>
    <w:multiLevelType w:val="hybridMultilevel"/>
    <w:tmpl w:val="1D34A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1AB32B0"/>
    <w:multiLevelType w:val="hybridMultilevel"/>
    <w:tmpl w:val="D6B473D4"/>
    <w:lvl w:ilvl="0" w:tplc="43F8D50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5652999"/>
    <w:multiLevelType w:val="hybridMultilevel"/>
    <w:tmpl w:val="F532384C"/>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72FB5D9F"/>
    <w:multiLevelType w:val="hybridMultilevel"/>
    <w:tmpl w:val="F408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4133A1"/>
    <w:multiLevelType w:val="hybridMultilevel"/>
    <w:tmpl w:val="D55E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2C"/>
    <w:rsid w:val="00025453"/>
    <w:rsid w:val="00037845"/>
    <w:rsid w:val="000937B8"/>
    <w:rsid w:val="0017424E"/>
    <w:rsid w:val="00197F7D"/>
    <w:rsid w:val="001B0A50"/>
    <w:rsid w:val="00247E97"/>
    <w:rsid w:val="00292BDE"/>
    <w:rsid w:val="002E7F39"/>
    <w:rsid w:val="003240C7"/>
    <w:rsid w:val="004637FE"/>
    <w:rsid w:val="004A7C8A"/>
    <w:rsid w:val="004E76F2"/>
    <w:rsid w:val="005454DE"/>
    <w:rsid w:val="005F26F6"/>
    <w:rsid w:val="005F687B"/>
    <w:rsid w:val="00627B8D"/>
    <w:rsid w:val="00654F21"/>
    <w:rsid w:val="00777BA4"/>
    <w:rsid w:val="00951792"/>
    <w:rsid w:val="00992267"/>
    <w:rsid w:val="009A3AFD"/>
    <w:rsid w:val="00A02519"/>
    <w:rsid w:val="00AE3C23"/>
    <w:rsid w:val="00B5768E"/>
    <w:rsid w:val="00BE584B"/>
    <w:rsid w:val="00D17A96"/>
    <w:rsid w:val="00D37DCD"/>
    <w:rsid w:val="00D43E2C"/>
    <w:rsid w:val="00D601CE"/>
    <w:rsid w:val="00D70966"/>
    <w:rsid w:val="00DE4294"/>
    <w:rsid w:val="00E213FC"/>
    <w:rsid w:val="00E47658"/>
    <w:rsid w:val="00F4568F"/>
    <w:rsid w:val="00F51397"/>
    <w:rsid w:val="00F61780"/>
    <w:rsid w:val="00FE25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12707E"/>
  <w15:chartTrackingRefBased/>
  <w15:docId w15:val="{7400220E-6FDE-F042-962A-401F45B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2C"/>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FE2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0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52C"/>
    <w:pPr>
      <w:tabs>
        <w:tab w:val="center" w:pos="4680"/>
        <w:tab w:val="right" w:pos="9360"/>
      </w:tabs>
    </w:pPr>
  </w:style>
  <w:style w:type="character" w:customStyle="1" w:styleId="HeaderChar">
    <w:name w:val="Header Char"/>
    <w:basedOn w:val="DefaultParagraphFont"/>
    <w:link w:val="Header"/>
    <w:uiPriority w:val="99"/>
    <w:rsid w:val="00FE252C"/>
  </w:style>
  <w:style w:type="paragraph" w:styleId="Footer">
    <w:name w:val="footer"/>
    <w:basedOn w:val="Normal"/>
    <w:link w:val="FooterChar"/>
    <w:uiPriority w:val="99"/>
    <w:unhideWhenUsed/>
    <w:rsid w:val="00FE252C"/>
    <w:pPr>
      <w:tabs>
        <w:tab w:val="center" w:pos="4680"/>
        <w:tab w:val="right" w:pos="9360"/>
      </w:tabs>
    </w:pPr>
  </w:style>
  <w:style w:type="character" w:customStyle="1" w:styleId="FooterChar">
    <w:name w:val="Footer Char"/>
    <w:basedOn w:val="DefaultParagraphFont"/>
    <w:link w:val="Footer"/>
    <w:uiPriority w:val="99"/>
    <w:rsid w:val="00FE252C"/>
  </w:style>
  <w:style w:type="character" w:customStyle="1" w:styleId="Heading1Char">
    <w:name w:val="Heading 1 Char"/>
    <w:basedOn w:val="DefaultParagraphFont"/>
    <w:link w:val="Heading1"/>
    <w:uiPriority w:val="9"/>
    <w:rsid w:val="00FE252C"/>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FE252C"/>
    <w:rPr>
      <w:color w:val="0563C1" w:themeColor="hyperlink"/>
      <w:u w:val="single"/>
    </w:rPr>
  </w:style>
  <w:style w:type="character" w:customStyle="1" w:styleId="Heading2Char">
    <w:name w:val="Heading 2 Char"/>
    <w:basedOn w:val="DefaultParagraphFont"/>
    <w:link w:val="Heading2"/>
    <w:uiPriority w:val="9"/>
    <w:rsid w:val="003240C7"/>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3240C7"/>
    <w:pPr>
      <w:ind w:left="720"/>
      <w:contextualSpacing/>
    </w:pPr>
  </w:style>
  <w:style w:type="paragraph" w:styleId="EndnoteText">
    <w:name w:val="endnote text"/>
    <w:basedOn w:val="Normal"/>
    <w:link w:val="EndnoteTextChar"/>
    <w:uiPriority w:val="99"/>
    <w:semiHidden/>
    <w:unhideWhenUsed/>
    <w:rsid w:val="00324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40C7"/>
    <w:rPr>
      <w:rFonts w:eastAsiaTheme="minorHAnsi"/>
      <w:sz w:val="20"/>
      <w:szCs w:val="20"/>
      <w:lang w:eastAsia="en-US"/>
    </w:rPr>
  </w:style>
  <w:style w:type="character" w:styleId="EndnoteReference">
    <w:name w:val="endnote reference"/>
    <w:basedOn w:val="DefaultParagraphFont"/>
    <w:uiPriority w:val="99"/>
    <w:semiHidden/>
    <w:unhideWhenUsed/>
    <w:rsid w:val="003240C7"/>
    <w:rPr>
      <w:vertAlign w:val="superscript"/>
    </w:rPr>
  </w:style>
  <w:style w:type="character" w:styleId="Emphasis">
    <w:name w:val="Emphasis"/>
    <w:basedOn w:val="DefaultParagraphFont"/>
    <w:uiPriority w:val="20"/>
    <w:qFormat/>
    <w:rsid w:val="003240C7"/>
    <w:rPr>
      <w:i/>
      <w:iCs/>
    </w:rPr>
  </w:style>
  <w:style w:type="character" w:styleId="CommentReference">
    <w:name w:val="annotation reference"/>
    <w:basedOn w:val="DefaultParagraphFont"/>
    <w:uiPriority w:val="99"/>
    <w:semiHidden/>
    <w:unhideWhenUsed/>
    <w:rsid w:val="003240C7"/>
    <w:rPr>
      <w:sz w:val="16"/>
      <w:szCs w:val="16"/>
    </w:rPr>
  </w:style>
  <w:style w:type="paragraph" w:styleId="CommentText">
    <w:name w:val="annotation text"/>
    <w:basedOn w:val="Normal"/>
    <w:link w:val="CommentTextChar"/>
    <w:uiPriority w:val="99"/>
    <w:semiHidden/>
    <w:unhideWhenUsed/>
    <w:rsid w:val="003240C7"/>
    <w:pPr>
      <w:spacing w:line="240" w:lineRule="auto"/>
    </w:pPr>
    <w:rPr>
      <w:sz w:val="20"/>
      <w:szCs w:val="20"/>
    </w:rPr>
  </w:style>
  <w:style w:type="character" w:customStyle="1" w:styleId="CommentTextChar">
    <w:name w:val="Comment Text Char"/>
    <w:basedOn w:val="DefaultParagraphFont"/>
    <w:link w:val="CommentText"/>
    <w:uiPriority w:val="99"/>
    <w:semiHidden/>
    <w:rsid w:val="003240C7"/>
    <w:rPr>
      <w:rFonts w:eastAsiaTheme="minorHAnsi"/>
      <w:sz w:val="20"/>
      <w:szCs w:val="20"/>
      <w:lang w:eastAsia="en-US"/>
    </w:rPr>
  </w:style>
  <w:style w:type="paragraph" w:styleId="BalloonText">
    <w:name w:val="Balloon Text"/>
    <w:basedOn w:val="Normal"/>
    <w:link w:val="BalloonTextChar"/>
    <w:uiPriority w:val="99"/>
    <w:semiHidden/>
    <w:unhideWhenUsed/>
    <w:rsid w:val="003240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0C7"/>
    <w:rPr>
      <w:rFonts w:ascii="Times New Roman" w:eastAsiaTheme="minorHAnsi" w:hAnsi="Times New Roman" w:cs="Times New Roman"/>
      <w:sz w:val="18"/>
      <w:szCs w:val="18"/>
      <w:lang w:eastAsia="en-US"/>
    </w:rPr>
  </w:style>
  <w:style w:type="character" w:styleId="UnresolvedMention">
    <w:name w:val="Unresolved Mention"/>
    <w:basedOn w:val="DefaultParagraphFont"/>
    <w:uiPriority w:val="99"/>
    <w:semiHidden/>
    <w:unhideWhenUsed/>
    <w:rsid w:val="00D37DCD"/>
    <w:rPr>
      <w:color w:val="605E5C"/>
      <w:shd w:val="clear" w:color="auto" w:fill="E1DFDD"/>
    </w:rPr>
  </w:style>
  <w:style w:type="character" w:styleId="FollowedHyperlink">
    <w:name w:val="FollowedHyperlink"/>
    <w:basedOn w:val="DefaultParagraphFont"/>
    <w:uiPriority w:val="99"/>
    <w:semiHidden/>
    <w:unhideWhenUsed/>
    <w:rsid w:val="00992267"/>
    <w:rPr>
      <w:color w:val="954F72" w:themeColor="followedHyperlink"/>
      <w:u w:val="single"/>
    </w:rPr>
  </w:style>
  <w:style w:type="paragraph" w:customStyle="1" w:styleId="BasicParagraph">
    <w:name w:val="[Basic Paragraph]"/>
    <w:basedOn w:val="Normal"/>
    <w:uiPriority w:val="99"/>
    <w:rsid w:val="00247E97"/>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eyou.edu.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vic.gov.au/childhood/professionals/profdev/Pages/professional-teaching-standards.aspx" TargetMode="External"/><Relationship Id="rId7" Type="http://schemas.openxmlformats.org/officeDocument/2006/relationships/styles" Target="styles.xml"/><Relationship Id="rId12" Type="http://schemas.openxmlformats.org/officeDocument/2006/relationships/hyperlink" Target="http://www.coronavirus.vic.gov.au/mental-health-and-wellbeing" TargetMode="External"/><Relationship Id="rId17" Type="http://schemas.openxmlformats.org/officeDocument/2006/relationships/hyperlink" Target="https://beyou.edu.au/" TargetMode="External"/><Relationship Id="rId25" Type="http://schemas.openxmlformats.org/officeDocument/2006/relationships/hyperlink" Target="https://www.coronavirus.vic.gov.au/mental-health-and-wellbeing" TargetMode="External"/><Relationship Id="rId2" Type="http://schemas.openxmlformats.org/officeDocument/2006/relationships/customXml" Target="../customXml/item2.xml"/><Relationship Id="rId16" Type="http://schemas.openxmlformats.org/officeDocument/2006/relationships/hyperlink" Target="ttps://beyou.edu.au/" TargetMode="External"/><Relationship Id="rId20" Type="http://schemas.openxmlformats.org/officeDocument/2006/relationships/hyperlink" Target="https://www.coronavirus.vic.gov.au/mental-health-and-wellbeing" TargetMode="External"/><Relationship Id="rId24" Type="http://schemas.openxmlformats.org/officeDocument/2006/relationships/hyperlink" Target="https://beyou.edu.au/"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vimeo.com/656852785" TargetMode="External"/><Relationship Id="rId10" Type="http://schemas.openxmlformats.org/officeDocument/2006/relationships/footnotes" Target="footnotes.xml"/><Relationship Id="rId19" Type="http://schemas.openxmlformats.org/officeDocument/2006/relationships/hyperlink" Target="https://www.education.vic.gov.au/childhood/providers/funding/Pages/srf.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ducation.vic.gov.au/childhood/Pages/early-childhood-teacher-career-supports.aspx?Redirect=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Resilience and Wellbeing: What works for you? Research findings and resources</DEECD_Keywords>
    <PublishingExpirationDate xmlns="http://schemas.microsoft.com/sharepoint/v3" xsi:nil="true"/>
    <DEECD_Description xmlns="http://schemas.microsoft.com/sharepoint/v3">Resilience and Wellbeing: What works for you? Research findings and resources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44120-BC59-49FD-87D2-49E737B05CAA}">
  <ds:schemaRefs>
    <ds:schemaRef ds:uri="http://schemas.microsoft.com/sharepoint/events"/>
  </ds:schemaRefs>
</ds:datastoreItem>
</file>

<file path=customXml/itemProps2.xml><?xml version="1.0" encoding="utf-8"?>
<ds:datastoreItem xmlns:ds="http://schemas.openxmlformats.org/officeDocument/2006/customXml" ds:itemID="{6A49FF87-3BAD-4F79-9C10-647F8C5CD948}"/>
</file>

<file path=customXml/itemProps3.xml><?xml version="1.0" encoding="utf-8"?>
<ds:datastoreItem xmlns:ds="http://schemas.openxmlformats.org/officeDocument/2006/customXml" ds:itemID="{75017503-76DB-4BE1-8BA3-9F1CD5A72C57}">
  <ds:schemaRefs>
    <ds:schemaRef ds:uri="http://schemas.microsoft.com/Sharepoint/v3"/>
    <ds:schemaRef ds:uri="e01d6667-5dab-46d8-890f-ac4900f3aeed"/>
    <ds:schemaRef ds:uri="http://www.w3.org/XML/1998/namespace"/>
    <ds:schemaRef ds:uri="http://schemas.openxmlformats.org/package/2006/metadata/core-properties"/>
    <ds:schemaRef ds:uri="http://purl.org/dc/elements/1.1/"/>
    <ds:schemaRef ds:uri="2cb12009-40d9-454b-bd16-8fe8fc19de2f"/>
    <ds:schemaRef ds:uri="http://schemas.microsoft.com/office/infopath/2007/PartnerControls"/>
    <ds:schemaRef ds:uri="http://schemas.microsoft.com/office/2006/documentManagement/types"/>
    <ds:schemaRef ds:uri="http://purl.org/dc/dcmitype/"/>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9CACF01-0687-B84E-8A5F-240CC304C9F3}">
  <ds:schemaRefs>
    <ds:schemaRef ds:uri="http://schemas.openxmlformats.org/officeDocument/2006/bibliography"/>
  </ds:schemaRefs>
</ds:datastoreItem>
</file>

<file path=customXml/itemProps5.xml><?xml version="1.0" encoding="utf-8"?>
<ds:datastoreItem xmlns:ds="http://schemas.openxmlformats.org/officeDocument/2006/customXml" ds:itemID="{FFCDEF0E-1D6C-4D44-864C-5414E6166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745</Words>
  <Characters>4381</Characters>
  <Application>Microsoft Office Word</Application>
  <DocSecurity>0</DocSecurity>
  <Lines>151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Jardine</cp:lastModifiedBy>
  <cp:revision>17</cp:revision>
  <dcterms:created xsi:type="dcterms:W3CDTF">2021-12-16T12:53:00Z</dcterms:created>
  <dcterms:modified xsi:type="dcterms:W3CDTF">2021-12-20T04:35:00Z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{e01d6667-5dab-46d8-890f-ac4900f3aeed}</vt:lpwstr>
  </property>
  <property fmtid="{D5CDD505-2E9C-101B-9397-08002B2CF9AE}" pid="8" name="RecordPoint_ActiveItemUniqueId">
    <vt:lpwstr>{2e974208-9288-48b0-b0c6-5c50f0717fa7}</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R20212027578</vt:lpwstr>
  </property>
  <property fmtid="{D5CDD505-2E9C-101B-9397-08002B2CF9AE}" pid="12" name="RecordPoint_SubmissionCompleted">
    <vt:lpwstr>2021-12-25T01:43:48.0341170+11:00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RoutingRuleDescription">
    <vt:lpwstr>Resilience and Wellbeing: What works for you? Research findings and resources</vt:lpwstr>
  </property>
</Properties>
</file>