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D569" w14:textId="77777777" w:rsidR="00FE252C" w:rsidRPr="003240C7" w:rsidRDefault="00FE252C" w:rsidP="00FE252C">
      <w:pPr>
        <w:pStyle w:val="Heading1"/>
        <w:spacing w:before="0" w:after="240"/>
        <w:rPr>
          <w:rFonts w:ascii="Arial" w:hAnsi="Arial" w:cs="Arial"/>
          <w:b/>
          <w:bCs/>
          <w:color w:val="233775"/>
          <w:sz w:val="48"/>
          <w:szCs w:val="48"/>
        </w:rPr>
      </w:pPr>
      <w:r w:rsidRPr="003240C7">
        <w:rPr>
          <w:rFonts w:ascii="Arial" w:hAnsi="Arial" w:cs="Arial"/>
          <w:b/>
          <w:bCs/>
          <w:color w:val="233775"/>
          <w:sz w:val="48"/>
          <w:szCs w:val="48"/>
        </w:rPr>
        <w:t xml:space="preserve">Resilience and Wellbeing: </w:t>
      </w:r>
      <w:r w:rsidRPr="003240C7">
        <w:rPr>
          <w:rFonts w:ascii="Arial" w:hAnsi="Arial" w:cs="Arial"/>
          <w:b/>
          <w:bCs/>
          <w:color w:val="233775"/>
          <w:sz w:val="48"/>
          <w:szCs w:val="48"/>
        </w:rPr>
        <w:br/>
        <w:t>What works for you?</w:t>
      </w:r>
    </w:p>
    <w:p w14:paraId="26DB06A5" w14:textId="75891058" w:rsidR="00FE252C" w:rsidRPr="003240C7" w:rsidRDefault="00FE252C" w:rsidP="00FE252C">
      <w:pPr>
        <w:pStyle w:val="Heading1"/>
        <w:spacing w:before="0" w:after="240"/>
        <w:rPr>
          <w:rFonts w:ascii="Arial" w:eastAsiaTheme="minorHAnsi" w:hAnsi="Arial" w:cs="Arial"/>
          <w:b/>
          <w:bCs/>
          <w:color w:val="1275BB"/>
          <w:sz w:val="36"/>
          <w:szCs w:val="36"/>
        </w:rPr>
      </w:pPr>
      <w:r w:rsidRPr="003240C7">
        <w:rPr>
          <w:rFonts w:ascii="Arial" w:hAnsi="Arial" w:cs="Arial"/>
          <w:b/>
          <w:bCs/>
          <w:color w:val="1275BB"/>
          <w:sz w:val="36"/>
          <w:szCs w:val="36"/>
        </w:rPr>
        <w:t>Research Findings</w:t>
      </w:r>
    </w:p>
    <w:p w14:paraId="3B9AB831" w14:textId="200C3799" w:rsidR="00FE252C" w:rsidRPr="00992267" w:rsidRDefault="00FE252C" w:rsidP="00FE252C">
      <w:pPr>
        <w:rPr>
          <w:rFonts w:ascii="Arial" w:hAnsi="Arial" w:cs="Arial"/>
          <w:sz w:val="23"/>
          <w:szCs w:val="23"/>
          <w:lang w:val="en-GB"/>
        </w:rPr>
      </w:pPr>
      <w:r w:rsidRPr="00992267">
        <w:rPr>
          <w:rFonts w:ascii="Arial" w:hAnsi="Arial" w:cs="Arial"/>
          <w:i/>
          <w:iCs/>
          <w:sz w:val="23"/>
          <w:szCs w:val="23"/>
        </w:rPr>
        <w:t xml:space="preserve">This fact sheet is designed to be used with the associated video, </w:t>
      </w:r>
      <w:r w:rsidR="003240C7" w:rsidRPr="00992267">
        <w:rPr>
          <w:rFonts w:ascii="Arial" w:hAnsi="Arial" w:cs="Arial"/>
          <w:i/>
          <w:iCs/>
          <w:sz w:val="23"/>
          <w:szCs w:val="23"/>
        </w:rPr>
        <w:br/>
      </w:r>
      <w:r w:rsidR="000D17F7">
        <w:rPr>
          <w:rFonts w:ascii="Arial" w:hAnsi="Arial" w:cs="Arial"/>
          <w:i/>
          <w:iCs/>
          <w:sz w:val="23"/>
          <w:szCs w:val="23"/>
        </w:rPr>
        <w:t>‘</w:t>
      </w:r>
      <w:r w:rsidRPr="000338A2">
        <w:rPr>
          <w:rFonts w:ascii="Arial" w:hAnsi="Arial" w:cs="Arial"/>
          <w:i/>
          <w:iCs/>
          <w:sz w:val="23"/>
          <w:szCs w:val="23"/>
        </w:rPr>
        <w:t>Introduction to the researc</w:t>
      </w:r>
      <w:r w:rsidR="00D37DCD" w:rsidRPr="000338A2">
        <w:rPr>
          <w:rFonts w:ascii="Arial" w:hAnsi="Arial" w:cs="Arial"/>
          <w:i/>
          <w:iCs/>
          <w:sz w:val="23"/>
          <w:szCs w:val="23"/>
        </w:rPr>
        <w:t>h study and key survey findings</w:t>
      </w:r>
      <w:r w:rsidR="000D17F7">
        <w:rPr>
          <w:rFonts w:ascii="Arial" w:hAnsi="Arial" w:cs="Arial"/>
          <w:i/>
          <w:iCs/>
          <w:sz w:val="23"/>
          <w:szCs w:val="23"/>
        </w:rPr>
        <w:t>’</w:t>
      </w:r>
      <w:r w:rsidRPr="00992267">
        <w:rPr>
          <w:rFonts w:ascii="Arial" w:hAnsi="Arial" w:cs="Arial"/>
          <w:i/>
          <w:iCs/>
          <w:sz w:val="23"/>
          <w:szCs w:val="23"/>
        </w:rPr>
        <w:t xml:space="preserve">, which can </w:t>
      </w:r>
      <w:r w:rsidR="00992267">
        <w:rPr>
          <w:rFonts w:ascii="Arial" w:hAnsi="Arial" w:cs="Arial"/>
          <w:i/>
          <w:iCs/>
          <w:sz w:val="23"/>
          <w:szCs w:val="23"/>
        </w:rPr>
        <w:br/>
      </w:r>
      <w:r w:rsidRPr="00992267">
        <w:rPr>
          <w:rFonts w:ascii="Arial" w:hAnsi="Arial" w:cs="Arial"/>
          <w:i/>
          <w:iCs/>
          <w:sz w:val="23"/>
          <w:szCs w:val="23"/>
        </w:rPr>
        <w:t xml:space="preserve">be accessed at: </w:t>
      </w:r>
      <w:hyperlink r:id="rId12" w:history="1">
        <w:r w:rsidR="00992267" w:rsidRPr="00992267">
          <w:rPr>
            <w:rStyle w:val="Hyperlink"/>
            <w:rFonts w:ascii="Arial" w:hAnsi="Arial" w:cs="Arial"/>
            <w:i/>
            <w:iCs/>
            <w:sz w:val="23"/>
            <w:szCs w:val="23"/>
          </w:rPr>
          <w:t>Supporting early childhood educator mental health and wellbeing</w:t>
        </w:r>
      </w:hyperlink>
      <w:r w:rsidR="00992267" w:rsidRPr="00992267">
        <w:rPr>
          <w:rFonts w:ascii="Arial" w:hAnsi="Arial" w:cs="Arial"/>
          <w:sz w:val="23"/>
          <w:szCs w:val="23"/>
          <w:lang w:val="en-GB"/>
        </w:rPr>
        <w:t xml:space="preserve"> </w:t>
      </w:r>
    </w:p>
    <w:p w14:paraId="3998F7E2" w14:textId="77777777" w:rsidR="00C55BDA" w:rsidRDefault="00740229"/>
    <w:p w14:paraId="256D6D49" w14:textId="77777777" w:rsidR="003240C7" w:rsidRDefault="003240C7" w:rsidP="003240C7">
      <w:pPr>
        <w:rPr>
          <w:sz w:val="24"/>
        </w:rPr>
        <w:sectPr w:rsidR="003240C7" w:rsidSect="00FE252C">
          <w:headerReference w:type="even" r:id="rId13"/>
          <w:headerReference w:type="default" r:id="rId14"/>
          <w:headerReference w:type="first" r:id="rId15"/>
          <w:pgSz w:w="11900" w:h="16840"/>
          <w:pgMar w:top="1701" w:right="851" w:bottom="1701" w:left="851" w:header="709" w:footer="709" w:gutter="0"/>
          <w:cols w:space="708"/>
          <w:docGrid w:linePitch="360"/>
        </w:sectPr>
      </w:pPr>
    </w:p>
    <w:p w14:paraId="72065C03" w14:textId="77777777" w:rsidR="003240C7" w:rsidRDefault="003240C7" w:rsidP="003240C7">
      <w:pPr>
        <w:rPr>
          <w:sz w:val="24"/>
        </w:rPr>
      </w:pPr>
      <w:r>
        <w:rPr>
          <w:sz w:val="24"/>
        </w:rPr>
        <w:t xml:space="preserve">A research project was undertaken by Early Childhood Australia (ECA) on behalf of the Department of Education and Training in October 2021 to explore </w:t>
      </w:r>
      <w:bookmarkStart w:id="0" w:name="_Hlk90403970"/>
      <w:r>
        <w:rPr>
          <w:sz w:val="24"/>
        </w:rPr>
        <w:t xml:space="preserve">factors that support </w:t>
      </w:r>
      <w:bookmarkEnd w:id="0"/>
      <w:r>
        <w:rPr>
          <w:sz w:val="24"/>
        </w:rPr>
        <w:t>resilience and wellbeing for the Victorian early childhood education and care (ECEC) workforce</w:t>
      </w:r>
      <w:r w:rsidRPr="00681E43">
        <w:rPr>
          <w:sz w:val="24"/>
        </w:rPr>
        <w:t xml:space="preserve">. </w:t>
      </w:r>
    </w:p>
    <w:p w14:paraId="7904DEC4" w14:textId="77777777" w:rsidR="003240C7" w:rsidRPr="007800CB" w:rsidRDefault="003240C7" w:rsidP="003240C7">
      <w:pPr>
        <w:rPr>
          <w:sz w:val="24"/>
        </w:rPr>
      </w:pPr>
      <w:r>
        <w:rPr>
          <w:noProof/>
          <w:sz w:val="24"/>
        </w:rPr>
        <mc:AlternateContent>
          <mc:Choice Requires="wps">
            <w:drawing>
              <wp:anchor distT="0" distB="0" distL="114300" distR="114300" simplePos="0" relativeHeight="251659264" behindDoc="0" locked="0" layoutInCell="1" allowOverlap="1" wp14:anchorId="5BBE72A5" wp14:editId="34410B91">
                <wp:simplePos x="0" y="0"/>
                <wp:positionH relativeFrom="column">
                  <wp:posOffset>3468370</wp:posOffset>
                </wp:positionH>
                <wp:positionV relativeFrom="paragraph">
                  <wp:posOffset>327025</wp:posOffset>
                </wp:positionV>
                <wp:extent cx="3038475" cy="172974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3038475" cy="1729740"/>
                        </a:xfrm>
                        <a:prstGeom prst="rect">
                          <a:avLst/>
                        </a:prstGeom>
                        <a:solidFill>
                          <a:srgbClr val="1275BB">
                            <a:alpha val="20000"/>
                          </a:srgbClr>
                        </a:solidFill>
                        <a:ln w="6350">
                          <a:noFill/>
                        </a:ln>
                      </wps:spPr>
                      <wps:txbx>
                        <w:txbxContent>
                          <w:p w14:paraId="39E64E63" w14:textId="77777777" w:rsidR="003240C7" w:rsidRDefault="003240C7" w:rsidP="003240C7">
                            <w:pPr>
                              <w:rPr>
                                <w:sz w:val="24"/>
                              </w:rPr>
                            </w:pPr>
                            <w:r>
                              <w:rPr>
                                <w:sz w:val="24"/>
                              </w:rPr>
                              <w:t>The top four wellbeing strategies early childhood professionals used in their personal lives were:</w:t>
                            </w:r>
                          </w:p>
                          <w:p w14:paraId="5359FD1D" w14:textId="77777777" w:rsidR="003240C7" w:rsidRPr="008C6D4B" w:rsidRDefault="003240C7" w:rsidP="003240C7">
                            <w:pPr>
                              <w:pStyle w:val="ListParagraph"/>
                              <w:numPr>
                                <w:ilvl w:val="0"/>
                                <w:numId w:val="1"/>
                              </w:numPr>
                              <w:ind w:left="426"/>
                              <w:rPr>
                                <w:sz w:val="24"/>
                              </w:rPr>
                            </w:pPr>
                            <w:r w:rsidRPr="008C6D4B">
                              <w:rPr>
                                <w:sz w:val="24"/>
                              </w:rPr>
                              <w:t>connecting with friends and family (70</w:t>
                            </w:r>
                            <w:r>
                              <w:rPr>
                                <w:sz w:val="24"/>
                              </w:rPr>
                              <w:t>%</w:t>
                            </w:r>
                            <w:r w:rsidRPr="008C6D4B">
                              <w:rPr>
                                <w:sz w:val="24"/>
                              </w:rPr>
                              <w:t>)</w:t>
                            </w:r>
                          </w:p>
                          <w:p w14:paraId="3E501083" w14:textId="77777777" w:rsidR="003240C7" w:rsidRPr="008C6D4B" w:rsidRDefault="003240C7" w:rsidP="003240C7">
                            <w:pPr>
                              <w:pStyle w:val="ListParagraph"/>
                              <w:numPr>
                                <w:ilvl w:val="0"/>
                                <w:numId w:val="1"/>
                              </w:numPr>
                              <w:ind w:left="426"/>
                              <w:rPr>
                                <w:sz w:val="24"/>
                              </w:rPr>
                            </w:pPr>
                            <w:r w:rsidRPr="008C6D4B">
                              <w:rPr>
                                <w:sz w:val="24"/>
                              </w:rPr>
                              <w:t>adequate sleep (50</w:t>
                            </w:r>
                            <w:r>
                              <w:rPr>
                                <w:sz w:val="24"/>
                              </w:rPr>
                              <w:t>%</w:t>
                            </w:r>
                            <w:r w:rsidRPr="008C6D4B">
                              <w:rPr>
                                <w:sz w:val="24"/>
                              </w:rPr>
                              <w:t>)</w:t>
                            </w:r>
                          </w:p>
                          <w:p w14:paraId="2096364D" w14:textId="77777777" w:rsidR="003240C7" w:rsidRPr="008C6D4B" w:rsidRDefault="003240C7" w:rsidP="003240C7">
                            <w:pPr>
                              <w:pStyle w:val="ListParagraph"/>
                              <w:numPr>
                                <w:ilvl w:val="0"/>
                                <w:numId w:val="1"/>
                              </w:numPr>
                              <w:ind w:left="426"/>
                              <w:rPr>
                                <w:sz w:val="24"/>
                              </w:rPr>
                            </w:pPr>
                            <w:r w:rsidRPr="008C6D4B">
                              <w:rPr>
                                <w:sz w:val="24"/>
                              </w:rPr>
                              <w:t>relaxation (49</w:t>
                            </w:r>
                            <w:r>
                              <w:rPr>
                                <w:sz w:val="24"/>
                              </w:rPr>
                              <w:t>%</w:t>
                            </w:r>
                            <w:r w:rsidRPr="008C6D4B">
                              <w:rPr>
                                <w:sz w:val="24"/>
                              </w:rPr>
                              <w:t>), and</w:t>
                            </w:r>
                          </w:p>
                          <w:p w14:paraId="3DADF11A" w14:textId="77777777" w:rsidR="003240C7" w:rsidRDefault="003240C7" w:rsidP="003240C7">
                            <w:pPr>
                              <w:pStyle w:val="ListParagraph"/>
                              <w:numPr>
                                <w:ilvl w:val="0"/>
                                <w:numId w:val="1"/>
                              </w:numPr>
                              <w:ind w:left="426"/>
                              <w:rPr>
                                <w:sz w:val="24"/>
                              </w:rPr>
                            </w:pPr>
                            <w:r w:rsidRPr="008C6D4B">
                              <w:rPr>
                                <w:sz w:val="24"/>
                              </w:rPr>
                              <w:t>regular exercise (49</w:t>
                            </w:r>
                            <w:r>
                              <w:rPr>
                                <w:sz w:val="24"/>
                              </w:rPr>
                              <w:t>%</w:t>
                            </w:r>
                            <w:r w:rsidRPr="008C6D4B">
                              <w:rPr>
                                <w:sz w:val="24"/>
                              </w:rPr>
                              <w:t>).</w:t>
                            </w:r>
                          </w:p>
                          <w:p w14:paraId="55075713" w14:textId="77777777" w:rsidR="003240C7" w:rsidRDefault="003240C7"/>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E72A5" id="_x0000_t202" coordsize="21600,21600" o:spt="202" path="m,l,21600r21600,l21600,xe">
                <v:stroke joinstyle="miter"/>
                <v:path gradientshapeok="t" o:connecttype="rect"/>
              </v:shapetype>
              <v:shape id="Text Box 18" o:spid="_x0000_s1026" type="#_x0000_t202" style="position:absolute;margin-left:273.1pt;margin-top:25.75pt;width:239.25pt;height:1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" fillcolor="#1275bb" stroked="f" strokeweight=".5pt">
                <v:fill opacity="13107f"/>
                <v:textbox inset="3mm,3mm,3mm,3mm">
                  <w:txbxContent>
                    <w:p w14:paraId="39E64E63" w14:textId="77777777" w:rsidR="003240C7" w:rsidRDefault="003240C7" w:rsidP="003240C7">
                      <w:pPr>
                        <w:rPr>
                          <w:sz w:val="24"/>
                        </w:rPr>
                      </w:pPr>
                      <w:r>
                        <w:rPr>
                          <w:sz w:val="24"/>
                        </w:rPr>
                        <w:t>The top four wellbeing strategies early childhood professionals used in their personal lives were:</w:t>
                      </w:r>
                    </w:p>
                    <w:p w14:paraId="5359FD1D" w14:textId="77777777" w:rsidR="003240C7" w:rsidRPr="008C6D4B" w:rsidRDefault="003240C7" w:rsidP="003240C7">
                      <w:pPr>
                        <w:pStyle w:val="ListParagraph"/>
                        <w:numPr>
                          <w:ilvl w:val="0"/>
                          <w:numId w:val="1"/>
                        </w:numPr>
                        <w:ind w:left="426"/>
                        <w:rPr>
                          <w:sz w:val="24"/>
                        </w:rPr>
                      </w:pPr>
                      <w:r w:rsidRPr="008C6D4B">
                        <w:rPr>
                          <w:sz w:val="24"/>
                        </w:rPr>
                        <w:t>connecting with friends and family (70</w:t>
                      </w:r>
                      <w:r>
                        <w:rPr>
                          <w:sz w:val="24"/>
                        </w:rPr>
                        <w:t>%</w:t>
                      </w:r>
                      <w:r w:rsidRPr="008C6D4B">
                        <w:rPr>
                          <w:sz w:val="24"/>
                        </w:rPr>
                        <w:t>)</w:t>
                      </w:r>
                    </w:p>
                    <w:p w14:paraId="3E501083" w14:textId="77777777" w:rsidR="003240C7" w:rsidRPr="008C6D4B" w:rsidRDefault="003240C7" w:rsidP="003240C7">
                      <w:pPr>
                        <w:pStyle w:val="ListParagraph"/>
                        <w:numPr>
                          <w:ilvl w:val="0"/>
                          <w:numId w:val="1"/>
                        </w:numPr>
                        <w:ind w:left="426"/>
                        <w:rPr>
                          <w:sz w:val="24"/>
                        </w:rPr>
                      </w:pPr>
                      <w:r w:rsidRPr="008C6D4B">
                        <w:rPr>
                          <w:sz w:val="24"/>
                        </w:rPr>
                        <w:t>adequate sleep (50</w:t>
                      </w:r>
                      <w:r>
                        <w:rPr>
                          <w:sz w:val="24"/>
                        </w:rPr>
                        <w:t>%</w:t>
                      </w:r>
                      <w:r w:rsidRPr="008C6D4B">
                        <w:rPr>
                          <w:sz w:val="24"/>
                        </w:rPr>
                        <w:t>)</w:t>
                      </w:r>
                    </w:p>
                    <w:p w14:paraId="2096364D" w14:textId="77777777" w:rsidR="003240C7" w:rsidRPr="008C6D4B" w:rsidRDefault="003240C7" w:rsidP="003240C7">
                      <w:pPr>
                        <w:pStyle w:val="ListParagraph"/>
                        <w:numPr>
                          <w:ilvl w:val="0"/>
                          <w:numId w:val="1"/>
                        </w:numPr>
                        <w:ind w:left="426"/>
                        <w:rPr>
                          <w:sz w:val="24"/>
                        </w:rPr>
                      </w:pPr>
                      <w:r w:rsidRPr="008C6D4B">
                        <w:rPr>
                          <w:sz w:val="24"/>
                        </w:rPr>
                        <w:t>relaxation (49</w:t>
                      </w:r>
                      <w:r>
                        <w:rPr>
                          <w:sz w:val="24"/>
                        </w:rPr>
                        <w:t>%</w:t>
                      </w:r>
                      <w:r w:rsidRPr="008C6D4B">
                        <w:rPr>
                          <w:sz w:val="24"/>
                        </w:rPr>
                        <w:t>), and</w:t>
                      </w:r>
                    </w:p>
                    <w:p w14:paraId="3DADF11A" w14:textId="77777777" w:rsidR="003240C7" w:rsidRDefault="003240C7" w:rsidP="003240C7">
                      <w:pPr>
                        <w:pStyle w:val="ListParagraph"/>
                        <w:numPr>
                          <w:ilvl w:val="0"/>
                          <w:numId w:val="1"/>
                        </w:numPr>
                        <w:ind w:left="426"/>
                        <w:rPr>
                          <w:sz w:val="24"/>
                        </w:rPr>
                      </w:pPr>
                      <w:r w:rsidRPr="008C6D4B">
                        <w:rPr>
                          <w:sz w:val="24"/>
                        </w:rPr>
                        <w:t>regular exercise (49</w:t>
                      </w:r>
                      <w:r>
                        <w:rPr>
                          <w:sz w:val="24"/>
                        </w:rPr>
                        <w:t>%</w:t>
                      </w:r>
                      <w:r w:rsidRPr="008C6D4B">
                        <w:rPr>
                          <w:sz w:val="24"/>
                        </w:rPr>
                        <w:t>).</w:t>
                      </w:r>
                    </w:p>
                    <w:p w14:paraId="55075713" w14:textId="77777777" w:rsidR="003240C7" w:rsidRDefault="003240C7"/>
                  </w:txbxContent>
                </v:textbox>
                <w10:wrap type="square"/>
              </v:shape>
            </w:pict>
          </mc:Fallback>
        </mc:AlternateContent>
      </w:r>
      <w:r>
        <w:rPr>
          <w:sz w:val="24"/>
        </w:rPr>
        <w:t xml:space="preserve">Over </w:t>
      </w:r>
      <w:r w:rsidRPr="007800CB">
        <w:rPr>
          <w:sz w:val="24"/>
        </w:rPr>
        <w:t>70</w:t>
      </w:r>
      <w:r>
        <w:rPr>
          <w:sz w:val="24"/>
        </w:rPr>
        <w:t>0</w:t>
      </w:r>
      <w:r w:rsidRPr="007800CB">
        <w:rPr>
          <w:sz w:val="24"/>
        </w:rPr>
        <w:t xml:space="preserve"> members of the Victorian ECEC sector</w:t>
      </w:r>
      <w:r>
        <w:rPr>
          <w:sz w:val="24"/>
        </w:rPr>
        <w:t xml:space="preserve"> participated in an online survey, with optional follow-up focus groups and semi-structured interviews. </w:t>
      </w:r>
      <w:r w:rsidRPr="00361A0B">
        <w:rPr>
          <w:sz w:val="24"/>
          <w:szCs w:val="24"/>
        </w:rPr>
        <w:t>Thank you to all the professionals who participated in this important research.</w:t>
      </w:r>
      <w:r>
        <w:rPr>
          <w:sz w:val="24"/>
          <w:szCs w:val="24"/>
        </w:rPr>
        <w:t xml:space="preserve"> </w:t>
      </w:r>
    </w:p>
    <w:p w14:paraId="15A44B92" w14:textId="77777777" w:rsidR="003240C7" w:rsidRPr="00ED52DA" w:rsidRDefault="003240C7" w:rsidP="005454DE">
      <w:pPr>
        <w:spacing w:before="120" w:after="80"/>
        <w:rPr>
          <w:b/>
          <w:bCs/>
          <w:color w:val="B2292E"/>
          <w:sz w:val="28"/>
          <w:szCs w:val="28"/>
        </w:rPr>
      </w:pPr>
      <w:r w:rsidRPr="00ED52DA">
        <w:rPr>
          <w:b/>
          <w:bCs/>
          <w:color w:val="B2292E"/>
          <w:sz w:val="28"/>
          <w:szCs w:val="28"/>
        </w:rPr>
        <w:t>KEY SURVEY AND INTERVIEW FINDINGS</w:t>
      </w:r>
    </w:p>
    <w:p w14:paraId="5AF3E772" w14:textId="77777777" w:rsidR="003240C7" w:rsidRDefault="003240C7" w:rsidP="003240C7">
      <w:pPr>
        <w:rPr>
          <w:sz w:val="24"/>
        </w:rPr>
      </w:pPr>
      <w:r>
        <w:rPr>
          <w:noProof/>
          <w:sz w:val="24"/>
        </w:rPr>
        <mc:AlternateContent>
          <mc:Choice Requires="wps">
            <w:drawing>
              <wp:anchor distT="0" distB="0" distL="114300" distR="114300" simplePos="0" relativeHeight="251661312" behindDoc="0" locked="0" layoutInCell="1" allowOverlap="1" wp14:anchorId="2B2C012F" wp14:editId="52362CC8">
                <wp:simplePos x="0" y="0"/>
                <wp:positionH relativeFrom="column">
                  <wp:posOffset>3468370</wp:posOffset>
                </wp:positionH>
                <wp:positionV relativeFrom="paragraph">
                  <wp:posOffset>798830</wp:posOffset>
                </wp:positionV>
                <wp:extent cx="3038475" cy="253174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3038475" cy="2531745"/>
                        </a:xfrm>
                        <a:prstGeom prst="rect">
                          <a:avLst/>
                        </a:prstGeom>
                        <a:solidFill>
                          <a:srgbClr val="1275BB">
                            <a:alpha val="20000"/>
                          </a:srgbClr>
                        </a:solidFill>
                        <a:ln w="6350">
                          <a:noFill/>
                        </a:ln>
                      </wps:spPr>
                      <wps:txbx>
                        <w:txbxContent>
                          <w:p w14:paraId="0D46D31E" w14:textId="77777777" w:rsidR="003240C7" w:rsidRDefault="003240C7" w:rsidP="003240C7">
                            <w:pPr>
                              <w:rPr>
                                <w:sz w:val="24"/>
                              </w:rPr>
                            </w:pPr>
                            <w:bookmarkStart w:id="1" w:name="_Hlk90405004"/>
                            <w:r>
                              <w:rPr>
                                <w:sz w:val="24"/>
                              </w:rPr>
                              <w:t>The top five strategies educators used in their professional lives were:</w:t>
                            </w:r>
                          </w:p>
                          <w:p w14:paraId="711DE19D" w14:textId="77777777" w:rsidR="003240C7" w:rsidRPr="008C6D4B" w:rsidRDefault="003240C7" w:rsidP="003240C7">
                            <w:pPr>
                              <w:pStyle w:val="ListParagraph"/>
                              <w:numPr>
                                <w:ilvl w:val="0"/>
                                <w:numId w:val="3"/>
                              </w:numPr>
                              <w:ind w:left="426"/>
                              <w:rPr>
                                <w:sz w:val="24"/>
                              </w:rPr>
                            </w:pPr>
                            <w:r w:rsidRPr="008C6D4B">
                              <w:rPr>
                                <w:sz w:val="24"/>
                              </w:rPr>
                              <w:t>focusing on their purpose and important work with children (60</w:t>
                            </w:r>
                            <w:r>
                              <w:rPr>
                                <w:sz w:val="24"/>
                              </w:rPr>
                              <w:t>%</w:t>
                            </w:r>
                            <w:r w:rsidRPr="008C6D4B">
                              <w:rPr>
                                <w:sz w:val="24"/>
                              </w:rPr>
                              <w:t>)</w:t>
                            </w:r>
                          </w:p>
                          <w:p w14:paraId="22653B53" w14:textId="77777777" w:rsidR="003240C7" w:rsidRPr="008C6D4B" w:rsidRDefault="003240C7" w:rsidP="003240C7">
                            <w:pPr>
                              <w:pStyle w:val="ListParagraph"/>
                              <w:numPr>
                                <w:ilvl w:val="0"/>
                                <w:numId w:val="3"/>
                              </w:numPr>
                              <w:ind w:left="426"/>
                              <w:rPr>
                                <w:sz w:val="24"/>
                              </w:rPr>
                            </w:pPr>
                            <w:r w:rsidRPr="008C6D4B">
                              <w:rPr>
                                <w:sz w:val="24"/>
                              </w:rPr>
                              <w:t>engaging in ongoing professional learning (51</w:t>
                            </w:r>
                            <w:r>
                              <w:rPr>
                                <w:sz w:val="24"/>
                              </w:rPr>
                              <w:t>%</w:t>
                            </w:r>
                            <w:r w:rsidRPr="008C6D4B">
                              <w:rPr>
                                <w:sz w:val="24"/>
                              </w:rPr>
                              <w:t xml:space="preserve">) </w:t>
                            </w:r>
                          </w:p>
                          <w:p w14:paraId="20A19939" w14:textId="77777777" w:rsidR="003240C7" w:rsidRPr="008C6D4B" w:rsidRDefault="003240C7" w:rsidP="003240C7">
                            <w:pPr>
                              <w:pStyle w:val="ListParagraph"/>
                              <w:numPr>
                                <w:ilvl w:val="0"/>
                                <w:numId w:val="3"/>
                              </w:numPr>
                              <w:ind w:left="426"/>
                              <w:rPr>
                                <w:sz w:val="24"/>
                              </w:rPr>
                            </w:pPr>
                            <w:r w:rsidRPr="008C6D4B">
                              <w:rPr>
                                <w:sz w:val="24"/>
                              </w:rPr>
                              <w:t>maintaining a work/life balance (51</w:t>
                            </w:r>
                            <w:r>
                              <w:rPr>
                                <w:sz w:val="24"/>
                              </w:rPr>
                              <w:t>%</w:t>
                            </w:r>
                            <w:r w:rsidRPr="008C6D4B">
                              <w:rPr>
                                <w:sz w:val="24"/>
                              </w:rPr>
                              <w:t>)</w:t>
                            </w:r>
                          </w:p>
                          <w:p w14:paraId="727FF0C7" w14:textId="77777777" w:rsidR="003240C7" w:rsidRPr="008C6D4B" w:rsidRDefault="003240C7" w:rsidP="003240C7">
                            <w:pPr>
                              <w:pStyle w:val="ListParagraph"/>
                              <w:numPr>
                                <w:ilvl w:val="0"/>
                                <w:numId w:val="3"/>
                              </w:numPr>
                              <w:ind w:left="426"/>
                              <w:rPr>
                                <w:sz w:val="24"/>
                              </w:rPr>
                            </w:pPr>
                            <w:r w:rsidRPr="008C6D4B">
                              <w:rPr>
                                <w:sz w:val="24"/>
                              </w:rPr>
                              <w:t>having a strong team that works together (48</w:t>
                            </w:r>
                            <w:r>
                              <w:rPr>
                                <w:sz w:val="24"/>
                              </w:rPr>
                              <w:t>%</w:t>
                            </w:r>
                            <w:r w:rsidRPr="008C6D4B">
                              <w:rPr>
                                <w:sz w:val="24"/>
                              </w:rPr>
                              <w:t>), and</w:t>
                            </w:r>
                          </w:p>
                          <w:p w14:paraId="3144F0AA" w14:textId="77777777" w:rsidR="003240C7" w:rsidRPr="008C6D4B" w:rsidRDefault="003240C7" w:rsidP="003240C7">
                            <w:pPr>
                              <w:pStyle w:val="ListParagraph"/>
                              <w:numPr>
                                <w:ilvl w:val="0"/>
                                <w:numId w:val="3"/>
                              </w:numPr>
                              <w:ind w:left="426"/>
                              <w:rPr>
                                <w:sz w:val="24"/>
                              </w:rPr>
                            </w:pPr>
                            <w:r w:rsidRPr="008C6D4B">
                              <w:rPr>
                                <w:sz w:val="24"/>
                              </w:rPr>
                              <w:t>connecting with a network of peers and colleagues (46</w:t>
                            </w:r>
                            <w:r>
                              <w:rPr>
                                <w:sz w:val="24"/>
                              </w:rPr>
                              <w:t>%</w:t>
                            </w:r>
                            <w:r w:rsidRPr="008C6D4B">
                              <w:rPr>
                                <w:sz w:val="24"/>
                              </w:rPr>
                              <w:t>).</w:t>
                            </w:r>
                          </w:p>
                          <w:bookmarkEnd w:id="1"/>
                          <w:p w14:paraId="3CD172AA" w14:textId="77777777" w:rsidR="003240C7" w:rsidRDefault="003240C7" w:rsidP="003240C7"/>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C012F" id="Text Box 19" o:spid="_x0000_s1027" type="#_x0000_t202" style="position:absolute;margin-left:273.1pt;margin-top:62.9pt;width:239.25pt;height:19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" fillcolor="#1275bb" stroked="f" strokeweight=".5pt">
                <v:fill opacity="13107f"/>
                <v:textbox inset="3mm,3mm,3mm,3mm">
                  <w:txbxContent>
                    <w:p w14:paraId="0D46D31E" w14:textId="77777777" w:rsidR="003240C7" w:rsidRDefault="003240C7" w:rsidP="003240C7">
                      <w:pPr>
                        <w:rPr>
                          <w:sz w:val="24"/>
                        </w:rPr>
                      </w:pPr>
                      <w:bookmarkStart w:id="2" w:name="_Hlk90405004"/>
                      <w:r>
                        <w:rPr>
                          <w:sz w:val="24"/>
                        </w:rPr>
                        <w:t>The top five strategies educators used in their professional lives were:</w:t>
                      </w:r>
                    </w:p>
                    <w:p w14:paraId="711DE19D" w14:textId="77777777" w:rsidR="003240C7" w:rsidRPr="008C6D4B" w:rsidRDefault="003240C7" w:rsidP="003240C7">
                      <w:pPr>
                        <w:pStyle w:val="ListParagraph"/>
                        <w:numPr>
                          <w:ilvl w:val="0"/>
                          <w:numId w:val="3"/>
                        </w:numPr>
                        <w:ind w:left="426"/>
                        <w:rPr>
                          <w:sz w:val="24"/>
                        </w:rPr>
                      </w:pPr>
                      <w:r w:rsidRPr="008C6D4B">
                        <w:rPr>
                          <w:sz w:val="24"/>
                        </w:rPr>
                        <w:t>focusing on their purpose and important work with children (60</w:t>
                      </w:r>
                      <w:r>
                        <w:rPr>
                          <w:sz w:val="24"/>
                        </w:rPr>
                        <w:t>%</w:t>
                      </w:r>
                      <w:r w:rsidRPr="008C6D4B">
                        <w:rPr>
                          <w:sz w:val="24"/>
                        </w:rPr>
                        <w:t>)</w:t>
                      </w:r>
                    </w:p>
                    <w:p w14:paraId="22653B53" w14:textId="77777777" w:rsidR="003240C7" w:rsidRPr="008C6D4B" w:rsidRDefault="003240C7" w:rsidP="003240C7">
                      <w:pPr>
                        <w:pStyle w:val="ListParagraph"/>
                        <w:numPr>
                          <w:ilvl w:val="0"/>
                          <w:numId w:val="3"/>
                        </w:numPr>
                        <w:ind w:left="426"/>
                        <w:rPr>
                          <w:sz w:val="24"/>
                        </w:rPr>
                      </w:pPr>
                      <w:r w:rsidRPr="008C6D4B">
                        <w:rPr>
                          <w:sz w:val="24"/>
                        </w:rPr>
                        <w:t>engaging in ongoing professional learning (51</w:t>
                      </w:r>
                      <w:r>
                        <w:rPr>
                          <w:sz w:val="24"/>
                        </w:rPr>
                        <w:t>%</w:t>
                      </w:r>
                      <w:r w:rsidRPr="008C6D4B">
                        <w:rPr>
                          <w:sz w:val="24"/>
                        </w:rPr>
                        <w:t xml:space="preserve">) </w:t>
                      </w:r>
                    </w:p>
                    <w:p w14:paraId="20A19939" w14:textId="77777777" w:rsidR="003240C7" w:rsidRPr="008C6D4B" w:rsidRDefault="003240C7" w:rsidP="003240C7">
                      <w:pPr>
                        <w:pStyle w:val="ListParagraph"/>
                        <w:numPr>
                          <w:ilvl w:val="0"/>
                          <w:numId w:val="3"/>
                        </w:numPr>
                        <w:ind w:left="426"/>
                        <w:rPr>
                          <w:sz w:val="24"/>
                        </w:rPr>
                      </w:pPr>
                      <w:r w:rsidRPr="008C6D4B">
                        <w:rPr>
                          <w:sz w:val="24"/>
                        </w:rPr>
                        <w:t>maintaining a work/life balance (51</w:t>
                      </w:r>
                      <w:r>
                        <w:rPr>
                          <w:sz w:val="24"/>
                        </w:rPr>
                        <w:t>%</w:t>
                      </w:r>
                      <w:r w:rsidRPr="008C6D4B">
                        <w:rPr>
                          <w:sz w:val="24"/>
                        </w:rPr>
                        <w:t>)</w:t>
                      </w:r>
                    </w:p>
                    <w:p w14:paraId="727FF0C7" w14:textId="77777777" w:rsidR="003240C7" w:rsidRPr="008C6D4B" w:rsidRDefault="003240C7" w:rsidP="003240C7">
                      <w:pPr>
                        <w:pStyle w:val="ListParagraph"/>
                        <w:numPr>
                          <w:ilvl w:val="0"/>
                          <w:numId w:val="3"/>
                        </w:numPr>
                        <w:ind w:left="426"/>
                        <w:rPr>
                          <w:sz w:val="24"/>
                        </w:rPr>
                      </w:pPr>
                      <w:r w:rsidRPr="008C6D4B">
                        <w:rPr>
                          <w:sz w:val="24"/>
                        </w:rPr>
                        <w:t>having a strong team that works together (48</w:t>
                      </w:r>
                      <w:r>
                        <w:rPr>
                          <w:sz w:val="24"/>
                        </w:rPr>
                        <w:t>%</w:t>
                      </w:r>
                      <w:r w:rsidRPr="008C6D4B">
                        <w:rPr>
                          <w:sz w:val="24"/>
                        </w:rPr>
                        <w:t>), and</w:t>
                      </w:r>
                    </w:p>
                    <w:p w14:paraId="3144F0AA" w14:textId="77777777" w:rsidR="003240C7" w:rsidRPr="008C6D4B" w:rsidRDefault="003240C7" w:rsidP="003240C7">
                      <w:pPr>
                        <w:pStyle w:val="ListParagraph"/>
                        <w:numPr>
                          <w:ilvl w:val="0"/>
                          <w:numId w:val="3"/>
                        </w:numPr>
                        <w:ind w:left="426"/>
                        <w:rPr>
                          <w:sz w:val="24"/>
                        </w:rPr>
                      </w:pPr>
                      <w:r w:rsidRPr="008C6D4B">
                        <w:rPr>
                          <w:sz w:val="24"/>
                        </w:rPr>
                        <w:t>connecting with a network of peers and colleagues (46</w:t>
                      </w:r>
                      <w:r>
                        <w:rPr>
                          <w:sz w:val="24"/>
                        </w:rPr>
                        <w:t>%</w:t>
                      </w:r>
                      <w:r w:rsidRPr="008C6D4B">
                        <w:rPr>
                          <w:sz w:val="24"/>
                        </w:rPr>
                        <w:t>).</w:t>
                      </w:r>
                    </w:p>
                    <w:bookmarkEnd w:id="2"/>
                    <w:p w14:paraId="3CD172AA" w14:textId="77777777" w:rsidR="003240C7" w:rsidRDefault="003240C7" w:rsidP="003240C7"/>
                  </w:txbxContent>
                </v:textbox>
                <w10:wrap type="square"/>
              </v:shape>
            </w:pict>
          </mc:Fallback>
        </mc:AlternateContent>
      </w:r>
      <w:r w:rsidRPr="007800CB">
        <w:rPr>
          <w:sz w:val="24"/>
        </w:rPr>
        <w:t>The majority of respondents (63</w:t>
      </w:r>
      <w:r>
        <w:rPr>
          <w:sz w:val="24"/>
        </w:rPr>
        <w:t>%</w:t>
      </w:r>
      <w:r w:rsidRPr="007800CB">
        <w:rPr>
          <w:sz w:val="24"/>
        </w:rPr>
        <w:t>) identified as having worked in the sector for over 11 years</w:t>
      </w:r>
      <w:r>
        <w:rPr>
          <w:sz w:val="24"/>
        </w:rPr>
        <w:t xml:space="preserve"> and most were in teaching (</w:t>
      </w:r>
      <w:r w:rsidRPr="007800CB">
        <w:rPr>
          <w:sz w:val="24"/>
        </w:rPr>
        <w:t>40</w:t>
      </w:r>
      <w:r>
        <w:rPr>
          <w:sz w:val="24"/>
        </w:rPr>
        <w:t>%) or service leadership (</w:t>
      </w:r>
      <w:r w:rsidRPr="007800CB">
        <w:rPr>
          <w:sz w:val="24"/>
        </w:rPr>
        <w:t>34</w:t>
      </w:r>
      <w:r>
        <w:rPr>
          <w:sz w:val="24"/>
        </w:rPr>
        <w:t>%) positions. T</w:t>
      </w:r>
      <w:r w:rsidRPr="007800CB">
        <w:rPr>
          <w:sz w:val="24"/>
        </w:rPr>
        <w:t>here was a mix of respondents from metropolitan areas (approximately 70</w:t>
      </w:r>
      <w:r>
        <w:rPr>
          <w:sz w:val="24"/>
        </w:rPr>
        <w:t>%</w:t>
      </w:r>
      <w:r w:rsidRPr="007800CB">
        <w:rPr>
          <w:sz w:val="24"/>
        </w:rPr>
        <w:t>) and regional areas (approximately 30</w:t>
      </w:r>
      <w:r>
        <w:rPr>
          <w:sz w:val="24"/>
        </w:rPr>
        <w:t>%</w:t>
      </w:r>
      <w:r w:rsidRPr="007800CB">
        <w:rPr>
          <w:sz w:val="24"/>
        </w:rPr>
        <w:t>).</w:t>
      </w:r>
    </w:p>
    <w:p w14:paraId="4A28B37B" w14:textId="77777777" w:rsidR="003240C7" w:rsidRDefault="003240C7" w:rsidP="003240C7">
      <w:pPr>
        <w:rPr>
          <w:sz w:val="24"/>
        </w:rPr>
      </w:pPr>
      <w:r>
        <w:rPr>
          <w:sz w:val="24"/>
        </w:rPr>
        <w:t>The survey included</w:t>
      </w:r>
      <w:r w:rsidRPr="00734A06">
        <w:rPr>
          <w:sz w:val="24"/>
        </w:rPr>
        <w:t xml:space="preserve"> three validated measures of wellbeing and resilience – the World Health Organisation Wellbeing 5</w:t>
      </w:r>
      <w:r>
        <w:rPr>
          <w:rStyle w:val="EndnoteReference"/>
          <w:sz w:val="24"/>
        </w:rPr>
        <w:endnoteReference w:id="1"/>
      </w:r>
      <w:r>
        <w:rPr>
          <w:sz w:val="24"/>
        </w:rPr>
        <w:t>,</w:t>
      </w:r>
      <w:r w:rsidRPr="00734A06">
        <w:rPr>
          <w:sz w:val="24"/>
        </w:rPr>
        <w:t xml:space="preserve"> the Brief Resilience </w:t>
      </w:r>
      <w:r>
        <w:rPr>
          <w:sz w:val="24"/>
        </w:rPr>
        <w:t>Scale</w:t>
      </w:r>
      <w:r>
        <w:rPr>
          <w:rStyle w:val="EndnoteReference"/>
          <w:sz w:val="24"/>
        </w:rPr>
        <w:endnoteReference w:id="2"/>
      </w:r>
      <w:r w:rsidRPr="00734A06">
        <w:rPr>
          <w:sz w:val="24"/>
        </w:rPr>
        <w:t xml:space="preserve"> and the Early Childhood Professional Wellbeing </w:t>
      </w:r>
      <w:r>
        <w:rPr>
          <w:sz w:val="24"/>
        </w:rPr>
        <w:t>S</w:t>
      </w:r>
      <w:r w:rsidRPr="00734A06">
        <w:rPr>
          <w:sz w:val="24"/>
        </w:rPr>
        <w:t>cale</w:t>
      </w:r>
      <w:bookmarkStart w:id="2" w:name="_Ref90537077"/>
      <w:r>
        <w:rPr>
          <w:rStyle w:val="EndnoteReference"/>
          <w:sz w:val="24"/>
        </w:rPr>
        <w:endnoteReference w:id="3"/>
      </w:r>
      <w:bookmarkEnd w:id="2"/>
      <w:r w:rsidRPr="00734A06">
        <w:rPr>
          <w:sz w:val="24"/>
        </w:rPr>
        <w:t>.</w:t>
      </w:r>
    </w:p>
    <w:p w14:paraId="79636F26" w14:textId="77777777" w:rsidR="003240C7" w:rsidRDefault="003240C7" w:rsidP="003240C7">
      <w:pPr>
        <w:rPr>
          <w:sz w:val="24"/>
        </w:rPr>
      </w:pPr>
      <w:r>
        <w:rPr>
          <w:sz w:val="24"/>
        </w:rPr>
        <w:t xml:space="preserve">Although the survey results indicated low to average wellbeing for some of the workforce, pleasingly the majority of respondents </w:t>
      </w:r>
      <w:r w:rsidRPr="008C6D4B">
        <w:rPr>
          <w:sz w:val="24"/>
        </w:rPr>
        <w:t>(72</w:t>
      </w:r>
      <w:r>
        <w:rPr>
          <w:sz w:val="24"/>
        </w:rPr>
        <w:t>%</w:t>
      </w:r>
      <w:r w:rsidRPr="008C6D4B">
        <w:rPr>
          <w:sz w:val="24"/>
        </w:rPr>
        <w:t>) reported normal to high resilience</w:t>
      </w:r>
      <w:r>
        <w:rPr>
          <w:sz w:val="24"/>
        </w:rPr>
        <w:t xml:space="preserve"> o</w:t>
      </w:r>
      <w:r w:rsidRPr="008C6D4B">
        <w:rPr>
          <w:sz w:val="24"/>
        </w:rPr>
        <w:t xml:space="preserve">r ability to </w:t>
      </w:r>
      <w:r>
        <w:rPr>
          <w:sz w:val="24"/>
        </w:rPr>
        <w:t>‘</w:t>
      </w:r>
      <w:r w:rsidRPr="008C6D4B">
        <w:rPr>
          <w:sz w:val="24"/>
        </w:rPr>
        <w:t>bounce back</w:t>
      </w:r>
      <w:r>
        <w:rPr>
          <w:sz w:val="24"/>
        </w:rPr>
        <w:t>’</w:t>
      </w:r>
      <w:r w:rsidRPr="008C6D4B">
        <w:rPr>
          <w:sz w:val="24"/>
        </w:rPr>
        <w:t xml:space="preserve"> from challenges. </w:t>
      </w:r>
      <w:r>
        <w:rPr>
          <w:sz w:val="24"/>
        </w:rPr>
        <w:t xml:space="preserve">The </w:t>
      </w:r>
      <w:r w:rsidRPr="002E48B1">
        <w:rPr>
          <w:sz w:val="24"/>
        </w:rPr>
        <w:t xml:space="preserve">majority of </w:t>
      </w:r>
      <w:r>
        <w:rPr>
          <w:sz w:val="24"/>
        </w:rPr>
        <w:t xml:space="preserve">survey </w:t>
      </w:r>
      <w:r w:rsidRPr="002E48B1">
        <w:rPr>
          <w:sz w:val="24"/>
        </w:rPr>
        <w:t>respondents (66</w:t>
      </w:r>
      <w:r>
        <w:rPr>
          <w:sz w:val="24"/>
        </w:rPr>
        <w:t>%</w:t>
      </w:r>
      <w:r w:rsidRPr="002E48B1">
        <w:rPr>
          <w:sz w:val="24"/>
        </w:rPr>
        <w:t xml:space="preserve">) were satisfied with their position as an early childhood professional. </w:t>
      </w:r>
    </w:p>
    <w:p w14:paraId="76ABF139" w14:textId="77777777" w:rsidR="003240C7" w:rsidRDefault="003240C7" w:rsidP="003240C7">
      <w:pPr>
        <w:rPr>
          <w:sz w:val="24"/>
        </w:rPr>
      </w:pPr>
      <w:r>
        <w:rPr>
          <w:sz w:val="24"/>
        </w:rPr>
        <w:t>Through the survey and interviews, e</w:t>
      </w:r>
      <w:r w:rsidRPr="00681E43">
        <w:rPr>
          <w:sz w:val="24"/>
        </w:rPr>
        <w:t xml:space="preserve">ducators shared </w:t>
      </w:r>
      <w:r>
        <w:rPr>
          <w:sz w:val="24"/>
        </w:rPr>
        <w:t xml:space="preserve">the </w:t>
      </w:r>
      <w:r w:rsidRPr="00681E43">
        <w:rPr>
          <w:sz w:val="24"/>
        </w:rPr>
        <w:t xml:space="preserve">strategies they </w:t>
      </w:r>
      <w:r>
        <w:rPr>
          <w:sz w:val="24"/>
        </w:rPr>
        <w:t>found helpful in building their resilience and wellbeing in both their personal and professional lives</w:t>
      </w:r>
      <w:r w:rsidRPr="00681E43">
        <w:rPr>
          <w:sz w:val="24"/>
        </w:rPr>
        <w:t>.</w:t>
      </w:r>
      <w:r>
        <w:rPr>
          <w:sz w:val="24"/>
        </w:rPr>
        <w:t xml:space="preserve"> </w:t>
      </w:r>
    </w:p>
    <w:p w14:paraId="3D52119E" w14:textId="77777777" w:rsidR="003240C7" w:rsidRDefault="003240C7" w:rsidP="003240C7">
      <w:pPr>
        <w:rPr>
          <w:sz w:val="24"/>
        </w:rPr>
      </w:pPr>
    </w:p>
    <w:p w14:paraId="107AA242" w14:textId="77777777" w:rsidR="003240C7" w:rsidRPr="00ED52DA" w:rsidRDefault="005454DE" w:rsidP="005454DE">
      <w:pPr>
        <w:spacing w:after="80"/>
        <w:rPr>
          <w:b/>
          <w:bCs/>
          <w:color w:val="B2292E"/>
          <w:sz w:val="28"/>
          <w:szCs w:val="28"/>
        </w:rPr>
      </w:pPr>
      <w:r w:rsidRPr="00ED52DA">
        <w:rPr>
          <w:b/>
          <w:bCs/>
          <w:noProof/>
          <w:sz w:val="24"/>
        </w:rPr>
        <w:lastRenderedPageBreak/>
        <mc:AlternateContent>
          <mc:Choice Requires="wps">
            <w:drawing>
              <wp:anchor distT="0" distB="0" distL="114300" distR="114300" simplePos="0" relativeHeight="251663360" behindDoc="0" locked="0" layoutInCell="1" allowOverlap="1" wp14:anchorId="65F28901" wp14:editId="247EDA56">
                <wp:simplePos x="0" y="0"/>
                <wp:positionH relativeFrom="column">
                  <wp:posOffset>3447415</wp:posOffset>
                </wp:positionH>
                <wp:positionV relativeFrom="paragraph">
                  <wp:posOffset>3175</wp:posOffset>
                </wp:positionV>
                <wp:extent cx="3038475" cy="2139950"/>
                <wp:effectExtent l="0" t="0" r="0" b="6350"/>
                <wp:wrapSquare wrapText="bothSides"/>
                <wp:docPr id="20" name="Text Box 20"/>
                <wp:cNvGraphicFramePr/>
                <a:graphic xmlns:a="http://schemas.openxmlformats.org/drawingml/2006/main">
                  <a:graphicData uri="http://schemas.microsoft.com/office/word/2010/wordprocessingShape">
                    <wps:wsp>
                      <wps:cNvSpPr txBox="1"/>
                      <wps:spPr>
                        <a:xfrm>
                          <a:off x="0" y="0"/>
                          <a:ext cx="3038475" cy="2139950"/>
                        </a:xfrm>
                        <a:prstGeom prst="rect">
                          <a:avLst/>
                        </a:prstGeom>
                        <a:solidFill>
                          <a:srgbClr val="B2292E">
                            <a:alpha val="20000"/>
                          </a:srgbClr>
                        </a:solidFill>
                        <a:ln w="6350">
                          <a:noFill/>
                        </a:ln>
                      </wps:spPr>
                      <wps:txbx>
                        <w:txbxContent>
                          <w:p w14:paraId="581E3820" w14:textId="77777777" w:rsidR="005454DE" w:rsidRPr="00ED52DA" w:rsidRDefault="005454DE" w:rsidP="005454DE">
                            <w:pPr>
                              <w:spacing w:after="80"/>
                              <w:rPr>
                                <w:b/>
                                <w:bCs/>
                                <w:color w:val="B2292E"/>
                                <w:sz w:val="28"/>
                                <w:szCs w:val="28"/>
                              </w:rPr>
                            </w:pPr>
                            <w:r w:rsidRPr="00ED52DA">
                              <w:rPr>
                                <w:b/>
                                <w:bCs/>
                                <w:color w:val="B2292E"/>
                                <w:sz w:val="28"/>
                                <w:szCs w:val="28"/>
                              </w:rPr>
                              <w:t>REFLECTIVE PRACTICE QUESTIONS</w:t>
                            </w:r>
                          </w:p>
                          <w:p w14:paraId="1A5C16F1" w14:textId="77777777" w:rsidR="005454DE" w:rsidRPr="003240C7" w:rsidRDefault="005454DE" w:rsidP="005454DE">
                            <w:pPr>
                              <w:pStyle w:val="ListParagraph"/>
                              <w:numPr>
                                <w:ilvl w:val="0"/>
                                <w:numId w:val="5"/>
                              </w:numPr>
                              <w:ind w:left="426"/>
                              <w:rPr>
                                <w:rStyle w:val="Heading2Char"/>
                                <w:rFonts w:cstheme="minorHAnsi"/>
                                <w:color w:val="000000" w:themeColor="text1"/>
                                <w:sz w:val="24"/>
                                <w:szCs w:val="24"/>
                              </w:rPr>
                            </w:pPr>
                            <w:r w:rsidRPr="003240C7">
                              <w:rPr>
                                <w:rStyle w:val="Heading2Char"/>
                                <w:rFonts w:cstheme="minorHAnsi"/>
                                <w:color w:val="000000" w:themeColor="text1"/>
                                <w:sz w:val="24"/>
                                <w:szCs w:val="24"/>
                              </w:rPr>
                              <w:t>Which self-care strategies do you use to support your wellbeing at home?</w:t>
                            </w:r>
                          </w:p>
                          <w:p w14:paraId="59E8E3EE" w14:textId="77777777" w:rsidR="005454DE" w:rsidRPr="003240C7" w:rsidRDefault="005454DE" w:rsidP="005454DE">
                            <w:pPr>
                              <w:pStyle w:val="ListParagraph"/>
                              <w:numPr>
                                <w:ilvl w:val="0"/>
                                <w:numId w:val="5"/>
                              </w:numPr>
                              <w:ind w:left="426"/>
                              <w:rPr>
                                <w:rStyle w:val="Heading2Char"/>
                                <w:rFonts w:cstheme="minorHAnsi"/>
                                <w:color w:val="000000" w:themeColor="text1"/>
                                <w:sz w:val="24"/>
                                <w:szCs w:val="24"/>
                              </w:rPr>
                            </w:pPr>
                            <w:r w:rsidRPr="003240C7">
                              <w:rPr>
                                <w:rStyle w:val="Heading2Char"/>
                                <w:rFonts w:cstheme="minorHAnsi"/>
                                <w:color w:val="000000" w:themeColor="text1"/>
                                <w:sz w:val="24"/>
                                <w:szCs w:val="24"/>
                              </w:rPr>
                              <w:t>What strategies do you draw from to support your wellbeing at work?</w:t>
                            </w:r>
                          </w:p>
                          <w:p w14:paraId="567D0D22" w14:textId="77777777" w:rsidR="005454DE" w:rsidRDefault="005454DE" w:rsidP="005454DE">
                            <w:pPr>
                              <w:pStyle w:val="ListParagraph"/>
                              <w:numPr>
                                <w:ilvl w:val="0"/>
                                <w:numId w:val="5"/>
                              </w:numPr>
                              <w:ind w:left="426"/>
                              <w:rPr>
                                <w:rStyle w:val="Heading2Char"/>
                                <w:rFonts w:cstheme="minorHAnsi"/>
                                <w:color w:val="000000" w:themeColor="text1"/>
                                <w:sz w:val="24"/>
                                <w:szCs w:val="24"/>
                              </w:rPr>
                            </w:pPr>
                            <w:r w:rsidRPr="003240C7">
                              <w:rPr>
                                <w:rStyle w:val="Heading2Char"/>
                                <w:rFonts w:cstheme="minorHAnsi"/>
                                <w:color w:val="000000" w:themeColor="text1"/>
                                <w:sz w:val="24"/>
                                <w:szCs w:val="24"/>
                              </w:rPr>
                              <w:t>What ideas mentioned in the video resonate most with you?</w:t>
                            </w:r>
                          </w:p>
                          <w:p w14:paraId="166DABDE" w14:textId="77777777" w:rsidR="005454DE" w:rsidRPr="005454DE" w:rsidRDefault="005454DE" w:rsidP="005454DE">
                            <w:pPr>
                              <w:pStyle w:val="ListParagraph"/>
                              <w:numPr>
                                <w:ilvl w:val="0"/>
                                <w:numId w:val="5"/>
                              </w:numPr>
                              <w:ind w:left="426"/>
                              <w:rPr>
                                <w:rFonts w:asciiTheme="majorHAnsi" w:eastAsiaTheme="majorEastAsia" w:hAnsiTheme="majorHAnsi" w:cstheme="minorHAnsi"/>
                                <w:color w:val="000000" w:themeColor="text1"/>
                                <w:sz w:val="24"/>
                                <w:szCs w:val="24"/>
                              </w:rPr>
                            </w:pPr>
                            <w:r w:rsidRPr="005454DE">
                              <w:rPr>
                                <w:rStyle w:val="Heading2Char"/>
                                <w:rFonts w:cstheme="minorHAnsi"/>
                                <w:color w:val="000000" w:themeColor="text1"/>
                                <w:sz w:val="24"/>
                                <w:szCs w:val="24"/>
                              </w:rPr>
                              <w:t>How do these differ from those strategies your colleagues already use?</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28901" id="_x0000_t202" coordsize="21600,21600" o:spt="202" path="m,l,21600r21600,l21600,xe">
                <v:stroke joinstyle="miter"/>
                <v:path gradientshapeok="t" o:connecttype="rect"/>
              </v:shapetype>
              <v:shape id="Text Box 20" o:spid="_x0000_s1028" type="#_x0000_t202" style="position:absolute;margin-left:271.45pt;margin-top:.25pt;width:239.25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" fillcolor="#b2292e" stroked="f" strokeweight=".5pt">
                <v:fill opacity="13107f"/>
                <v:textbox inset="3mm,3mm,3mm,3mm">
                  <w:txbxContent>
                    <w:p w14:paraId="581E3820" w14:textId="77777777" w:rsidR="005454DE" w:rsidRPr="00ED52DA" w:rsidRDefault="005454DE" w:rsidP="005454DE">
                      <w:pPr>
                        <w:spacing w:after="80"/>
                        <w:rPr>
                          <w:b/>
                          <w:bCs/>
                          <w:color w:val="B2292E"/>
                          <w:sz w:val="28"/>
                          <w:szCs w:val="28"/>
                        </w:rPr>
                      </w:pPr>
                      <w:r w:rsidRPr="00ED52DA">
                        <w:rPr>
                          <w:b/>
                          <w:bCs/>
                          <w:color w:val="B2292E"/>
                          <w:sz w:val="28"/>
                          <w:szCs w:val="28"/>
                        </w:rPr>
                        <w:t>REFLECTIVE PRACTICE QUESTIONS</w:t>
                      </w:r>
                    </w:p>
                    <w:p w14:paraId="1A5C16F1" w14:textId="77777777" w:rsidR="005454DE" w:rsidRPr="003240C7" w:rsidRDefault="005454DE" w:rsidP="005454DE">
                      <w:pPr>
                        <w:pStyle w:val="ListParagraph"/>
                        <w:numPr>
                          <w:ilvl w:val="0"/>
                          <w:numId w:val="5"/>
                        </w:numPr>
                        <w:ind w:left="426"/>
                        <w:rPr>
                          <w:rStyle w:val="Heading2Char"/>
                          <w:rFonts w:cstheme="minorHAnsi"/>
                          <w:color w:val="000000" w:themeColor="text1"/>
                          <w:sz w:val="24"/>
                          <w:szCs w:val="24"/>
                        </w:rPr>
                      </w:pPr>
                      <w:r w:rsidRPr="003240C7">
                        <w:rPr>
                          <w:rStyle w:val="Heading2Char"/>
                          <w:rFonts w:cstheme="minorHAnsi"/>
                          <w:color w:val="000000" w:themeColor="text1"/>
                          <w:sz w:val="24"/>
                          <w:szCs w:val="24"/>
                        </w:rPr>
                        <w:t>Which self-care strategies do you use to support your wellbeing at home?</w:t>
                      </w:r>
                    </w:p>
                    <w:p w14:paraId="59E8E3EE" w14:textId="77777777" w:rsidR="005454DE" w:rsidRPr="003240C7" w:rsidRDefault="005454DE" w:rsidP="005454DE">
                      <w:pPr>
                        <w:pStyle w:val="ListParagraph"/>
                        <w:numPr>
                          <w:ilvl w:val="0"/>
                          <w:numId w:val="5"/>
                        </w:numPr>
                        <w:ind w:left="426"/>
                        <w:rPr>
                          <w:rStyle w:val="Heading2Char"/>
                          <w:rFonts w:cstheme="minorHAnsi"/>
                          <w:color w:val="000000" w:themeColor="text1"/>
                          <w:sz w:val="24"/>
                          <w:szCs w:val="24"/>
                        </w:rPr>
                      </w:pPr>
                      <w:r w:rsidRPr="003240C7">
                        <w:rPr>
                          <w:rStyle w:val="Heading2Char"/>
                          <w:rFonts w:cstheme="minorHAnsi"/>
                          <w:color w:val="000000" w:themeColor="text1"/>
                          <w:sz w:val="24"/>
                          <w:szCs w:val="24"/>
                        </w:rPr>
                        <w:t>What strategies do you draw from to support your wellbeing at work?</w:t>
                      </w:r>
                    </w:p>
                    <w:p w14:paraId="567D0D22" w14:textId="77777777" w:rsidR="005454DE" w:rsidRDefault="005454DE" w:rsidP="005454DE">
                      <w:pPr>
                        <w:pStyle w:val="ListParagraph"/>
                        <w:numPr>
                          <w:ilvl w:val="0"/>
                          <w:numId w:val="5"/>
                        </w:numPr>
                        <w:ind w:left="426"/>
                        <w:rPr>
                          <w:rStyle w:val="Heading2Char"/>
                          <w:rFonts w:cstheme="minorHAnsi"/>
                          <w:color w:val="000000" w:themeColor="text1"/>
                          <w:sz w:val="24"/>
                          <w:szCs w:val="24"/>
                        </w:rPr>
                      </w:pPr>
                      <w:r w:rsidRPr="003240C7">
                        <w:rPr>
                          <w:rStyle w:val="Heading2Char"/>
                          <w:rFonts w:cstheme="minorHAnsi"/>
                          <w:color w:val="000000" w:themeColor="text1"/>
                          <w:sz w:val="24"/>
                          <w:szCs w:val="24"/>
                        </w:rPr>
                        <w:t>What ideas mentioned in the video resonate most with you?</w:t>
                      </w:r>
                    </w:p>
                    <w:p w14:paraId="166DABDE" w14:textId="77777777" w:rsidR="005454DE" w:rsidRPr="005454DE" w:rsidRDefault="005454DE" w:rsidP="005454DE">
                      <w:pPr>
                        <w:pStyle w:val="ListParagraph"/>
                        <w:numPr>
                          <w:ilvl w:val="0"/>
                          <w:numId w:val="5"/>
                        </w:numPr>
                        <w:ind w:left="426"/>
                        <w:rPr>
                          <w:rFonts w:asciiTheme="majorHAnsi" w:eastAsiaTheme="majorEastAsia" w:hAnsiTheme="majorHAnsi" w:cstheme="minorHAnsi"/>
                          <w:color w:val="000000" w:themeColor="text1"/>
                          <w:sz w:val="24"/>
                          <w:szCs w:val="24"/>
                        </w:rPr>
                      </w:pPr>
                      <w:r w:rsidRPr="005454DE">
                        <w:rPr>
                          <w:rStyle w:val="Heading2Char"/>
                          <w:rFonts w:cstheme="minorHAnsi"/>
                          <w:color w:val="000000" w:themeColor="text1"/>
                          <w:sz w:val="24"/>
                          <w:szCs w:val="24"/>
                        </w:rPr>
                        <w:t>How do these differ from those strategies your colleagues already use?</w:t>
                      </w:r>
                    </w:p>
                  </w:txbxContent>
                </v:textbox>
                <w10:wrap type="square"/>
              </v:shape>
            </w:pict>
          </mc:Fallback>
        </mc:AlternateContent>
      </w:r>
      <w:r w:rsidR="003240C7" w:rsidRPr="00ED52DA">
        <w:rPr>
          <w:b/>
          <w:bCs/>
          <w:color w:val="B2292E"/>
          <w:sz w:val="28"/>
          <w:szCs w:val="28"/>
        </w:rPr>
        <w:t>SUPPORTING RESEARCH AND EVIDENCE</w:t>
      </w:r>
    </w:p>
    <w:p w14:paraId="08672750" w14:textId="77777777" w:rsidR="003240C7" w:rsidRDefault="003240C7" w:rsidP="003240C7">
      <w:pPr>
        <w:rPr>
          <w:sz w:val="24"/>
        </w:rPr>
      </w:pPr>
      <w:r w:rsidRPr="001A39B4">
        <w:rPr>
          <w:sz w:val="24"/>
        </w:rPr>
        <w:t>McMullen et al</w:t>
      </w:r>
      <w:r>
        <w:rPr>
          <w:sz w:val="24"/>
        </w:rPr>
        <w:t>.</w:t>
      </w:r>
      <w:r w:rsidRPr="001A39B4">
        <w:rPr>
          <w:sz w:val="24"/>
        </w:rPr>
        <w:t xml:space="preserve"> </w:t>
      </w:r>
      <w:r>
        <w:rPr>
          <w:sz w:val="24"/>
        </w:rPr>
        <w:t>identified</w:t>
      </w:r>
      <w:r w:rsidRPr="001A39B4">
        <w:rPr>
          <w:sz w:val="24"/>
        </w:rPr>
        <w:t xml:space="preserve"> three factors which positively influence wellbeing for early childhood professionals</w:t>
      </w:r>
      <w:r>
        <w:rPr>
          <w:sz w:val="24"/>
        </w:rPr>
        <w:t>:</w:t>
      </w:r>
    </w:p>
    <w:p w14:paraId="785BDC5C" w14:textId="77777777" w:rsidR="003240C7" w:rsidRDefault="003240C7" w:rsidP="003240C7">
      <w:pPr>
        <w:pStyle w:val="ListParagraph"/>
        <w:numPr>
          <w:ilvl w:val="0"/>
          <w:numId w:val="4"/>
        </w:numPr>
        <w:spacing w:line="256" w:lineRule="auto"/>
        <w:ind w:left="567"/>
        <w:rPr>
          <w:sz w:val="24"/>
        </w:rPr>
      </w:pPr>
      <w:r>
        <w:rPr>
          <w:sz w:val="24"/>
        </w:rPr>
        <w:t xml:space="preserve">the importance of </w:t>
      </w:r>
      <w:r w:rsidRPr="00292BDE">
        <w:rPr>
          <w:b/>
          <w:i/>
          <w:iCs/>
          <w:sz w:val="24"/>
        </w:rPr>
        <w:t>supportive, collegial relationships</w:t>
      </w:r>
      <w:r>
        <w:rPr>
          <w:sz w:val="24"/>
        </w:rPr>
        <w:t xml:space="preserve"> </w:t>
      </w:r>
    </w:p>
    <w:p w14:paraId="7721AD61" w14:textId="77777777" w:rsidR="003240C7" w:rsidRPr="001A39B4" w:rsidRDefault="003240C7" w:rsidP="003240C7">
      <w:pPr>
        <w:pStyle w:val="ListParagraph"/>
        <w:numPr>
          <w:ilvl w:val="0"/>
          <w:numId w:val="4"/>
        </w:numPr>
        <w:spacing w:line="256" w:lineRule="auto"/>
        <w:ind w:left="567"/>
        <w:rPr>
          <w:sz w:val="24"/>
        </w:rPr>
      </w:pPr>
      <w:r>
        <w:rPr>
          <w:sz w:val="24"/>
        </w:rPr>
        <w:t xml:space="preserve">knowing our </w:t>
      </w:r>
      <w:r w:rsidRPr="00292BDE">
        <w:rPr>
          <w:b/>
          <w:i/>
          <w:iCs/>
          <w:sz w:val="24"/>
        </w:rPr>
        <w:t>purpose, professional beliefs</w:t>
      </w:r>
      <w:r w:rsidRPr="00292BDE">
        <w:rPr>
          <w:b/>
          <w:sz w:val="24"/>
        </w:rPr>
        <w:t xml:space="preserve"> and </w:t>
      </w:r>
      <w:r w:rsidRPr="00292BDE">
        <w:rPr>
          <w:b/>
          <w:i/>
          <w:iCs/>
          <w:sz w:val="24"/>
        </w:rPr>
        <w:t>values</w:t>
      </w:r>
    </w:p>
    <w:p w14:paraId="62055B19" w14:textId="77777777" w:rsidR="003240C7" w:rsidRDefault="003240C7" w:rsidP="003240C7">
      <w:pPr>
        <w:pStyle w:val="ListParagraph"/>
        <w:numPr>
          <w:ilvl w:val="0"/>
          <w:numId w:val="4"/>
        </w:numPr>
        <w:spacing w:line="256" w:lineRule="auto"/>
        <w:ind w:left="567"/>
        <w:rPr>
          <w:sz w:val="24"/>
        </w:rPr>
      </w:pPr>
      <w:r w:rsidRPr="001A39B4">
        <w:rPr>
          <w:sz w:val="24"/>
        </w:rPr>
        <w:t xml:space="preserve">the value of </w:t>
      </w:r>
      <w:r w:rsidRPr="00292BDE">
        <w:rPr>
          <w:b/>
          <w:i/>
          <w:iCs/>
          <w:sz w:val="24"/>
        </w:rPr>
        <w:t xml:space="preserve">organisational structures that support </w:t>
      </w:r>
      <w:proofErr w:type="spellStart"/>
      <w:r w:rsidRPr="00292BDE">
        <w:rPr>
          <w:b/>
          <w:i/>
          <w:iCs/>
          <w:sz w:val="24"/>
        </w:rPr>
        <w:t>wellbeing</w:t>
      </w:r>
      <w:r>
        <w:rPr>
          <w:i/>
          <w:iCs/>
          <w:sz w:val="24"/>
        </w:rPr>
        <w:t>.</w:t>
      </w:r>
      <w:r w:rsidRPr="002C2E1B">
        <w:rPr>
          <w:i/>
          <w:iCs/>
          <w:sz w:val="24"/>
          <w:szCs w:val="24"/>
          <w:vertAlign w:val="superscript"/>
        </w:rPr>
        <w:fldChar w:fldCharType="begin"/>
      </w:r>
      <w:r w:rsidRPr="002C2E1B">
        <w:rPr>
          <w:i/>
          <w:iCs/>
          <w:sz w:val="24"/>
          <w:szCs w:val="24"/>
          <w:vertAlign w:val="superscript"/>
        </w:rPr>
        <w:instrText xml:space="preserve"> NOTEREF _Ref90537077 \h  \* MERGEFORMAT </w:instrText>
      </w:r>
      <w:r w:rsidRPr="002C2E1B">
        <w:rPr>
          <w:i/>
          <w:iCs/>
          <w:sz w:val="24"/>
          <w:szCs w:val="24"/>
          <w:vertAlign w:val="superscript"/>
        </w:rPr>
      </w:r>
      <w:r w:rsidRPr="002C2E1B">
        <w:rPr>
          <w:i/>
          <w:iCs/>
          <w:sz w:val="24"/>
          <w:szCs w:val="24"/>
          <w:vertAlign w:val="superscript"/>
        </w:rPr>
        <w:fldChar w:fldCharType="separate"/>
      </w:r>
      <w:r w:rsidRPr="002C2E1B">
        <w:rPr>
          <w:i/>
          <w:iCs/>
          <w:sz w:val="24"/>
          <w:szCs w:val="24"/>
          <w:vertAlign w:val="superscript"/>
        </w:rPr>
        <w:t>iii</w:t>
      </w:r>
      <w:proofErr w:type="spellEnd"/>
      <w:r w:rsidRPr="002C2E1B">
        <w:rPr>
          <w:i/>
          <w:iCs/>
          <w:sz w:val="24"/>
          <w:szCs w:val="24"/>
          <w:vertAlign w:val="superscript"/>
        </w:rPr>
        <w:fldChar w:fldCharType="end"/>
      </w:r>
    </w:p>
    <w:p w14:paraId="0284A77A" w14:textId="77777777" w:rsidR="005F26F6" w:rsidRPr="005F26F6" w:rsidRDefault="005F26F6" w:rsidP="005F26F6">
      <w:pPr>
        <w:spacing w:line="256" w:lineRule="auto"/>
        <w:rPr>
          <w:sz w:val="24"/>
          <w:lang w:val="en-GB"/>
        </w:rPr>
      </w:pPr>
      <w:r w:rsidRPr="005F26F6">
        <w:rPr>
          <w:sz w:val="24"/>
          <w:lang w:val="en-GB"/>
        </w:rPr>
        <w:t>These factors were all evident in the strategies identified in the survey. The qualitative data further demonstrated the importance of service leaders and providers committing to educator wellbeing through, for example, access to professional learning, supports such as employee assistance programs and recognising professional boundaries.</w:t>
      </w:r>
    </w:p>
    <w:p w14:paraId="36199B2F" w14:textId="77777777" w:rsidR="003240C7" w:rsidRPr="001A39B4" w:rsidRDefault="003240C7" w:rsidP="003240C7">
      <w:pPr>
        <w:spacing w:line="256" w:lineRule="auto"/>
        <w:rPr>
          <w:sz w:val="24"/>
        </w:rPr>
      </w:pPr>
      <w:r w:rsidRPr="001A39B4">
        <w:rPr>
          <w:sz w:val="24"/>
        </w:rPr>
        <w:t xml:space="preserve">This data also aligns with </w:t>
      </w:r>
      <w:r>
        <w:rPr>
          <w:sz w:val="24"/>
        </w:rPr>
        <w:t>new</w:t>
      </w:r>
      <w:r w:rsidRPr="001A39B4">
        <w:rPr>
          <w:sz w:val="24"/>
        </w:rPr>
        <w:t xml:space="preserve"> Australian research by Eadie et al. </w:t>
      </w:r>
      <w:r>
        <w:rPr>
          <w:sz w:val="24"/>
        </w:rPr>
        <w:t>which</w:t>
      </w:r>
      <w:r w:rsidRPr="001A39B4">
        <w:rPr>
          <w:sz w:val="24"/>
        </w:rPr>
        <w:t xml:space="preserve"> found that organisations that support staff wellbeing lowered the risk of educator turnover</w:t>
      </w:r>
      <w:r>
        <w:rPr>
          <w:sz w:val="24"/>
        </w:rPr>
        <w:t>.</w:t>
      </w:r>
      <w:r>
        <w:rPr>
          <w:rStyle w:val="EndnoteReference"/>
          <w:sz w:val="24"/>
        </w:rPr>
        <w:endnoteReference w:id="4"/>
      </w:r>
    </w:p>
    <w:p w14:paraId="69AF18FE" w14:textId="77777777" w:rsidR="003240C7" w:rsidRDefault="003240C7" w:rsidP="003240C7">
      <w:pPr>
        <w:rPr>
          <w:sz w:val="24"/>
        </w:rPr>
      </w:pPr>
      <w:r>
        <w:rPr>
          <w:sz w:val="24"/>
        </w:rPr>
        <w:t xml:space="preserve">Recognition of the importance of early childhood educator wellbeing is growing; see, for example, </w:t>
      </w:r>
      <w:hyperlink r:id="rId16" w:history="1">
        <w:r w:rsidRPr="00A836DC">
          <w:rPr>
            <w:rStyle w:val="Hyperlink"/>
            <w:sz w:val="24"/>
          </w:rPr>
          <w:t>Be</w:t>
        </w:r>
        <w:r>
          <w:rPr>
            <w:rStyle w:val="Hyperlink"/>
            <w:sz w:val="24"/>
          </w:rPr>
          <w:t xml:space="preserve"> </w:t>
        </w:r>
        <w:r w:rsidRPr="00A836DC">
          <w:rPr>
            <w:rStyle w:val="Hyperlink"/>
            <w:sz w:val="24"/>
          </w:rPr>
          <w:t>You</w:t>
        </w:r>
      </w:hyperlink>
      <w:r>
        <w:rPr>
          <w:sz w:val="24"/>
        </w:rPr>
        <w:t xml:space="preserve"> and the evidence base supporting this important initiative. Research also highlights the value of the ECEC sector and how the wellbeing and resilience of the workforce supports program quality and child outcomes.</w:t>
      </w:r>
      <w:bookmarkStart w:id="3" w:name="_Hlk90403097"/>
      <w:r>
        <w:rPr>
          <w:rStyle w:val="EndnoteReference"/>
          <w:sz w:val="24"/>
        </w:rPr>
        <w:endnoteReference w:id="5"/>
      </w:r>
    </w:p>
    <w:p w14:paraId="37F0257C" w14:textId="77777777" w:rsidR="003240C7" w:rsidRPr="005454DE" w:rsidRDefault="003240C7" w:rsidP="005454DE">
      <w:pPr>
        <w:rPr>
          <w:rStyle w:val="Heading2Char"/>
          <w:rFonts w:cstheme="minorHAnsi"/>
          <w:color w:val="000000" w:themeColor="text1"/>
          <w:sz w:val="24"/>
          <w:szCs w:val="24"/>
        </w:rPr>
      </w:pPr>
    </w:p>
    <w:p w14:paraId="12DADBB1" w14:textId="77777777" w:rsidR="003240C7" w:rsidRPr="00ED52DA" w:rsidRDefault="003240C7" w:rsidP="005454DE">
      <w:pPr>
        <w:spacing w:after="80"/>
        <w:rPr>
          <w:b/>
          <w:bCs/>
          <w:color w:val="B2292E"/>
          <w:sz w:val="28"/>
          <w:szCs w:val="28"/>
        </w:rPr>
      </w:pPr>
      <w:r w:rsidRPr="00ED52DA">
        <w:rPr>
          <w:b/>
          <w:bCs/>
          <w:color w:val="B2292E"/>
          <w:sz w:val="28"/>
          <w:szCs w:val="28"/>
        </w:rPr>
        <w:t>FURTHER INFORMATION AND SUPPORT</w:t>
      </w:r>
      <w:bookmarkEnd w:id="3"/>
    </w:p>
    <w:p w14:paraId="712AE060" w14:textId="77777777" w:rsidR="003240C7" w:rsidRPr="00361A0B" w:rsidRDefault="003240C7" w:rsidP="003240C7">
      <w:pPr>
        <w:rPr>
          <w:sz w:val="24"/>
          <w:szCs w:val="24"/>
        </w:rPr>
      </w:pPr>
      <w:bookmarkStart w:id="4" w:name="_Hlk90538057"/>
      <w:r w:rsidRPr="00361A0B">
        <w:rPr>
          <w:sz w:val="24"/>
          <w:szCs w:val="24"/>
        </w:rPr>
        <w:t>Remember, there are a range of services and resources available to support your wellbeing:</w:t>
      </w:r>
    </w:p>
    <w:p w14:paraId="14EEC33B" w14:textId="77777777" w:rsidR="003240C7" w:rsidRDefault="003240C7" w:rsidP="003240C7">
      <w:pPr>
        <w:pStyle w:val="ListParagraph"/>
        <w:numPr>
          <w:ilvl w:val="0"/>
          <w:numId w:val="2"/>
        </w:numPr>
        <w:ind w:left="360"/>
        <w:rPr>
          <w:sz w:val="24"/>
          <w:szCs w:val="24"/>
        </w:rPr>
      </w:pPr>
      <w:r w:rsidRPr="00361A0B">
        <w:rPr>
          <w:sz w:val="24"/>
          <w:szCs w:val="24"/>
        </w:rPr>
        <w:t>Call the Beyond Blue Support Service</w:t>
      </w:r>
      <w:r>
        <w:rPr>
          <w:sz w:val="24"/>
          <w:szCs w:val="24"/>
        </w:rPr>
        <w:t xml:space="preserve"> on</w:t>
      </w:r>
      <w:r w:rsidRPr="00361A0B">
        <w:rPr>
          <w:sz w:val="24"/>
          <w:szCs w:val="24"/>
        </w:rPr>
        <w:t xml:space="preserve"> 1300 22 4636</w:t>
      </w:r>
    </w:p>
    <w:p w14:paraId="26C467C1" w14:textId="77777777" w:rsidR="003240C7" w:rsidRPr="00361A0B" w:rsidRDefault="003240C7" w:rsidP="003240C7">
      <w:pPr>
        <w:pStyle w:val="ListParagraph"/>
        <w:numPr>
          <w:ilvl w:val="0"/>
          <w:numId w:val="2"/>
        </w:numPr>
        <w:ind w:left="360"/>
        <w:rPr>
          <w:sz w:val="24"/>
          <w:szCs w:val="24"/>
        </w:rPr>
      </w:pPr>
      <w:r>
        <w:rPr>
          <w:sz w:val="24"/>
          <w:szCs w:val="24"/>
        </w:rPr>
        <w:t xml:space="preserve">Explore </w:t>
      </w:r>
      <w:hyperlink r:id="rId17" w:history="1">
        <w:r w:rsidRPr="00DC2F0E">
          <w:rPr>
            <w:rStyle w:val="Hyperlink"/>
            <w:sz w:val="24"/>
            <w:szCs w:val="24"/>
          </w:rPr>
          <w:t>Be You</w:t>
        </w:r>
      </w:hyperlink>
    </w:p>
    <w:p w14:paraId="57CD2F3A" w14:textId="77777777" w:rsidR="003240C7" w:rsidRDefault="003240C7" w:rsidP="003240C7">
      <w:pPr>
        <w:pStyle w:val="ListParagraph"/>
        <w:numPr>
          <w:ilvl w:val="0"/>
          <w:numId w:val="2"/>
        </w:numPr>
        <w:ind w:left="360"/>
        <w:rPr>
          <w:sz w:val="24"/>
          <w:szCs w:val="24"/>
        </w:rPr>
      </w:pPr>
      <w:r w:rsidRPr="00361A0B">
        <w:rPr>
          <w:sz w:val="24"/>
          <w:szCs w:val="24"/>
        </w:rPr>
        <w:t>Access your Employee Assistance Program (EAP)</w:t>
      </w:r>
      <w:r>
        <w:rPr>
          <w:sz w:val="24"/>
          <w:szCs w:val="24"/>
        </w:rPr>
        <w:t>,</w:t>
      </w:r>
      <w:r w:rsidRPr="00361A0B">
        <w:rPr>
          <w:sz w:val="24"/>
          <w:szCs w:val="24"/>
        </w:rPr>
        <w:t xml:space="preserve"> if available</w:t>
      </w:r>
    </w:p>
    <w:p w14:paraId="7599B549" w14:textId="77777777" w:rsidR="003240C7" w:rsidRDefault="003240C7" w:rsidP="003240C7">
      <w:pPr>
        <w:pStyle w:val="ListParagraph"/>
        <w:numPr>
          <w:ilvl w:val="0"/>
          <w:numId w:val="2"/>
        </w:numPr>
        <w:ind w:left="360"/>
        <w:rPr>
          <w:sz w:val="24"/>
          <w:szCs w:val="24"/>
        </w:rPr>
      </w:pPr>
      <w:r w:rsidRPr="008C6D4B">
        <w:rPr>
          <w:sz w:val="24"/>
          <w:szCs w:val="24"/>
        </w:rPr>
        <w:t xml:space="preserve">Speak with your </w:t>
      </w:r>
      <w:r>
        <w:rPr>
          <w:sz w:val="24"/>
          <w:szCs w:val="24"/>
        </w:rPr>
        <w:t>General Practitioner (</w:t>
      </w:r>
      <w:r w:rsidRPr="008C6D4B">
        <w:rPr>
          <w:sz w:val="24"/>
          <w:szCs w:val="24"/>
        </w:rPr>
        <w:t>GP</w:t>
      </w:r>
      <w:r>
        <w:rPr>
          <w:sz w:val="24"/>
          <w:szCs w:val="24"/>
        </w:rPr>
        <w:t>)</w:t>
      </w:r>
    </w:p>
    <w:p w14:paraId="24CC9CF8" w14:textId="77777777" w:rsidR="003240C7" w:rsidRPr="003741A9" w:rsidRDefault="003240C7" w:rsidP="003240C7">
      <w:pPr>
        <w:pStyle w:val="ListParagraph"/>
        <w:numPr>
          <w:ilvl w:val="0"/>
          <w:numId w:val="2"/>
        </w:numPr>
        <w:ind w:left="360"/>
        <w:rPr>
          <w:sz w:val="24"/>
          <w:szCs w:val="24"/>
        </w:rPr>
      </w:pPr>
      <w:r>
        <w:rPr>
          <w:sz w:val="24"/>
          <w:szCs w:val="24"/>
        </w:rPr>
        <w:t>Visit</w:t>
      </w:r>
      <w:r w:rsidRPr="008C6D4B">
        <w:rPr>
          <w:sz w:val="24"/>
          <w:szCs w:val="24"/>
        </w:rPr>
        <w:t xml:space="preserve"> the Department’s </w:t>
      </w:r>
      <w:hyperlink r:id="rId18" w:history="1">
        <w:r w:rsidRPr="008C6D4B">
          <w:rPr>
            <w:rStyle w:val="Hyperlink"/>
            <w:sz w:val="24"/>
            <w:szCs w:val="24"/>
          </w:rPr>
          <w:t>Supporting early childhood educator mental health and wellbeing</w:t>
        </w:r>
      </w:hyperlink>
      <w:r w:rsidRPr="008C6D4B">
        <w:rPr>
          <w:sz w:val="24"/>
          <w:szCs w:val="24"/>
        </w:rPr>
        <w:t xml:space="preserve"> webpage</w:t>
      </w:r>
      <w:r>
        <w:rPr>
          <w:sz w:val="24"/>
          <w:szCs w:val="24"/>
        </w:rPr>
        <w:t>.</w:t>
      </w:r>
    </w:p>
    <w:p w14:paraId="58AE9BDA" w14:textId="60D82034" w:rsidR="003240C7" w:rsidRPr="003240C7" w:rsidRDefault="003240C7">
      <w:pPr>
        <w:rPr>
          <w:sz w:val="24"/>
        </w:rPr>
        <w:sectPr w:rsidR="003240C7" w:rsidRPr="003240C7" w:rsidSect="003240C7">
          <w:type w:val="continuous"/>
          <w:pgSz w:w="11900" w:h="16840"/>
          <w:pgMar w:top="1588" w:right="851" w:bottom="1701" w:left="851" w:header="709" w:footer="709" w:gutter="0"/>
          <w:cols w:num="2" w:space="708"/>
          <w:docGrid w:linePitch="360"/>
        </w:sectPr>
      </w:pPr>
      <w:r w:rsidRPr="00C13DF9">
        <w:rPr>
          <w:sz w:val="24"/>
        </w:rPr>
        <w:t>If you need an interpreter to help</w:t>
      </w:r>
      <w:r>
        <w:rPr>
          <w:sz w:val="24"/>
        </w:rPr>
        <w:t xml:space="preserve"> you</w:t>
      </w:r>
      <w:r w:rsidRPr="00C13DF9">
        <w:rPr>
          <w:sz w:val="24"/>
        </w:rPr>
        <w:t xml:space="preserve"> speak with any</w:t>
      </w:r>
      <w:r>
        <w:rPr>
          <w:sz w:val="24"/>
        </w:rPr>
        <w:t xml:space="preserve"> </w:t>
      </w:r>
      <w:r w:rsidRPr="00C13DF9">
        <w:rPr>
          <w:sz w:val="24"/>
        </w:rPr>
        <w:t xml:space="preserve">of these services, you can call the Translating and Interpreting Service </w:t>
      </w:r>
      <w:r>
        <w:rPr>
          <w:sz w:val="24"/>
        </w:rPr>
        <w:br/>
      </w:r>
      <w:r w:rsidRPr="00C13DF9">
        <w:rPr>
          <w:sz w:val="24"/>
        </w:rPr>
        <w:t>(TIS National) on 13 14 50</w:t>
      </w:r>
      <w:bookmarkEnd w:id="4"/>
      <w:r w:rsidR="000D17F7">
        <w:rPr>
          <w:sz w:val="24"/>
        </w:rPr>
        <w:t>.</w:t>
      </w:r>
    </w:p>
    <w:p w14:paraId="3D9DD828" w14:textId="77777777" w:rsidR="003240C7" w:rsidRDefault="003240C7"/>
    <w:sectPr w:rsidR="003240C7" w:rsidSect="003240C7">
      <w:type w:val="continuous"/>
      <w:pgSz w:w="11900" w:h="16840"/>
      <w:pgMar w:top="1701"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A2EE" w14:textId="077A86EC" w:rsidR="00D17A96" w:rsidRDefault="009B06A5" w:rsidP="00FE252C">
      <w:pPr>
        <w:spacing w:after="0" w:line="240" w:lineRule="auto"/>
      </w:pPr>
      <w:r>
        <w:t>__________________________________________________________________________________________</w:t>
      </w:r>
    </w:p>
  </w:endnote>
  <w:endnote w:type="continuationSeparator" w:id="0">
    <w:p w14:paraId="38AC4E57" w14:textId="77777777" w:rsidR="00D17A96" w:rsidRDefault="00D17A96" w:rsidP="00FE252C">
      <w:pPr>
        <w:spacing w:after="0" w:line="240" w:lineRule="auto"/>
      </w:pPr>
      <w:r>
        <w:continuationSeparator/>
      </w:r>
    </w:p>
  </w:endnote>
  <w:endnote w:id="1">
    <w:p w14:paraId="45463D31" w14:textId="77777777" w:rsidR="003240C7" w:rsidRPr="003240C7" w:rsidRDefault="003240C7" w:rsidP="003240C7">
      <w:pPr>
        <w:spacing w:afterLines="20" w:after="48" w:line="240" w:lineRule="auto"/>
        <w:rPr>
          <w:rFonts w:cstheme="minorHAnsi"/>
          <w:spacing w:val="-2"/>
          <w:sz w:val="20"/>
          <w:szCs w:val="20"/>
        </w:rPr>
      </w:pPr>
      <w:r w:rsidRPr="003240C7">
        <w:rPr>
          <w:rStyle w:val="EndnoteReference"/>
          <w:rFonts w:cstheme="minorHAnsi"/>
          <w:spacing w:val="-2"/>
          <w:sz w:val="20"/>
          <w:szCs w:val="20"/>
        </w:rPr>
        <w:endnoteRef/>
      </w:r>
      <w:r w:rsidRPr="003240C7">
        <w:rPr>
          <w:rFonts w:cstheme="minorHAnsi"/>
          <w:spacing w:val="-2"/>
          <w:sz w:val="20"/>
          <w:szCs w:val="20"/>
        </w:rPr>
        <w:t xml:space="preserve"> </w:t>
      </w:r>
      <w:r w:rsidRPr="005454DE">
        <w:rPr>
          <w:rFonts w:cstheme="minorHAnsi"/>
          <w:spacing w:val="-2"/>
          <w:sz w:val="17"/>
          <w:szCs w:val="17"/>
        </w:rPr>
        <w:t>Topp, C.W., Østergaard, S.D., Søndergaard, S., &amp; Bech, P. (2015). The WHO-5 Well-Being Index: A Systematic Review of the Literature. </w:t>
      </w:r>
      <w:r w:rsidRPr="005454DE">
        <w:rPr>
          <w:rFonts w:cstheme="minorHAnsi"/>
          <w:i/>
          <w:iCs/>
          <w:spacing w:val="-2"/>
          <w:sz w:val="17"/>
          <w:szCs w:val="17"/>
        </w:rPr>
        <w:t>Psychotherapy and Psychosomatics, 84</w:t>
      </w:r>
      <w:r w:rsidRPr="005454DE">
        <w:rPr>
          <w:rFonts w:cstheme="minorHAnsi"/>
          <w:spacing w:val="-2"/>
          <w:sz w:val="17"/>
          <w:szCs w:val="17"/>
        </w:rPr>
        <w:t>, 167-176.</w:t>
      </w:r>
    </w:p>
  </w:endnote>
  <w:endnote w:id="2">
    <w:p w14:paraId="32A6559F" w14:textId="77777777" w:rsidR="003240C7" w:rsidRPr="003240C7" w:rsidRDefault="003240C7" w:rsidP="003240C7">
      <w:pPr>
        <w:pStyle w:val="EndnoteText"/>
        <w:spacing w:afterLines="20" w:after="48"/>
        <w:rPr>
          <w:rFonts w:cstheme="minorHAnsi"/>
          <w:spacing w:val="-2"/>
        </w:rPr>
      </w:pPr>
      <w:r w:rsidRPr="003240C7">
        <w:rPr>
          <w:rStyle w:val="EndnoteReference"/>
          <w:rFonts w:cstheme="minorHAnsi"/>
          <w:spacing w:val="-2"/>
        </w:rPr>
        <w:endnoteRef/>
      </w:r>
      <w:r w:rsidRPr="003240C7">
        <w:rPr>
          <w:rFonts w:cstheme="minorHAnsi"/>
          <w:spacing w:val="-2"/>
        </w:rPr>
        <w:t xml:space="preserve"> </w:t>
      </w:r>
      <w:r w:rsidRPr="005454DE">
        <w:rPr>
          <w:rFonts w:cstheme="minorHAnsi"/>
          <w:spacing w:val="-2"/>
          <w:sz w:val="17"/>
          <w:szCs w:val="17"/>
          <w:shd w:val="clear" w:color="auto" w:fill="FFFFFF"/>
        </w:rPr>
        <w:t>Smith, B.W., Dalen, J., Wiggins, K., Tooley, E., Christopher, P., &amp; Bernard, J. (2008). The Brief Resilience Scale: Assessing the Ability to Bounce Back. </w:t>
      </w:r>
      <w:r w:rsidRPr="005454DE">
        <w:rPr>
          <w:rStyle w:val="Emphasis"/>
          <w:rFonts w:cstheme="minorHAnsi"/>
          <w:spacing w:val="-2"/>
          <w:sz w:val="17"/>
          <w:szCs w:val="17"/>
          <w:shd w:val="clear" w:color="auto" w:fill="FFFFFF"/>
        </w:rPr>
        <w:t>International Journal of Behavioral Medicine, 15</w:t>
      </w:r>
      <w:r w:rsidRPr="005454DE">
        <w:rPr>
          <w:rFonts w:cstheme="minorHAnsi"/>
          <w:spacing w:val="-2"/>
          <w:sz w:val="17"/>
          <w:szCs w:val="17"/>
          <w:shd w:val="clear" w:color="auto" w:fill="FFFFFF"/>
        </w:rPr>
        <w:t>, 194-200.</w:t>
      </w:r>
    </w:p>
  </w:endnote>
  <w:endnote w:id="3">
    <w:p w14:paraId="322F7FEA" w14:textId="77777777" w:rsidR="003240C7" w:rsidRPr="003240C7" w:rsidRDefault="003240C7" w:rsidP="003240C7">
      <w:pPr>
        <w:spacing w:afterLines="20" w:after="48" w:line="240" w:lineRule="auto"/>
        <w:rPr>
          <w:rFonts w:cstheme="minorHAnsi"/>
          <w:spacing w:val="-2"/>
          <w:sz w:val="20"/>
          <w:szCs w:val="20"/>
          <w:shd w:val="clear" w:color="auto" w:fill="FCFCFC"/>
        </w:rPr>
      </w:pPr>
      <w:r w:rsidRPr="003240C7">
        <w:rPr>
          <w:rStyle w:val="EndnoteReference"/>
          <w:rFonts w:cstheme="minorHAnsi"/>
          <w:spacing w:val="-2"/>
          <w:sz w:val="20"/>
          <w:szCs w:val="20"/>
        </w:rPr>
        <w:endnoteRef/>
      </w:r>
      <w:r w:rsidRPr="003240C7">
        <w:rPr>
          <w:rFonts w:cstheme="minorHAnsi"/>
          <w:spacing w:val="-2"/>
          <w:sz w:val="20"/>
          <w:szCs w:val="20"/>
        </w:rPr>
        <w:t xml:space="preserve"> </w:t>
      </w:r>
      <w:r w:rsidRPr="005454DE">
        <w:rPr>
          <w:rFonts w:cstheme="minorHAnsi"/>
          <w:spacing w:val="-2"/>
          <w:sz w:val="17"/>
          <w:szCs w:val="17"/>
          <w:shd w:val="clear" w:color="auto" w:fill="FCFCFC"/>
        </w:rPr>
        <w:t xml:space="preserve">McMullen, M., Lee, M., McCormick, K., &amp; Choi, J. (2020). Early Childhood Professional Well-Being as a Predictor of the Risk of Turnover in Child Care: A Matter of Quality. </w:t>
      </w:r>
      <w:r w:rsidRPr="005454DE">
        <w:rPr>
          <w:rFonts w:cstheme="minorHAnsi"/>
          <w:i/>
          <w:iCs/>
          <w:spacing w:val="-2"/>
          <w:sz w:val="17"/>
          <w:szCs w:val="17"/>
          <w:shd w:val="clear" w:color="auto" w:fill="FCFCFC"/>
        </w:rPr>
        <w:t>Journal of Research in Childhood Education</w:t>
      </w:r>
      <w:r w:rsidRPr="005454DE">
        <w:rPr>
          <w:rFonts w:cstheme="minorHAnsi"/>
          <w:spacing w:val="-2"/>
          <w:sz w:val="17"/>
          <w:szCs w:val="17"/>
          <w:shd w:val="clear" w:color="auto" w:fill="FCFCFC"/>
        </w:rPr>
        <w:t xml:space="preserve">, </w:t>
      </w:r>
      <w:r w:rsidRPr="005454DE">
        <w:rPr>
          <w:rFonts w:cstheme="minorHAnsi"/>
          <w:i/>
          <w:spacing w:val="-2"/>
          <w:sz w:val="17"/>
          <w:szCs w:val="17"/>
          <w:shd w:val="clear" w:color="auto" w:fill="FCFCFC"/>
        </w:rPr>
        <w:t>34</w:t>
      </w:r>
      <w:r w:rsidRPr="005454DE">
        <w:rPr>
          <w:rFonts w:cstheme="minorHAnsi"/>
          <w:spacing w:val="-2"/>
          <w:sz w:val="17"/>
          <w:szCs w:val="17"/>
          <w:shd w:val="clear" w:color="auto" w:fill="FCFCFC"/>
        </w:rPr>
        <w:t xml:space="preserve">(3), 331-345. </w:t>
      </w:r>
      <w:hyperlink r:id="rId1" w:history="1">
        <w:r w:rsidRPr="005454DE">
          <w:rPr>
            <w:rFonts w:cstheme="minorHAnsi"/>
            <w:spacing w:val="-2"/>
            <w:sz w:val="17"/>
            <w:szCs w:val="17"/>
            <w:shd w:val="clear" w:color="auto" w:fill="FCFCFC"/>
          </w:rPr>
          <w:t>https://dio.org/10.1080/02568543.2019.1705446</w:t>
        </w:r>
      </w:hyperlink>
      <w:r w:rsidR="00292BDE">
        <w:rPr>
          <w:rFonts w:cstheme="minorHAnsi"/>
          <w:spacing w:val="-2"/>
          <w:sz w:val="17"/>
          <w:szCs w:val="17"/>
          <w:shd w:val="clear" w:color="auto" w:fill="FCFCFC"/>
        </w:rPr>
        <w:t>.</w:t>
      </w:r>
      <w:r w:rsidRPr="003240C7">
        <w:rPr>
          <w:rFonts w:cstheme="minorHAnsi"/>
          <w:spacing w:val="-2"/>
          <w:sz w:val="20"/>
          <w:szCs w:val="20"/>
          <w:shd w:val="clear" w:color="auto" w:fill="FCFCFC"/>
        </w:rPr>
        <w:t xml:space="preserve"> </w:t>
      </w:r>
    </w:p>
  </w:endnote>
  <w:endnote w:id="4">
    <w:p w14:paraId="634B14F7" w14:textId="3D8A2B2C" w:rsidR="003240C7" w:rsidRPr="003240C7" w:rsidRDefault="003240C7" w:rsidP="003240C7">
      <w:pPr>
        <w:pStyle w:val="EndnoteText"/>
        <w:spacing w:afterLines="20" w:after="48"/>
        <w:rPr>
          <w:spacing w:val="-2"/>
        </w:rPr>
      </w:pPr>
      <w:r w:rsidRPr="003240C7">
        <w:rPr>
          <w:rStyle w:val="EndnoteReference"/>
          <w:rFonts w:cstheme="minorHAnsi"/>
          <w:spacing w:val="-2"/>
        </w:rPr>
        <w:endnoteRef/>
      </w:r>
      <w:r w:rsidRPr="003240C7">
        <w:rPr>
          <w:rFonts w:cstheme="minorHAnsi"/>
          <w:spacing w:val="-2"/>
        </w:rPr>
        <w:t xml:space="preserve"> </w:t>
      </w:r>
      <w:r w:rsidRPr="003240C7">
        <w:rPr>
          <w:rFonts w:cstheme="minorHAnsi"/>
          <w:spacing w:val="-2"/>
          <w:sz w:val="17"/>
          <w:szCs w:val="17"/>
          <w:shd w:val="clear" w:color="auto" w:fill="FCFCFC"/>
        </w:rPr>
        <w:t>Eadie, P., Levickis, P., Murray, L., Page, J., Elek, C., &amp; Church, A. (2021). Early Childhood Educators’ Wellbeing During the COVID-19 Pandemic. </w:t>
      </w:r>
      <w:r w:rsidRPr="003240C7">
        <w:rPr>
          <w:rFonts w:cstheme="minorHAnsi"/>
          <w:i/>
          <w:iCs/>
          <w:spacing w:val="-2"/>
          <w:sz w:val="17"/>
          <w:szCs w:val="17"/>
          <w:shd w:val="clear" w:color="auto" w:fill="FCFCFC"/>
        </w:rPr>
        <w:t>Early Childhood Education Journal,</w:t>
      </w:r>
      <w:r w:rsidRPr="003240C7">
        <w:rPr>
          <w:rFonts w:cstheme="minorHAnsi"/>
          <w:spacing w:val="-2"/>
          <w:sz w:val="17"/>
          <w:szCs w:val="17"/>
          <w:shd w:val="clear" w:color="auto" w:fill="FCFCFC"/>
        </w:rPr>
        <w:t> </w:t>
      </w:r>
      <w:r w:rsidRPr="003240C7">
        <w:rPr>
          <w:rFonts w:cstheme="minorHAnsi"/>
          <w:i/>
          <w:spacing w:val="-2"/>
          <w:sz w:val="17"/>
          <w:szCs w:val="17"/>
          <w:shd w:val="clear" w:color="auto" w:fill="FCFCFC"/>
        </w:rPr>
        <w:t>49</w:t>
      </w:r>
      <w:r w:rsidRPr="003240C7">
        <w:rPr>
          <w:rFonts w:cstheme="minorHAnsi"/>
          <w:b/>
          <w:bCs/>
          <w:spacing w:val="-2"/>
          <w:sz w:val="17"/>
          <w:szCs w:val="17"/>
          <w:shd w:val="clear" w:color="auto" w:fill="FCFCFC"/>
        </w:rPr>
        <w:t>, </w:t>
      </w:r>
      <w:r w:rsidRPr="003240C7">
        <w:rPr>
          <w:rFonts w:cstheme="minorHAnsi"/>
          <w:spacing w:val="-2"/>
          <w:sz w:val="17"/>
          <w:szCs w:val="17"/>
          <w:shd w:val="clear" w:color="auto" w:fill="FCFCFC"/>
        </w:rPr>
        <w:t xml:space="preserve">903–913. </w:t>
      </w:r>
      <w:r w:rsidRPr="000D17F7">
        <w:rPr>
          <w:rFonts w:cstheme="minorHAnsi"/>
          <w:spacing w:val="-2"/>
          <w:sz w:val="17"/>
          <w:szCs w:val="17"/>
          <w:shd w:val="clear" w:color="auto" w:fill="FCFCFC"/>
        </w:rPr>
        <w:t>https://doi.org/10.1007/s10643-021-01203-3</w:t>
      </w:r>
      <w:r w:rsidR="00292BDE">
        <w:rPr>
          <w:rStyle w:val="Hyperlink"/>
          <w:rFonts w:cstheme="minorHAnsi"/>
          <w:spacing w:val="-2"/>
          <w:sz w:val="17"/>
          <w:szCs w:val="17"/>
          <w:shd w:val="clear" w:color="auto" w:fill="FCFCFC"/>
        </w:rPr>
        <w:t>.</w:t>
      </w:r>
    </w:p>
  </w:endnote>
  <w:endnote w:id="5">
    <w:p w14:paraId="52702338" w14:textId="47609B3E" w:rsidR="00292BDE" w:rsidRPr="004A7C8A" w:rsidRDefault="003240C7" w:rsidP="003240C7">
      <w:pPr>
        <w:pStyle w:val="EndnoteText"/>
        <w:spacing w:afterLines="20" w:after="48"/>
        <w:rPr>
          <w:spacing w:val="-2"/>
          <w:sz w:val="17"/>
          <w:szCs w:val="17"/>
        </w:rPr>
      </w:pPr>
      <w:r w:rsidRPr="003240C7">
        <w:rPr>
          <w:rStyle w:val="EndnoteReference"/>
          <w:spacing w:val="-2"/>
        </w:rPr>
        <w:endnoteRef/>
      </w:r>
      <w:r w:rsidRPr="003240C7">
        <w:rPr>
          <w:spacing w:val="-2"/>
        </w:rPr>
        <w:t xml:space="preserve"> </w:t>
      </w:r>
      <w:r w:rsidRPr="003240C7">
        <w:rPr>
          <w:spacing w:val="-2"/>
          <w:sz w:val="17"/>
          <w:szCs w:val="17"/>
        </w:rPr>
        <w:t xml:space="preserve">Logan, H., Cumming, T. &amp; Wong, S. (2020). Sustaining the Work-Related Wellbeing of Early Childhood Educators: Perspectives from Key Stakeholders in Early Childhood Organisations. </w:t>
      </w:r>
      <w:r w:rsidRPr="003240C7">
        <w:rPr>
          <w:i/>
          <w:spacing w:val="-2"/>
          <w:sz w:val="17"/>
          <w:szCs w:val="17"/>
        </w:rPr>
        <w:t>International Journal of Early Childhood</w:t>
      </w:r>
      <w:r w:rsidRPr="003240C7">
        <w:rPr>
          <w:spacing w:val="-2"/>
          <w:sz w:val="17"/>
          <w:szCs w:val="17"/>
        </w:rPr>
        <w:t>,</w:t>
      </w:r>
      <w:r w:rsidRPr="003240C7">
        <w:rPr>
          <w:i/>
          <w:spacing w:val="-2"/>
          <w:sz w:val="17"/>
          <w:szCs w:val="17"/>
        </w:rPr>
        <w:t xml:space="preserve"> 52</w:t>
      </w:r>
      <w:r w:rsidRPr="003240C7">
        <w:rPr>
          <w:spacing w:val="-2"/>
          <w:sz w:val="17"/>
          <w:szCs w:val="17"/>
        </w:rPr>
        <w:t xml:space="preserve">, 95–113. </w:t>
      </w:r>
      <w:r w:rsidR="00292BDE" w:rsidRPr="000D17F7">
        <w:rPr>
          <w:spacing w:val="-2"/>
          <w:sz w:val="17"/>
          <w:szCs w:val="17"/>
        </w:rPr>
        <w:t>https://doi.org/10.1007/s13158-020-00264-6</w:t>
      </w:r>
      <w:r w:rsidR="00292BDE">
        <w:rPr>
          <w:spacing w:val="-2"/>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47D3" w14:textId="77777777" w:rsidR="00D17A96" w:rsidRDefault="00D17A96" w:rsidP="00FE252C">
      <w:pPr>
        <w:spacing w:after="0" w:line="240" w:lineRule="auto"/>
      </w:pPr>
      <w:r>
        <w:separator/>
      </w:r>
    </w:p>
  </w:footnote>
  <w:footnote w:type="continuationSeparator" w:id="0">
    <w:p w14:paraId="4D226CED" w14:textId="77777777" w:rsidR="00D17A96" w:rsidRDefault="00D17A96" w:rsidP="00FE2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2A8D" w14:textId="77777777" w:rsidR="00FE252C" w:rsidRDefault="00740229">
    <w:pPr>
      <w:pStyle w:val="Header"/>
    </w:pPr>
    <w:r>
      <w:rPr>
        <w:noProof/>
      </w:rPr>
      <w:pict w14:anchorId="04DFA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289545" o:spid="_x0000_s2051" type="#_x0000_t75" alt="/Users/christopherjones/Documents/Chris's ECA Design Work/VDET/Wellbeing-fact-sheets-December 2021/VDET files/Tip Sheet/01_Background-images/ECA-VDET-Tip-Sheet-flip-01.jpg" style="position:absolute;margin-left:0;margin-top:0;width:449.05pt;height:635.1pt;z-index:-251653120;mso-wrap-edited:f;mso-width-percent:0;mso-height-percent:0;mso-position-horizontal:center;mso-position-horizontal-relative:margin;mso-position-vertical:center;mso-position-vertical-relative:margin;mso-width-percent:0;mso-height-percent:0" o:allowincell="f">
          <v:imagedata r:id="rId1" o:title="ECA-VDET-Tip-Sheet-flip-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C722" w14:textId="77777777" w:rsidR="00FE252C" w:rsidRDefault="00740229">
    <w:pPr>
      <w:pStyle w:val="Header"/>
    </w:pPr>
    <w:r>
      <w:rPr>
        <w:noProof/>
      </w:rPr>
      <w:pict w14:anchorId="1CF5B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289546" o:spid="_x0000_s2050" type="#_x0000_t75" alt="ECA-VDET-Tip-Sheet-flip-01" style="position:absolute;margin-left:0;margin-top:0;width:598.65pt;height:846.7pt;z-index:-251650048;mso-wrap-edited:f;mso-width-percent:0;mso-height-percent:0;mso-position-horizontal:center;mso-position-horizontal-relative:margin;mso-position-vertical:center;mso-position-vertical-relative:margin;mso-width-percent:0;mso-height-percent:0" o:allowincell="f">
          <v:imagedata r:id="rId1" o:title="ECA-VDET-Tip-Sheet-flip-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5CF4" w14:textId="77777777" w:rsidR="00FE252C" w:rsidRDefault="00740229">
    <w:pPr>
      <w:pStyle w:val="Header"/>
    </w:pPr>
    <w:r>
      <w:rPr>
        <w:noProof/>
      </w:rPr>
      <w:pict w14:anchorId="5ACC3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289544" o:spid="_x0000_s2049" type="#_x0000_t75" alt="/Users/christopherjones/Documents/Chris's ECA Design Work/VDET/Wellbeing-fact-sheets-December 2021/VDET files/Tip Sheet/01_Background-images/ECA-VDET-Tip-Sheet-flip-01.jpg" style="position:absolute;margin-left:0;margin-top:0;width:449.05pt;height:635.1pt;z-index:-251656192;mso-wrap-edited:f;mso-width-percent:0;mso-height-percent:0;mso-position-horizontal:center;mso-position-horizontal-relative:margin;mso-position-vertical:center;mso-position-vertical-relative:margin;mso-width-percent:0;mso-height-percent:0" o:allowincell="f">
          <v:imagedata r:id="rId1" o:title="ECA-VDET-Tip-Sheet-flip-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A3855"/>
    <w:multiLevelType w:val="hybridMultilevel"/>
    <w:tmpl w:val="9174983A"/>
    <w:lvl w:ilvl="0" w:tplc="0C09000D">
      <w:start w:val="1"/>
      <w:numFmt w:val="bullet"/>
      <w:lvlText w:val=""/>
      <w:lvlJc w:val="left"/>
      <w:pPr>
        <w:ind w:left="719" w:hanging="435"/>
      </w:pPr>
      <w:rPr>
        <w:rFonts w:ascii="Wingdings" w:hAnsi="Wingding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3EDC46C1"/>
    <w:multiLevelType w:val="hybridMultilevel"/>
    <w:tmpl w:val="1D34AA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61AB32B0"/>
    <w:multiLevelType w:val="hybridMultilevel"/>
    <w:tmpl w:val="D6B473D4"/>
    <w:lvl w:ilvl="0" w:tplc="43F8D50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5652999"/>
    <w:multiLevelType w:val="hybridMultilevel"/>
    <w:tmpl w:val="F532384C"/>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7B4133A1"/>
    <w:multiLevelType w:val="hybridMultilevel"/>
    <w:tmpl w:val="D55E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2C"/>
    <w:rsid w:val="000338A2"/>
    <w:rsid w:val="00037845"/>
    <w:rsid w:val="000D17F7"/>
    <w:rsid w:val="001B0A50"/>
    <w:rsid w:val="00292BDE"/>
    <w:rsid w:val="002E7F39"/>
    <w:rsid w:val="003240C7"/>
    <w:rsid w:val="004A7C8A"/>
    <w:rsid w:val="004E76F2"/>
    <w:rsid w:val="005454DE"/>
    <w:rsid w:val="005F26F6"/>
    <w:rsid w:val="00654F21"/>
    <w:rsid w:val="00740229"/>
    <w:rsid w:val="00951792"/>
    <w:rsid w:val="00992267"/>
    <w:rsid w:val="009B06A5"/>
    <w:rsid w:val="00A715E9"/>
    <w:rsid w:val="00B5768E"/>
    <w:rsid w:val="00BE584B"/>
    <w:rsid w:val="00D17A96"/>
    <w:rsid w:val="00D37DCD"/>
    <w:rsid w:val="00D43E2C"/>
    <w:rsid w:val="00D601CE"/>
    <w:rsid w:val="00E213FC"/>
    <w:rsid w:val="00ED52DA"/>
    <w:rsid w:val="00F4568F"/>
    <w:rsid w:val="00FE25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90E1FF"/>
  <w15:chartTrackingRefBased/>
  <w15:docId w15:val="{7400220E-6FDE-F042-962A-401F45B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52C"/>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FE25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0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52C"/>
    <w:pPr>
      <w:tabs>
        <w:tab w:val="center" w:pos="4680"/>
        <w:tab w:val="right" w:pos="9360"/>
      </w:tabs>
    </w:pPr>
  </w:style>
  <w:style w:type="character" w:customStyle="1" w:styleId="HeaderChar">
    <w:name w:val="Header Char"/>
    <w:basedOn w:val="DefaultParagraphFont"/>
    <w:link w:val="Header"/>
    <w:uiPriority w:val="99"/>
    <w:rsid w:val="00FE252C"/>
  </w:style>
  <w:style w:type="paragraph" w:styleId="Footer">
    <w:name w:val="footer"/>
    <w:basedOn w:val="Normal"/>
    <w:link w:val="FooterChar"/>
    <w:uiPriority w:val="99"/>
    <w:unhideWhenUsed/>
    <w:rsid w:val="00FE252C"/>
    <w:pPr>
      <w:tabs>
        <w:tab w:val="center" w:pos="4680"/>
        <w:tab w:val="right" w:pos="9360"/>
      </w:tabs>
    </w:pPr>
  </w:style>
  <w:style w:type="character" w:customStyle="1" w:styleId="FooterChar">
    <w:name w:val="Footer Char"/>
    <w:basedOn w:val="DefaultParagraphFont"/>
    <w:link w:val="Footer"/>
    <w:uiPriority w:val="99"/>
    <w:rsid w:val="00FE252C"/>
  </w:style>
  <w:style w:type="character" w:customStyle="1" w:styleId="Heading1Char">
    <w:name w:val="Heading 1 Char"/>
    <w:basedOn w:val="DefaultParagraphFont"/>
    <w:link w:val="Heading1"/>
    <w:uiPriority w:val="9"/>
    <w:rsid w:val="00FE252C"/>
    <w:rPr>
      <w:rFonts w:asciiTheme="majorHAnsi" w:eastAsiaTheme="majorEastAsia" w:hAnsiTheme="majorHAnsi" w:cstheme="majorBidi"/>
      <w:color w:val="2F5496" w:themeColor="accent1" w:themeShade="BF"/>
      <w:sz w:val="32"/>
      <w:szCs w:val="32"/>
      <w:lang w:eastAsia="en-US"/>
    </w:rPr>
  </w:style>
  <w:style w:type="character" w:styleId="Hyperlink">
    <w:name w:val="Hyperlink"/>
    <w:basedOn w:val="DefaultParagraphFont"/>
    <w:uiPriority w:val="99"/>
    <w:unhideWhenUsed/>
    <w:rsid w:val="00FE252C"/>
    <w:rPr>
      <w:color w:val="0563C1" w:themeColor="hyperlink"/>
      <w:u w:val="single"/>
    </w:rPr>
  </w:style>
  <w:style w:type="character" w:customStyle="1" w:styleId="Heading2Char">
    <w:name w:val="Heading 2 Char"/>
    <w:basedOn w:val="DefaultParagraphFont"/>
    <w:link w:val="Heading2"/>
    <w:uiPriority w:val="9"/>
    <w:rsid w:val="003240C7"/>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uiPriority w:val="34"/>
    <w:qFormat/>
    <w:rsid w:val="003240C7"/>
    <w:pPr>
      <w:ind w:left="720"/>
      <w:contextualSpacing/>
    </w:pPr>
  </w:style>
  <w:style w:type="paragraph" w:styleId="EndnoteText">
    <w:name w:val="endnote text"/>
    <w:basedOn w:val="Normal"/>
    <w:link w:val="EndnoteTextChar"/>
    <w:uiPriority w:val="99"/>
    <w:semiHidden/>
    <w:unhideWhenUsed/>
    <w:rsid w:val="003240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40C7"/>
    <w:rPr>
      <w:rFonts w:eastAsiaTheme="minorHAnsi"/>
      <w:sz w:val="20"/>
      <w:szCs w:val="20"/>
      <w:lang w:eastAsia="en-US"/>
    </w:rPr>
  </w:style>
  <w:style w:type="character" w:styleId="EndnoteReference">
    <w:name w:val="endnote reference"/>
    <w:basedOn w:val="DefaultParagraphFont"/>
    <w:uiPriority w:val="99"/>
    <w:semiHidden/>
    <w:unhideWhenUsed/>
    <w:rsid w:val="003240C7"/>
    <w:rPr>
      <w:vertAlign w:val="superscript"/>
    </w:rPr>
  </w:style>
  <w:style w:type="character" w:styleId="Emphasis">
    <w:name w:val="Emphasis"/>
    <w:basedOn w:val="DefaultParagraphFont"/>
    <w:uiPriority w:val="20"/>
    <w:qFormat/>
    <w:rsid w:val="003240C7"/>
    <w:rPr>
      <w:i/>
      <w:iCs/>
    </w:rPr>
  </w:style>
  <w:style w:type="character" w:styleId="CommentReference">
    <w:name w:val="annotation reference"/>
    <w:basedOn w:val="DefaultParagraphFont"/>
    <w:uiPriority w:val="99"/>
    <w:semiHidden/>
    <w:unhideWhenUsed/>
    <w:rsid w:val="003240C7"/>
    <w:rPr>
      <w:sz w:val="16"/>
      <w:szCs w:val="16"/>
    </w:rPr>
  </w:style>
  <w:style w:type="paragraph" w:styleId="CommentText">
    <w:name w:val="annotation text"/>
    <w:basedOn w:val="Normal"/>
    <w:link w:val="CommentTextChar"/>
    <w:uiPriority w:val="99"/>
    <w:semiHidden/>
    <w:unhideWhenUsed/>
    <w:rsid w:val="003240C7"/>
    <w:pPr>
      <w:spacing w:line="240" w:lineRule="auto"/>
    </w:pPr>
    <w:rPr>
      <w:sz w:val="20"/>
      <w:szCs w:val="20"/>
    </w:rPr>
  </w:style>
  <w:style w:type="character" w:customStyle="1" w:styleId="CommentTextChar">
    <w:name w:val="Comment Text Char"/>
    <w:basedOn w:val="DefaultParagraphFont"/>
    <w:link w:val="CommentText"/>
    <w:uiPriority w:val="99"/>
    <w:semiHidden/>
    <w:rsid w:val="003240C7"/>
    <w:rPr>
      <w:rFonts w:eastAsiaTheme="minorHAnsi"/>
      <w:sz w:val="20"/>
      <w:szCs w:val="20"/>
      <w:lang w:eastAsia="en-US"/>
    </w:rPr>
  </w:style>
  <w:style w:type="paragraph" w:styleId="BalloonText">
    <w:name w:val="Balloon Text"/>
    <w:basedOn w:val="Normal"/>
    <w:link w:val="BalloonTextChar"/>
    <w:uiPriority w:val="99"/>
    <w:semiHidden/>
    <w:unhideWhenUsed/>
    <w:rsid w:val="003240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40C7"/>
    <w:rPr>
      <w:rFonts w:ascii="Times New Roman" w:eastAsiaTheme="minorHAnsi" w:hAnsi="Times New Roman" w:cs="Times New Roman"/>
      <w:sz w:val="18"/>
      <w:szCs w:val="18"/>
      <w:lang w:eastAsia="en-US"/>
    </w:rPr>
  </w:style>
  <w:style w:type="character" w:styleId="UnresolvedMention">
    <w:name w:val="Unresolved Mention"/>
    <w:basedOn w:val="DefaultParagraphFont"/>
    <w:uiPriority w:val="99"/>
    <w:semiHidden/>
    <w:unhideWhenUsed/>
    <w:rsid w:val="00D37DCD"/>
    <w:rPr>
      <w:color w:val="605E5C"/>
      <w:shd w:val="clear" w:color="auto" w:fill="E1DFDD"/>
    </w:rPr>
  </w:style>
  <w:style w:type="character" w:styleId="FollowedHyperlink">
    <w:name w:val="FollowedHyperlink"/>
    <w:basedOn w:val="DefaultParagraphFont"/>
    <w:uiPriority w:val="99"/>
    <w:semiHidden/>
    <w:unhideWhenUsed/>
    <w:rsid w:val="00992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coronavirus.vic.gov.au/mental-health-and-wellbe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onavirus.vic.gov.au/mental-health-and-wellbeing" TargetMode="External"/><Relationship Id="rId17" Type="http://schemas.openxmlformats.org/officeDocument/2006/relationships/hyperlink" Target="https://beyou.edu.au/" TargetMode="External"/><Relationship Id="rId20" Type="http://schemas.openxmlformats.org/officeDocument/2006/relationships/theme" Target="theme/theme1.xml"/><Relationship Id="rId16" Type="http://schemas.openxmlformats.org/officeDocument/2006/relationships/hyperlink" Target="https://beyou.edu.au/about-be-you/supporting-evide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dio.org/10.1080/02568543.2019.17054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Resilience and Wellbeing: What works for you? Research findings and resources</DEECD_Keywords>
    <PublishingExpirationDate xmlns="http://schemas.microsoft.com/sharepoint/v3" xsi:nil="true"/>
    <DEECD_Description xmlns="http://schemas.microsoft.com/sharepoint/v3">Resilience and Wellbeing: What works for you? Research findings and resources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A8ABDF6296B4CC458473E857AB0B1E6C" ma:contentTypeVersion="7" ma:contentTypeDescription="" ma:contentTypeScope="" ma:versionID="7cc374dd6d4b32441228431846d47b1c">
  <xsd:schema xmlns:xsd="http://www.w3.org/2001/XMLSchema" xmlns:xs="http://www.w3.org/2001/XMLSchema" xmlns:p="http://schemas.microsoft.com/office/2006/metadata/properties" xmlns:ns1="http://schemas.microsoft.com/sharepoint/v3" xmlns:ns2="http://schemas.microsoft.com/Sharepoint/v3" xmlns:ns3="2cb12009-40d9-454b-bd16-8fe8fc19de2f" xmlns:ns4="e01d6667-5dab-46d8-890f-ac4900f3aeed" targetNamespace="http://schemas.microsoft.com/office/2006/metadata/properties" ma:root="true" ma:fieldsID="e97a333484a58a14e1fa5f84896bdbd6" ns1:_="" ns2:_="" ns3:_="" ns4:_="">
    <xsd:import namespace="http://schemas.microsoft.com/sharepoint/v3"/>
    <xsd:import namespace="http://schemas.microsoft.com/Sharepoint/v3"/>
    <xsd:import namespace="2cb12009-40d9-454b-bd16-8fe8fc19de2f"/>
    <xsd:import namespace="e01d6667-5dab-46d8-890f-ac4900f3aee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element ref="ns2:DET_EDRMS_RCSTaxHTField0" minOccurs="0"/>
                <xsd:element ref="ns2:DET_EDRMS_BusUnitTaxHTField0" minOccurs="0"/>
                <xsd:element ref="ns2:DET_EDRMS_SecClassTaxHTField0" minOccurs="0"/>
                <xsd:element ref="ns4:Folder"/>
                <xsd:element ref="ns3: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element name="DET_EDRMS_RCSTaxHTField0" ma:index="21" nillable="true" ma:displayName="RCS_0" ma:hidden="true" ma:internalName="DET_EDRMS_RCSTaxHTField0">
      <xsd:simpleType>
        <xsd:restriction base="dms:Note"/>
      </xsd:simpleType>
    </xsd:element>
    <xsd:element name="DET_EDRMS_BusUnitTaxHTField0" ma:index="22" nillable="true" ma:displayName="Business Unit_0" ma:hidden="true" ma:internalName="DET_EDRMS_BusUnitTaxHTField0">
      <xsd:simpleType>
        <xsd:restriction base="dms:Note"/>
      </xsd:simpleType>
    </xsd:element>
    <xsd:element name="DET_EDRMS_SecClassTaxHTField0" ma:index="23" nillable="true" ma:displayName="Security Classification_0" ma:hidden="true" ma:internalName="DET_EDRMS_SecClass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Administration"/>
              <xsd:enumeration value="Agenda"/>
              <xsd:enumeration value="Curriculum"/>
              <xsd:enumeration value="Emails"/>
              <xsd:enumeration value="In Home Support"/>
              <xsd:enumeration value="MCH Guidelines"/>
              <xsd:enumeration value="Minutes"/>
              <xsd:enumeration value="Play Learn Grow"/>
              <xsd:enumeration value="Reporting"/>
              <xsd:enumeration value="Teacher supply and demand"/>
              <xsd:enumeration value="Templates"/>
              <xsd:enumeration value="2019 Project board meetings"/>
              <xsd:enumeration value="2020 Project board meetings"/>
              <xsd:enumeration value="2021 Project board meetings"/>
              <xsd:enumeration value="2021"/>
              <xsd:enumeration value="LGBTIQ+ Strategy Consultation"/>
              <xsd:enumeration value="Royal Commission Responses"/>
              <xsd:enumeration value="Literacy and Numeracy"/>
              <xsd:enumeration value="E-Safety"/>
              <xsd:enumeration value="Respectful Relationships"/>
              <xsd:enumeration value="Peridot contract"/>
              <xsd:enumeration value="Reports"/>
              <xsd:enumeration value="Artwork"/>
              <xsd:enumeration value="Videos"/>
              <xsd:enumeration value="Semann and Slattery contract"/>
              <xsd:enumeration value="Fact Sheets for Networks"/>
              <xsd:enumeration value="Final documents"/>
              <xsd:enumeration value="Draft documents"/>
              <xsd:enumeration value="Project work"/>
              <xsd:enumeration value="Mapping work"/>
              <xsd:enumeration value="Procurement"/>
              <xsd:enumeration value="Contract Workspace"/>
              <xsd:enumeration value="Supplier Responses"/>
              <xsd:enumeration value="Content desig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01d6667-5dab-46d8-890f-ac4900f3aeed" elementFormDefault="qualified">
    <xsd:import namespace="http://schemas.microsoft.com/office/2006/documentManagement/types"/>
    <xsd:import namespace="http://schemas.microsoft.com/office/infopath/2007/PartnerControls"/>
    <xsd:element name="Folder" ma:index="25" ma:displayName="Folder" ma:format="Dropdown" ma:internalName="Folder">
      <xsd:simpleType>
        <xsd:union memberTypes="dms:Text">
          <xsd:simpleType>
            <xsd:restriction base="dms:Choice">
              <xsd:enumeration value="2015 Review and Edit"/>
              <xsd:enumeration value="Conferences"/>
              <xsd:enumeration value="Learning Languages App"/>
              <xsd:enumeration value="Maternal and Child Health"/>
              <xsd:enumeration value="Parenting and Playgroups"/>
              <xsd:enumeration value="Project Board"/>
              <xsd:enumeration value="Project Charter and Planning"/>
              <xsd:enumeration value="RRR Professional Learning"/>
              <xsd:enumeration value="Teacher Professional Practice - RSG"/>
              <xsd:enumeration value="VEYLDF Evaluation"/>
              <xsd:enumeration value="VEYLDF Shared Resources"/>
              <xsd:enumeration value="Video Series on Practice Principles"/>
              <xsd:enumeration value="VEYLDF Advice"/>
              <xsd:enumeration value="Outcomes and Indicators of a positive start to school"/>
              <xsd:enumeration value="ALF Review"/>
              <xsd:enumeration value="Professional Learning Project"/>
              <xsd:enumeration value="Inclusion PL"/>
              <xsd:enumeration value="Nature Pla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FBD36-9B28-457D-B4FE-3816CA9FE67B}">
  <ds:schemaRefs>
    <ds:schemaRef ds:uri="http://schemas.microsoft.com/office/2006/documentManagement/types"/>
    <ds:schemaRef ds:uri="http://purl.org/dc/elements/1.1/"/>
    <ds:schemaRef ds:uri="http://schemas.microsoft.com/office/2006/metadata/properties"/>
    <ds:schemaRef ds:uri="2cb12009-40d9-454b-bd16-8fe8fc19de2f"/>
    <ds:schemaRef ds:uri="http://schemas.microsoft.com/sharepoint/v3"/>
    <ds:schemaRef ds:uri="http://schemas.microsoft.com/office/infopath/2007/PartnerControls"/>
    <ds:schemaRef ds:uri="http://schemas.openxmlformats.org/package/2006/metadata/core-properties"/>
    <ds:schemaRef ds:uri="http://purl.org/dc/terms/"/>
    <ds:schemaRef ds:uri="http://schemas.microsoft.com/Sharepoint/v3"/>
    <ds:schemaRef ds:uri="e01d6667-5dab-46d8-890f-ac4900f3aeed"/>
    <ds:schemaRef ds:uri="http://www.w3.org/XML/1998/namespace"/>
    <ds:schemaRef ds:uri="http://purl.org/dc/dcmitype/"/>
  </ds:schemaRefs>
</ds:datastoreItem>
</file>

<file path=customXml/itemProps2.xml><?xml version="1.0" encoding="utf-8"?>
<ds:datastoreItem xmlns:ds="http://schemas.openxmlformats.org/officeDocument/2006/customXml" ds:itemID="{134C69E9-45C5-4F9E-BAD3-22B2AABED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e01d6667-5dab-46d8-890f-ac4900f3a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49ED9-55B8-44B8-A1FA-DD9A63AFEAE0}"/>
</file>

<file path=customXml/itemProps4.xml><?xml version="1.0" encoding="utf-8"?>
<ds:datastoreItem xmlns:ds="http://schemas.openxmlformats.org/officeDocument/2006/customXml" ds:itemID="{5C41A01B-377B-486D-B6FA-7FC217011401}">
  <ds:schemaRefs>
    <ds:schemaRef ds:uri="http://schemas.openxmlformats.org/officeDocument/2006/bibliography"/>
  </ds:schemaRefs>
</ds:datastoreItem>
</file>

<file path=customXml/itemProps5.xml><?xml version="1.0" encoding="utf-8"?>
<ds:datastoreItem xmlns:ds="http://schemas.openxmlformats.org/officeDocument/2006/customXml" ds:itemID="{446D5D1A-A89A-498A-89C2-F0BF7AF57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556</Words>
  <Characters>3258</Characters>
  <Application>Microsoft Office Word</Application>
  <DocSecurity>0</DocSecurity>
  <Lines>101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Jardine</cp:lastModifiedBy>
  <cp:revision>13</cp:revision>
  <dcterms:created xsi:type="dcterms:W3CDTF">2021-12-16T12:53:00Z</dcterms:created>
  <dcterms:modified xsi:type="dcterms:W3CDTF">2021-12-20T04:34:00Z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{e01d6667-5dab-46d8-890f-ac4900f3aeed}</vt:lpwstr>
  </property>
  <property fmtid="{D5CDD505-2E9C-101B-9397-08002B2CF9AE}" pid="8" name="RecordPoint_ActiveItemUniqueId">
    <vt:lpwstr>{b9a11a22-752c-459e-a689-51751bc6e821}</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R20212027579</vt:lpwstr>
  </property>
  <property fmtid="{D5CDD505-2E9C-101B-9397-08002B2CF9AE}" pid="12" name="RecordPoint_SubmissionCompleted">
    <vt:lpwstr>2021-12-25T01:43:42.9872305+11:00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y fmtid="{D5CDD505-2E9C-101B-9397-08002B2CF9AE}" pid="17" name="RoutingRuleDescription">
    <vt:lpwstr>Resilience and Wellbeing: What works for you? Research findings and resources</vt:lpwstr>
  </property>
</Properties>
</file>