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E73BB9" w14:textId="77777777" w:rsidR="00095B1A" w:rsidRDefault="00095B1A" w:rsidP="00095B1A">
      <w:pPr>
        <w:rPr>
          <w:rFonts w:eastAsia="Calibri"/>
          <w:sz w:val="21"/>
          <w:szCs w:val="21"/>
        </w:rPr>
      </w:pPr>
      <w:r>
        <w:rPr>
          <w:rFonts w:eastAsia="Calibri"/>
          <w:sz w:val="21"/>
          <w:szCs w:val="21"/>
        </w:rPr>
        <w:t>Building teaching capability through pre-service and in-service training is central to making schools more inclusive and improving outcomes for students with disabilities.</w:t>
      </w:r>
    </w:p>
    <w:p w14:paraId="51E73BBA" w14:textId="77777777" w:rsidR="00095B1A" w:rsidRDefault="00095B1A" w:rsidP="00095B1A">
      <w:pPr>
        <w:spacing w:before="40" w:line="360" w:lineRule="auto"/>
        <w:rPr>
          <w:rFonts w:eastAsia="Calibri"/>
          <w:sz w:val="21"/>
          <w:szCs w:val="21"/>
        </w:rPr>
      </w:pPr>
      <w:r w:rsidRPr="00EC7C02">
        <w:rPr>
          <w:rFonts w:eastAsia="Calibri"/>
          <w:sz w:val="21"/>
          <w:szCs w:val="21"/>
        </w:rPr>
        <w:t>A</w:t>
      </w:r>
      <w:r>
        <w:rPr>
          <w:rFonts w:eastAsia="Calibri"/>
          <w:sz w:val="21"/>
          <w:szCs w:val="21"/>
        </w:rPr>
        <w:t>s part of</w:t>
      </w:r>
      <w:r w:rsidRPr="00EC7C02">
        <w:rPr>
          <w:rFonts w:eastAsia="Calibri"/>
          <w:sz w:val="21"/>
          <w:szCs w:val="21"/>
        </w:rPr>
        <w:t xml:space="preserve"> the Special Needs Plan</w:t>
      </w:r>
      <w:r>
        <w:rPr>
          <w:rFonts w:eastAsia="Calibri"/>
          <w:sz w:val="21"/>
          <w:szCs w:val="21"/>
        </w:rPr>
        <w:t>, the Government is committed to supporting teachers in Victoria to build their capability to provide inclusive education settings for all students, by requiring them to engage in professional learning activities that focus on teaching students with disabilities.</w:t>
      </w:r>
    </w:p>
    <w:p w14:paraId="51E73BBB" w14:textId="77777777" w:rsidR="00095B1A" w:rsidRPr="00095B1A" w:rsidRDefault="00095B1A" w:rsidP="00095B1A">
      <w:pPr>
        <w:pStyle w:val="Heading1"/>
      </w:pPr>
      <w:r w:rsidRPr="00095B1A">
        <w:t>Pre-service teacher training</w:t>
      </w:r>
    </w:p>
    <w:p w14:paraId="51E73BBC" w14:textId="77777777" w:rsidR="00095B1A" w:rsidRPr="00EC7C02" w:rsidRDefault="00095B1A" w:rsidP="00095B1A">
      <w:pPr>
        <w:spacing w:before="40" w:line="360" w:lineRule="auto"/>
        <w:rPr>
          <w:rFonts w:eastAsia="Calibri"/>
          <w:sz w:val="21"/>
          <w:szCs w:val="21"/>
        </w:rPr>
      </w:pPr>
      <w:r>
        <w:rPr>
          <w:rFonts w:eastAsia="Calibri"/>
          <w:sz w:val="21"/>
          <w:szCs w:val="21"/>
        </w:rPr>
        <w:t>Pre-service training that includes a focus on teaching students with disabilities will enable the next generation of teachers</w:t>
      </w:r>
      <w:r w:rsidRPr="00EC7C02">
        <w:rPr>
          <w:rFonts w:eastAsia="Calibri"/>
          <w:sz w:val="21"/>
          <w:szCs w:val="21"/>
        </w:rPr>
        <w:t xml:space="preserve"> </w:t>
      </w:r>
      <w:r>
        <w:rPr>
          <w:rFonts w:eastAsia="Calibri"/>
          <w:sz w:val="21"/>
          <w:szCs w:val="21"/>
        </w:rPr>
        <w:t>to be better prepared for the classroom.</w:t>
      </w:r>
      <w:r w:rsidRPr="00EC7C02">
        <w:rPr>
          <w:rFonts w:eastAsia="Calibri"/>
          <w:sz w:val="21"/>
          <w:szCs w:val="21"/>
        </w:rPr>
        <w:t xml:space="preserve"> </w:t>
      </w:r>
      <w:r>
        <w:rPr>
          <w:rFonts w:eastAsia="Calibri"/>
          <w:sz w:val="21"/>
          <w:szCs w:val="21"/>
        </w:rPr>
        <w:t>To support undergraduate teachers to develop the skills they need to teach in an inclusive environment, education providers seeking</w:t>
      </w:r>
      <w:r w:rsidRPr="00EC7C02">
        <w:rPr>
          <w:rFonts w:eastAsia="Calibri"/>
          <w:sz w:val="21"/>
          <w:szCs w:val="21"/>
        </w:rPr>
        <w:t xml:space="preserve"> </w:t>
      </w:r>
      <w:r>
        <w:rPr>
          <w:rFonts w:eastAsia="Calibri"/>
          <w:sz w:val="21"/>
          <w:szCs w:val="21"/>
        </w:rPr>
        <w:t xml:space="preserve">Victorian Institute of Teaching (Institute) </w:t>
      </w:r>
      <w:r w:rsidRPr="00EC7C02">
        <w:rPr>
          <w:rFonts w:eastAsia="Calibri"/>
          <w:sz w:val="21"/>
          <w:szCs w:val="21"/>
        </w:rPr>
        <w:t xml:space="preserve">accreditation </w:t>
      </w:r>
      <w:r>
        <w:rPr>
          <w:rFonts w:eastAsia="Calibri"/>
          <w:sz w:val="21"/>
          <w:szCs w:val="21"/>
        </w:rPr>
        <w:t xml:space="preserve">of their programs </w:t>
      </w:r>
      <w:r w:rsidRPr="00EC7C02">
        <w:rPr>
          <w:rFonts w:eastAsia="Calibri"/>
          <w:sz w:val="21"/>
          <w:szCs w:val="21"/>
        </w:rPr>
        <w:t xml:space="preserve">will be required to detail how </w:t>
      </w:r>
      <w:r>
        <w:rPr>
          <w:rFonts w:eastAsia="Calibri"/>
          <w:sz w:val="21"/>
          <w:szCs w:val="21"/>
        </w:rPr>
        <w:t xml:space="preserve">their training prepares future teachers to teach students with disabilities. </w:t>
      </w:r>
    </w:p>
    <w:p w14:paraId="51E73BBD" w14:textId="77777777" w:rsidR="00095B1A" w:rsidRPr="00AE486B" w:rsidRDefault="00095B1A" w:rsidP="00095B1A">
      <w:pPr>
        <w:pStyle w:val="Heading1"/>
      </w:pPr>
      <w:r>
        <w:t>From provisional to proficient</w:t>
      </w:r>
      <w:r w:rsidRPr="00AE486B">
        <w:t xml:space="preserve"> teacher</w:t>
      </w:r>
    </w:p>
    <w:p w14:paraId="51E73BBE" w14:textId="77777777" w:rsidR="00095B1A" w:rsidRPr="00AE486B" w:rsidRDefault="00095B1A" w:rsidP="00095B1A">
      <w:pPr>
        <w:spacing w:before="40" w:line="360" w:lineRule="auto"/>
        <w:rPr>
          <w:rFonts w:eastAsia="Calibri"/>
          <w:sz w:val="21"/>
          <w:szCs w:val="21"/>
        </w:rPr>
      </w:pPr>
      <w:r w:rsidRPr="00AE486B">
        <w:rPr>
          <w:rFonts w:eastAsia="Calibri"/>
          <w:sz w:val="21"/>
          <w:szCs w:val="21"/>
        </w:rPr>
        <w:t xml:space="preserve">New teachers </w:t>
      </w:r>
      <w:r>
        <w:rPr>
          <w:rFonts w:eastAsia="Calibri"/>
          <w:sz w:val="21"/>
          <w:szCs w:val="21"/>
        </w:rPr>
        <w:t>need time, support and professional learning opportunities to build their capabilities, including how to teach students with disabilities. To reflect this, t</w:t>
      </w:r>
      <w:r w:rsidRPr="00AE486B">
        <w:rPr>
          <w:rFonts w:eastAsia="Calibri"/>
          <w:sz w:val="21"/>
          <w:szCs w:val="21"/>
        </w:rPr>
        <w:t xml:space="preserve">he Institute’s information about gathering evidence of practice to apply for (full) teacher registration will include specific </w:t>
      </w:r>
      <w:r w:rsidRPr="00AE486B">
        <w:rPr>
          <w:rFonts w:eastAsia="Calibri"/>
          <w:sz w:val="21"/>
          <w:szCs w:val="21"/>
        </w:rPr>
        <w:lastRenderedPageBreak/>
        <w:t>requirements relating to teaching students with disabilities.</w:t>
      </w:r>
    </w:p>
    <w:p w14:paraId="51E73BBF" w14:textId="77777777" w:rsidR="00095B1A" w:rsidRPr="00C57FA6" w:rsidRDefault="00095B1A" w:rsidP="00095B1A">
      <w:pPr>
        <w:pStyle w:val="Heading1"/>
      </w:pPr>
      <w:r>
        <w:t>In-service teacher training</w:t>
      </w:r>
    </w:p>
    <w:p w14:paraId="51E73BC0" w14:textId="77777777" w:rsidR="00095B1A" w:rsidRPr="004D2C8E" w:rsidRDefault="00095B1A" w:rsidP="00095B1A">
      <w:pPr>
        <w:spacing w:before="40" w:line="360" w:lineRule="auto"/>
        <w:rPr>
          <w:rFonts w:eastAsia="Calibri"/>
          <w:sz w:val="21"/>
          <w:szCs w:val="21"/>
        </w:rPr>
      </w:pPr>
      <w:r>
        <w:rPr>
          <w:rFonts w:eastAsia="Calibri"/>
          <w:sz w:val="21"/>
          <w:szCs w:val="21"/>
        </w:rPr>
        <w:t>Professional learning is ongoing and teachers require support to access opportunities to update their knowledge and skills. To help teachers build their capability to make learning environments more inclusive, all registered teachers</w:t>
      </w:r>
      <w:r w:rsidRPr="004D2C8E">
        <w:rPr>
          <w:rFonts w:eastAsia="Calibri"/>
          <w:sz w:val="21"/>
          <w:szCs w:val="21"/>
        </w:rPr>
        <w:t xml:space="preserve"> </w:t>
      </w:r>
      <w:r>
        <w:rPr>
          <w:rFonts w:eastAsia="Calibri"/>
          <w:sz w:val="21"/>
          <w:szCs w:val="21"/>
        </w:rPr>
        <w:t>should</w:t>
      </w:r>
      <w:r w:rsidRPr="004D2C8E">
        <w:rPr>
          <w:rFonts w:eastAsia="Calibri"/>
          <w:sz w:val="21"/>
          <w:szCs w:val="21"/>
        </w:rPr>
        <w:t xml:space="preserve"> complete </w:t>
      </w:r>
      <w:r>
        <w:rPr>
          <w:rFonts w:eastAsia="Calibri"/>
          <w:sz w:val="21"/>
          <w:szCs w:val="21"/>
        </w:rPr>
        <w:t>professional learning activities relevant to teaching students with disabilities</w:t>
      </w:r>
      <w:r w:rsidRPr="004D2C8E">
        <w:rPr>
          <w:rFonts w:eastAsia="Calibri"/>
          <w:sz w:val="21"/>
          <w:szCs w:val="21"/>
        </w:rPr>
        <w:t xml:space="preserve"> </w:t>
      </w:r>
      <w:r>
        <w:rPr>
          <w:rFonts w:eastAsia="Calibri"/>
          <w:sz w:val="21"/>
          <w:szCs w:val="21"/>
        </w:rPr>
        <w:t>in preparation for the</w:t>
      </w:r>
      <w:r w:rsidRPr="004D2C8E">
        <w:rPr>
          <w:rFonts w:eastAsia="Calibri"/>
          <w:sz w:val="21"/>
          <w:szCs w:val="21"/>
        </w:rPr>
        <w:t xml:space="preserve"> renewal of registration</w:t>
      </w:r>
      <w:r>
        <w:rPr>
          <w:rFonts w:eastAsia="Calibri"/>
          <w:sz w:val="21"/>
          <w:szCs w:val="21"/>
        </w:rPr>
        <w:t xml:space="preserve"> process in September 2016</w:t>
      </w:r>
      <w:r w:rsidRPr="004D2C8E">
        <w:rPr>
          <w:rFonts w:eastAsia="Calibri"/>
          <w:sz w:val="21"/>
          <w:szCs w:val="21"/>
        </w:rPr>
        <w:t xml:space="preserve">. </w:t>
      </w:r>
      <w:r>
        <w:rPr>
          <w:rFonts w:eastAsia="Calibri"/>
          <w:sz w:val="21"/>
          <w:szCs w:val="21"/>
        </w:rPr>
        <w:t>A</w:t>
      </w:r>
      <w:r w:rsidRPr="00E62F6B">
        <w:rPr>
          <w:rFonts w:eastAsia="Calibri"/>
          <w:sz w:val="21"/>
          <w:szCs w:val="21"/>
        </w:rPr>
        <w:t>t the 2016 renewal</w:t>
      </w:r>
      <w:r>
        <w:rPr>
          <w:rFonts w:eastAsia="Calibri"/>
          <w:sz w:val="21"/>
          <w:szCs w:val="21"/>
        </w:rPr>
        <w:t>,</w:t>
      </w:r>
      <w:r w:rsidRPr="00E62F6B">
        <w:rPr>
          <w:rFonts w:eastAsia="Calibri"/>
          <w:sz w:val="21"/>
          <w:szCs w:val="21"/>
        </w:rPr>
        <w:t xml:space="preserve"> </w:t>
      </w:r>
      <w:r>
        <w:rPr>
          <w:rFonts w:eastAsia="Calibri"/>
          <w:sz w:val="21"/>
          <w:szCs w:val="21"/>
        </w:rPr>
        <w:t>t</w:t>
      </w:r>
      <w:r w:rsidRPr="00E62F6B">
        <w:rPr>
          <w:rFonts w:eastAsia="Calibri"/>
          <w:sz w:val="21"/>
          <w:szCs w:val="21"/>
        </w:rPr>
        <w:t xml:space="preserve">eachers will be required to declare that they have either undertaken relevant professional development in the previous two years or will undertake it prior to renewal of registration in </w:t>
      </w:r>
      <w:r>
        <w:rPr>
          <w:rFonts w:eastAsia="Calibri"/>
          <w:sz w:val="21"/>
          <w:szCs w:val="21"/>
        </w:rPr>
        <w:t xml:space="preserve">September </w:t>
      </w:r>
      <w:r w:rsidRPr="00E62F6B">
        <w:rPr>
          <w:rFonts w:eastAsia="Calibri"/>
          <w:sz w:val="21"/>
          <w:szCs w:val="21"/>
        </w:rPr>
        <w:t>2017.</w:t>
      </w:r>
      <w:r w:rsidRPr="00D35A40">
        <w:rPr>
          <w:rFonts w:eastAsia="Calibri"/>
          <w:sz w:val="21"/>
          <w:szCs w:val="21"/>
        </w:rPr>
        <w:br/>
      </w:r>
      <w:r w:rsidRPr="004D2C8E">
        <w:rPr>
          <w:rFonts w:eastAsia="Calibri"/>
          <w:sz w:val="21"/>
          <w:szCs w:val="21"/>
        </w:rPr>
        <w:t>This mean</w:t>
      </w:r>
      <w:r>
        <w:rPr>
          <w:rFonts w:eastAsia="Calibri"/>
          <w:sz w:val="21"/>
          <w:szCs w:val="21"/>
        </w:rPr>
        <w:t>s</w:t>
      </w:r>
      <w:r w:rsidRPr="004D2C8E">
        <w:rPr>
          <w:rFonts w:eastAsia="Calibri"/>
          <w:sz w:val="21"/>
          <w:szCs w:val="21"/>
        </w:rPr>
        <w:t xml:space="preserve"> that within the 20 hour minimum requirement</w:t>
      </w:r>
      <w:r w:rsidRPr="001E3AE2">
        <w:rPr>
          <w:rFonts w:eastAsia="Calibri"/>
          <w:sz w:val="21"/>
          <w:szCs w:val="21"/>
        </w:rPr>
        <w:t xml:space="preserve"> </w:t>
      </w:r>
      <w:r>
        <w:rPr>
          <w:rFonts w:eastAsia="Calibri"/>
          <w:sz w:val="21"/>
          <w:szCs w:val="21"/>
        </w:rPr>
        <w:t>of standards referenced professional development activities</w:t>
      </w:r>
      <w:r w:rsidRPr="004D2C8E">
        <w:rPr>
          <w:rFonts w:eastAsia="Calibri"/>
          <w:sz w:val="21"/>
          <w:szCs w:val="21"/>
        </w:rPr>
        <w:t>, every</w:t>
      </w:r>
      <w:r>
        <w:rPr>
          <w:rFonts w:eastAsia="Calibri"/>
          <w:sz w:val="21"/>
          <w:szCs w:val="21"/>
        </w:rPr>
        <w:t xml:space="preserve"> teacher should undertake professional learning activities</w:t>
      </w:r>
      <w:r w:rsidRPr="004D2C8E">
        <w:rPr>
          <w:rFonts w:eastAsia="Calibri"/>
          <w:sz w:val="21"/>
          <w:szCs w:val="21"/>
        </w:rPr>
        <w:t xml:space="preserve"> that can be referenced to the following descriptors within the A</w:t>
      </w:r>
      <w:r>
        <w:rPr>
          <w:rFonts w:eastAsia="Calibri"/>
          <w:sz w:val="21"/>
          <w:szCs w:val="21"/>
        </w:rPr>
        <w:t>ustralian Professional Standards for Teachers</w:t>
      </w:r>
      <w:r w:rsidRPr="004D2C8E">
        <w:rPr>
          <w:rFonts w:eastAsia="Calibri"/>
          <w:sz w:val="21"/>
          <w:szCs w:val="21"/>
        </w:rPr>
        <w:t>:</w:t>
      </w:r>
    </w:p>
    <w:p w14:paraId="51E73BC1" w14:textId="77777777" w:rsidR="00095B1A" w:rsidRPr="00DA58C6" w:rsidRDefault="00095B1A" w:rsidP="00095B1A">
      <w:pPr>
        <w:pStyle w:val="ListParagraph"/>
        <w:keepLines w:val="0"/>
        <w:numPr>
          <w:ilvl w:val="0"/>
          <w:numId w:val="10"/>
        </w:numPr>
        <w:suppressAutoHyphens w:val="0"/>
        <w:spacing w:before="40" w:after="0" w:line="360" w:lineRule="auto"/>
        <w:contextualSpacing/>
        <w:rPr>
          <w:rFonts w:eastAsia="Calibri"/>
          <w:sz w:val="21"/>
          <w:szCs w:val="21"/>
        </w:rPr>
      </w:pPr>
      <w:r w:rsidRPr="00DA58C6">
        <w:rPr>
          <w:rFonts w:eastAsia="Calibri"/>
          <w:sz w:val="21"/>
          <w:szCs w:val="21"/>
        </w:rPr>
        <w:t xml:space="preserve">Develop teaching activities that incorporate differentiated strategies to meet the specific learning needs of </w:t>
      </w:r>
      <w:r>
        <w:rPr>
          <w:rFonts w:eastAsia="Calibri"/>
          <w:sz w:val="21"/>
          <w:szCs w:val="21"/>
        </w:rPr>
        <w:t>learners</w:t>
      </w:r>
      <w:r w:rsidRPr="00DA58C6">
        <w:rPr>
          <w:rFonts w:eastAsia="Calibri"/>
          <w:sz w:val="21"/>
          <w:szCs w:val="21"/>
        </w:rPr>
        <w:t xml:space="preserve"> across the full range of abilities. (Descriptor 1.5)</w:t>
      </w:r>
    </w:p>
    <w:p w14:paraId="51E73BC2" w14:textId="77777777" w:rsidR="00095B1A" w:rsidRPr="00DA58C6" w:rsidRDefault="00095B1A" w:rsidP="00095B1A">
      <w:pPr>
        <w:pStyle w:val="ListParagraph"/>
        <w:keepLines w:val="0"/>
        <w:numPr>
          <w:ilvl w:val="0"/>
          <w:numId w:val="10"/>
        </w:numPr>
        <w:suppressAutoHyphens w:val="0"/>
        <w:spacing w:before="40" w:after="0" w:line="360" w:lineRule="auto"/>
        <w:contextualSpacing/>
        <w:rPr>
          <w:rFonts w:eastAsia="Calibri"/>
          <w:sz w:val="21"/>
          <w:szCs w:val="21"/>
        </w:rPr>
      </w:pPr>
      <w:r w:rsidRPr="00DA58C6">
        <w:rPr>
          <w:rFonts w:eastAsia="Calibri"/>
          <w:sz w:val="21"/>
          <w:szCs w:val="21"/>
        </w:rPr>
        <w:lastRenderedPageBreak/>
        <w:t xml:space="preserve">Design and implement teaching activities that support the learning and participation of </w:t>
      </w:r>
      <w:r>
        <w:rPr>
          <w:rFonts w:eastAsia="Calibri"/>
          <w:sz w:val="21"/>
          <w:szCs w:val="21"/>
        </w:rPr>
        <w:t>learners</w:t>
      </w:r>
      <w:r w:rsidRPr="00DA58C6">
        <w:rPr>
          <w:rFonts w:eastAsia="Calibri"/>
          <w:sz w:val="21"/>
          <w:szCs w:val="21"/>
        </w:rPr>
        <w:t xml:space="preserve"> with disability and address relevant policy and legislative requirements. (Descriptor 1.6)</w:t>
      </w:r>
    </w:p>
    <w:p w14:paraId="51E73BC3" w14:textId="77777777" w:rsidR="00095B1A" w:rsidRPr="00DA58C6" w:rsidRDefault="00095B1A" w:rsidP="00095B1A">
      <w:pPr>
        <w:pStyle w:val="ListParagraph"/>
        <w:keepLines w:val="0"/>
        <w:numPr>
          <w:ilvl w:val="0"/>
          <w:numId w:val="10"/>
        </w:numPr>
        <w:suppressAutoHyphens w:val="0"/>
        <w:spacing w:before="40" w:after="0" w:line="360" w:lineRule="auto"/>
        <w:contextualSpacing/>
        <w:rPr>
          <w:rFonts w:eastAsia="Calibri"/>
          <w:sz w:val="21"/>
          <w:szCs w:val="21"/>
        </w:rPr>
      </w:pPr>
      <w:r w:rsidRPr="00DA58C6">
        <w:rPr>
          <w:rFonts w:eastAsia="Calibri"/>
          <w:sz w:val="21"/>
          <w:szCs w:val="21"/>
        </w:rPr>
        <w:t xml:space="preserve">Establish and implement inclusive and positive interactions to engage and support all </w:t>
      </w:r>
      <w:r>
        <w:rPr>
          <w:rFonts w:eastAsia="Calibri"/>
          <w:sz w:val="21"/>
          <w:szCs w:val="21"/>
        </w:rPr>
        <w:t xml:space="preserve">learners </w:t>
      </w:r>
      <w:r w:rsidRPr="00DA58C6">
        <w:rPr>
          <w:rFonts w:eastAsia="Calibri"/>
          <w:sz w:val="21"/>
          <w:szCs w:val="21"/>
        </w:rPr>
        <w:t>in classroom activities. (Descriptor 4.1)</w:t>
      </w:r>
    </w:p>
    <w:p w14:paraId="51E73BC4" w14:textId="77777777" w:rsidR="00095B1A" w:rsidRDefault="00095B1A" w:rsidP="00095B1A">
      <w:pPr>
        <w:spacing w:before="40" w:line="360" w:lineRule="auto"/>
        <w:rPr>
          <w:rFonts w:eastAsia="Calibri"/>
          <w:sz w:val="21"/>
          <w:szCs w:val="21"/>
          <w:u w:val="single"/>
        </w:rPr>
      </w:pPr>
      <w:r w:rsidRPr="004D2C8E">
        <w:rPr>
          <w:rFonts w:eastAsia="Calibri"/>
          <w:sz w:val="21"/>
          <w:szCs w:val="21"/>
        </w:rPr>
        <w:t xml:space="preserve">Teachers will need to keep records of the relevant </w:t>
      </w:r>
      <w:r>
        <w:rPr>
          <w:rFonts w:eastAsia="Calibri"/>
          <w:sz w:val="21"/>
          <w:szCs w:val="21"/>
        </w:rPr>
        <w:t xml:space="preserve">professional development activities </w:t>
      </w:r>
      <w:r w:rsidRPr="004D2C8E">
        <w:rPr>
          <w:rFonts w:eastAsia="Calibri"/>
          <w:sz w:val="21"/>
          <w:szCs w:val="21"/>
        </w:rPr>
        <w:t xml:space="preserve">they undertake. </w:t>
      </w:r>
    </w:p>
    <w:p w14:paraId="51E73BC5" w14:textId="77777777" w:rsidR="00095B1A" w:rsidRPr="00C57FA6" w:rsidRDefault="00095B1A" w:rsidP="00095B1A">
      <w:pPr>
        <w:pStyle w:val="Heading1"/>
      </w:pPr>
      <w:r w:rsidRPr="00C57FA6">
        <w:t xml:space="preserve">Professional </w:t>
      </w:r>
      <w:r>
        <w:t xml:space="preserve">learning </w:t>
      </w:r>
      <w:r w:rsidRPr="00C57FA6">
        <w:t>options to meet this requirement</w:t>
      </w:r>
    </w:p>
    <w:p w14:paraId="51E73BC6" w14:textId="77777777" w:rsidR="00095B1A" w:rsidRDefault="00095B1A" w:rsidP="00095B1A">
      <w:pPr>
        <w:spacing w:before="40" w:line="360" w:lineRule="auto"/>
        <w:rPr>
          <w:rFonts w:eastAsia="Calibri"/>
          <w:sz w:val="21"/>
          <w:szCs w:val="21"/>
        </w:rPr>
      </w:pPr>
      <w:r>
        <w:rPr>
          <w:rFonts w:eastAsia="Calibri"/>
          <w:sz w:val="21"/>
          <w:szCs w:val="21"/>
        </w:rPr>
        <w:t>As with the current</w:t>
      </w:r>
      <w:r w:rsidRPr="00977103">
        <w:rPr>
          <w:rFonts w:eastAsia="Calibri"/>
          <w:sz w:val="21"/>
          <w:szCs w:val="21"/>
        </w:rPr>
        <w:t xml:space="preserve"> registration renewal requirements, </w:t>
      </w:r>
      <w:r>
        <w:rPr>
          <w:rFonts w:eastAsia="Calibri"/>
          <w:sz w:val="21"/>
          <w:szCs w:val="21"/>
        </w:rPr>
        <w:t>professional development</w:t>
      </w:r>
      <w:r w:rsidRPr="00977103">
        <w:rPr>
          <w:rFonts w:eastAsia="Calibri"/>
          <w:sz w:val="21"/>
          <w:szCs w:val="21"/>
        </w:rPr>
        <w:t xml:space="preserve"> may involve a var</w:t>
      </w:r>
      <w:r>
        <w:rPr>
          <w:rFonts w:eastAsia="Calibri"/>
          <w:sz w:val="21"/>
          <w:szCs w:val="21"/>
        </w:rPr>
        <w:t>iety of professional learning activities such as</w:t>
      </w:r>
      <w:r w:rsidRPr="00977103">
        <w:rPr>
          <w:rFonts w:eastAsia="Calibri"/>
          <w:sz w:val="21"/>
          <w:szCs w:val="21"/>
        </w:rPr>
        <w:t xml:space="preserve"> </w:t>
      </w:r>
      <w:r w:rsidRPr="002B2C85">
        <w:rPr>
          <w:rFonts w:eastAsia="Calibri"/>
          <w:sz w:val="21"/>
          <w:szCs w:val="21"/>
        </w:rPr>
        <w:t>courses and programs, workplace-based learning</w:t>
      </w:r>
      <w:r>
        <w:rPr>
          <w:rFonts w:eastAsia="Calibri"/>
          <w:sz w:val="21"/>
          <w:szCs w:val="21"/>
        </w:rPr>
        <w:t>,</w:t>
      </w:r>
      <w:r w:rsidRPr="00977103">
        <w:rPr>
          <w:rFonts w:eastAsia="Calibri"/>
          <w:sz w:val="21"/>
          <w:szCs w:val="21"/>
        </w:rPr>
        <w:t xml:space="preserve"> online learning, </w:t>
      </w:r>
      <w:r>
        <w:rPr>
          <w:rFonts w:eastAsia="Calibri"/>
          <w:sz w:val="21"/>
          <w:szCs w:val="21"/>
        </w:rPr>
        <w:t xml:space="preserve">coaching and mentoring, </w:t>
      </w:r>
      <w:r w:rsidRPr="00977103">
        <w:rPr>
          <w:rFonts w:eastAsia="Calibri"/>
          <w:sz w:val="21"/>
          <w:szCs w:val="21"/>
        </w:rPr>
        <w:t xml:space="preserve">lectures and conferences. </w:t>
      </w:r>
    </w:p>
    <w:p w14:paraId="51E73BC7" w14:textId="77777777" w:rsidR="00095B1A" w:rsidRDefault="00095B1A" w:rsidP="00095B1A">
      <w:pPr>
        <w:spacing w:before="40" w:line="360" w:lineRule="auto"/>
        <w:rPr>
          <w:rFonts w:eastAsia="Calibri"/>
          <w:sz w:val="21"/>
          <w:szCs w:val="21"/>
        </w:rPr>
      </w:pPr>
      <w:r>
        <w:rPr>
          <w:rFonts w:eastAsia="Calibri"/>
          <w:sz w:val="21"/>
          <w:szCs w:val="21"/>
        </w:rPr>
        <w:t>To support teachers to access</w:t>
      </w:r>
      <w:r w:rsidRPr="00977103">
        <w:rPr>
          <w:rFonts w:eastAsia="Calibri"/>
          <w:sz w:val="21"/>
          <w:szCs w:val="21"/>
        </w:rPr>
        <w:t xml:space="preserve"> </w:t>
      </w:r>
      <w:r>
        <w:rPr>
          <w:rFonts w:eastAsia="Calibri"/>
          <w:sz w:val="21"/>
          <w:szCs w:val="21"/>
        </w:rPr>
        <w:t>professional learning relevant to teaching students with disabilities</w:t>
      </w:r>
      <w:r w:rsidRPr="00977103">
        <w:rPr>
          <w:rFonts w:eastAsia="Calibri"/>
          <w:sz w:val="21"/>
          <w:szCs w:val="21"/>
        </w:rPr>
        <w:t xml:space="preserve"> the Depart</w:t>
      </w:r>
      <w:r>
        <w:rPr>
          <w:rFonts w:eastAsia="Calibri"/>
          <w:sz w:val="21"/>
          <w:szCs w:val="21"/>
        </w:rPr>
        <w:t xml:space="preserve">ment currently offers the following options to Victorian </w:t>
      </w:r>
      <w:r w:rsidRPr="00977103">
        <w:rPr>
          <w:rFonts w:eastAsia="Calibri"/>
          <w:sz w:val="21"/>
          <w:szCs w:val="21"/>
        </w:rPr>
        <w:t>teachers</w:t>
      </w:r>
      <w:r>
        <w:rPr>
          <w:rFonts w:eastAsia="Calibri"/>
          <w:sz w:val="21"/>
          <w:szCs w:val="21"/>
        </w:rPr>
        <w:t xml:space="preserve"> in schools:</w:t>
      </w:r>
      <w:r w:rsidRPr="00977103">
        <w:rPr>
          <w:rFonts w:eastAsia="Calibri"/>
          <w:sz w:val="21"/>
          <w:szCs w:val="21"/>
        </w:rPr>
        <w:t xml:space="preserve"> </w:t>
      </w:r>
    </w:p>
    <w:p w14:paraId="51E73BC8" w14:textId="77777777" w:rsidR="00095B1A" w:rsidRDefault="00095B1A" w:rsidP="00095B1A">
      <w:pPr>
        <w:spacing w:before="40" w:line="360" w:lineRule="auto"/>
        <w:rPr>
          <w:rFonts w:eastAsia="Calibri"/>
          <w:sz w:val="21"/>
          <w:szCs w:val="21"/>
        </w:rPr>
      </w:pPr>
    </w:p>
    <w:tbl>
      <w:tblPr>
        <w:tblStyle w:val="TableGrid"/>
        <w:tblW w:w="10144" w:type="dxa"/>
        <w:tblLayout w:type="fixed"/>
        <w:tblLook w:val="04A0" w:firstRow="1" w:lastRow="0" w:firstColumn="1" w:lastColumn="0" w:noHBand="0" w:noVBand="1"/>
      </w:tblPr>
      <w:tblGrid>
        <w:gridCol w:w="1526"/>
        <w:gridCol w:w="3685"/>
        <w:gridCol w:w="4933"/>
      </w:tblGrid>
      <w:tr w:rsidR="00095B1A" w:rsidRPr="006D11A7" w14:paraId="51E73BCC" w14:textId="77777777" w:rsidTr="00095B1A">
        <w:tc>
          <w:tcPr>
            <w:tcW w:w="1526" w:type="dxa"/>
            <w:shd w:val="clear" w:color="auto" w:fill="D9D9D9" w:themeFill="background1" w:themeFillShade="D9"/>
          </w:tcPr>
          <w:p w14:paraId="51E73BC9" w14:textId="77777777" w:rsidR="00095B1A" w:rsidRPr="006D11A7" w:rsidRDefault="00095B1A" w:rsidP="00D850B7">
            <w:pPr>
              <w:spacing w:before="40" w:after="40" w:line="240" w:lineRule="auto"/>
              <w:rPr>
                <w:rFonts w:eastAsia="Calibri"/>
                <w:b/>
                <w:sz w:val="20"/>
                <w:szCs w:val="20"/>
              </w:rPr>
            </w:pPr>
            <w:r>
              <w:rPr>
                <w:rFonts w:eastAsia="Calibri"/>
                <w:b/>
                <w:sz w:val="20"/>
                <w:szCs w:val="20"/>
              </w:rPr>
              <w:t>Professional learning option</w:t>
            </w:r>
          </w:p>
        </w:tc>
        <w:tc>
          <w:tcPr>
            <w:tcW w:w="3685" w:type="dxa"/>
            <w:shd w:val="clear" w:color="auto" w:fill="D9D9D9" w:themeFill="background1" w:themeFillShade="D9"/>
          </w:tcPr>
          <w:p w14:paraId="51E73BCA" w14:textId="77777777" w:rsidR="00095B1A" w:rsidRPr="006D11A7" w:rsidRDefault="00095B1A" w:rsidP="00D850B7">
            <w:pPr>
              <w:spacing w:before="40" w:after="40" w:line="240" w:lineRule="auto"/>
              <w:rPr>
                <w:rFonts w:eastAsia="Calibri"/>
                <w:b/>
                <w:sz w:val="20"/>
                <w:szCs w:val="20"/>
              </w:rPr>
            </w:pPr>
            <w:r w:rsidRPr="006D11A7">
              <w:rPr>
                <w:rFonts w:eastAsia="Calibri"/>
                <w:b/>
                <w:sz w:val="20"/>
                <w:szCs w:val="20"/>
              </w:rPr>
              <w:t>Description</w:t>
            </w:r>
          </w:p>
        </w:tc>
        <w:tc>
          <w:tcPr>
            <w:tcW w:w="4933" w:type="dxa"/>
            <w:shd w:val="clear" w:color="auto" w:fill="D9D9D9" w:themeFill="background1" w:themeFillShade="D9"/>
          </w:tcPr>
          <w:p w14:paraId="51E73BCB" w14:textId="77777777" w:rsidR="00095B1A" w:rsidRPr="006D11A7" w:rsidRDefault="00095B1A" w:rsidP="00D850B7">
            <w:pPr>
              <w:spacing w:before="40" w:after="40"/>
              <w:rPr>
                <w:rFonts w:eastAsia="Calibri"/>
                <w:b/>
                <w:sz w:val="20"/>
                <w:szCs w:val="20"/>
              </w:rPr>
            </w:pPr>
            <w:r>
              <w:rPr>
                <w:rFonts w:eastAsia="Calibri"/>
                <w:b/>
                <w:sz w:val="20"/>
                <w:szCs w:val="20"/>
              </w:rPr>
              <w:t xml:space="preserve">Access and </w:t>
            </w:r>
            <w:r w:rsidR="007B6DA5">
              <w:rPr>
                <w:rFonts w:eastAsia="Calibri"/>
                <w:b/>
                <w:sz w:val="20"/>
                <w:szCs w:val="20"/>
              </w:rPr>
              <w:t>availability</w:t>
            </w:r>
          </w:p>
        </w:tc>
      </w:tr>
      <w:tr w:rsidR="00095B1A" w:rsidRPr="006D11A7" w14:paraId="51E73BCE" w14:textId="77777777" w:rsidTr="00095B1A">
        <w:tc>
          <w:tcPr>
            <w:tcW w:w="10144" w:type="dxa"/>
            <w:gridSpan w:val="3"/>
            <w:shd w:val="clear" w:color="auto" w:fill="auto"/>
          </w:tcPr>
          <w:p w14:paraId="51E73BCD" w14:textId="77777777" w:rsidR="00095B1A" w:rsidRPr="003328C6" w:rsidRDefault="00095B1A" w:rsidP="00D850B7">
            <w:pPr>
              <w:spacing w:before="40" w:after="40"/>
              <w:rPr>
                <w:rFonts w:eastAsia="Calibri"/>
                <w:i/>
                <w:sz w:val="20"/>
                <w:szCs w:val="20"/>
              </w:rPr>
            </w:pPr>
            <w:r w:rsidRPr="003328C6">
              <w:rPr>
                <w:rFonts w:eastAsia="Calibri"/>
                <w:i/>
                <w:sz w:val="20"/>
                <w:szCs w:val="20"/>
              </w:rPr>
              <w:t>The following options are available for government, Catholic and independent schools:</w:t>
            </w:r>
          </w:p>
        </w:tc>
      </w:tr>
      <w:tr w:rsidR="00095B1A" w:rsidRPr="006D11A7" w14:paraId="51E73BD3" w14:textId="77777777" w:rsidTr="00095B1A">
        <w:tc>
          <w:tcPr>
            <w:tcW w:w="1526" w:type="dxa"/>
            <w:shd w:val="clear" w:color="auto" w:fill="auto"/>
          </w:tcPr>
          <w:p w14:paraId="51E73BCF" w14:textId="77777777" w:rsidR="00095B1A" w:rsidRPr="006D11A7" w:rsidRDefault="00095B1A" w:rsidP="00D850B7">
            <w:pPr>
              <w:spacing w:before="40" w:after="40" w:line="240" w:lineRule="auto"/>
              <w:rPr>
                <w:rFonts w:eastAsia="Calibri"/>
                <w:sz w:val="20"/>
                <w:szCs w:val="20"/>
              </w:rPr>
            </w:pPr>
            <w:r w:rsidRPr="006D11A7">
              <w:rPr>
                <w:rFonts w:eastAsia="Calibri"/>
                <w:sz w:val="20"/>
                <w:szCs w:val="20"/>
              </w:rPr>
              <w:t>Disability Standards for Education (DSE) eLearning</w:t>
            </w:r>
          </w:p>
        </w:tc>
        <w:tc>
          <w:tcPr>
            <w:tcW w:w="3685" w:type="dxa"/>
            <w:shd w:val="clear" w:color="auto" w:fill="auto"/>
          </w:tcPr>
          <w:p w14:paraId="51E73BD0" w14:textId="77777777" w:rsidR="00095B1A" w:rsidRPr="006D11A7" w:rsidRDefault="00095B1A" w:rsidP="00D850B7">
            <w:pPr>
              <w:spacing w:before="40" w:after="40" w:line="240" w:lineRule="auto"/>
              <w:rPr>
                <w:rFonts w:eastAsia="Calibri"/>
                <w:sz w:val="20"/>
                <w:szCs w:val="20"/>
              </w:rPr>
            </w:pPr>
            <w:r w:rsidRPr="006D11A7">
              <w:rPr>
                <w:rFonts w:eastAsia="Calibri"/>
                <w:sz w:val="20"/>
                <w:szCs w:val="20"/>
              </w:rPr>
              <w:t xml:space="preserve">Free online resources </w:t>
            </w:r>
            <w:r>
              <w:rPr>
                <w:rFonts w:eastAsia="Calibri"/>
                <w:sz w:val="20"/>
                <w:szCs w:val="20"/>
              </w:rPr>
              <w:t>about</w:t>
            </w:r>
            <w:r w:rsidRPr="006D11A7">
              <w:rPr>
                <w:rFonts w:eastAsia="Calibri"/>
                <w:sz w:val="20"/>
                <w:szCs w:val="20"/>
              </w:rPr>
              <w:t xml:space="preserve"> legal obligations under the DSE and Disability </w:t>
            </w:r>
            <w:r w:rsidR="007B6DA5" w:rsidRPr="006D11A7">
              <w:rPr>
                <w:rFonts w:eastAsia="Calibri"/>
                <w:sz w:val="20"/>
                <w:szCs w:val="20"/>
              </w:rPr>
              <w:t>Discrimination</w:t>
            </w:r>
            <w:r w:rsidRPr="006D11A7">
              <w:rPr>
                <w:rFonts w:eastAsia="Calibri"/>
                <w:sz w:val="20"/>
                <w:szCs w:val="20"/>
              </w:rPr>
              <w:t xml:space="preserve"> Act</w:t>
            </w:r>
            <w:r>
              <w:rPr>
                <w:rFonts w:eastAsia="Calibri"/>
                <w:sz w:val="20"/>
                <w:szCs w:val="20"/>
              </w:rPr>
              <w:t>.</w:t>
            </w:r>
          </w:p>
        </w:tc>
        <w:tc>
          <w:tcPr>
            <w:tcW w:w="4933" w:type="dxa"/>
          </w:tcPr>
          <w:p w14:paraId="51E73BD1" w14:textId="77777777" w:rsidR="00095B1A" w:rsidRDefault="00095B1A" w:rsidP="00D850B7">
            <w:pPr>
              <w:spacing w:before="40" w:after="40"/>
              <w:rPr>
                <w:rFonts w:eastAsia="Calibri"/>
                <w:sz w:val="20"/>
                <w:szCs w:val="20"/>
              </w:rPr>
            </w:pPr>
            <w:r>
              <w:rPr>
                <w:rFonts w:eastAsia="Calibri"/>
                <w:sz w:val="20"/>
                <w:szCs w:val="20"/>
              </w:rPr>
              <w:t xml:space="preserve">Ongoing availability through the Department’s website </w:t>
            </w:r>
            <w:r w:rsidRPr="006B0210">
              <w:rPr>
                <w:rFonts w:eastAsia="Calibri"/>
                <w:sz w:val="20"/>
                <w:szCs w:val="20"/>
              </w:rPr>
              <w:t xml:space="preserve">to be </w:t>
            </w:r>
            <w:r>
              <w:rPr>
                <w:rFonts w:eastAsia="Calibri"/>
                <w:sz w:val="20"/>
                <w:szCs w:val="20"/>
              </w:rPr>
              <w:t>accessed</w:t>
            </w:r>
            <w:r w:rsidRPr="006B0210">
              <w:rPr>
                <w:rFonts w:eastAsia="Calibri"/>
                <w:sz w:val="20"/>
                <w:szCs w:val="20"/>
              </w:rPr>
              <w:t xml:space="preserve"> independently</w:t>
            </w:r>
            <w:r>
              <w:rPr>
                <w:rFonts w:eastAsia="Calibri"/>
                <w:sz w:val="20"/>
                <w:szCs w:val="20"/>
              </w:rPr>
              <w:t xml:space="preserve"> by teachers at:</w:t>
            </w:r>
          </w:p>
          <w:p w14:paraId="51E73BD2" w14:textId="0D21AA05" w:rsidR="00927B70" w:rsidRPr="006D11A7" w:rsidRDefault="00927B70" w:rsidP="00927B70">
            <w:pPr>
              <w:spacing w:before="40" w:after="40"/>
              <w:rPr>
                <w:rFonts w:eastAsia="Calibri"/>
                <w:sz w:val="20"/>
                <w:szCs w:val="20"/>
              </w:rPr>
            </w:pPr>
            <w:hyperlink r:id="rId11" w:history="1">
              <w:r w:rsidRPr="003D2EFC">
                <w:rPr>
                  <w:rStyle w:val="Hyperlink"/>
                  <w:rFonts w:eastAsia="Calibri"/>
                  <w:sz w:val="20"/>
                  <w:szCs w:val="20"/>
                </w:rPr>
                <w:t>www.education.vic.gov.au/school/teachers/health/Pages/legislation.aspx</w:t>
              </w:r>
            </w:hyperlink>
          </w:p>
        </w:tc>
      </w:tr>
      <w:tr w:rsidR="00095B1A" w:rsidRPr="006D11A7" w14:paraId="51E73BD9" w14:textId="77777777" w:rsidTr="00095B1A">
        <w:tc>
          <w:tcPr>
            <w:tcW w:w="1526" w:type="dxa"/>
            <w:shd w:val="clear" w:color="auto" w:fill="auto"/>
          </w:tcPr>
          <w:p w14:paraId="51E73BD4" w14:textId="77777777" w:rsidR="00095B1A" w:rsidRPr="006D11A7" w:rsidRDefault="00095B1A" w:rsidP="00D850B7">
            <w:pPr>
              <w:spacing w:before="40" w:after="40" w:line="240" w:lineRule="auto"/>
              <w:rPr>
                <w:rFonts w:eastAsia="Calibri"/>
                <w:sz w:val="20"/>
                <w:szCs w:val="20"/>
              </w:rPr>
            </w:pPr>
            <w:r w:rsidRPr="006D11A7">
              <w:rPr>
                <w:rFonts w:eastAsia="Calibri"/>
                <w:sz w:val="20"/>
                <w:szCs w:val="20"/>
              </w:rPr>
              <w:t xml:space="preserve">Victorian Deaf Education Institute </w:t>
            </w:r>
            <w:r w:rsidRPr="006D11A7">
              <w:rPr>
                <w:rFonts w:eastAsia="Calibri"/>
                <w:sz w:val="20"/>
                <w:szCs w:val="20"/>
              </w:rPr>
              <w:lastRenderedPageBreak/>
              <w:t>(VDEI) Professional Learning Program</w:t>
            </w:r>
          </w:p>
        </w:tc>
        <w:tc>
          <w:tcPr>
            <w:tcW w:w="3685" w:type="dxa"/>
            <w:shd w:val="clear" w:color="auto" w:fill="auto"/>
          </w:tcPr>
          <w:p w14:paraId="51E73BD5" w14:textId="77777777" w:rsidR="00095B1A" w:rsidRDefault="00095B1A" w:rsidP="00D850B7">
            <w:pPr>
              <w:spacing w:before="40" w:after="40" w:line="240" w:lineRule="auto"/>
              <w:rPr>
                <w:rFonts w:eastAsia="Calibri"/>
                <w:sz w:val="20"/>
                <w:szCs w:val="20"/>
              </w:rPr>
            </w:pPr>
            <w:r w:rsidRPr="00543799">
              <w:rPr>
                <w:rFonts w:eastAsia="Calibri"/>
                <w:sz w:val="20"/>
                <w:szCs w:val="20"/>
              </w:rPr>
              <w:lastRenderedPageBreak/>
              <w:t xml:space="preserve">A range of professional learning </w:t>
            </w:r>
            <w:r>
              <w:rPr>
                <w:rFonts w:eastAsia="Calibri"/>
                <w:sz w:val="20"/>
                <w:szCs w:val="20"/>
              </w:rPr>
              <w:t>activities</w:t>
            </w:r>
            <w:r w:rsidRPr="00543799">
              <w:rPr>
                <w:rFonts w:eastAsia="Calibri"/>
                <w:sz w:val="20"/>
                <w:szCs w:val="20"/>
              </w:rPr>
              <w:t xml:space="preserve"> catering to all Victorian education </w:t>
            </w:r>
            <w:r w:rsidRPr="00543799">
              <w:rPr>
                <w:rFonts w:eastAsia="Calibri"/>
                <w:sz w:val="20"/>
                <w:szCs w:val="20"/>
              </w:rPr>
              <w:lastRenderedPageBreak/>
              <w:t xml:space="preserve">professionals supporting deaf and hard of hearing children and young people aged </w:t>
            </w:r>
          </w:p>
          <w:p w14:paraId="51E73BD6" w14:textId="77777777" w:rsidR="00095B1A" w:rsidRPr="006D11A7" w:rsidRDefault="00095B1A" w:rsidP="00D850B7">
            <w:pPr>
              <w:spacing w:before="40" w:after="40" w:line="240" w:lineRule="auto"/>
              <w:rPr>
                <w:rFonts w:eastAsia="Calibri"/>
                <w:sz w:val="20"/>
                <w:szCs w:val="20"/>
              </w:rPr>
            </w:pPr>
            <w:r w:rsidRPr="00543799">
              <w:rPr>
                <w:rFonts w:eastAsia="Calibri"/>
                <w:sz w:val="20"/>
                <w:szCs w:val="20"/>
              </w:rPr>
              <w:t>0 to 18 years, across a range of educational settings</w:t>
            </w:r>
            <w:r>
              <w:rPr>
                <w:rFonts w:eastAsia="Calibri"/>
                <w:sz w:val="20"/>
                <w:szCs w:val="20"/>
              </w:rPr>
              <w:t>.</w:t>
            </w:r>
          </w:p>
        </w:tc>
        <w:tc>
          <w:tcPr>
            <w:tcW w:w="4933" w:type="dxa"/>
          </w:tcPr>
          <w:p w14:paraId="51E73BD7" w14:textId="77777777" w:rsidR="00095B1A" w:rsidRDefault="00095B1A" w:rsidP="00D850B7">
            <w:pPr>
              <w:spacing w:before="40" w:after="40"/>
              <w:rPr>
                <w:rFonts w:eastAsia="Calibri"/>
                <w:sz w:val="20"/>
                <w:szCs w:val="20"/>
              </w:rPr>
            </w:pPr>
            <w:r>
              <w:rPr>
                <w:rFonts w:eastAsia="Calibri"/>
                <w:sz w:val="20"/>
                <w:szCs w:val="20"/>
              </w:rPr>
              <w:lastRenderedPageBreak/>
              <w:t>Available through the VDEI website at:</w:t>
            </w:r>
          </w:p>
          <w:p w14:paraId="51E73BD8" w14:textId="77777777" w:rsidR="00095B1A" w:rsidRPr="006D11A7" w:rsidRDefault="00084E29" w:rsidP="00D850B7">
            <w:pPr>
              <w:spacing w:before="40" w:after="40"/>
              <w:rPr>
                <w:rFonts w:eastAsia="Calibri"/>
                <w:sz w:val="20"/>
                <w:szCs w:val="20"/>
              </w:rPr>
            </w:pPr>
            <w:hyperlink r:id="rId12" w:history="1">
              <w:r w:rsidR="00095B1A" w:rsidRPr="007362EB">
                <w:rPr>
                  <w:rStyle w:val="Hyperlink"/>
                  <w:rFonts w:eastAsia="Calibri"/>
                  <w:sz w:val="20"/>
                  <w:szCs w:val="20"/>
                </w:rPr>
                <w:t>www.deafeducation.vic.edu.au</w:t>
              </w:r>
            </w:hyperlink>
            <w:r w:rsidR="00095B1A">
              <w:rPr>
                <w:rFonts w:eastAsia="Calibri"/>
                <w:sz w:val="20"/>
                <w:szCs w:val="20"/>
              </w:rPr>
              <w:t xml:space="preserve"> </w:t>
            </w:r>
          </w:p>
        </w:tc>
      </w:tr>
      <w:tr w:rsidR="00095B1A" w:rsidRPr="006D11A7" w14:paraId="51E73BDE" w14:textId="77777777" w:rsidTr="00095B1A">
        <w:trPr>
          <w:trHeight w:val="1995"/>
        </w:trPr>
        <w:tc>
          <w:tcPr>
            <w:tcW w:w="1526" w:type="dxa"/>
            <w:shd w:val="clear" w:color="auto" w:fill="auto"/>
          </w:tcPr>
          <w:p w14:paraId="51E73BDA" w14:textId="77777777" w:rsidR="00095B1A" w:rsidRPr="006D11A7" w:rsidRDefault="00095B1A" w:rsidP="00D850B7">
            <w:pPr>
              <w:spacing w:before="40" w:after="40" w:line="240" w:lineRule="auto"/>
              <w:rPr>
                <w:rFonts w:eastAsia="Calibri"/>
                <w:sz w:val="20"/>
                <w:szCs w:val="20"/>
              </w:rPr>
            </w:pPr>
            <w:r w:rsidRPr="006D11A7">
              <w:rPr>
                <w:rFonts w:eastAsia="Calibri"/>
                <w:sz w:val="20"/>
                <w:szCs w:val="20"/>
              </w:rPr>
              <w:lastRenderedPageBreak/>
              <w:t>Managing Challenging Behaviours</w:t>
            </w:r>
          </w:p>
        </w:tc>
        <w:tc>
          <w:tcPr>
            <w:tcW w:w="3685" w:type="dxa"/>
            <w:shd w:val="clear" w:color="auto" w:fill="auto"/>
          </w:tcPr>
          <w:p w14:paraId="51E73BDB" w14:textId="77777777" w:rsidR="00095B1A" w:rsidRPr="00A855A2" w:rsidRDefault="00095B1A" w:rsidP="00D850B7">
            <w:pPr>
              <w:spacing w:before="40" w:after="40"/>
              <w:rPr>
                <w:rFonts w:eastAsia="Calibri"/>
                <w:sz w:val="20"/>
                <w:szCs w:val="20"/>
              </w:rPr>
            </w:pPr>
            <w:r w:rsidRPr="00A855A2">
              <w:rPr>
                <w:rFonts w:eastAsia="Calibri"/>
                <w:sz w:val="20"/>
                <w:szCs w:val="20"/>
              </w:rPr>
              <w:t xml:space="preserve">Online course </w:t>
            </w:r>
            <w:r w:rsidRPr="00174C6B">
              <w:rPr>
                <w:rFonts w:eastAsia="Calibri"/>
                <w:sz w:val="20"/>
                <w:szCs w:val="20"/>
              </w:rPr>
              <w:t>to support teachers to limit the incidence and impact of complex behaviours in the classroom</w:t>
            </w:r>
            <w:r>
              <w:rPr>
                <w:rFonts w:eastAsia="Calibri"/>
                <w:sz w:val="20"/>
                <w:szCs w:val="20"/>
              </w:rPr>
              <w:t>.</w:t>
            </w:r>
          </w:p>
        </w:tc>
        <w:tc>
          <w:tcPr>
            <w:tcW w:w="4933" w:type="dxa"/>
          </w:tcPr>
          <w:p w14:paraId="51E73BDC" w14:textId="77777777" w:rsidR="00095B1A" w:rsidRDefault="00095B1A" w:rsidP="00D850B7">
            <w:pPr>
              <w:spacing w:before="40" w:after="40"/>
              <w:rPr>
                <w:rFonts w:eastAsia="Calibri"/>
                <w:sz w:val="20"/>
                <w:szCs w:val="20"/>
              </w:rPr>
            </w:pPr>
            <w:r>
              <w:rPr>
                <w:rFonts w:eastAsia="Calibri"/>
                <w:sz w:val="20"/>
                <w:szCs w:val="20"/>
              </w:rPr>
              <w:t xml:space="preserve">Ongoing availability through the Department’s website </w:t>
            </w:r>
            <w:r w:rsidRPr="006B0210">
              <w:rPr>
                <w:rFonts w:eastAsia="Calibri"/>
                <w:sz w:val="20"/>
                <w:szCs w:val="20"/>
              </w:rPr>
              <w:t xml:space="preserve">to be </w:t>
            </w:r>
            <w:r>
              <w:rPr>
                <w:rFonts w:eastAsia="Calibri"/>
                <w:sz w:val="20"/>
                <w:szCs w:val="20"/>
              </w:rPr>
              <w:t>accessed</w:t>
            </w:r>
            <w:r w:rsidRPr="006B0210">
              <w:rPr>
                <w:rFonts w:eastAsia="Calibri"/>
                <w:sz w:val="20"/>
                <w:szCs w:val="20"/>
              </w:rPr>
              <w:t xml:space="preserve"> independently</w:t>
            </w:r>
            <w:r>
              <w:rPr>
                <w:rFonts w:eastAsia="Calibri"/>
                <w:sz w:val="20"/>
                <w:szCs w:val="20"/>
              </w:rPr>
              <w:t xml:space="preserve"> by teachers at:</w:t>
            </w:r>
          </w:p>
          <w:p w14:paraId="51E73BDD" w14:textId="77777777" w:rsidR="00095B1A" w:rsidRPr="006D11A7" w:rsidRDefault="00084E29" w:rsidP="00D850B7">
            <w:pPr>
              <w:spacing w:before="40" w:after="40"/>
              <w:rPr>
                <w:rFonts w:eastAsia="Calibri"/>
                <w:sz w:val="20"/>
                <w:szCs w:val="20"/>
              </w:rPr>
            </w:pPr>
            <w:hyperlink r:id="rId13" w:history="1">
              <w:r w:rsidR="00095B1A" w:rsidRPr="00BD7ED5">
                <w:rPr>
                  <w:rStyle w:val="Hyperlink"/>
                  <w:rFonts w:eastAsia="Calibri"/>
                  <w:sz w:val="20"/>
                  <w:szCs w:val="20"/>
                </w:rPr>
                <w:t>www.education.vic.gov.au/school/teachers/profdev/Pages/managebehaviours.aspx</w:t>
              </w:r>
            </w:hyperlink>
            <w:r w:rsidR="00095B1A">
              <w:rPr>
                <w:rFonts w:eastAsia="Calibri"/>
                <w:sz w:val="20"/>
                <w:szCs w:val="20"/>
              </w:rPr>
              <w:t xml:space="preserve"> </w:t>
            </w:r>
          </w:p>
        </w:tc>
      </w:tr>
    </w:tbl>
    <w:p w14:paraId="51E73BDF" w14:textId="77777777" w:rsidR="00095B1A" w:rsidRDefault="00095B1A" w:rsidP="00095B1A">
      <w:r>
        <w:br w:type="page"/>
      </w:r>
    </w:p>
    <w:tbl>
      <w:tblPr>
        <w:tblStyle w:val="TableGrid"/>
        <w:tblW w:w="10144" w:type="dxa"/>
        <w:tblLayout w:type="fixed"/>
        <w:tblLook w:val="04A0" w:firstRow="1" w:lastRow="0" w:firstColumn="1" w:lastColumn="0" w:noHBand="0" w:noVBand="1"/>
      </w:tblPr>
      <w:tblGrid>
        <w:gridCol w:w="1651"/>
        <w:gridCol w:w="3277"/>
        <w:gridCol w:w="5216"/>
      </w:tblGrid>
      <w:tr w:rsidR="00095B1A" w:rsidRPr="006D11A7" w14:paraId="51E73BE3" w14:textId="77777777" w:rsidTr="007D27A3">
        <w:tc>
          <w:tcPr>
            <w:tcW w:w="1651" w:type="dxa"/>
            <w:shd w:val="clear" w:color="auto" w:fill="D9D9D9" w:themeFill="background1" w:themeFillShade="D9"/>
          </w:tcPr>
          <w:p w14:paraId="51E73BE0" w14:textId="77777777" w:rsidR="00095B1A" w:rsidRPr="006D11A7" w:rsidRDefault="00095B1A" w:rsidP="00D850B7">
            <w:pPr>
              <w:spacing w:before="40" w:after="40" w:line="240" w:lineRule="auto"/>
              <w:rPr>
                <w:rFonts w:eastAsia="Calibri"/>
                <w:b/>
                <w:sz w:val="20"/>
                <w:szCs w:val="20"/>
              </w:rPr>
            </w:pPr>
            <w:r>
              <w:rPr>
                <w:rFonts w:eastAsia="Calibri"/>
                <w:b/>
                <w:sz w:val="20"/>
                <w:szCs w:val="20"/>
              </w:rPr>
              <w:lastRenderedPageBreak/>
              <w:t>Professional learning option</w:t>
            </w:r>
          </w:p>
        </w:tc>
        <w:tc>
          <w:tcPr>
            <w:tcW w:w="3277" w:type="dxa"/>
            <w:shd w:val="clear" w:color="auto" w:fill="D9D9D9" w:themeFill="background1" w:themeFillShade="D9"/>
          </w:tcPr>
          <w:p w14:paraId="51E73BE1" w14:textId="77777777" w:rsidR="00095B1A" w:rsidRPr="006D11A7" w:rsidRDefault="00095B1A" w:rsidP="00D850B7">
            <w:pPr>
              <w:spacing w:before="40" w:after="40" w:line="240" w:lineRule="auto"/>
              <w:rPr>
                <w:rFonts w:eastAsia="Calibri"/>
                <w:b/>
                <w:sz w:val="20"/>
                <w:szCs w:val="20"/>
              </w:rPr>
            </w:pPr>
            <w:r w:rsidRPr="006D11A7">
              <w:rPr>
                <w:rFonts w:eastAsia="Calibri"/>
                <w:b/>
                <w:sz w:val="20"/>
                <w:szCs w:val="20"/>
              </w:rPr>
              <w:t>Description</w:t>
            </w:r>
          </w:p>
        </w:tc>
        <w:tc>
          <w:tcPr>
            <w:tcW w:w="5216" w:type="dxa"/>
            <w:shd w:val="clear" w:color="auto" w:fill="D9D9D9" w:themeFill="background1" w:themeFillShade="D9"/>
          </w:tcPr>
          <w:p w14:paraId="51E73BE2" w14:textId="77777777" w:rsidR="00095B1A" w:rsidRPr="006D11A7" w:rsidRDefault="00095B1A" w:rsidP="00D850B7">
            <w:pPr>
              <w:spacing w:before="40" w:after="40"/>
              <w:rPr>
                <w:rFonts w:eastAsia="Calibri"/>
                <w:b/>
                <w:sz w:val="20"/>
                <w:szCs w:val="20"/>
              </w:rPr>
            </w:pPr>
            <w:r>
              <w:rPr>
                <w:rFonts w:eastAsia="Calibri"/>
                <w:b/>
                <w:sz w:val="20"/>
                <w:szCs w:val="20"/>
              </w:rPr>
              <w:t xml:space="preserve">Access and </w:t>
            </w:r>
            <w:r w:rsidR="007B6DA5">
              <w:rPr>
                <w:rFonts w:eastAsia="Calibri"/>
                <w:b/>
                <w:sz w:val="20"/>
                <w:szCs w:val="20"/>
              </w:rPr>
              <w:t>availability</w:t>
            </w:r>
          </w:p>
        </w:tc>
      </w:tr>
      <w:tr w:rsidR="00095B1A" w:rsidRPr="006D11A7" w14:paraId="51E73BE5" w14:textId="77777777" w:rsidTr="007D27A3">
        <w:tc>
          <w:tcPr>
            <w:tcW w:w="10144" w:type="dxa"/>
            <w:gridSpan w:val="3"/>
            <w:shd w:val="clear" w:color="auto" w:fill="auto"/>
          </w:tcPr>
          <w:p w14:paraId="51E73BE4" w14:textId="77777777" w:rsidR="00095B1A" w:rsidRPr="003328C6" w:rsidRDefault="00095B1A" w:rsidP="00D850B7">
            <w:pPr>
              <w:spacing w:before="40" w:after="40"/>
              <w:rPr>
                <w:rFonts w:eastAsia="Calibri"/>
                <w:i/>
                <w:sz w:val="20"/>
                <w:szCs w:val="20"/>
              </w:rPr>
            </w:pPr>
            <w:r w:rsidRPr="003328C6">
              <w:rPr>
                <w:rFonts w:eastAsia="Calibri"/>
                <w:i/>
                <w:sz w:val="20"/>
                <w:szCs w:val="20"/>
              </w:rPr>
              <w:t>The following option is also available for government and Catholic schools:</w:t>
            </w:r>
          </w:p>
        </w:tc>
      </w:tr>
      <w:tr w:rsidR="00095B1A" w:rsidRPr="006D11A7" w14:paraId="51E73BEF" w14:textId="77777777" w:rsidTr="007D27A3">
        <w:tc>
          <w:tcPr>
            <w:tcW w:w="1651" w:type="dxa"/>
            <w:shd w:val="clear" w:color="auto" w:fill="auto"/>
          </w:tcPr>
          <w:p w14:paraId="51E73BE6" w14:textId="77777777" w:rsidR="00095B1A" w:rsidRPr="006D11A7" w:rsidRDefault="00095B1A" w:rsidP="00D850B7">
            <w:pPr>
              <w:spacing w:before="40" w:after="40" w:line="240" w:lineRule="auto"/>
              <w:rPr>
                <w:rFonts w:eastAsia="Calibri"/>
                <w:sz w:val="20"/>
                <w:szCs w:val="20"/>
              </w:rPr>
            </w:pPr>
            <w:r w:rsidRPr="006D11A7">
              <w:rPr>
                <w:rFonts w:eastAsia="Calibri"/>
                <w:sz w:val="20"/>
                <w:szCs w:val="20"/>
              </w:rPr>
              <w:t>Inclusion Online</w:t>
            </w:r>
          </w:p>
        </w:tc>
        <w:tc>
          <w:tcPr>
            <w:tcW w:w="3277" w:type="dxa"/>
            <w:shd w:val="clear" w:color="auto" w:fill="auto"/>
          </w:tcPr>
          <w:p w14:paraId="51E73BE7" w14:textId="77777777" w:rsidR="00095B1A" w:rsidRDefault="00095B1A" w:rsidP="00D850B7">
            <w:pPr>
              <w:spacing w:before="40" w:after="40" w:line="240" w:lineRule="auto"/>
              <w:rPr>
                <w:rFonts w:eastAsia="Calibri"/>
                <w:sz w:val="20"/>
                <w:szCs w:val="20"/>
              </w:rPr>
            </w:pPr>
            <w:r w:rsidRPr="006D11A7">
              <w:rPr>
                <w:rFonts w:eastAsia="Calibri"/>
                <w:sz w:val="20"/>
                <w:szCs w:val="20"/>
              </w:rPr>
              <w:t>Free blended professional learning focusing on understanding, assessment and classroom support of students with disabilities and learning difficulties</w:t>
            </w:r>
            <w:r>
              <w:rPr>
                <w:rFonts w:eastAsia="Calibri"/>
                <w:sz w:val="20"/>
                <w:szCs w:val="20"/>
              </w:rPr>
              <w:t xml:space="preserve"> in four courses:</w:t>
            </w:r>
          </w:p>
          <w:p w14:paraId="51E73BE8" w14:textId="77777777" w:rsidR="00095B1A" w:rsidRDefault="00095B1A" w:rsidP="00095B1A">
            <w:pPr>
              <w:pStyle w:val="ListParagraph"/>
              <w:keepLines w:val="0"/>
              <w:numPr>
                <w:ilvl w:val="0"/>
                <w:numId w:val="11"/>
              </w:numPr>
              <w:suppressAutoHyphens w:val="0"/>
              <w:spacing w:before="40" w:after="40" w:line="220" w:lineRule="atLeast"/>
              <w:ind w:left="212" w:hanging="212"/>
              <w:contextualSpacing/>
              <w:rPr>
                <w:rFonts w:eastAsia="Calibri"/>
                <w:sz w:val="20"/>
                <w:szCs w:val="20"/>
              </w:rPr>
            </w:pPr>
            <w:r>
              <w:rPr>
                <w:rFonts w:eastAsia="Calibri"/>
                <w:sz w:val="20"/>
                <w:szCs w:val="20"/>
              </w:rPr>
              <w:t>Understanding Autism Spectrum Disorders;</w:t>
            </w:r>
          </w:p>
          <w:p w14:paraId="51E73BE9" w14:textId="77777777" w:rsidR="00095B1A" w:rsidRDefault="00095B1A" w:rsidP="00095B1A">
            <w:pPr>
              <w:pStyle w:val="ListParagraph"/>
              <w:keepLines w:val="0"/>
              <w:numPr>
                <w:ilvl w:val="0"/>
                <w:numId w:val="11"/>
              </w:numPr>
              <w:suppressAutoHyphens w:val="0"/>
              <w:spacing w:before="40" w:after="40" w:line="220" w:lineRule="atLeast"/>
              <w:ind w:left="212" w:hanging="212"/>
              <w:contextualSpacing/>
              <w:rPr>
                <w:rFonts w:eastAsia="Calibri"/>
                <w:sz w:val="20"/>
                <w:szCs w:val="20"/>
              </w:rPr>
            </w:pPr>
            <w:r>
              <w:rPr>
                <w:rFonts w:eastAsia="Calibri"/>
                <w:sz w:val="20"/>
                <w:szCs w:val="20"/>
              </w:rPr>
              <w:t xml:space="preserve">Inclusion of Students with Speech, Language and Communication needs; </w:t>
            </w:r>
          </w:p>
          <w:p w14:paraId="51E73BEA" w14:textId="77777777" w:rsidR="00095B1A" w:rsidRDefault="00095B1A" w:rsidP="00095B1A">
            <w:pPr>
              <w:pStyle w:val="ListParagraph"/>
              <w:keepLines w:val="0"/>
              <w:numPr>
                <w:ilvl w:val="0"/>
                <w:numId w:val="11"/>
              </w:numPr>
              <w:suppressAutoHyphens w:val="0"/>
              <w:spacing w:before="40" w:after="40" w:line="220" w:lineRule="atLeast"/>
              <w:ind w:left="212" w:hanging="212"/>
              <w:contextualSpacing/>
              <w:rPr>
                <w:rFonts w:eastAsia="Calibri"/>
                <w:sz w:val="20"/>
                <w:szCs w:val="20"/>
              </w:rPr>
            </w:pPr>
            <w:r>
              <w:rPr>
                <w:rFonts w:eastAsia="Calibri"/>
                <w:sz w:val="20"/>
                <w:szCs w:val="20"/>
              </w:rPr>
              <w:t>Understanding Dyslexia and Significant Difficulties in Reading; and</w:t>
            </w:r>
          </w:p>
          <w:p w14:paraId="51E73BEB" w14:textId="77777777" w:rsidR="00095B1A" w:rsidRPr="00A855A2" w:rsidRDefault="00095B1A" w:rsidP="00095B1A">
            <w:pPr>
              <w:pStyle w:val="ListParagraph"/>
              <w:keepLines w:val="0"/>
              <w:numPr>
                <w:ilvl w:val="0"/>
                <w:numId w:val="11"/>
              </w:numPr>
              <w:suppressAutoHyphens w:val="0"/>
              <w:spacing w:before="40" w:after="40" w:line="220" w:lineRule="atLeast"/>
              <w:ind w:left="212" w:hanging="212"/>
              <w:contextualSpacing/>
              <w:rPr>
                <w:rFonts w:eastAsia="Calibri"/>
                <w:sz w:val="20"/>
                <w:szCs w:val="20"/>
              </w:rPr>
            </w:pPr>
            <w:r>
              <w:rPr>
                <w:rFonts w:eastAsia="Calibri"/>
                <w:sz w:val="20"/>
                <w:szCs w:val="20"/>
              </w:rPr>
              <w:t>Understanding Hearing Loss.</w:t>
            </w:r>
          </w:p>
        </w:tc>
        <w:tc>
          <w:tcPr>
            <w:tcW w:w="5216" w:type="dxa"/>
          </w:tcPr>
          <w:p w14:paraId="51E73BEC" w14:textId="77777777" w:rsidR="00095B1A" w:rsidRDefault="00095B1A" w:rsidP="00D850B7">
            <w:pPr>
              <w:spacing w:before="40" w:after="40"/>
              <w:rPr>
                <w:rFonts w:eastAsia="Calibri"/>
                <w:sz w:val="20"/>
                <w:szCs w:val="20"/>
              </w:rPr>
            </w:pPr>
            <w:r>
              <w:rPr>
                <w:rFonts w:eastAsia="Calibri"/>
                <w:sz w:val="20"/>
                <w:szCs w:val="20"/>
              </w:rPr>
              <w:t>Each of the four courses is delivered each term through a combination of online and face-to-face delivery as part of a small network of participants, accessed through an expression of interest process advertised in the School Update newsletter, with further information at:</w:t>
            </w:r>
          </w:p>
          <w:p w14:paraId="51E73BED" w14:textId="77777777" w:rsidR="00095B1A" w:rsidRDefault="00084E29" w:rsidP="00D850B7">
            <w:pPr>
              <w:spacing w:before="40" w:after="40"/>
              <w:rPr>
                <w:rFonts w:eastAsia="Calibri"/>
                <w:sz w:val="20"/>
                <w:szCs w:val="20"/>
              </w:rPr>
            </w:pPr>
            <w:hyperlink r:id="rId14" w:history="1">
              <w:r w:rsidR="00095B1A" w:rsidRPr="00BD7ED5">
                <w:rPr>
                  <w:rStyle w:val="Hyperlink"/>
                  <w:rFonts w:eastAsia="Calibri"/>
                  <w:sz w:val="20"/>
                  <w:szCs w:val="20"/>
                </w:rPr>
                <w:t>www.oltaustralia.net/courses_victoria.asp?stateid=9&amp;schooltype=1</w:t>
              </w:r>
            </w:hyperlink>
            <w:r w:rsidR="00095B1A">
              <w:rPr>
                <w:rFonts w:eastAsia="Calibri"/>
                <w:sz w:val="20"/>
                <w:szCs w:val="20"/>
              </w:rPr>
              <w:t xml:space="preserve"> </w:t>
            </w:r>
          </w:p>
          <w:p w14:paraId="51E73BEE" w14:textId="77777777" w:rsidR="00095B1A" w:rsidRPr="006D11A7" w:rsidRDefault="00095B1A" w:rsidP="00D850B7">
            <w:pPr>
              <w:spacing w:before="40" w:after="40"/>
              <w:rPr>
                <w:rFonts w:eastAsia="Calibri"/>
                <w:sz w:val="20"/>
                <w:szCs w:val="20"/>
              </w:rPr>
            </w:pPr>
          </w:p>
        </w:tc>
      </w:tr>
      <w:tr w:rsidR="007D27A3" w:rsidRPr="006D11A7" w14:paraId="51E73BF3" w14:textId="77777777" w:rsidTr="007D27A3">
        <w:tc>
          <w:tcPr>
            <w:tcW w:w="1651" w:type="dxa"/>
            <w:shd w:val="clear" w:color="auto" w:fill="auto"/>
          </w:tcPr>
          <w:p w14:paraId="51E73BF0" w14:textId="77777777" w:rsidR="007D27A3" w:rsidRPr="006D11A7" w:rsidRDefault="007D27A3" w:rsidP="00D850B7">
            <w:pPr>
              <w:spacing w:before="40" w:after="40" w:line="240" w:lineRule="auto"/>
              <w:rPr>
                <w:rFonts w:eastAsia="Calibri"/>
                <w:sz w:val="20"/>
                <w:szCs w:val="20"/>
              </w:rPr>
            </w:pPr>
            <w:r w:rsidRPr="006D11A7">
              <w:rPr>
                <w:rFonts w:eastAsia="Calibri"/>
                <w:sz w:val="20"/>
                <w:szCs w:val="20"/>
              </w:rPr>
              <w:t>ABLES Online Professional Learning</w:t>
            </w:r>
          </w:p>
        </w:tc>
        <w:tc>
          <w:tcPr>
            <w:tcW w:w="3277" w:type="dxa"/>
            <w:shd w:val="clear" w:color="auto" w:fill="auto"/>
          </w:tcPr>
          <w:p w14:paraId="51E73BF1" w14:textId="77777777" w:rsidR="007D27A3" w:rsidRPr="006D11A7" w:rsidRDefault="007B6DA5" w:rsidP="00D850B7">
            <w:pPr>
              <w:spacing w:before="40" w:after="40" w:line="240" w:lineRule="auto"/>
              <w:rPr>
                <w:rFonts w:eastAsia="Calibri"/>
                <w:sz w:val="20"/>
                <w:szCs w:val="20"/>
              </w:rPr>
            </w:pPr>
            <w:r w:rsidRPr="006D11A7">
              <w:rPr>
                <w:rFonts w:eastAsia="Calibri"/>
                <w:sz w:val="20"/>
                <w:szCs w:val="20"/>
              </w:rPr>
              <w:t xml:space="preserve">Free online professional learning portal on </w:t>
            </w:r>
            <w:r>
              <w:rPr>
                <w:rFonts w:eastAsia="Calibri"/>
                <w:sz w:val="20"/>
                <w:szCs w:val="20"/>
              </w:rPr>
              <w:t>using the ABLES assessment tools to</w:t>
            </w:r>
            <w:r w:rsidRPr="006D11A7">
              <w:rPr>
                <w:rFonts w:eastAsia="Calibri"/>
                <w:sz w:val="20"/>
                <w:szCs w:val="20"/>
              </w:rPr>
              <w:t xml:space="preserve"> personalise learning for students who have a disability</w:t>
            </w:r>
            <w:r>
              <w:rPr>
                <w:rFonts w:eastAsia="Calibri"/>
                <w:sz w:val="20"/>
                <w:szCs w:val="20"/>
              </w:rPr>
              <w:t>.</w:t>
            </w:r>
          </w:p>
        </w:tc>
        <w:tc>
          <w:tcPr>
            <w:tcW w:w="5216" w:type="dxa"/>
          </w:tcPr>
          <w:p w14:paraId="6EB82782" w14:textId="7418BE5A" w:rsidR="007D27A3" w:rsidRDefault="007D27A3" w:rsidP="00D850B7">
            <w:pPr>
              <w:spacing w:before="40" w:after="40"/>
              <w:rPr>
                <w:rFonts w:eastAsia="Calibri"/>
                <w:sz w:val="20"/>
                <w:szCs w:val="20"/>
              </w:rPr>
            </w:pPr>
            <w:r>
              <w:rPr>
                <w:rFonts w:eastAsia="Calibri"/>
                <w:sz w:val="20"/>
                <w:szCs w:val="20"/>
              </w:rPr>
              <w:t xml:space="preserve">Ongoing availability through the Department’s website </w:t>
            </w:r>
            <w:r w:rsidRPr="006B0210">
              <w:rPr>
                <w:rFonts w:eastAsia="Calibri"/>
                <w:sz w:val="20"/>
                <w:szCs w:val="20"/>
              </w:rPr>
              <w:t xml:space="preserve">to be </w:t>
            </w:r>
            <w:r>
              <w:rPr>
                <w:rFonts w:eastAsia="Calibri"/>
                <w:sz w:val="20"/>
                <w:szCs w:val="20"/>
              </w:rPr>
              <w:t>accessed</w:t>
            </w:r>
            <w:r w:rsidRPr="006B0210">
              <w:rPr>
                <w:rFonts w:eastAsia="Calibri"/>
                <w:sz w:val="20"/>
                <w:szCs w:val="20"/>
              </w:rPr>
              <w:t xml:space="preserve"> independently</w:t>
            </w:r>
            <w:r>
              <w:rPr>
                <w:rFonts w:eastAsia="Calibri"/>
                <w:sz w:val="20"/>
                <w:szCs w:val="20"/>
              </w:rPr>
              <w:t xml:space="preserve"> by teachers at: </w:t>
            </w:r>
          </w:p>
          <w:p w14:paraId="58D28844" w14:textId="707A10E1" w:rsidR="00927B70" w:rsidRDefault="00927B70" w:rsidP="00D850B7">
            <w:pPr>
              <w:spacing w:before="40" w:after="40"/>
              <w:rPr>
                <w:rFonts w:eastAsia="Calibri"/>
                <w:sz w:val="20"/>
                <w:szCs w:val="20"/>
              </w:rPr>
            </w:pPr>
            <w:hyperlink r:id="rId15" w:history="1">
              <w:r w:rsidRPr="003D2EFC">
                <w:rPr>
                  <w:rStyle w:val="Hyperlink"/>
                  <w:rFonts w:eastAsia="Calibri"/>
                  <w:sz w:val="20"/>
                  <w:szCs w:val="20"/>
                </w:rPr>
                <w:t>www.education.vic.gov.au/school/teachers/support/diversity/Pages/able</w:t>
              </w:r>
              <w:bookmarkStart w:id="0" w:name="_GoBack"/>
              <w:bookmarkEnd w:id="0"/>
              <w:r w:rsidRPr="003D2EFC">
                <w:rPr>
                  <w:rStyle w:val="Hyperlink"/>
                  <w:rFonts w:eastAsia="Calibri"/>
                  <w:sz w:val="20"/>
                  <w:szCs w:val="20"/>
                </w:rPr>
                <w:t>sproflearn.aspx</w:t>
              </w:r>
            </w:hyperlink>
          </w:p>
          <w:p w14:paraId="51E73BF2" w14:textId="3C1A5242" w:rsidR="00927B70" w:rsidRDefault="00927B70" w:rsidP="00D850B7">
            <w:pPr>
              <w:spacing w:before="40" w:after="40"/>
              <w:rPr>
                <w:rFonts w:eastAsia="Calibri"/>
                <w:sz w:val="20"/>
                <w:szCs w:val="20"/>
              </w:rPr>
            </w:pPr>
          </w:p>
        </w:tc>
      </w:tr>
    </w:tbl>
    <w:p w14:paraId="51E73BFA" w14:textId="77777777" w:rsidR="00095B1A" w:rsidRDefault="00095B1A" w:rsidP="00095B1A">
      <w:pPr>
        <w:spacing w:before="40" w:line="360" w:lineRule="auto"/>
        <w:rPr>
          <w:rFonts w:eastAsia="Calibri"/>
          <w:sz w:val="21"/>
          <w:szCs w:val="21"/>
        </w:rPr>
      </w:pPr>
    </w:p>
    <w:p w14:paraId="51E73BFB" w14:textId="77777777" w:rsidR="00095B1A" w:rsidRPr="003E2DAA" w:rsidRDefault="00095B1A" w:rsidP="00095B1A">
      <w:pPr>
        <w:spacing w:before="40" w:line="360" w:lineRule="auto"/>
        <w:rPr>
          <w:rFonts w:eastAsia="Calibri"/>
          <w:sz w:val="21"/>
          <w:szCs w:val="21"/>
        </w:rPr>
      </w:pPr>
      <w:r w:rsidRPr="003E2DAA">
        <w:rPr>
          <w:rFonts w:eastAsia="Calibri"/>
          <w:sz w:val="21"/>
          <w:szCs w:val="21"/>
        </w:rPr>
        <w:t xml:space="preserve">Teachers may also choose to explore other opportunities to meet this requirement, including options available through the Catholic Education Commission of Victoria or relevant Catholic Regional Office or their employer if </w:t>
      </w:r>
      <w:r w:rsidRPr="003E2DAA">
        <w:rPr>
          <w:rFonts w:eastAsia="Calibri"/>
          <w:sz w:val="21"/>
          <w:szCs w:val="21"/>
        </w:rPr>
        <w:lastRenderedPageBreak/>
        <w:t xml:space="preserve">appropriate, and external organisations and associations offering professional learning activities relevant to students with disabilities. </w:t>
      </w:r>
    </w:p>
    <w:p w14:paraId="51E73BFC" w14:textId="77777777" w:rsidR="00095B1A" w:rsidRDefault="00095B1A" w:rsidP="00095B1A">
      <w:pPr>
        <w:spacing w:before="40" w:line="360" w:lineRule="auto"/>
        <w:rPr>
          <w:rFonts w:eastAsia="Calibri"/>
          <w:sz w:val="21"/>
          <w:szCs w:val="21"/>
        </w:rPr>
      </w:pPr>
      <w:r w:rsidRPr="00977103">
        <w:rPr>
          <w:rFonts w:eastAsia="Calibri"/>
          <w:sz w:val="21"/>
          <w:szCs w:val="21"/>
        </w:rPr>
        <w:t>The Institute</w:t>
      </w:r>
      <w:r>
        <w:rPr>
          <w:rFonts w:eastAsia="Calibri"/>
          <w:sz w:val="21"/>
          <w:szCs w:val="21"/>
        </w:rPr>
        <w:t xml:space="preserve"> is working with education stakeholders and the Department to</w:t>
      </w:r>
      <w:r w:rsidRPr="00977103">
        <w:rPr>
          <w:rFonts w:eastAsia="Calibri"/>
          <w:sz w:val="21"/>
          <w:szCs w:val="21"/>
        </w:rPr>
        <w:t xml:space="preserve"> </w:t>
      </w:r>
      <w:r>
        <w:rPr>
          <w:rFonts w:eastAsia="Calibri"/>
          <w:sz w:val="21"/>
          <w:szCs w:val="21"/>
        </w:rPr>
        <w:t xml:space="preserve">provide </w:t>
      </w:r>
      <w:r w:rsidRPr="00977103">
        <w:rPr>
          <w:rFonts w:eastAsia="Calibri"/>
          <w:sz w:val="21"/>
          <w:szCs w:val="21"/>
        </w:rPr>
        <w:t>furt</w:t>
      </w:r>
      <w:r>
        <w:rPr>
          <w:rFonts w:eastAsia="Calibri"/>
          <w:sz w:val="21"/>
          <w:szCs w:val="21"/>
        </w:rPr>
        <w:t>her guidance for teachers, leaders and professional development</w:t>
      </w:r>
      <w:r w:rsidRPr="00977103">
        <w:rPr>
          <w:rFonts w:eastAsia="Calibri"/>
          <w:sz w:val="21"/>
          <w:szCs w:val="21"/>
        </w:rPr>
        <w:t xml:space="preserve"> providers </w:t>
      </w:r>
      <w:r>
        <w:rPr>
          <w:rFonts w:eastAsia="Calibri"/>
          <w:sz w:val="21"/>
          <w:szCs w:val="21"/>
        </w:rPr>
        <w:t>on what professional learning activities are</w:t>
      </w:r>
      <w:r w:rsidRPr="00977103">
        <w:rPr>
          <w:rFonts w:eastAsia="Calibri"/>
          <w:sz w:val="21"/>
          <w:szCs w:val="21"/>
        </w:rPr>
        <w:t xml:space="preserve"> suitable</w:t>
      </w:r>
      <w:r>
        <w:rPr>
          <w:rFonts w:eastAsia="Calibri"/>
          <w:sz w:val="21"/>
          <w:szCs w:val="21"/>
        </w:rPr>
        <w:t xml:space="preserve"> to meet</w:t>
      </w:r>
      <w:r w:rsidRPr="00977103">
        <w:rPr>
          <w:rFonts w:eastAsia="Calibri"/>
          <w:sz w:val="21"/>
          <w:szCs w:val="21"/>
        </w:rPr>
        <w:t xml:space="preserve"> this </w:t>
      </w:r>
      <w:r>
        <w:rPr>
          <w:rFonts w:eastAsia="Calibri"/>
          <w:sz w:val="21"/>
          <w:szCs w:val="21"/>
        </w:rPr>
        <w:t>requirement. Further information will be provided in 2015 and early 2016</w:t>
      </w:r>
      <w:r w:rsidRPr="00977103">
        <w:rPr>
          <w:rFonts w:eastAsia="Calibri"/>
          <w:sz w:val="21"/>
          <w:szCs w:val="21"/>
        </w:rPr>
        <w:t>.</w:t>
      </w:r>
    </w:p>
    <w:p w14:paraId="51E73BFD" w14:textId="77777777" w:rsidR="00095B1A" w:rsidRPr="003B6E96" w:rsidRDefault="00095B1A" w:rsidP="00095B1A">
      <w:pPr>
        <w:spacing w:before="40" w:line="360" w:lineRule="auto"/>
        <w:rPr>
          <w:rFonts w:eastAsia="Calibri"/>
          <w:sz w:val="21"/>
          <w:szCs w:val="21"/>
        </w:rPr>
      </w:pPr>
      <w:r w:rsidRPr="003B6E96">
        <w:rPr>
          <w:rFonts w:eastAsia="Calibri"/>
          <w:sz w:val="21"/>
          <w:szCs w:val="21"/>
        </w:rPr>
        <w:t xml:space="preserve">For more information visit: </w:t>
      </w:r>
      <w:hyperlink r:id="rId16" w:history="1">
        <w:r w:rsidRPr="00B353EC">
          <w:rPr>
            <w:rStyle w:val="Hyperlink"/>
            <w:sz w:val="22"/>
            <w:szCs w:val="22"/>
          </w:rPr>
          <w:t>www.vit.vic.edu.au/registered-teacher/special-needs-plan</w:t>
        </w:r>
      </w:hyperlink>
    </w:p>
    <w:p w14:paraId="51E73BFE" w14:textId="77777777" w:rsidR="00095B1A" w:rsidRPr="008E4089" w:rsidRDefault="00095B1A" w:rsidP="00095B1A">
      <w:pPr>
        <w:rPr>
          <w:rFonts w:eastAsia="Calibri"/>
        </w:rPr>
      </w:pPr>
    </w:p>
    <w:p w14:paraId="51E73BFF" w14:textId="77777777" w:rsidR="00D43206" w:rsidRPr="00095B1A" w:rsidRDefault="00D43206" w:rsidP="00095B1A"/>
    <w:sectPr w:rsidR="00D43206" w:rsidRPr="00095B1A" w:rsidSect="00684319">
      <w:headerReference w:type="default" r:id="rId17"/>
      <w:footerReference w:type="default" r:id="rId18"/>
      <w:type w:val="continuous"/>
      <w:pgSz w:w="11900" w:h="16840"/>
      <w:pgMar w:top="2835" w:right="737" w:bottom="1304" w:left="1304" w:header="624" w:footer="737" w:gutter="0"/>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E73C02" w14:textId="77777777" w:rsidR="00220E5D" w:rsidRDefault="00220E5D" w:rsidP="00950C38">
      <w:pPr>
        <w:spacing w:before="0" w:after="0" w:line="240" w:lineRule="auto"/>
      </w:pPr>
      <w:r>
        <w:separator/>
      </w:r>
    </w:p>
  </w:endnote>
  <w:endnote w:type="continuationSeparator" w:id="0">
    <w:p w14:paraId="51E73C03" w14:textId="77777777" w:rsidR="00220E5D" w:rsidRDefault="00220E5D" w:rsidP="00950C3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73C05" w14:textId="77777777" w:rsidR="00D82FCF" w:rsidRDefault="00095B1A">
    <w:pPr>
      <w:pStyle w:val="Footer"/>
    </w:pPr>
    <w:r>
      <w:rPr>
        <w:noProof/>
        <w:lang w:val="en-AU" w:eastAsia="en-AU"/>
      </w:rPr>
      <w:drawing>
        <wp:anchor distT="0" distB="0" distL="114300" distR="114300" simplePos="0" relativeHeight="251661312" behindDoc="0" locked="0" layoutInCell="1" allowOverlap="1" wp14:anchorId="51E73C0A" wp14:editId="51E73C0B">
          <wp:simplePos x="0" y="0"/>
          <wp:positionH relativeFrom="column">
            <wp:posOffset>0</wp:posOffset>
          </wp:positionH>
          <wp:positionV relativeFrom="paragraph">
            <wp:posOffset>-264040</wp:posOffset>
          </wp:positionV>
          <wp:extent cx="810883" cy="513424"/>
          <wp:effectExtent l="0" t="0" r="8890" b="1270"/>
          <wp:wrapNone/>
          <wp:docPr id="16" name="Picture 16" descr="C:\Users\09371637\AppData\Local\Microsoft\Windows\Temporary Internet Files\Content.Outlook\T7MBOZOP\VIT_logo-2015-high-qual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09371637\AppData\Local\Microsoft\Windows\Temporary Internet Files\Content.Outlook\T7MBOZOP\VIT_logo-2015-high-qualit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10883" cy="513424"/>
                  </a:xfrm>
                  <a:prstGeom prst="rect">
                    <a:avLst/>
                  </a:prstGeom>
                  <a:noFill/>
                  <a:ln>
                    <a:noFill/>
                  </a:ln>
                </pic:spPr>
              </pic:pic>
            </a:graphicData>
          </a:graphic>
          <wp14:sizeRelH relativeFrom="page">
            <wp14:pctWidth>0</wp14:pctWidth>
          </wp14:sizeRelH>
          <wp14:sizeRelV relativeFrom="page">
            <wp14:pctHeight>0</wp14:pctHeight>
          </wp14:sizeRelV>
        </wp:anchor>
      </w:drawing>
    </w:r>
    <w:r w:rsidR="00D82FCF">
      <w:rPr>
        <w:noProof/>
        <w:lang w:val="en-AU" w:eastAsia="en-AU"/>
      </w:rPr>
      <w:drawing>
        <wp:anchor distT="0" distB="0" distL="114300" distR="114300" simplePos="0" relativeHeight="251654656" behindDoc="0" locked="0" layoutInCell="1" allowOverlap="1" wp14:anchorId="51E73C0C" wp14:editId="51E73C0D">
          <wp:simplePos x="0" y="0"/>
          <wp:positionH relativeFrom="margin">
            <wp:posOffset>-548005</wp:posOffset>
          </wp:positionH>
          <wp:positionV relativeFrom="margin">
            <wp:posOffset>8031480</wp:posOffset>
          </wp:positionV>
          <wp:extent cx="7092315" cy="679450"/>
          <wp:effectExtent l="0" t="0" r="0" b="635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dState A4 Footer_Footer.png"/>
                  <pic:cNvPicPr/>
                </pic:nvPicPr>
                <pic:blipFill>
                  <a:blip r:embed="rId2">
                    <a:extLst>
                      <a:ext uri="{28A0092B-C50C-407E-A947-70E740481C1C}">
                        <a14:useLocalDpi xmlns:a14="http://schemas.microsoft.com/office/drawing/2010/main" val="0"/>
                      </a:ext>
                    </a:extLst>
                  </a:blip>
                  <a:stretch>
                    <a:fillRect/>
                  </a:stretch>
                </pic:blipFill>
                <pic:spPr>
                  <a:xfrm>
                    <a:off x="0" y="0"/>
                    <a:ext cx="7092315" cy="67945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E73C00" w14:textId="77777777" w:rsidR="00220E5D" w:rsidRDefault="00220E5D" w:rsidP="00950C38">
      <w:pPr>
        <w:spacing w:before="0" w:after="0" w:line="240" w:lineRule="auto"/>
      </w:pPr>
      <w:r>
        <w:separator/>
      </w:r>
    </w:p>
  </w:footnote>
  <w:footnote w:type="continuationSeparator" w:id="0">
    <w:p w14:paraId="51E73C01" w14:textId="77777777" w:rsidR="00220E5D" w:rsidRDefault="00220E5D" w:rsidP="00950C38">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73C04" w14:textId="77777777" w:rsidR="00D82FCF" w:rsidRDefault="00D82FCF">
    <w:pPr>
      <w:pStyle w:val="Header"/>
    </w:pPr>
    <w:r>
      <w:rPr>
        <w:noProof/>
        <w:lang w:val="en-AU" w:eastAsia="en-AU"/>
      </w:rPr>
      <mc:AlternateContent>
        <mc:Choice Requires="wps">
          <w:drawing>
            <wp:anchor distT="0" distB="0" distL="114300" distR="114300" simplePos="0" relativeHeight="251655680" behindDoc="0" locked="0" layoutInCell="1" allowOverlap="1" wp14:anchorId="51E73C06" wp14:editId="51E73C07">
              <wp:simplePos x="0" y="0"/>
              <wp:positionH relativeFrom="column">
                <wp:posOffset>2320949</wp:posOffset>
              </wp:positionH>
              <wp:positionV relativeFrom="paragraph">
                <wp:posOffset>-231979</wp:posOffset>
              </wp:positionV>
              <wp:extent cx="4269225" cy="974784"/>
              <wp:effectExtent l="0" t="0" r="0" b="0"/>
              <wp:wrapNone/>
              <wp:docPr id="15" name="Text Box 15"/>
              <wp:cNvGraphicFramePr/>
              <a:graphic xmlns:a="http://schemas.openxmlformats.org/drawingml/2006/main">
                <a:graphicData uri="http://schemas.microsoft.com/office/word/2010/wordprocessingShape">
                  <wps:wsp>
                    <wps:cNvSpPr txBox="1"/>
                    <wps:spPr>
                      <a:xfrm>
                        <a:off x="0" y="0"/>
                        <a:ext cx="4269225" cy="974784"/>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1E73C0E" w14:textId="77777777" w:rsidR="00D82FCF" w:rsidRPr="00243254" w:rsidRDefault="00D82FCF" w:rsidP="0044699D">
                          <w:pPr>
                            <w:jc w:val="right"/>
                            <w:rPr>
                              <w:b/>
                              <w:color w:val="FFFFFF" w:themeColor="background1"/>
                              <w:sz w:val="26"/>
                              <w:szCs w:val="26"/>
                            </w:rPr>
                          </w:pPr>
                          <w:r w:rsidRPr="00243254">
                            <w:rPr>
                              <w:b/>
                              <w:color w:val="FFFFFF" w:themeColor="background1"/>
                              <w:sz w:val="26"/>
                              <w:szCs w:val="26"/>
                            </w:rPr>
                            <w:t>SCHOOL FACT SHEET:</w:t>
                          </w:r>
                        </w:p>
                        <w:p w14:paraId="51E73C0F" w14:textId="77777777" w:rsidR="00D82FCF" w:rsidRPr="0044699D" w:rsidRDefault="00095B1A" w:rsidP="00243254">
                          <w:pPr>
                            <w:jc w:val="right"/>
                            <w:rPr>
                              <w:color w:val="FFFFFF" w:themeColor="background1"/>
                              <w:sz w:val="28"/>
                              <w:szCs w:val="28"/>
                            </w:rPr>
                          </w:pPr>
                          <w:r>
                            <w:rPr>
                              <w:color w:val="FFFFFF" w:themeColor="background1"/>
                              <w:sz w:val="26"/>
                              <w:szCs w:val="26"/>
                            </w:rPr>
                            <w:t>BUILDING TEACHER CAPABILI</w:t>
                          </w:r>
                          <w:r w:rsidR="007B6DA5">
                            <w:rPr>
                              <w:color w:val="FFFFFF" w:themeColor="background1"/>
                              <w:sz w:val="26"/>
                              <w:szCs w:val="26"/>
                            </w:rPr>
                            <w:t>T</w:t>
                          </w:r>
                          <w:r>
                            <w:rPr>
                              <w:color w:val="FFFFFF" w:themeColor="background1"/>
                              <w:sz w:val="26"/>
                              <w:szCs w:val="26"/>
                            </w:rPr>
                            <w:t>Y FOR</w:t>
                          </w:r>
                          <w:r>
                            <w:rPr>
                              <w:color w:val="FFFFFF" w:themeColor="background1"/>
                              <w:sz w:val="26"/>
                              <w:szCs w:val="26"/>
                            </w:rPr>
                            <w:br/>
                          </w:r>
                          <w:r w:rsidR="00D82FCF" w:rsidRPr="00243254">
                            <w:rPr>
                              <w:color w:val="FFFFFF" w:themeColor="background1"/>
                              <w:sz w:val="26"/>
                              <w:szCs w:val="26"/>
                            </w:rPr>
                            <w:t xml:space="preserve"> INCLUSIVE </w:t>
                          </w:r>
                          <w:r w:rsidR="007C0BDD">
                            <w:rPr>
                              <w:color w:val="FFFFFF" w:themeColor="background1"/>
                              <w:sz w:val="26"/>
                              <w:szCs w:val="26"/>
                            </w:rPr>
                            <w:t>EDUCATION</w:t>
                          </w:r>
                          <w:r w:rsidR="00D82FCF">
                            <w:rPr>
                              <w:color w:val="FFFFFF" w:themeColor="background1"/>
                              <w:sz w:val="28"/>
                              <w:szCs w:val="28"/>
                            </w:rPr>
                            <w:br/>
                          </w:r>
                          <w:r>
                            <w:rPr>
                              <w:color w:val="FFFFFF" w:themeColor="background1"/>
                              <w:sz w:val="16"/>
                              <w:szCs w:val="28"/>
                            </w:rPr>
                            <w:t>MAY</w:t>
                          </w:r>
                          <w:r w:rsidR="00D43206">
                            <w:rPr>
                              <w:color w:val="FFFFFF" w:themeColor="background1"/>
                              <w:sz w:val="16"/>
                              <w:szCs w:val="28"/>
                            </w:rPr>
                            <w:t xml:space="preserve"> </w:t>
                          </w:r>
                          <w:r w:rsidR="00D82FCF" w:rsidRPr="00545966">
                            <w:rPr>
                              <w:color w:val="FFFFFF" w:themeColor="background1"/>
                              <w:sz w:val="16"/>
                              <w:szCs w:val="28"/>
                            </w:rPr>
                            <w:t>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E73C06" id="_x0000_t202" coordsize="21600,21600" o:spt="202" path="m,l,21600r21600,l21600,xe">
              <v:stroke joinstyle="miter"/>
              <v:path gradientshapeok="t" o:connecttype="rect"/>
            </v:shapetype>
            <v:shape id="Text Box 15" o:spid="_x0000_s1026" type="#_x0000_t202" style="position:absolute;margin-left:182.75pt;margin-top:-18.25pt;width:336.15pt;height:76.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" filled="f" stroked="f">
              <v:textbox>
                <w:txbxContent>
                  <w:p w14:paraId="51E73C0E" w14:textId="77777777" w:rsidR="00D82FCF" w:rsidRPr="00243254" w:rsidRDefault="00D82FCF" w:rsidP="0044699D">
                    <w:pPr>
                      <w:jc w:val="right"/>
                      <w:rPr>
                        <w:b/>
                        <w:color w:val="FFFFFF" w:themeColor="background1"/>
                        <w:sz w:val="26"/>
                        <w:szCs w:val="26"/>
                      </w:rPr>
                    </w:pPr>
                    <w:r w:rsidRPr="00243254">
                      <w:rPr>
                        <w:b/>
                        <w:color w:val="FFFFFF" w:themeColor="background1"/>
                        <w:sz w:val="26"/>
                        <w:szCs w:val="26"/>
                      </w:rPr>
                      <w:t>SCHOOL FACT SHEET:</w:t>
                    </w:r>
                  </w:p>
                  <w:p w14:paraId="51E73C0F" w14:textId="77777777" w:rsidR="00D82FCF" w:rsidRPr="0044699D" w:rsidRDefault="00095B1A" w:rsidP="00243254">
                    <w:pPr>
                      <w:jc w:val="right"/>
                      <w:rPr>
                        <w:color w:val="FFFFFF" w:themeColor="background1"/>
                        <w:sz w:val="28"/>
                        <w:szCs w:val="28"/>
                      </w:rPr>
                    </w:pPr>
                    <w:r>
                      <w:rPr>
                        <w:color w:val="FFFFFF" w:themeColor="background1"/>
                        <w:sz w:val="26"/>
                        <w:szCs w:val="26"/>
                      </w:rPr>
                      <w:t>BUILDING TEACHER CAPABILI</w:t>
                    </w:r>
                    <w:r w:rsidR="007B6DA5">
                      <w:rPr>
                        <w:color w:val="FFFFFF" w:themeColor="background1"/>
                        <w:sz w:val="26"/>
                        <w:szCs w:val="26"/>
                      </w:rPr>
                      <w:t>T</w:t>
                    </w:r>
                    <w:r>
                      <w:rPr>
                        <w:color w:val="FFFFFF" w:themeColor="background1"/>
                        <w:sz w:val="26"/>
                        <w:szCs w:val="26"/>
                      </w:rPr>
                      <w:t>Y FOR</w:t>
                    </w:r>
                    <w:r>
                      <w:rPr>
                        <w:color w:val="FFFFFF" w:themeColor="background1"/>
                        <w:sz w:val="26"/>
                        <w:szCs w:val="26"/>
                      </w:rPr>
                      <w:br/>
                    </w:r>
                    <w:r w:rsidR="00D82FCF" w:rsidRPr="00243254">
                      <w:rPr>
                        <w:color w:val="FFFFFF" w:themeColor="background1"/>
                        <w:sz w:val="26"/>
                        <w:szCs w:val="26"/>
                      </w:rPr>
                      <w:t xml:space="preserve"> INCLUSIVE </w:t>
                    </w:r>
                    <w:r w:rsidR="007C0BDD">
                      <w:rPr>
                        <w:color w:val="FFFFFF" w:themeColor="background1"/>
                        <w:sz w:val="26"/>
                        <w:szCs w:val="26"/>
                      </w:rPr>
                      <w:t>EDUCATION</w:t>
                    </w:r>
                    <w:r w:rsidR="00D82FCF">
                      <w:rPr>
                        <w:color w:val="FFFFFF" w:themeColor="background1"/>
                        <w:sz w:val="28"/>
                        <w:szCs w:val="28"/>
                      </w:rPr>
                      <w:br/>
                    </w:r>
                    <w:r>
                      <w:rPr>
                        <w:color w:val="FFFFFF" w:themeColor="background1"/>
                        <w:sz w:val="16"/>
                        <w:szCs w:val="28"/>
                      </w:rPr>
                      <w:t>MAY</w:t>
                    </w:r>
                    <w:r w:rsidR="00D43206">
                      <w:rPr>
                        <w:color w:val="FFFFFF" w:themeColor="background1"/>
                        <w:sz w:val="16"/>
                        <w:szCs w:val="28"/>
                      </w:rPr>
                      <w:t xml:space="preserve"> </w:t>
                    </w:r>
                    <w:r w:rsidR="00D82FCF" w:rsidRPr="00545966">
                      <w:rPr>
                        <w:color w:val="FFFFFF" w:themeColor="background1"/>
                        <w:sz w:val="16"/>
                        <w:szCs w:val="28"/>
                      </w:rPr>
                      <w:t>2016</w:t>
                    </w:r>
                  </w:p>
                </w:txbxContent>
              </v:textbox>
            </v:shape>
          </w:pict>
        </mc:Fallback>
      </mc:AlternateContent>
    </w:r>
    <w:r>
      <w:rPr>
        <w:noProof/>
        <w:lang w:val="en-AU" w:eastAsia="en-AU"/>
      </w:rPr>
      <w:drawing>
        <wp:anchor distT="0" distB="0" distL="114300" distR="114300" simplePos="0" relativeHeight="251652608" behindDoc="0" locked="0" layoutInCell="1" allowOverlap="1" wp14:anchorId="51E73C08" wp14:editId="51E73C09">
          <wp:simplePos x="0" y="0"/>
          <wp:positionH relativeFrom="margin">
            <wp:posOffset>-662940</wp:posOffset>
          </wp:positionH>
          <wp:positionV relativeFrom="margin">
            <wp:posOffset>-1657350</wp:posOffset>
          </wp:positionV>
          <wp:extent cx="7252970" cy="925195"/>
          <wp:effectExtent l="0" t="0" r="1143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d State Standard A4 headi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52970" cy="9251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D1772"/>
    <w:multiLevelType w:val="hybridMultilevel"/>
    <w:tmpl w:val="E5B6233C"/>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5942530"/>
    <w:multiLevelType w:val="hybridMultilevel"/>
    <w:tmpl w:val="B2B078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8C22185"/>
    <w:multiLevelType w:val="hybridMultilevel"/>
    <w:tmpl w:val="5A1A32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26A1BF3"/>
    <w:multiLevelType w:val="hybridMultilevel"/>
    <w:tmpl w:val="EA38EE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B3B6EB8"/>
    <w:multiLevelType w:val="hybridMultilevel"/>
    <w:tmpl w:val="932A1992"/>
    <w:lvl w:ilvl="0" w:tplc="50CE8454">
      <w:start w:val="1"/>
      <w:numFmt w:val="bullet"/>
      <w:lvlText w:val="•"/>
      <w:lvlJc w:val="left"/>
      <w:pPr>
        <w:tabs>
          <w:tab w:val="num" w:pos="153"/>
        </w:tabs>
        <w:ind w:left="153" w:hanging="360"/>
      </w:pPr>
      <w:rPr>
        <w:rFonts w:ascii="Times New Roman" w:hAnsi="Times New Roman" w:hint="default"/>
      </w:rPr>
    </w:lvl>
    <w:lvl w:ilvl="1" w:tplc="3360635E">
      <w:start w:val="19"/>
      <w:numFmt w:val="bullet"/>
      <w:lvlText w:val="•"/>
      <w:lvlJc w:val="left"/>
      <w:pPr>
        <w:tabs>
          <w:tab w:val="num" w:pos="873"/>
        </w:tabs>
        <w:ind w:left="873" w:hanging="360"/>
      </w:pPr>
      <w:rPr>
        <w:rFonts w:ascii="Times New Roman" w:hAnsi="Times New Roman" w:hint="default"/>
      </w:rPr>
    </w:lvl>
    <w:lvl w:ilvl="2" w:tplc="82AA2372">
      <w:start w:val="1"/>
      <w:numFmt w:val="bullet"/>
      <w:lvlText w:val="•"/>
      <w:lvlJc w:val="left"/>
      <w:pPr>
        <w:tabs>
          <w:tab w:val="num" w:pos="1593"/>
        </w:tabs>
        <w:ind w:left="1593" w:hanging="360"/>
      </w:pPr>
      <w:rPr>
        <w:rFonts w:ascii="Times New Roman" w:hAnsi="Times New Roman" w:hint="default"/>
      </w:rPr>
    </w:lvl>
    <w:lvl w:ilvl="3" w:tplc="522CF8B2" w:tentative="1">
      <w:start w:val="1"/>
      <w:numFmt w:val="bullet"/>
      <w:lvlText w:val="•"/>
      <w:lvlJc w:val="left"/>
      <w:pPr>
        <w:tabs>
          <w:tab w:val="num" w:pos="2313"/>
        </w:tabs>
        <w:ind w:left="2313" w:hanging="360"/>
      </w:pPr>
      <w:rPr>
        <w:rFonts w:ascii="Times New Roman" w:hAnsi="Times New Roman" w:hint="default"/>
      </w:rPr>
    </w:lvl>
    <w:lvl w:ilvl="4" w:tplc="72EC3782" w:tentative="1">
      <w:start w:val="1"/>
      <w:numFmt w:val="bullet"/>
      <w:lvlText w:val="•"/>
      <w:lvlJc w:val="left"/>
      <w:pPr>
        <w:tabs>
          <w:tab w:val="num" w:pos="3033"/>
        </w:tabs>
        <w:ind w:left="3033" w:hanging="360"/>
      </w:pPr>
      <w:rPr>
        <w:rFonts w:ascii="Times New Roman" w:hAnsi="Times New Roman" w:hint="default"/>
      </w:rPr>
    </w:lvl>
    <w:lvl w:ilvl="5" w:tplc="DCE4AABE" w:tentative="1">
      <w:start w:val="1"/>
      <w:numFmt w:val="bullet"/>
      <w:lvlText w:val="•"/>
      <w:lvlJc w:val="left"/>
      <w:pPr>
        <w:tabs>
          <w:tab w:val="num" w:pos="3753"/>
        </w:tabs>
        <w:ind w:left="3753" w:hanging="360"/>
      </w:pPr>
      <w:rPr>
        <w:rFonts w:ascii="Times New Roman" w:hAnsi="Times New Roman" w:hint="default"/>
      </w:rPr>
    </w:lvl>
    <w:lvl w:ilvl="6" w:tplc="D7F6920A" w:tentative="1">
      <w:start w:val="1"/>
      <w:numFmt w:val="bullet"/>
      <w:lvlText w:val="•"/>
      <w:lvlJc w:val="left"/>
      <w:pPr>
        <w:tabs>
          <w:tab w:val="num" w:pos="4473"/>
        </w:tabs>
        <w:ind w:left="4473" w:hanging="360"/>
      </w:pPr>
      <w:rPr>
        <w:rFonts w:ascii="Times New Roman" w:hAnsi="Times New Roman" w:hint="default"/>
      </w:rPr>
    </w:lvl>
    <w:lvl w:ilvl="7" w:tplc="270AFBDC" w:tentative="1">
      <w:start w:val="1"/>
      <w:numFmt w:val="bullet"/>
      <w:lvlText w:val="•"/>
      <w:lvlJc w:val="left"/>
      <w:pPr>
        <w:tabs>
          <w:tab w:val="num" w:pos="5193"/>
        </w:tabs>
        <w:ind w:left="5193" w:hanging="360"/>
      </w:pPr>
      <w:rPr>
        <w:rFonts w:ascii="Times New Roman" w:hAnsi="Times New Roman" w:hint="default"/>
      </w:rPr>
    </w:lvl>
    <w:lvl w:ilvl="8" w:tplc="B68247B2" w:tentative="1">
      <w:start w:val="1"/>
      <w:numFmt w:val="bullet"/>
      <w:lvlText w:val="•"/>
      <w:lvlJc w:val="left"/>
      <w:pPr>
        <w:tabs>
          <w:tab w:val="num" w:pos="5913"/>
        </w:tabs>
        <w:ind w:left="5913" w:hanging="360"/>
      </w:pPr>
      <w:rPr>
        <w:rFonts w:ascii="Times New Roman" w:hAnsi="Times New Roman" w:hint="default"/>
      </w:rPr>
    </w:lvl>
  </w:abstractNum>
  <w:abstractNum w:abstractNumId="5" w15:restartNumberingAfterBreak="0">
    <w:nsid w:val="1E3A607B"/>
    <w:multiLevelType w:val="hybridMultilevel"/>
    <w:tmpl w:val="BEE01144"/>
    <w:lvl w:ilvl="0" w:tplc="D3E0CB4E">
      <w:start w:val="1"/>
      <w:numFmt w:val="bullet"/>
      <w:pStyle w:val="ListParagraph"/>
      <w:lvlText w:val=""/>
      <w:lvlJc w:val="left"/>
      <w:pPr>
        <w:ind w:left="227" w:hanging="22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62326D"/>
    <w:multiLevelType w:val="multilevel"/>
    <w:tmpl w:val="223CD8F6"/>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C99582B"/>
    <w:multiLevelType w:val="hybridMultilevel"/>
    <w:tmpl w:val="B8E24ECA"/>
    <w:lvl w:ilvl="0" w:tplc="1C5ECC20">
      <w:start w:val="1"/>
      <w:numFmt w:val="bullet"/>
      <w:pStyle w:val="ListBullet"/>
      <w:lvlText w:val=""/>
      <w:lvlJc w:val="left"/>
      <w:pPr>
        <w:tabs>
          <w:tab w:val="num" w:pos="180"/>
        </w:tabs>
        <w:ind w:left="180" w:hanging="180"/>
      </w:pPr>
      <w:rPr>
        <w:rFonts w:ascii="Symbol" w:hAnsi="Symbol" w:hint="default"/>
        <w:b w:val="0"/>
        <w:i w:val="0"/>
        <w:position w:val="2"/>
        <w:sz w:val="1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D141EEE"/>
    <w:multiLevelType w:val="hybridMultilevel"/>
    <w:tmpl w:val="B462BA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7344498B"/>
    <w:multiLevelType w:val="hybridMultilevel"/>
    <w:tmpl w:val="1CAE89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2"/>
  </w:num>
  <w:num w:numId="5">
    <w:abstractNumId w:val="9"/>
  </w:num>
  <w:num w:numId="6">
    <w:abstractNumId w:val="0"/>
  </w:num>
  <w:num w:numId="7">
    <w:abstractNumId w:val="1"/>
  </w:num>
  <w:num w:numId="8">
    <w:abstractNumId w:val="5"/>
  </w:num>
  <w:num w:numId="9">
    <w:abstractNumId w:val="7"/>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F02"/>
    <w:rsid w:val="000059B4"/>
    <w:rsid w:val="000074C9"/>
    <w:rsid w:val="00095B1A"/>
    <w:rsid w:val="000E6405"/>
    <w:rsid w:val="000F6421"/>
    <w:rsid w:val="00122579"/>
    <w:rsid w:val="001854F3"/>
    <w:rsid w:val="001A1D6E"/>
    <w:rsid w:val="001C3567"/>
    <w:rsid w:val="001E37DF"/>
    <w:rsid w:val="00220E5D"/>
    <w:rsid w:val="00243254"/>
    <w:rsid w:val="00260BED"/>
    <w:rsid w:val="002B42FB"/>
    <w:rsid w:val="002B5816"/>
    <w:rsid w:val="002D1B13"/>
    <w:rsid w:val="002E1C98"/>
    <w:rsid w:val="00335F92"/>
    <w:rsid w:val="003361F7"/>
    <w:rsid w:val="00346DAA"/>
    <w:rsid w:val="0034705F"/>
    <w:rsid w:val="003A41FB"/>
    <w:rsid w:val="003C6841"/>
    <w:rsid w:val="003D5F91"/>
    <w:rsid w:val="00403A22"/>
    <w:rsid w:val="00410423"/>
    <w:rsid w:val="0041455E"/>
    <w:rsid w:val="0044699D"/>
    <w:rsid w:val="004F5F1F"/>
    <w:rsid w:val="00533BA5"/>
    <w:rsid w:val="00544A97"/>
    <w:rsid w:val="00545966"/>
    <w:rsid w:val="00596435"/>
    <w:rsid w:val="005A7974"/>
    <w:rsid w:val="005E7A45"/>
    <w:rsid w:val="005F211F"/>
    <w:rsid w:val="005F319A"/>
    <w:rsid w:val="005F5533"/>
    <w:rsid w:val="00610DFD"/>
    <w:rsid w:val="0065381D"/>
    <w:rsid w:val="00684319"/>
    <w:rsid w:val="00685EBD"/>
    <w:rsid w:val="00686005"/>
    <w:rsid w:val="006A0F01"/>
    <w:rsid w:val="006B0A7B"/>
    <w:rsid w:val="006E0AC5"/>
    <w:rsid w:val="006E4AAB"/>
    <w:rsid w:val="00723F02"/>
    <w:rsid w:val="00755F14"/>
    <w:rsid w:val="00792721"/>
    <w:rsid w:val="00795292"/>
    <w:rsid w:val="007B6DA5"/>
    <w:rsid w:val="007C0BDD"/>
    <w:rsid w:val="007D27A3"/>
    <w:rsid w:val="007E31B3"/>
    <w:rsid w:val="007F033C"/>
    <w:rsid w:val="00807119"/>
    <w:rsid w:val="00816776"/>
    <w:rsid w:val="00817BBB"/>
    <w:rsid w:val="0084419D"/>
    <w:rsid w:val="008462CE"/>
    <w:rsid w:val="008545BE"/>
    <w:rsid w:val="0086711E"/>
    <w:rsid w:val="00867DE3"/>
    <w:rsid w:val="00891371"/>
    <w:rsid w:val="00895E26"/>
    <w:rsid w:val="008B5598"/>
    <w:rsid w:val="008B7675"/>
    <w:rsid w:val="008B7EBF"/>
    <w:rsid w:val="008E6DA9"/>
    <w:rsid w:val="00921F2D"/>
    <w:rsid w:val="00927B70"/>
    <w:rsid w:val="0094777D"/>
    <w:rsid w:val="00950C38"/>
    <w:rsid w:val="00980568"/>
    <w:rsid w:val="00986BC1"/>
    <w:rsid w:val="00995D33"/>
    <w:rsid w:val="009D1D7A"/>
    <w:rsid w:val="009D38A3"/>
    <w:rsid w:val="009D7CE1"/>
    <w:rsid w:val="009F1644"/>
    <w:rsid w:val="00A12CE0"/>
    <w:rsid w:val="00A14246"/>
    <w:rsid w:val="00A442D5"/>
    <w:rsid w:val="00A6171D"/>
    <w:rsid w:val="00A77557"/>
    <w:rsid w:val="00AA650E"/>
    <w:rsid w:val="00AE7ED0"/>
    <w:rsid w:val="00B42468"/>
    <w:rsid w:val="00B93282"/>
    <w:rsid w:val="00BC490B"/>
    <w:rsid w:val="00BD3DA0"/>
    <w:rsid w:val="00BE0B89"/>
    <w:rsid w:val="00BE165A"/>
    <w:rsid w:val="00C02907"/>
    <w:rsid w:val="00C215AD"/>
    <w:rsid w:val="00C24CE7"/>
    <w:rsid w:val="00C31876"/>
    <w:rsid w:val="00C31D1F"/>
    <w:rsid w:val="00C42258"/>
    <w:rsid w:val="00C77F23"/>
    <w:rsid w:val="00CE3D76"/>
    <w:rsid w:val="00D42FA8"/>
    <w:rsid w:val="00D43206"/>
    <w:rsid w:val="00D464D3"/>
    <w:rsid w:val="00D542C5"/>
    <w:rsid w:val="00D54AE4"/>
    <w:rsid w:val="00D54B36"/>
    <w:rsid w:val="00D67482"/>
    <w:rsid w:val="00D82FCF"/>
    <w:rsid w:val="00DB0D64"/>
    <w:rsid w:val="00DB2FCA"/>
    <w:rsid w:val="00DC17C1"/>
    <w:rsid w:val="00DD6ECB"/>
    <w:rsid w:val="00DE4E16"/>
    <w:rsid w:val="00DF4EA6"/>
    <w:rsid w:val="00E069BA"/>
    <w:rsid w:val="00E32277"/>
    <w:rsid w:val="00E3631B"/>
    <w:rsid w:val="00E37F5C"/>
    <w:rsid w:val="00EB5B96"/>
    <w:rsid w:val="00EB7E84"/>
    <w:rsid w:val="00EC2AE1"/>
    <w:rsid w:val="00F01CFE"/>
    <w:rsid w:val="00F05E65"/>
    <w:rsid w:val="00F12304"/>
    <w:rsid w:val="00F33210"/>
    <w:rsid w:val="00F378A6"/>
    <w:rsid w:val="00F41434"/>
    <w:rsid w:val="00F4292D"/>
    <w:rsid w:val="00F650C3"/>
    <w:rsid w:val="00F75870"/>
    <w:rsid w:val="00F77C9C"/>
    <w:rsid w:val="00F96CD0"/>
    <w:rsid w:val="00FD2E7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E73BB9"/>
  <w15:docId w15:val="{99556DA8-8CB5-4592-9640-E3F83DE9B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3F02"/>
    <w:pPr>
      <w:spacing w:before="120" w:after="120" w:line="280" w:lineRule="exact"/>
    </w:pPr>
    <w:rPr>
      <w:rFonts w:ascii="Arial" w:eastAsiaTheme="minorEastAsia" w:hAnsi="Arial" w:cs="Arial"/>
      <w:sz w:val="18"/>
      <w:szCs w:val="18"/>
      <w:lang w:val="en-US"/>
    </w:rPr>
  </w:style>
  <w:style w:type="paragraph" w:styleId="Heading1">
    <w:name w:val="heading 1"/>
    <w:basedOn w:val="Normal"/>
    <w:next w:val="Normal"/>
    <w:link w:val="Heading1Char"/>
    <w:uiPriority w:val="9"/>
    <w:qFormat/>
    <w:rsid w:val="00723F02"/>
    <w:pPr>
      <w:keepNext/>
      <w:keepLines/>
      <w:spacing w:after="40"/>
      <w:outlineLvl w:val="0"/>
    </w:pPr>
    <w:rPr>
      <w:rFonts w:eastAsiaTheme="majorEastAsia" w:cstheme="majorBidi"/>
      <w:b/>
      <w:bCs/>
      <w:caps/>
      <w:color w:val="AF272F"/>
      <w:szCs w:val="20"/>
    </w:rPr>
  </w:style>
  <w:style w:type="paragraph" w:styleId="Heading2">
    <w:name w:val="heading 2"/>
    <w:basedOn w:val="Heading1"/>
    <w:next w:val="Normal"/>
    <w:link w:val="Heading2Char"/>
    <w:uiPriority w:val="9"/>
    <w:unhideWhenUsed/>
    <w:qFormat/>
    <w:rsid w:val="00723F02"/>
    <w:pPr>
      <w:pBdr>
        <w:top w:val="single" w:sz="8" w:space="3" w:color="AF272F"/>
      </w:pBdr>
      <w:spacing w:before="200"/>
      <w:outlineLvl w:val="1"/>
    </w:pPr>
    <w:rPr>
      <w:bCs w:val="0"/>
    </w:rPr>
  </w:style>
  <w:style w:type="paragraph" w:styleId="Heading3">
    <w:name w:val="heading 3"/>
    <w:basedOn w:val="Normal"/>
    <w:next w:val="Normal"/>
    <w:link w:val="Heading3Char"/>
    <w:uiPriority w:val="9"/>
    <w:unhideWhenUsed/>
    <w:qFormat/>
    <w:rsid w:val="00723F02"/>
    <w:pPr>
      <w:keepNext/>
      <w:keepLines/>
      <w:spacing w:before="40" w:after="0"/>
      <w:outlineLvl w:val="2"/>
    </w:pPr>
    <w:rPr>
      <w:rFonts w:asciiTheme="majorHAnsi" w:eastAsiaTheme="majorEastAsia" w:hAnsiTheme="majorHAnsi" w:cstheme="majorBidi"/>
      <w:color w:val="A52631"/>
      <w:sz w:val="24"/>
      <w:szCs w:val="24"/>
    </w:rPr>
  </w:style>
  <w:style w:type="paragraph" w:styleId="Heading4">
    <w:name w:val="heading 4"/>
    <w:basedOn w:val="Normal"/>
    <w:next w:val="Normal"/>
    <w:link w:val="Heading4Char"/>
    <w:uiPriority w:val="9"/>
    <w:unhideWhenUsed/>
    <w:qFormat/>
    <w:rsid w:val="00723F02"/>
    <w:pPr>
      <w:keepNext/>
      <w:keepLines/>
      <w:spacing w:before="40" w:after="0"/>
      <w:outlineLvl w:val="3"/>
    </w:pPr>
    <w:rPr>
      <w:rFonts w:asciiTheme="majorHAnsi" w:eastAsiaTheme="majorEastAsia" w:hAnsiTheme="majorHAnsi" w:cstheme="majorBidi"/>
      <w:i/>
      <w:iCs/>
      <w:color w:val="A526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3F02"/>
    <w:rPr>
      <w:rFonts w:ascii="Arial" w:eastAsiaTheme="majorEastAsia" w:hAnsi="Arial" w:cstheme="majorBidi"/>
      <w:b/>
      <w:bCs/>
      <w:caps/>
      <w:color w:val="AF272F"/>
      <w:sz w:val="18"/>
      <w:szCs w:val="20"/>
      <w:lang w:val="en-US"/>
    </w:rPr>
  </w:style>
  <w:style w:type="character" w:customStyle="1" w:styleId="Heading2Char">
    <w:name w:val="Heading 2 Char"/>
    <w:basedOn w:val="DefaultParagraphFont"/>
    <w:link w:val="Heading2"/>
    <w:uiPriority w:val="9"/>
    <w:rsid w:val="00723F02"/>
    <w:rPr>
      <w:rFonts w:ascii="Arial" w:eastAsiaTheme="majorEastAsia" w:hAnsi="Arial" w:cstheme="majorBidi"/>
      <w:b/>
      <w:caps/>
      <w:color w:val="AF272F"/>
      <w:sz w:val="18"/>
      <w:szCs w:val="20"/>
      <w:lang w:val="en-US"/>
    </w:rPr>
  </w:style>
  <w:style w:type="character" w:customStyle="1" w:styleId="Heading3Char">
    <w:name w:val="Heading 3 Char"/>
    <w:basedOn w:val="DefaultParagraphFont"/>
    <w:link w:val="Heading3"/>
    <w:uiPriority w:val="9"/>
    <w:rsid w:val="00723F02"/>
    <w:rPr>
      <w:rFonts w:asciiTheme="majorHAnsi" w:eastAsiaTheme="majorEastAsia" w:hAnsiTheme="majorHAnsi" w:cstheme="majorBidi"/>
      <w:color w:val="A52631"/>
      <w:lang w:val="en-US"/>
    </w:rPr>
  </w:style>
  <w:style w:type="character" w:customStyle="1" w:styleId="Heading4Char">
    <w:name w:val="Heading 4 Char"/>
    <w:basedOn w:val="DefaultParagraphFont"/>
    <w:link w:val="Heading4"/>
    <w:uiPriority w:val="9"/>
    <w:rsid w:val="00723F02"/>
    <w:rPr>
      <w:rFonts w:asciiTheme="majorHAnsi" w:eastAsiaTheme="majorEastAsia" w:hAnsiTheme="majorHAnsi" w:cstheme="majorBidi"/>
      <w:i/>
      <w:iCs/>
      <w:color w:val="A52631"/>
      <w:sz w:val="18"/>
      <w:szCs w:val="18"/>
      <w:lang w:val="en-US"/>
    </w:rPr>
  </w:style>
  <w:style w:type="paragraph" w:styleId="Quote">
    <w:name w:val="Quote"/>
    <w:basedOn w:val="Normal"/>
    <w:next w:val="Normal"/>
    <w:link w:val="QuoteChar"/>
    <w:uiPriority w:val="29"/>
    <w:qFormat/>
    <w:rsid w:val="00723F02"/>
    <w:pPr>
      <w:spacing w:after="60" w:line="300" w:lineRule="atLeast"/>
    </w:pPr>
    <w:rPr>
      <w:b/>
      <w:bCs/>
      <w:color w:val="5A5A59"/>
      <w:sz w:val="24"/>
      <w:szCs w:val="25"/>
    </w:rPr>
  </w:style>
  <w:style w:type="character" w:customStyle="1" w:styleId="QuoteChar">
    <w:name w:val="Quote Char"/>
    <w:basedOn w:val="DefaultParagraphFont"/>
    <w:link w:val="Quote"/>
    <w:uiPriority w:val="29"/>
    <w:rsid w:val="00723F02"/>
    <w:rPr>
      <w:rFonts w:ascii="Arial" w:eastAsiaTheme="minorEastAsia" w:hAnsi="Arial" w:cs="Arial"/>
      <w:b/>
      <w:bCs/>
      <w:color w:val="5A5A59"/>
      <w:szCs w:val="25"/>
      <w:lang w:val="en-US"/>
    </w:rPr>
  </w:style>
  <w:style w:type="paragraph" w:styleId="Subtitle">
    <w:name w:val="Subtitle"/>
    <w:basedOn w:val="Normal"/>
    <w:next w:val="Normal"/>
    <w:link w:val="SubtitleChar"/>
    <w:uiPriority w:val="11"/>
    <w:qFormat/>
    <w:rsid w:val="00723F02"/>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rsid w:val="00723F02"/>
    <w:rPr>
      <w:rFonts w:ascii="Arial" w:eastAsiaTheme="majorEastAsia" w:hAnsi="Arial" w:cstheme="majorBidi"/>
      <w:color w:val="5A5A59"/>
      <w:sz w:val="27"/>
      <w:szCs w:val="27"/>
      <w:lang w:val="en-US"/>
    </w:rPr>
  </w:style>
  <w:style w:type="character" w:styleId="SubtleEmphasis">
    <w:name w:val="Subtle Emphasis"/>
    <w:basedOn w:val="DefaultParagraphFont"/>
    <w:uiPriority w:val="19"/>
    <w:rsid w:val="00723F02"/>
    <w:rPr>
      <w:i/>
      <w:iCs/>
      <w:color w:val="E2828A" w:themeColor="text1" w:themeTint="7F"/>
    </w:rPr>
  </w:style>
  <w:style w:type="paragraph" w:styleId="Title">
    <w:name w:val="Title"/>
    <w:next w:val="Subtitle"/>
    <w:link w:val="TitleChar"/>
    <w:uiPriority w:val="10"/>
    <w:qFormat/>
    <w:rsid w:val="00723F02"/>
    <w:pPr>
      <w:spacing w:after="120" w:line="340" w:lineRule="atLeast"/>
      <w:outlineLvl w:val="0"/>
    </w:pPr>
    <w:rPr>
      <w:rFonts w:ascii="Arial" w:eastAsiaTheme="majorEastAsia" w:hAnsi="Arial" w:cstheme="majorBidi"/>
      <w:b/>
      <w:color w:val="AF272F"/>
      <w:spacing w:val="5"/>
      <w:kern w:val="28"/>
      <w:sz w:val="40"/>
      <w:szCs w:val="40"/>
      <w:lang w:val="en-US"/>
    </w:rPr>
  </w:style>
  <w:style w:type="character" w:customStyle="1" w:styleId="TitleChar">
    <w:name w:val="Title Char"/>
    <w:basedOn w:val="DefaultParagraphFont"/>
    <w:link w:val="Title"/>
    <w:uiPriority w:val="10"/>
    <w:rsid w:val="00723F02"/>
    <w:rPr>
      <w:rFonts w:ascii="Arial" w:eastAsiaTheme="majorEastAsia" w:hAnsi="Arial" w:cstheme="majorBidi"/>
      <w:b/>
      <w:color w:val="AF272F"/>
      <w:spacing w:val="5"/>
      <w:kern w:val="28"/>
      <w:sz w:val="40"/>
      <w:szCs w:val="40"/>
      <w:lang w:val="en-US"/>
    </w:rPr>
  </w:style>
  <w:style w:type="paragraph" w:styleId="EndnoteText">
    <w:name w:val="endnote text"/>
    <w:basedOn w:val="Normal"/>
    <w:link w:val="EndnoteTextChar"/>
    <w:uiPriority w:val="99"/>
    <w:unhideWhenUsed/>
    <w:qFormat/>
    <w:rsid w:val="00723F02"/>
    <w:pPr>
      <w:spacing w:after="240"/>
    </w:pPr>
    <w:rPr>
      <w:b/>
      <w:color w:val="5A5A59"/>
      <w:szCs w:val="24"/>
    </w:rPr>
  </w:style>
  <w:style w:type="character" w:customStyle="1" w:styleId="EndnoteTextChar">
    <w:name w:val="Endnote Text Char"/>
    <w:basedOn w:val="DefaultParagraphFont"/>
    <w:link w:val="EndnoteText"/>
    <w:uiPriority w:val="99"/>
    <w:rsid w:val="00723F02"/>
    <w:rPr>
      <w:rFonts w:ascii="Arial" w:eastAsiaTheme="minorEastAsia" w:hAnsi="Arial" w:cs="Arial"/>
      <w:b/>
      <w:color w:val="5A5A59"/>
      <w:sz w:val="18"/>
      <w:lang w:val="en-US"/>
    </w:rPr>
  </w:style>
  <w:style w:type="character" w:styleId="Strong">
    <w:name w:val="Strong"/>
    <w:basedOn w:val="DefaultParagraphFont"/>
    <w:uiPriority w:val="22"/>
    <w:qFormat/>
    <w:rsid w:val="00F77C9C"/>
    <w:rPr>
      <w:rFonts w:asciiTheme="minorHAnsi" w:hAnsiTheme="minorHAnsi"/>
      <w:b/>
      <w:bCs/>
      <w:color w:val="171717" w:themeColor="background2" w:themeShade="1A"/>
      <w:sz w:val="18"/>
    </w:rPr>
  </w:style>
  <w:style w:type="paragraph" w:styleId="ListParagraph">
    <w:name w:val="List Paragraph"/>
    <w:aliases w:val="List Paragraph1,List Paragraph11"/>
    <w:basedOn w:val="Normal"/>
    <w:link w:val="ListParagraphChar"/>
    <w:autoRedefine/>
    <w:uiPriority w:val="34"/>
    <w:qFormat/>
    <w:rsid w:val="00C77F23"/>
    <w:pPr>
      <w:keepLines/>
      <w:numPr>
        <w:numId w:val="1"/>
      </w:numPr>
      <w:suppressAutoHyphens/>
    </w:pPr>
    <w:rPr>
      <w:color w:val="171717" w:themeColor="background2" w:themeShade="1A"/>
    </w:rPr>
  </w:style>
  <w:style w:type="paragraph" w:customStyle="1" w:styleId="SUBTITLE0">
    <w:name w:val="SUB TITLE"/>
    <w:basedOn w:val="Title"/>
    <w:qFormat/>
    <w:rsid w:val="00723F02"/>
    <w:pPr>
      <w:spacing w:after="100" w:afterAutospacing="1" w:line="440" w:lineRule="exact"/>
      <w:contextualSpacing/>
    </w:pPr>
    <w:rPr>
      <w:b w:val="0"/>
    </w:rPr>
  </w:style>
  <w:style w:type="table" w:styleId="TableGrid">
    <w:name w:val="Table Grid"/>
    <w:basedOn w:val="TableNormal"/>
    <w:rsid w:val="00723F02"/>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31">
    <w:name w:val="Grid Table 1 Light - Accent 31"/>
    <w:basedOn w:val="TableNormal"/>
    <w:uiPriority w:val="46"/>
    <w:rsid w:val="00723F02"/>
    <w:rPr>
      <w:rFonts w:eastAsiaTheme="minorEastAsia"/>
      <w:lang w:val="en-US"/>
    </w:rPr>
    <w:tblPr>
      <w:tblStyleRowBandSize w:val="1"/>
      <w:tblStyleColBandSize w:val="1"/>
      <w:tblBorders>
        <w:top w:val="single" w:sz="4" w:space="0" w:color="E1E1E0" w:themeColor="accent3" w:themeTint="66"/>
        <w:left w:val="single" w:sz="4" w:space="0" w:color="E1E1E0" w:themeColor="accent3" w:themeTint="66"/>
        <w:bottom w:val="single" w:sz="4" w:space="0" w:color="E1E1E0" w:themeColor="accent3" w:themeTint="66"/>
        <w:right w:val="single" w:sz="4" w:space="0" w:color="E1E1E0" w:themeColor="accent3" w:themeTint="66"/>
        <w:insideH w:val="single" w:sz="4" w:space="0" w:color="E1E1E0" w:themeColor="accent3" w:themeTint="66"/>
        <w:insideV w:val="single" w:sz="4" w:space="0" w:color="E1E1E0" w:themeColor="accent3" w:themeTint="66"/>
      </w:tblBorders>
    </w:tblPr>
    <w:tblStylePr w:type="firstRow">
      <w:rPr>
        <w:b/>
        <w:bCs/>
      </w:rPr>
      <w:tblPr/>
      <w:tcPr>
        <w:tcBorders>
          <w:bottom w:val="single" w:sz="12" w:space="0" w:color="D2D2D1" w:themeColor="accent3" w:themeTint="99"/>
        </w:tcBorders>
      </w:tcPr>
    </w:tblStylePr>
    <w:tblStylePr w:type="lastRow">
      <w:rPr>
        <w:b/>
        <w:bCs/>
      </w:rPr>
      <w:tblPr/>
      <w:tcPr>
        <w:tcBorders>
          <w:top w:val="double" w:sz="2" w:space="0" w:color="D2D2D1" w:themeColor="accent3" w:themeTint="99"/>
        </w:tcBorders>
      </w:tcPr>
    </w:tblStylePr>
    <w:tblStylePr w:type="firstCol">
      <w:rPr>
        <w:b/>
        <w:bCs/>
      </w:rPr>
    </w:tblStylePr>
    <w:tblStylePr w:type="lastCol">
      <w:rPr>
        <w:b/>
        <w:bCs/>
      </w:rPr>
    </w:tblStylePr>
  </w:style>
  <w:style w:type="table" w:customStyle="1" w:styleId="GridTable1Light1">
    <w:name w:val="Grid Table 1 Light1"/>
    <w:basedOn w:val="TableNormal"/>
    <w:uiPriority w:val="46"/>
    <w:rsid w:val="00723F02"/>
    <w:rPr>
      <w:rFonts w:eastAsiaTheme="minorEastAsia"/>
      <w:lang w:val="en-US"/>
    </w:rPr>
    <w:tblPr>
      <w:tblStyleRowBandSize w:val="1"/>
      <w:tblStyleColBandSize w:val="1"/>
      <w:tblBorders>
        <w:top w:val="single" w:sz="4" w:space="0" w:color="E89BA1" w:themeColor="text1" w:themeTint="66"/>
        <w:left w:val="single" w:sz="4" w:space="0" w:color="E89BA1" w:themeColor="text1" w:themeTint="66"/>
        <w:bottom w:val="single" w:sz="4" w:space="0" w:color="E89BA1" w:themeColor="text1" w:themeTint="66"/>
        <w:right w:val="single" w:sz="4" w:space="0" w:color="E89BA1" w:themeColor="text1" w:themeTint="66"/>
        <w:insideH w:val="single" w:sz="4" w:space="0" w:color="E89BA1" w:themeColor="text1" w:themeTint="66"/>
        <w:insideV w:val="single" w:sz="4" w:space="0" w:color="E89BA1" w:themeColor="text1" w:themeTint="66"/>
      </w:tblBorders>
    </w:tblPr>
    <w:tblStylePr w:type="firstRow">
      <w:rPr>
        <w:b/>
        <w:bCs/>
      </w:rPr>
      <w:tblPr/>
      <w:tcPr>
        <w:tcBorders>
          <w:bottom w:val="single" w:sz="12" w:space="0" w:color="DC6973" w:themeColor="text1" w:themeTint="99"/>
        </w:tcBorders>
      </w:tcPr>
    </w:tblStylePr>
    <w:tblStylePr w:type="lastRow">
      <w:rPr>
        <w:b/>
        <w:bCs/>
      </w:rPr>
      <w:tblPr/>
      <w:tcPr>
        <w:tcBorders>
          <w:top w:val="double" w:sz="2" w:space="0" w:color="DC6973" w:themeColor="text1" w:themeTint="99"/>
        </w:tcBorders>
      </w:tcPr>
    </w:tblStylePr>
    <w:tblStylePr w:type="firstCol">
      <w:rPr>
        <w:b/>
        <w:bCs/>
      </w:rPr>
    </w:tblStylePr>
    <w:tblStylePr w:type="lastCol">
      <w:rPr>
        <w:b/>
        <w:bCs/>
      </w:rPr>
    </w:tblStylePr>
  </w:style>
  <w:style w:type="paragraph" w:styleId="Header">
    <w:name w:val="header"/>
    <w:basedOn w:val="Normal"/>
    <w:link w:val="HeaderChar"/>
    <w:unhideWhenUsed/>
    <w:rsid w:val="00950C38"/>
    <w:pPr>
      <w:tabs>
        <w:tab w:val="center" w:pos="4513"/>
        <w:tab w:val="right" w:pos="9026"/>
      </w:tabs>
      <w:spacing w:before="0" w:after="0" w:line="240" w:lineRule="auto"/>
    </w:pPr>
  </w:style>
  <w:style w:type="character" w:customStyle="1" w:styleId="HeaderChar">
    <w:name w:val="Header Char"/>
    <w:basedOn w:val="DefaultParagraphFont"/>
    <w:link w:val="Header"/>
    <w:rsid w:val="00950C38"/>
    <w:rPr>
      <w:rFonts w:ascii="Arial" w:eastAsiaTheme="minorEastAsia" w:hAnsi="Arial" w:cs="Arial"/>
      <w:sz w:val="18"/>
      <w:szCs w:val="18"/>
      <w:lang w:val="en-US"/>
    </w:rPr>
  </w:style>
  <w:style w:type="paragraph" w:styleId="Footer">
    <w:name w:val="footer"/>
    <w:basedOn w:val="Normal"/>
    <w:link w:val="FooterChar"/>
    <w:uiPriority w:val="99"/>
    <w:unhideWhenUsed/>
    <w:rsid w:val="00950C38"/>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950C38"/>
    <w:rPr>
      <w:rFonts w:ascii="Arial" w:eastAsiaTheme="minorEastAsia" w:hAnsi="Arial" w:cs="Arial"/>
      <w:sz w:val="18"/>
      <w:szCs w:val="18"/>
      <w:lang w:val="en-US"/>
    </w:rPr>
  </w:style>
  <w:style w:type="paragraph" w:customStyle="1" w:styleId="Body-White">
    <w:name w:val="Body-White"/>
    <w:basedOn w:val="Normal"/>
    <w:qFormat/>
    <w:rsid w:val="00260BED"/>
    <w:pPr>
      <w:spacing w:before="0" w:line="240" w:lineRule="auto"/>
    </w:pPr>
    <w:rPr>
      <w:rFonts w:asciiTheme="minorHAnsi" w:eastAsiaTheme="minorHAnsi" w:hAnsiTheme="minorHAnsi" w:cstheme="minorBidi"/>
      <w:color w:val="E7E6E6" w:themeColor="background2"/>
      <w:szCs w:val="22"/>
      <w:lang w:val="en-AU"/>
    </w:rPr>
  </w:style>
  <w:style w:type="table" w:customStyle="1" w:styleId="PlainTable41">
    <w:name w:val="Plain Table 41"/>
    <w:basedOn w:val="TableNormal"/>
    <w:uiPriority w:val="44"/>
    <w:rsid w:val="003A41F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3A41FB"/>
    <w:tblPr>
      <w:tblStyleRowBandSize w:val="1"/>
      <w:tblStyleColBandSize w:val="1"/>
      <w:tblBorders>
        <w:top w:val="single" w:sz="4" w:space="0" w:color="E28189" w:themeColor="text1" w:themeTint="80"/>
        <w:bottom w:val="single" w:sz="4" w:space="0" w:color="E28189" w:themeColor="text1" w:themeTint="80"/>
      </w:tblBorders>
    </w:tblPr>
    <w:tblStylePr w:type="firstRow">
      <w:rPr>
        <w:b/>
        <w:bCs/>
      </w:rPr>
      <w:tblPr/>
      <w:tcPr>
        <w:tcBorders>
          <w:bottom w:val="single" w:sz="4" w:space="0" w:color="E28189" w:themeColor="text1" w:themeTint="80"/>
        </w:tcBorders>
      </w:tcPr>
    </w:tblStylePr>
    <w:tblStylePr w:type="lastRow">
      <w:rPr>
        <w:b/>
        <w:bCs/>
      </w:rPr>
      <w:tblPr/>
      <w:tcPr>
        <w:tcBorders>
          <w:top w:val="single" w:sz="4" w:space="0" w:color="E28189" w:themeColor="text1" w:themeTint="80"/>
        </w:tcBorders>
      </w:tcPr>
    </w:tblStylePr>
    <w:tblStylePr w:type="firstCol">
      <w:rPr>
        <w:b/>
        <w:bCs/>
      </w:rPr>
    </w:tblStylePr>
    <w:tblStylePr w:type="lastCol">
      <w:rPr>
        <w:b/>
        <w:bCs/>
      </w:rPr>
    </w:tblStylePr>
    <w:tblStylePr w:type="band1Vert">
      <w:tblPr/>
      <w:tcPr>
        <w:tcBorders>
          <w:left w:val="single" w:sz="4" w:space="0" w:color="E28189" w:themeColor="text1" w:themeTint="80"/>
          <w:right w:val="single" w:sz="4" w:space="0" w:color="E28189" w:themeColor="text1" w:themeTint="80"/>
        </w:tcBorders>
      </w:tcPr>
    </w:tblStylePr>
    <w:tblStylePr w:type="band2Vert">
      <w:tblPr/>
      <w:tcPr>
        <w:tcBorders>
          <w:left w:val="single" w:sz="4" w:space="0" w:color="E28189" w:themeColor="text1" w:themeTint="80"/>
          <w:right w:val="single" w:sz="4" w:space="0" w:color="E28189" w:themeColor="text1" w:themeTint="80"/>
        </w:tcBorders>
      </w:tcPr>
    </w:tblStylePr>
    <w:tblStylePr w:type="band1Horz">
      <w:tblPr/>
      <w:tcPr>
        <w:tcBorders>
          <w:top w:val="single" w:sz="4" w:space="0" w:color="E28189" w:themeColor="text1" w:themeTint="80"/>
          <w:bottom w:val="single" w:sz="4" w:space="0" w:color="E28189" w:themeColor="text1" w:themeTint="80"/>
        </w:tcBorders>
      </w:tcPr>
    </w:tblStylePr>
  </w:style>
  <w:style w:type="character" w:styleId="Hyperlink">
    <w:name w:val="Hyperlink"/>
    <w:basedOn w:val="DefaultParagraphFont"/>
    <w:rsid w:val="008B7EBF"/>
    <w:rPr>
      <w:color w:val="26BAE0" w:themeColor="hyperlink"/>
      <w:u w:val="single"/>
    </w:rPr>
  </w:style>
  <w:style w:type="character" w:customStyle="1" w:styleId="ListParagraphChar">
    <w:name w:val="List Paragraph Char"/>
    <w:aliases w:val="List Paragraph1 Char,List Paragraph11 Char"/>
    <w:basedOn w:val="DefaultParagraphFont"/>
    <w:link w:val="ListParagraph"/>
    <w:uiPriority w:val="34"/>
    <w:locked/>
    <w:rsid w:val="00995D33"/>
    <w:rPr>
      <w:rFonts w:ascii="Arial" w:eastAsiaTheme="minorEastAsia" w:hAnsi="Arial" w:cs="Arial"/>
      <w:color w:val="171717" w:themeColor="background2" w:themeShade="1A"/>
      <w:sz w:val="18"/>
      <w:szCs w:val="18"/>
      <w:lang w:val="en-US"/>
    </w:rPr>
  </w:style>
  <w:style w:type="character" w:styleId="CommentReference">
    <w:name w:val="annotation reference"/>
    <w:basedOn w:val="DefaultParagraphFont"/>
    <w:uiPriority w:val="99"/>
    <w:semiHidden/>
    <w:unhideWhenUsed/>
    <w:rsid w:val="00A442D5"/>
    <w:rPr>
      <w:sz w:val="16"/>
      <w:szCs w:val="16"/>
    </w:rPr>
  </w:style>
  <w:style w:type="paragraph" w:styleId="CommentText">
    <w:name w:val="annotation text"/>
    <w:basedOn w:val="Normal"/>
    <w:link w:val="CommentTextChar"/>
    <w:uiPriority w:val="99"/>
    <w:semiHidden/>
    <w:unhideWhenUsed/>
    <w:rsid w:val="00A442D5"/>
    <w:pPr>
      <w:spacing w:line="240" w:lineRule="auto"/>
    </w:pPr>
    <w:rPr>
      <w:sz w:val="20"/>
      <w:szCs w:val="20"/>
    </w:rPr>
  </w:style>
  <w:style w:type="character" w:customStyle="1" w:styleId="CommentTextChar">
    <w:name w:val="Comment Text Char"/>
    <w:basedOn w:val="DefaultParagraphFont"/>
    <w:link w:val="CommentText"/>
    <w:uiPriority w:val="99"/>
    <w:semiHidden/>
    <w:rsid w:val="00A442D5"/>
    <w:rPr>
      <w:rFonts w:ascii="Arial" w:eastAsiaTheme="minorEastAsia" w:hAnsi="Arial" w:cs="Arial"/>
      <w:sz w:val="20"/>
      <w:szCs w:val="20"/>
      <w:lang w:val="en-US"/>
    </w:rPr>
  </w:style>
  <w:style w:type="paragraph" w:styleId="CommentSubject">
    <w:name w:val="annotation subject"/>
    <w:basedOn w:val="CommentText"/>
    <w:next w:val="CommentText"/>
    <w:link w:val="CommentSubjectChar"/>
    <w:uiPriority w:val="99"/>
    <w:semiHidden/>
    <w:unhideWhenUsed/>
    <w:rsid w:val="00A442D5"/>
    <w:rPr>
      <w:b/>
      <w:bCs/>
    </w:rPr>
  </w:style>
  <w:style w:type="character" w:customStyle="1" w:styleId="CommentSubjectChar">
    <w:name w:val="Comment Subject Char"/>
    <w:basedOn w:val="CommentTextChar"/>
    <w:link w:val="CommentSubject"/>
    <w:uiPriority w:val="99"/>
    <w:semiHidden/>
    <w:rsid w:val="00A442D5"/>
    <w:rPr>
      <w:rFonts w:ascii="Arial" w:eastAsiaTheme="minorEastAsia" w:hAnsi="Arial" w:cs="Arial"/>
      <w:b/>
      <w:bCs/>
      <w:sz w:val="20"/>
      <w:szCs w:val="20"/>
      <w:lang w:val="en-US"/>
    </w:rPr>
  </w:style>
  <w:style w:type="paragraph" w:styleId="BalloonText">
    <w:name w:val="Balloon Text"/>
    <w:basedOn w:val="Normal"/>
    <w:link w:val="BalloonTextChar"/>
    <w:uiPriority w:val="99"/>
    <w:semiHidden/>
    <w:unhideWhenUsed/>
    <w:rsid w:val="00A442D5"/>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42D5"/>
    <w:rPr>
      <w:rFonts w:ascii="Tahoma" w:eastAsiaTheme="minorEastAsia" w:hAnsi="Tahoma" w:cs="Tahoma"/>
      <w:sz w:val="16"/>
      <w:szCs w:val="16"/>
      <w:lang w:val="en-US"/>
    </w:rPr>
  </w:style>
  <w:style w:type="paragraph" w:customStyle="1" w:styleId="NewsLetterSub-Title">
    <w:name w:val="NewsLetter Sub-Title"/>
    <w:basedOn w:val="Normal"/>
    <w:rsid w:val="00095B1A"/>
    <w:pPr>
      <w:spacing w:before="0" w:after="0" w:line="320" w:lineRule="exact"/>
    </w:pPr>
    <w:rPr>
      <w:rFonts w:eastAsia="Times New Roman" w:cs="Times New Roman"/>
      <w:color w:val="4F5151"/>
      <w:spacing w:val="-4"/>
      <w:sz w:val="20"/>
      <w:szCs w:val="20"/>
      <w:lang w:val="en-AU"/>
    </w:rPr>
  </w:style>
  <w:style w:type="paragraph" w:customStyle="1" w:styleId="NewsLetterTitle">
    <w:name w:val="NewsLetter Title"/>
    <w:basedOn w:val="Normal"/>
    <w:next w:val="NewsLetterSub-Title"/>
    <w:rsid w:val="00095B1A"/>
    <w:pPr>
      <w:spacing w:before="0" w:after="0" w:line="548" w:lineRule="exact"/>
    </w:pPr>
    <w:rPr>
      <w:rFonts w:eastAsia="Times New Roman" w:cs="Times New Roman"/>
      <w:color w:val="D2000B"/>
      <w:spacing w:val="-28"/>
      <w:sz w:val="56"/>
      <w:szCs w:val="56"/>
      <w:lang w:val="en-AU"/>
    </w:rPr>
  </w:style>
  <w:style w:type="character" w:styleId="PageNumber">
    <w:name w:val="page number"/>
    <w:basedOn w:val="DefaultParagraphFont"/>
    <w:semiHidden/>
    <w:rsid w:val="00095B1A"/>
  </w:style>
  <w:style w:type="paragraph" w:styleId="ListBullet">
    <w:name w:val="List Bullet"/>
    <w:basedOn w:val="Normal"/>
    <w:rsid w:val="00095B1A"/>
    <w:pPr>
      <w:numPr>
        <w:numId w:val="9"/>
      </w:numPr>
      <w:spacing w:before="0" w:after="0" w:line="240" w:lineRule="auto"/>
      <w:ind w:left="181" w:hanging="181"/>
    </w:pPr>
    <w:rPr>
      <w:rFonts w:eastAsia="Times New Roman" w:cs="Times New Roman"/>
      <w:color w:val="3B3C3C"/>
      <w:szCs w:val="24"/>
      <w:lang w:val="en-AU"/>
    </w:rPr>
  </w:style>
  <w:style w:type="paragraph" w:customStyle="1" w:styleId="Spacer">
    <w:name w:val="Spacer"/>
    <w:basedOn w:val="Normal"/>
    <w:rsid w:val="00095B1A"/>
    <w:pPr>
      <w:spacing w:before="0" w:after="0" w:line="240" w:lineRule="auto"/>
    </w:pPr>
    <w:rPr>
      <w:rFonts w:eastAsia="Times New Roman" w:cs="Times New Roman"/>
      <w:color w:val="3B3C3C"/>
      <w:sz w:val="6"/>
      <w:szCs w:val="6"/>
      <w:lang w:val="en-AU"/>
    </w:rPr>
  </w:style>
  <w:style w:type="paragraph" w:customStyle="1" w:styleId="PageNum">
    <w:name w:val="PageNum"/>
    <w:basedOn w:val="Normal"/>
    <w:rsid w:val="00095B1A"/>
    <w:pPr>
      <w:spacing w:before="0" w:after="0" w:line="240" w:lineRule="auto"/>
      <w:jc w:val="right"/>
    </w:pPr>
    <w:rPr>
      <w:rFonts w:eastAsia="Times New Roman" w:cs="Times New Roman"/>
      <w:color w:val="D2000B"/>
      <w:sz w:val="20"/>
      <w:szCs w:val="20"/>
      <w:lang w:val="en-AU"/>
    </w:rPr>
  </w:style>
  <w:style w:type="character" w:styleId="FollowedHyperlink">
    <w:name w:val="FollowedHyperlink"/>
    <w:basedOn w:val="DefaultParagraphFont"/>
    <w:uiPriority w:val="99"/>
    <w:semiHidden/>
    <w:unhideWhenUsed/>
    <w:rsid w:val="00927B70"/>
    <w:rPr>
      <w:color w:val="95222B"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ducation.vic.gov.au/school/teachers/profdev/Pages/managebehaviours.aspx"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eafeducation.vic.edu.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vit.vic.edu.au/registered-teacher/special-needs-pla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ducation.vic.gov.au/school/teachers/health/Pages/legislation.aspx" TargetMode="External"/><Relationship Id="rId5" Type="http://schemas.openxmlformats.org/officeDocument/2006/relationships/numbering" Target="numbering.xml"/><Relationship Id="rId15" Type="http://schemas.openxmlformats.org/officeDocument/2006/relationships/hyperlink" Target="http://www.education.vic.gov.au/school/teachers/support/diversity/Pages/ablesproflearn.aspx"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oltaustralia.net/courses_victoria.asp?stateid=9&amp;schooltype=1"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EduState">
  <a:themeElements>
    <a:clrScheme name="Custom 1">
      <a:dk1>
        <a:srgbClr val="A52631"/>
      </a:dk1>
      <a:lt1>
        <a:srgbClr val="FFFFFF"/>
      </a:lt1>
      <a:dk2>
        <a:srgbClr val="695292"/>
      </a:dk2>
      <a:lt2>
        <a:srgbClr val="E7E6E6"/>
      </a:lt2>
      <a:accent1>
        <a:srgbClr val="26BAE0"/>
      </a:accent1>
      <a:accent2>
        <a:srgbClr val="95222B"/>
      </a:accent2>
      <a:accent3>
        <a:srgbClr val="B4B4B3"/>
      </a:accent3>
      <a:accent4>
        <a:srgbClr val="ADDCEC"/>
      </a:accent4>
      <a:accent5>
        <a:srgbClr val="4472C4"/>
      </a:accent5>
      <a:accent6>
        <a:srgbClr val="70AD47"/>
      </a:accent6>
      <a:hlink>
        <a:srgbClr val="26BAE0"/>
      </a:hlink>
      <a:folHlink>
        <a:srgbClr val="95222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EduState" id="{9EA6EB5B-C10F-F544-8DA8-C097AC9A3114}" vid="{33DE361A-A978-3A47-A719-4B878177251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 xsi:nil="true"/>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Factsheet</TermName>
          <TermId xmlns="http://schemas.microsoft.com/office/infopath/2007/PartnerControls">4ed27b92-5062-455b-9739-b4dd34197d20</TermId>
        </TermInfo>
      </Terms>
    </a319977fc8504e09982f090ae1d7c602>
    <TaxCatchAll xmlns="cb9114c1-daad-44dd-acad-30f4246641f2">
      <Value>104</Value>
      <Value>106</Value>
    </TaxCatchAll>
    <DEECD_Expired xmlns="http://schemas.microsoft.com/sharepoint/v3">false</DEECD_Expired>
    <DEECD_Keywords xmlns="http://schemas.microsoft.com/sharepoint/v3">special needs plan, SNP, fact sheet, teacher capability</DEECD_Keywords>
    <PublishingExpirationDate xmlns="http://schemas.microsoft.com/sharepoint/v3" xsi:nil="true"/>
    <DEECD_Description xmlns="http://schemas.microsoft.com/sharepoint/v3">special needs plan</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Teachers</TermName>
          <TermId xmlns="http://schemas.microsoft.com/office/infopath/2007/PartnerControls">ac6a0c00-54b5-4400-bdca-97fb326ec7ab</TermId>
        </TermInfo>
      </Terms>
    </b1688cb4a3a940449dc8286705012a42>
    <PublishingStartDate xmlns="76b566cd-adb9-46c2-964b-22eba181fd0b" xsi:nil="true"/>
    <ofbb8b9a280a423a91cf717fb81349cd xmlns="76b566cd-adb9-46c2-964b-22eba181fd0b">
      <Terms xmlns="http://schemas.microsoft.com/office/infopath/2007/PartnerControl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8FC045-CCFB-45D8-87FE-E4884C4AC0B2}"/>
</file>

<file path=customXml/itemProps2.xml><?xml version="1.0" encoding="utf-8"?>
<ds:datastoreItem xmlns:ds="http://schemas.openxmlformats.org/officeDocument/2006/customXml" ds:itemID="{A4B2AF02-C587-48D3-AC90-4999A64B329F}"/>
</file>

<file path=customXml/itemProps3.xml><?xml version="1.0" encoding="utf-8"?>
<ds:datastoreItem xmlns:ds="http://schemas.openxmlformats.org/officeDocument/2006/customXml" ds:itemID="{5809D021-0510-4397-BA72-6A7EC1E24EDE}"/>
</file>

<file path=customXml/itemProps4.xml><?xml version="1.0" encoding="utf-8"?>
<ds:datastoreItem xmlns:ds="http://schemas.openxmlformats.org/officeDocument/2006/customXml" ds:itemID="{4D055972-49A2-4AE9-9992-0BA6B1727847}"/>
</file>

<file path=docProps/app.xml><?xml version="1.0" encoding="utf-8"?>
<Properties xmlns="http://schemas.openxmlformats.org/officeDocument/2006/extended-properties" xmlns:vt="http://schemas.openxmlformats.org/officeDocument/2006/docPropsVTypes">
  <Template>Normal.dotm</Template>
  <TotalTime>0</TotalTime>
  <Pages>3</Pages>
  <Words>1059</Words>
  <Characters>6042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2016 SNP Inclusive New Schools fact sheet V7</vt:lpstr>
    </vt:vector>
  </TitlesOfParts>
  <Company>DEECD</Company>
  <LinksUpToDate>false</LinksUpToDate>
  <CharactersWithSpaces>7087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 SNP Inclusive New Schools fact sheet V7</dc:title>
  <dc:creator>Felicity Case-Mejia</dc:creator>
  <cp:lastModifiedBy>Lucas, Catherine E</cp:lastModifiedBy>
  <cp:revision>2</cp:revision>
  <cp:lastPrinted>2015-12-04T00:07:00Z</cp:lastPrinted>
  <dcterms:created xsi:type="dcterms:W3CDTF">2017-10-25T23:15:00Z</dcterms:created>
  <dcterms:modified xsi:type="dcterms:W3CDTF">2017-10-25T23:15:00Z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BusUnit">
    <vt:lpwstr/>
  </property>
  <property fmtid="{D5CDD505-2E9C-101B-9397-08002B2CF9AE}" pid="4" name="DET_EDRMS_RCS">
    <vt:lpwstr>34;#13.1.1 Outward Facing Policy|c167ca3e-8c60-41a9-853e-4dd20761c000</vt:lpwstr>
  </property>
  <property fmtid="{D5CDD505-2E9C-101B-9397-08002B2CF9AE}" pid="5" name="RecordPoint_WorkflowType">
    <vt:lpwstr>ActiveSubmitStub</vt:lpwstr>
  </property>
  <property fmtid="{D5CDD505-2E9C-101B-9397-08002B2CF9AE}" pid="6" name="RecordPoint_ActiveItemListId">
    <vt:lpwstr>{fa5f1c67-54c3-494a-90f0-44b31348d00b}</vt:lpwstr>
  </property>
  <property fmtid="{D5CDD505-2E9C-101B-9397-08002B2CF9AE}" pid="7" name="RecordPoint_ActiveItemUniqueId">
    <vt:lpwstr>{0b343b48-d43c-4fad-880f-d937f4cbe5ea}</vt:lpwstr>
  </property>
  <property fmtid="{D5CDD505-2E9C-101B-9397-08002B2CF9AE}" pid="8" name="RecordPoint_ActiveItemWebId">
    <vt:lpwstr>{d8562a3d-26b1-45f8-b7ad-9d70d2757376}</vt:lpwstr>
  </property>
  <property fmtid="{D5CDD505-2E9C-101B-9397-08002B2CF9AE}" pid="9" name="RecordPoint_ActiveItemSiteId">
    <vt:lpwstr>{03dc8113-b288-4f44-a289-6e7ea0196235}</vt:lpwstr>
  </property>
  <property fmtid="{D5CDD505-2E9C-101B-9397-08002B2CF9AE}" pid="10" name="RecordPoint_SubmissionDate">
    <vt:lpwstr/>
  </property>
  <property fmtid="{D5CDD505-2E9C-101B-9397-08002B2CF9AE}" pid="11" name="RecordPoint_RecordNumberSubmitted">
    <vt:lpwstr/>
  </property>
  <property fmtid="{D5CDD505-2E9C-101B-9397-08002B2CF9AE}" pid="12" name="RecordPoint_ActiveItemMoved">
    <vt:lpwstr/>
  </property>
  <property fmtid="{D5CDD505-2E9C-101B-9397-08002B2CF9AE}" pid="13" name="RecordPoint_SubmissionCompleted">
    <vt:lpwstr/>
  </property>
  <property fmtid="{D5CDD505-2E9C-101B-9397-08002B2CF9AE}" pid="14" name="RecordPoint_RecordFormat">
    <vt:lpwstr/>
  </property>
  <property fmtid="{D5CDD505-2E9C-101B-9397-08002B2CF9AE}" pid="15" name="DEECD_SubjectCategory">
    <vt:lpwstr/>
  </property>
  <property fmtid="{D5CDD505-2E9C-101B-9397-08002B2CF9AE}" pid="16" name="Order">
    <vt:r8>2693300</vt:r8>
  </property>
  <property fmtid="{D5CDD505-2E9C-101B-9397-08002B2CF9AE}" pid="17" name="xd_Signature">
    <vt:bool>false</vt:bool>
  </property>
  <property fmtid="{D5CDD505-2E9C-101B-9397-08002B2CF9AE}" pid="18" name="xd_ProgID">
    <vt:lpwstr/>
  </property>
  <property fmtid="{D5CDD505-2E9C-101B-9397-08002B2CF9AE}" pid="19" name="CH ver">
    <vt:lpwstr>06</vt:lpwstr>
  </property>
  <property fmtid="{D5CDD505-2E9C-101B-9397-08002B2CF9AE}" pid="20" name="Word Ver">
    <vt:lpwstr>2003</vt:lpwstr>
  </property>
  <property fmtid="{D5CDD505-2E9C-101B-9397-08002B2CF9AE}" pid="21" name="DEECD_ItemType">
    <vt:lpwstr>104;#Factsheet|4ed27b92-5062-455b-9739-b4dd34197d20</vt:lpwstr>
  </property>
  <property fmtid="{D5CDD505-2E9C-101B-9397-08002B2CF9AE}" pid="22" name="TemplateUrl">
    <vt:lpwstr/>
  </property>
  <property fmtid="{D5CDD505-2E9C-101B-9397-08002B2CF9AE}" pid="23" name="DET_EDRMS_SecClassTaxHTField0">
    <vt:lpwstr/>
  </property>
  <property fmtid="{D5CDD505-2E9C-101B-9397-08002B2CF9AE}" pid="24" name="DEECD_Audience">
    <vt:lpwstr>106;#Teachers|ac6a0c00-54b5-4400-bdca-97fb326ec7ab</vt:lpwstr>
  </property>
  <property fmtid="{D5CDD505-2E9C-101B-9397-08002B2CF9AE}" pid="25" name="RoutingRuleDescription">
    <vt:lpwstr/>
  </property>
  <property fmtid="{D5CDD505-2E9C-101B-9397-08002B2CF9AE}" pid="26" name="DET_EDRMS_SecClass">
    <vt:lpwstr/>
  </property>
  <property fmtid="{D5CDD505-2E9C-101B-9397-08002B2CF9AE}" pid="27" name="_docset_NoMedatataSyncRequired">
    <vt:lpwstr>False</vt:lpwstr>
  </property>
  <property fmtid="{D5CDD505-2E9C-101B-9397-08002B2CF9AE}" pid="28" name="DEECD_Author">
    <vt:lpwstr/>
  </property>
</Properties>
</file>