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ED2F" w14:textId="2D425161" w:rsidR="00D3017C" w:rsidRPr="00B85B32" w:rsidRDefault="002E04A9" w:rsidP="00BD1FDC">
      <w:pPr>
        <w:pStyle w:val="ESHeading1"/>
        <w:rPr>
          <w:rFonts w:ascii="Calibri" w:hAnsi="Calibri" w:cs="Calibri"/>
        </w:rPr>
        <w:sectPr w:rsidR="00D3017C" w:rsidRPr="00B85B32" w:rsidSect="00AA5D63">
          <w:pgSz w:w="11900" w:h="16840"/>
          <w:pgMar w:top="1440" w:right="1701" w:bottom="1440" w:left="1701" w:header="709" w:footer="709" w:gutter="0"/>
          <w:cols w:space="708"/>
          <w:docGrid w:linePitch="360"/>
        </w:sectPr>
      </w:pPr>
      <w:r>
        <w:rPr>
          <w:rFonts w:ascii="Calibri" w:hAnsi="Calibri" w:cs="Calibri"/>
          <w:noProof/>
        </w:rPr>
        <w:drawing>
          <wp:anchor distT="0" distB="0" distL="114300" distR="114300" simplePos="0" relativeHeight="251658240" behindDoc="1" locked="0" layoutInCell="1" allowOverlap="1" wp14:anchorId="6438C104" wp14:editId="5019B73B">
            <wp:simplePos x="0" y="0"/>
            <wp:positionH relativeFrom="page">
              <wp:align>left</wp:align>
            </wp:positionH>
            <wp:positionV relativeFrom="paragraph">
              <wp:posOffset>-902525</wp:posOffset>
            </wp:positionV>
            <wp:extent cx="7540407" cy="10664042"/>
            <wp:effectExtent l="0" t="0" r="3810" b="4445"/>
            <wp:wrapNone/>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6059" cy="10672036"/>
                    </a:xfrm>
                    <a:prstGeom prst="rect">
                      <a:avLst/>
                    </a:prstGeom>
                  </pic:spPr>
                </pic:pic>
              </a:graphicData>
            </a:graphic>
            <wp14:sizeRelH relativeFrom="page">
              <wp14:pctWidth>0</wp14:pctWidth>
            </wp14:sizeRelH>
            <wp14:sizeRelV relativeFrom="page">
              <wp14:pctHeight>0</wp14:pctHeight>
            </wp14:sizeRelV>
          </wp:anchor>
        </w:drawing>
      </w:r>
    </w:p>
    <w:p w14:paraId="1931EA27" w14:textId="77777777" w:rsidR="00890A8F" w:rsidRPr="00B85B32" w:rsidRDefault="00890A8F" w:rsidP="00D90AAF">
      <w:pPr>
        <w:pStyle w:val="TOCHeading"/>
        <w:rPr>
          <w:rFonts w:ascii="Calibri" w:hAnsi="Calibri" w:cs="Calibri"/>
        </w:rPr>
        <w:sectPr w:rsidR="00890A8F" w:rsidRPr="00B85B32" w:rsidSect="003B3A5C">
          <w:headerReference w:type="default" r:id="rId12"/>
          <w:footerReference w:type="default" r:id="rId13"/>
          <w:pgSz w:w="11900" w:h="16840"/>
          <w:pgMar w:top="1440" w:right="1134" w:bottom="1440" w:left="2835" w:header="709" w:footer="709" w:gutter="0"/>
          <w:cols w:space="708"/>
          <w:vAlign w:val="bottom"/>
          <w:docGrid w:linePitch="360"/>
        </w:sectPr>
      </w:pPr>
    </w:p>
    <w:p w14:paraId="472BD6DE" w14:textId="5C94E9F0" w:rsidR="003F3CFA" w:rsidRPr="00B85B32" w:rsidRDefault="00AD20F5" w:rsidP="00D90AAF">
      <w:pPr>
        <w:pStyle w:val="TOCHeading"/>
        <w:rPr>
          <w:rFonts w:ascii="Calibri" w:hAnsi="Calibri" w:cs="Calibri"/>
        </w:rPr>
      </w:pPr>
      <w:r w:rsidRPr="00B85B32">
        <w:rPr>
          <w:rFonts w:ascii="Calibri" w:hAnsi="Calibri" w:cs="Calibri"/>
        </w:rPr>
        <w:lastRenderedPageBreak/>
        <w:t>Contents</w:t>
      </w:r>
    </w:p>
    <w:p w14:paraId="354B613F" w14:textId="2772AF17" w:rsidR="006E713D" w:rsidRDefault="008A3484">
      <w:pPr>
        <w:pStyle w:val="TOC1"/>
        <w:rPr>
          <w:rFonts w:eastAsiaTheme="minorEastAsia"/>
          <w:b w:val="0"/>
          <w:noProof/>
          <w:szCs w:val="22"/>
          <w:lang w:val="en-AU" w:eastAsia="en-AU"/>
        </w:rPr>
      </w:pPr>
      <w:r w:rsidRPr="00B85B32">
        <w:rPr>
          <w:rFonts w:ascii="Calibri" w:hAnsi="Calibri" w:cs="Calibri"/>
          <w:color w:val="AF272F"/>
        </w:rPr>
        <w:fldChar w:fldCharType="begin"/>
      </w:r>
      <w:r w:rsidRPr="00B85B32">
        <w:rPr>
          <w:rFonts w:ascii="Calibri" w:hAnsi="Calibri" w:cs="Calibri"/>
        </w:rPr>
        <w:instrText xml:space="preserve"> TOC \t "ES_Heading 1,1,ES_Heading 2,2,ES_Heading 3,3" </w:instrText>
      </w:r>
      <w:r w:rsidRPr="00B85B32">
        <w:rPr>
          <w:rFonts w:ascii="Calibri" w:hAnsi="Calibri" w:cs="Calibri"/>
          <w:color w:val="AF272F"/>
        </w:rPr>
        <w:fldChar w:fldCharType="separate"/>
      </w:r>
      <w:r w:rsidR="006E713D" w:rsidRPr="006D5655">
        <w:rPr>
          <w:rFonts w:ascii="Calibri" w:hAnsi="Calibri" w:cs="Calibri"/>
          <w:noProof/>
        </w:rPr>
        <w:t>Introduction</w:t>
      </w:r>
      <w:r w:rsidR="006E713D">
        <w:rPr>
          <w:noProof/>
        </w:rPr>
        <w:tab/>
      </w:r>
      <w:r w:rsidR="006E713D">
        <w:rPr>
          <w:noProof/>
        </w:rPr>
        <w:fldChar w:fldCharType="begin"/>
      </w:r>
      <w:r w:rsidR="006E713D">
        <w:rPr>
          <w:noProof/>
        </w:rPr>
        <w:instrText xml:space="preserve"> PAGEREF _Toc109806858 \h </w:instrText>
      </w:r>
      <w:r w:rsidR="006E713D">
        <w:rPr>
          <w:noProof/>
        </w:rPr>
      </w:r>
      <w:r w:rsidR="006E713D">
        <w:rPr>
          <w:noProof/>
        </w:rPr>
        <w:fldChar w:fldCharType="separate"/>
      </w:r>
      <w:r w:rsidR="003F06CA">
        <w:rPr>
          <w:noProof/>
        </w:rPr>
        <w:t>4</w:t>
      </w:r>
      <w:r w:rsidR="006E713D">
        <w:rPr>
          <w:noProof/>
        </w:rPr>
        <w:fldChar w:fldCharType="end"/>
      </w:r>
    </w:p>
    <w:p w14:paraId="27DE6B7B" w14:textId="102A56FA" w:rsidR="006E713D" w:rsidRDefault="006E713D">
      <w:pPr>
        <w:pStyle w:val="TOC1"/>
        <w:rPr>
          <w:rFonts w:eastAsiaTheme="minorEastAsia"/>
          <w:b w:val="0"/>
          <w:noProof/>
          <w:szCs w:val="22"/>
          <w:lang w:val="en-AU" w:eastAsia="en-AU"/>
        </w:rPr>
      </w:pPr>
      <w:r w:rsidRPr="006D5655">
        <w:rPr>
          <w:rFonts w:ascii="Calibri" w:hAnsi="Calibri" w:cs="Calibri"/>
          <w:noProof/>
        </w:rPr>
        <w:t>Pecuniary interests</w:t>
      </w:r>
      <w:r>
        <w:rPr>
          <w:noProof/>
        </w:rPr>
        <w:tab/>
      </w:r>
      <w:r>
        <w:rPr>
          <w:noProof/>
        </w:rPr>
        <w:fldChar w:fldCharType="begin"/>
      </w:r>
      <w:r>
        <w:rPr>
          <w:noProof/>
        </w:rPr>
        <w:instrText xml:space="preserve"> PAGEREF _Toc109806859 \h </w:instrText>
      </w:r>
      <w:r>
        <w:rPr>
          <w:noProof/>
        </w:rPr>
      </w:r>
      <w:r>
        <w:rPr>
          <w:noProof/>
        </w:rPr>
        <w:fldChar w:fldCharType="separate"/>
      </w:r>
      <w:r w:rsidR="003F06CA">
        <w:rPr>
          <w:noProof/>
        </w:rPr>
        <w:t>5</w:t>
      </w:r>
      <w:r>
        <w:rPr>
          <w:noProof/>
        </w:rPr>
        <w:fldChar w:fldCharType="end"/>
      </w:r>
    </w:p>
    <w:p w14:paraId="1ACE2401" w14:textId="0DC160D5" w:rsidR="006E713D" w:rsidRDefault="006E713D">
      <w:pPr>
        <w:pStyle w:val="TOC1"/>
        <w:rPr>
          <w:rFonts w:eastAsiaTheme="minorEastAsia"/>
          <w:b w:val="0"/>
          <w:noProof/>
          <w:szCs w:val="22"/>
          <w:lang w:val="en-AU" w:eastAsia="en-AU"/>
        </w:rPr>
      </w:pPr>
      <w:r w:rsidRPr="006D5655">
        <w:rPr>
          <w:rFonts w:ascii="Calibri" w:hAnsi="Calibri" w:cs="Calibri"/>
          <w:noProof/>
        </w:rPr>
        <w:t>Shares held by senior officers</w:t>
      </w:r>
      <w:r>
        <w:rPr>
          <w:noProof/>
        </w:rPr>
        <w:tab/>
      </w:r>
      <w:r>
        <w:rPr>
          <w:noProof/>
        </w:rPr>
        <w:fldChar w:fldCharType="begin"/>
      </w:r>
      <w:r>
        <w:rPr>
          <w:noProof/>
        </w:rPr>
        <w:instrText xml:space="preserve"> PAGEREF _Toc109806860 \h </w:instrText>
      </w:r>
      <w:r>
        <w:rPr>
          <w:noProof/>
        </w:rPr>
      </w:r>
      <w:r>
        <w:rPr>
          <w:noProof/>
        </w:rPr>
        <w:fldChar w:fldCharType="separate"/>
      </w:r>
      <w:r w:rsidR="003F06CA">
        <w:rPr>
          <w:noProof/>
        </w:rPr>
        <w:t>5</w:t>
      </w:r>
      <w:r>
        <w:rPr>
          <w:noProof/>
        </w:rPr>
        <w:fldChar w:fldCharType="end"/>
      </w:r>
    </w:p>
    <w:p w14:paraId="7147F76D" w14:textId="4C9691B1" w:rsidR="006E713D" w:rsidRDefault="006E713D">
      <w:pPr>
        <w:pStyle w:val="TOC1"/>
        <w:rPr>
          <w:rFonts w:eastAsiaTheme="minorEastAsia"/>
          <w:b w:val="0"/>
          <w:noProof/>
          <w:szCs w:val="22"/>
          <w:lang w:val="en-AU" w:eastAsia="en-AU"/>
        </w:rPr>
      </w:pPr>
      <w:r w:rsidRPr="006D5655">
        <w:rPr>
          <w:rFonts w:ascii="Calibri" w:hAnsi="Calibri" w:cs="Calibri"/>
          <w:noProof/>
        </w:rPr>
        <w:t>Publications about the department</w:t>
      </w:r>
      <w:r>
        <w:rPr>
          <w:noProof/>
        </w:rPr>
        <w:tab/>
      </w:r>
      <w:r>
        <w:rPr>
          <w:noProof/>
        </w:rPr>
        <w:fldChar w:fldCharType="begin"/>
      </w:r>
      <w:r>
        <w:rPr>
          <w:noProof/>
        </w:rPr>
        <w:instrText xml:space="preserve"> PAGEREF _Toc109806861 \h </w:instrText>
      </w:r>
      <w:r>
        <w:rPr>
          <w:noProof/>
        </w:rPr>
      </w:r>
      <w:r>
        <w:rPr>
          <w:noProof/>
        </w:rPr>
        <w:fldChar w:fldCharType="separate"/>
      </w:r>
      <w:r w:rsidR="003F06CA">
        <w:rPr>
          <w:noProof/>
        </w:rPr>
        <w:t>5</w:t>
      </w:r>
      <w:r>
        <w:rPr>
          <w:noProof/>
        </w:rPr>
        <w:fldChar w:fldCharType="end"/>
      </w:r>
    </w:p>
    <w:p w14:paraId="70EC1239" w14:textId="4D68D2C8" w:rsidR="006E713D" w:rsidRDefault="006E713D">
      <w:pPr>
        <w:pStyle w:val="TOC1"/>
        <w:rPr>
          <w:rFonts w:eastAsiaTheme="minorEastAsia"/>
          <w:b w:val="0"/>
          <w:noProof/>
          <w:szCs w:val="22"/>
          <w:lang w:val="en-AU" w:eastAsia="en-AU"/>
        </w:rPr>
      </w:pPr>
      <w:r w:rsidRPr="006D5655">
        <w:rPr>
          <w:rFonts w:ascii="Calibri" w:hAnsi="Calibri" w:cs="Calibri"/>
          <w:noProof/>
        </w:rPr>
        <w:t>Prices, fees, charges, rates and levies</w:t>
      </w:r>
      <w:r>
        <w:rPr>
          <w:noProof/>
        </w:rPr>
        <w:tab/>
      </w:r>
      <w:r>
        <w:rPr>
          <w:noProof/>
        </w:rPr>
        <w:fldChar w:fldCharType="begin"/>
      </w:r>
      <w:r>
        <w:rPr>
          <w:noProof/>
        </w:rPr>
        <w:instrText xml:space="preserve"> PAGEREF _Toc109806862 \h </w:instrText>
      </w:r>
      <w:r>
        <w:rPr>
          <w:noProof/>
        </w:rPr>
      </w:r>
      <w:r>
        <w:rPr>
          <w:noProof/>
        </w:rPr>
        <w:fldChar w:fldCharType="separate"/>
      </w:r>
      <w:r w:rsidR="003F06CA">
        <w:rPr>
          <w:noProof/>
        </w:rPr>
        <w:t>5</w:t>
      </w:r>
      <w:r>
        <w:rPr>
          <w:noProof/>
        </w:rPr>
        <w:fldChar w:fldCharType="end"/>
      </w:r>
    </w:p>
    <w:p w14:paraId="2B83F7D7" w14:textId="2CC3CAB9" w:rsidR="006E713D" w:rsidRDefault="006E713D">
      <w:pPr>
        <w:pStyle w:val="TOC1"/>
        <w:rPr>
          <w:rFonts w:eastAsiaTheme="minorEastAsia"/>
          <w:b w:val="0"/>
          <w:noProof/>
          <w:szCs w:val="22"/>
          <w:lang w:val="en-AU" w:eastAsia="en-AU"/>
        </w:rPr>
      </w:pPr>
      <w:r w:rsidRPr="006D5655">
        <w:rPr>
          <w:rFonts w:ascii="Calibri" w:hAnsi="Calibri" w:cs="Calibri"/>
          <w:noProof/>
        </w:rPr>
        <w:t>Major external reviews</w:t>
      </w:r>
      <w:r>
        <w:rPr>
          <w:noProof/>
        </w:rPr>
        <w:tab/>
      </w:r>
      <w:r>
        <w:rPr>
          <w:noProof/>
        </w:rPr>
        <w:fldChar w:fldCharType="begin"/>
      </w:r>
      <w:r>
        <w:rPr>
          <w:noProof/>
        </w:rPr>
        <w:instrText xml:space="preserve"> PAGEREF _Toc109806863 \h </w:instrText>
      </w:r>
      <w:r>
        <w:rPr>
          <w:noProof/>
        </w:rPr>
      </w:r>
      <w:r>
        <w:rPr>
          <w:noProof/>
        </w:rPr>
        <w:fldChar w:fldCharType="separate"/>
      </w:r>
      <w:r w:rsidR="003F06CA">
        <w:rPr>
          <w:noProof/>
        </w:rPr>
        <w:t>6</w:t>
      </w:r>
      <w:r>
        <w:rPr>
          <w:noProof/>
        </w:rPr>
        <w:fldChar w:fldCharType="end"/>
      </w:r>
    </w:p>
    <w:p w14:paraId="00C7B293" w14:textId="66E11A60" w:rsidR="006E713D" w:rsidRDefault="006E713D">
      <w:pPr>
        <w:pStyle w:val="TOC1"/>
        <w:rPr>
          <w:rFonts w:eastAsiaTheme="minorEastAsia"/>
          <w:b w:val="0"/>
          <w:noProof/>
          <w:szCs w:val="22"/>
          <w:lang w:val="en-AU" w:eastAsia="en-AU"/>
        </w:rPr>
      </w:pPr>
      <w:r w:rsidRPr="006D5655">
        <w:rPr>
          <w:rFonts w:ascii="Calibri" w:hAnsi="Calibri" w:cs="Calibri"/>
          <w:noProof/>
        </w:rPr>
        <w:t>Major research and development</w:t>
      </w:r>
      <w:r>
        <w:rPr>
          <w:noProof/>
        </w:rPr>
        <w:tab/>
      </w:r>
      <w:r>
        <w:rPr>
          <w:noProof/>
        </w:rPr>
        <w:fldChar w:fldCharType="begin"/>
      </w:r>
      <w:r>
        <w:rPr>
          <w:noProof/>
        </w:rPr>
        <w:instrText xml:space="preserve"> PAGEREF _Toc109806864 \h </w:instrText>
      </w:r>
      <w:r>
        <w:rPr>
          <w:noProof/>
        </w:rPr>
      </w:r>
      <w:r>
        <w:rPr>
          <w:noProof/>
        </w:rPr>
        <w:fldChar w:fldCharType="separate"/>
      </w:r>
      <w:r w:rsidR="003F06CA">
        <w:rPr>
          <w:noProof/>
        </w:rPr>
        <w:t>7</w:t>
      </w:r>
      <w:r>
        <w:rPr>
          <w:noProof/>
        </w:rPr>
        <w:fldChar w:fldCharType="end"/>
      </w:r>
    </w:p>
    <w:p w14:paraId="081A5F1D" w14:textId="5C9C6BE0" w:rsidR="006E713D" w:rsidRDefault="006E713D">
      <w:pPr>
        <w:pStyle w:val="TOC1"/>
        <w:rPr>
          <w:rFonts w:eastAsiaTheme="minorEastAsia"/>
          <w:b w:val="0"/>
          <w:noProof/>
          <w:szCs w:val="22"/>
          <w:lang w:val="en-AU" w:eastAsia="en-AU"/>
        </w:rPr>
      </w:pPr>
      <w:r w:rsidRPr="006D5655">
        <w:rPr>
          <w:rFonts w:ascii="Calibri" w:hAnsi="Calibri" w:cs="Calibri"/>
          <w:noProof/>
        </w:rPr>
        <w:t>Overseas travel</w:t>
      </w:r>
      <w:r>
        <w:rPr>
          <w:noProof/>
        </w:rPr>
        <w:tab/>
      </w:r>
      <w:r>
        <w:rPr>
          <w:noProof/>
        </w:rPr>
        <w:fldChar w:fldCharType="begin"/>
      </w:r>
      <w:r>
        <w:rPr>
          <w:noProof/>
        </w:rPr>
        <w:instrText xml:space="preserve"> PAGEREF _Toc109806865 \h </w:instrText>
      </w:r>
      <w:r>
        <w:rPr>
          <w:noProof/>
        </w:rPr>
      </w:r>
      <w:r>
        <w:rPr>
          <w:noProof/>
        </w:rPr>
        <w:fldChar w:fldCharType="separate"/>
      </w:r>
      <w:r w:rsidR="003F06CA">
        <w:rPr>
          <w:noProof/>
        </w:rPr>
        <w:t>14</w:t>
      </w:r>
      <w:r>
        <w:rPr>
          <w:noProof/>
        </w:rPr>
        <w:fldChar w:fldCharType="end"/>
      </w:r>
    </w:p>
    <w:p w14:paraId="76BF875E" w14:textId="6649AA26" w:rsidR="006E713D" w:rsidRDefault="006E713D">
      <w:pPr>
        <w:pStyle w:val="TOC1"/>
        <w:rPr>
          <w:rFonts w:eastAsiaTheme="minorEastAsia"/>
          <w:b w:val="0"/>
          <w:noProof/>
          <w:szCs w:val="22"/>
          <w:lang w:val="en-AU" w:eastAsia="en-AU"/>
        </w:rPr>
      </w:pPr>
      <w:r w:rsidRPr="006D5655">
        <w:rPr>
          <w:rFonts w:ascii="Calibri" w:hAnsi="Calibri" w:cs="Calibri"/>
          <w:noProof/>
        </w:rPr>
        <w:t>Major promotional, public relations and marketing activities</w:t>
      </w:r>
      <w:r>
        <w:rPr>
          <w:noProof/>
        </w:rPr>
        <w:tab/>
      </w:r>
      <w:r>
        <w:rPr>
          <w:noProof/>
        </w:rPr>
        <w:fldChar w:fldCharType="begin"/>
      </w:r>
      <w:r>
        <w:rPr>
          <w:noProof/>
        </w:rPr>
        <w:instrText xml:space="preserve"> PAGEREF _Toc109806866 \h </w:instrText>
      </w:r>
      <w:r>
        <w:rPr>
          <w:noProof/>
        </w:rPr>
      </w:r>
      <w:r>
        <w:rPr>
          <w:noProof/>
        </w:rPr>
        <w:fldChar w:fldCharType="separate"/>
      </w:r>
      <w:r w:rsidR="003F06CA">
        <w:rPr>
          <w:noProof/>
        </w:rPr>
        <w:t>14</w:t>
      </w:r>
      <w:r>
        <w:rPr>
          <w:noProof/>
        </w:rPr>
        <w:fldChar w:fldCharType="end"/>
      </w:r>
    </w:p>
    <w:p w14:paraId="2CB91075" w14:textId="3E37D26F" w:rsidR="006E713D" w:rsidRDefault="006E713D">
      <w:pPr>
        <w:pStyle w:val="TOC1"/>
        <w:rPr>
          <w:rFonts w:eastAsiaTheme="minorEastAsia"/>
          <w:b w:val="0"/>
          <w:noProof/>
          <w:szCs w:val="22"/>
          <w:lang w:val="en-AU" w:eastAsia="en-AU"/>
        </w:rPr>
      </w:pPr>
      <w:r w:rsidRPr="006D5655">
        <w:rPr>
          <w:rFonts w:ascii="Calibri" w:hAnsi="Calibri" w:cs="Calibri"/>
          <w:noProof/>
        </w:rPr>
        <w:t>Industrial relations</w:t>
      </w:r>
      <w:r>
        <w:rPr>
          <w:noProof/>
        </w:rPr>
        <w:tab/>
      </w:r>
      <w:r>
        <w:rPr>
          <w:noProof/>
        </w:rPr>
        <w:fldChar w:fldCharType="begin"/>
      </w:r>
      <w:r>
        <w:rPr>
          <w:noProof/>
        </w:rPr>
        <w:instrText xml:space="preserve"> PAGEREF _Toc109806867 \h </w:instrText>
      </w:r>
      <w:r>
        <w:rPr>
          <w:noProof/>
        </w:rPr>
      </w:r>
      <w:r>
        <w:rPr>
          <w:noProof/>
        </w:rPr>
        <w:fldChar w:fldCharType="separate"/>
      </w:r>
      <w:r w:rsidR="003F06CA">
        <w:rPr>
          <w:noProof/>
        </w:rPr>
        <w:t>16</w:t>
      </w:r>
      <w:r>
        <w:rPr>
          <w:noProof/>
        </w:rPr>
        <w:fldChar w:fldCharType="end"/>
      </w:r>
    </w:p>
    <w:p w14:paraId="52B91891" w14:textId="14D53680" w:rsidR="006E713D" w:rsidRDefault="006E713D">
      <w:pPr>
        <w:pStyle w:val="TOC1"/>
        <w:rPr>
          <w:rFonts w:eastAsiaTheme="minorEastAsia"/>
          <w:b w:val="0"/>
          <w:noProof/>
          <w:szCs w:val="22"/>
          <w:lang w:val="en-AU" w:eastAsia="en-AU"/>
        </w:rPr>
      </w:pPr>
      <w:r w:rsidRPr="006D5655">
        <w:rPr>
          <w:rFonts w:ascii="Calibri" w:hAnsi="Calibri" w:cs="Calibri"/>
          <w:noProof/>
        </w:rPr>
        <w:t>Major committees</w:t>
      </w:r>
      <w:r>
        <w:rPr>
          <w:noProof/>
        </w:rPr>
        <w:tab/>
      </w:r>
      <w:r>
        <w:rPr>
          <w:noProof/>
        </w:rPr>
        <w:fldChar w:fldCharType="begin"/>
      </w:r>
      <w:r>
        <w:rPr>
          <w:noProof/>
        </w:rPr>
        <w:instrText xml:space="preserve"> PAGEREF _Toc109806868 \h </w:instrText>
      </w:r>
      <w:r>
        <w:rPr>
          <w:noProof/>
        </w:rPr>
      </w:r>
      <w:r>
        <w:rPr>
          <w:noProof/>
        </w:rPr>
        <w:fldChar w:fldCharType="separate"/>
      </w:r>
      <w:r w:rsidR="003F06CA">
        <w:rPr>
          <w:noProof/>
        </w:rPr>
        <w:t>17</w:t>
      </w:r>
      <w:r>
        <w:rPr>
          <w:noProof/>
        </w:rPr>
        <w:fldChar w:fldCharType="end"/>
      </w:r>
    </w:p>
    <w:p w14:paraId="21F05821" w14:textId="3F896A75" w:rsidR="006E713D" w:rsidRDefault="006E713D">
      <w:pPr>
        <w:pStyle w:val="TOC1"/>
        <w:rPr>
          <w:rFonts w:eastAsiaTheme="minorEastAsia"/>
          <w:b w:val="0"/>
          <w:noProof/>
          <w:szCs w:val="22"/>
          <w:lang w:val="en-AU" w:eastAsia="en-AU"/>
        </w:rPr>
      </w:pPr>
      <w:r w:rsidRPr="006D5655">
        <w:rPr>
          <w:rFonts w:ascii="Calibri" w:hAnsi="Calibri" w:cs="Calibri"/>
          <w:noProof/>
        </w:rPr>
        <w:t>Consultants and contractors</w:t>
      </w:r>
      <w:r>
        <w:rPr>
          <w:noProof/>
        </w:rPr>
        <w:tab/>
      </w:r>
      <w:r>
        <w:rPr>
          <w:noProof/>
        </w:rPr>
        <w:fldChar w:fldCharType="begin"/>
      </w:r>
      <w:r>
        <w:rPr>
          <w:noProof/>
        </w:rPr>
        <w:instrText xml:space="preserve"> PAGEREF _Toc109806869 \h </w:instrText>
      </w:r>
      <w:r>
        <w:rPr>
          <w:noProof/>
        </w:rPr>
      </w:r>
      <w:r>
        <w:rPr>
          <w:noProof/>
        </w:rPr>
        <w:fldChar w:fldCharType="separate"/>
      </w:r>
      <w:r w:rsidR="003F06CA">
        <w:rPr>
          <w:noProof/>
        </w:rPr>
        <w:t>27</w:t>
      </w:r>
      <w:r>
        <w:rPr>
          <w:noProof/>
        </w:rPr>
        <w:fldChar w:fldCharType="end"/>
      </w:r>
    </w:p>
    <w:p w14:paraId="1C71C195" w14:textId="64938D1A" w:rsidR="006E713D" w:rsidRDefault="006E713D">
      <w:pPr>
        <w:pStyle w:val="TOC3"/>
        <w:tabs>
          <w:tab w:val="right" w:leader="dot" w:pos="7921"/>
        </w:tabs>
        <w:rPr>
          <w:rFonts w:eastAsiaTheme="minorEastAsia"/>
          <w:noProof/>
          <w:szCs w:val="22"/>
          <w:lang w:val="en-AU" w:eastAsia="en-AU"/>
        </w:rPr>
      </w:pPr>
      <w:r w:rsidRPr="006D5655">
        <w:rPr>
          <w:rFonts w:ascii="Calibri" w:hAnsi="Calibri" w:cs="Calibri"/>
          <w:noProof/>
          <w:lang w:val="en-AU"/>
        </w:rPr>
        <w:t>Details of consultancies valued at $10,000 or more</w:t>
      </w:r>
      <w:r>
        <w:rPr>
          <w:noProof/>
        </w:rPr>
        <w:tab/>
      </w:r>
      <w:r>
        <w:rPr>
          <w:noProof/>
        </w:rPr>
        <w:fldChar w:fldCharType="begin"/>
      </w:r>
      <w:r>
        <w:rPr>
          <w:noProof/>
        </w:rPr>
        <w:instrText xml:space="preserve"> PAGEREF _Toc109806870 \h </w:instrText>
      </w:r>
      <w:r>
        <w:rPr>
          <w:noProof/>
        </w:rPr>
      </w:r>
      <w:r>
        <w:rPr>
          <w:noProof/>
        </w:rPr>
        <w:fldChar w:fldCharType="separate"/>
      </w:r>
      <w:r w:rsidR="003F06CA">
        <w:rPr>
          <w:noProof/>
        </w:rPr>
        <w:t>27</w:t>
      </w:r>
      <w:r>
        <w:rPr>
          <w:noProof/>
        </w:rPr>
        <w:fldChar w:fldCharType="end"/>
      </w:r>
    </w:p>
    <w:p w14:paraId="79D3BC54" w14:textId="531C3191" w:rsidR="00F11B14" w:rsidRPr="00B85B32" w:rsidRDefault="008A3484" w:rsidP="00675820">
      <w:pPr>
        <w:pStyle w:val="TOC1"/>
        <w:rPr>
          <w:rFonts w:ascii="Calibri" w:eastAsiaTheme="minorEastAsia" w:hAnsi="Calibri" w:cs="Calibri"/>
          <w:b w:val="0"/>
          <w:noProof/>
          <w:szCs w:val="22"/>
          <w:lang w:val="en-AU" w:eastAsia="en-AU"/>
        </w:rPr>
      </w:pPr>
      <w:r w:rsidRPr="00B85B32">
        <w:rPr>
          <w:rFonts w:ascii="Calibri" w:hAnsi="Calibri" w:cs="Calibri"/>
        </w:rPr>
        <w:fldChar w:fldCharType="end"/>
      </w:r>
    </w:p>
    <w:p w14:paraId="54139C28" w14:textId="77777777" w:rsidR="00F11B14" w:rsidRPr="00B85B32" w:rsidRDefault="00F11B14" w:rsidP="00F11B14">
      <w:pPr>
        <w:rPr>
          <w:rFonts w:ascii="Calibri" w:hAnsi="Calibri" w:cs="Calibri"/>
        </w:rPr>
      </w:pPr>
    </w:p>
    <w:p w14:paraId="780BBB07" w14:textId="457F1726" w:rsidR="00D90AAF" w:rsidRPr="00B85B32" w:rsidRDefault="00D90AAF" w:rsidP="00F11B14">
      <w:pPr>
        <w:pStyle w:val="TOC1"/>
        <w:rPr>
          <w:rFonts w:ascii="Calibri" w:eastAsiaTheme="minorEastAsia" w:hAnsi="Calibri" w:cs="Calibri"/>
          <w:b w:val="0"/>
          <w:noProof/>
          <w:szCs w:val="22"/>
          <w:lang w:val="en-AU" w:eastAsia="en-AU"/>
        </w:rPr>
      </w:pPr>
    </w:p>
    <w:p w14:paraId="04D47BC6" w14:textId="77777777" w:rsidR="007E6337" w:rsidRPr="00B85B32" w:rsidRDefault="007E6337" w:rsidP="00D90AAF">
      <w:pPr>
        <w:rPr>
          <w:rFonts w:ascii="Calibri" w:hAnsi="Calibri" w:cs="Calibri"/>
        </w:rPr>
        <w:sectPr w:rsidR="007E6337" w:rsidRPr="00B85B32" w:rsidSect="003B3A5C">
          <w:footerReference w:type="default" r:id="rId14"/>
          <w:pgSz w:w="11900" w:h="16840"/>
          <w:pgMar w:top="1440" w:right="1134" w:bottom="1440" w:left="2835" w:header="708" w:footer="708" w:gutter="0"/>
          <w:cols w:space="708"/>
          <w:docGrid w:linePitch="360"/>
        </w:sectPr>
      </w:pPr>
    </w:p>
    <w:p w14:paraId="669D099C" w14:textId="27BB0C85" w:rsidR="007E6337" w:rsidRPr="00B85B32" w:rsidRDefault="00F02ACF" w:rsidP="007E6337">
      <w:pPr>
        <w:pStyle w:val="ESHeading1"/>
        <w:rPr>
          <w:rFonts w:ascii="Calibri" w:hAnsi="Calibri" w:cs="Calibri"/>
        </w:rPr>
      </w:pPr>
      <w:bookmarkStart w:id="0" w:name="_Toc12882442"/>
      <w:bookmarkStart w:id="1" w:name="_Toc109806858"/>
      <w:r w:rsidRPr="00B85B32">
        <w:rPr>
          <w:rFonts w:ascii="Calibri" w:hAnsi="Calibri" w:cs="Calibri"/>
        </w:rPr>
        <w:lastRenderedPageBreak/>
        <w:t>Introduction</w:t>
      </w:r>
      <w:bookmarkEnd w:id="0"/>
      <w:bookmarkEnd w:id="1"/>
      <w:r w:rsidRPr="00B85B32">
        <w:rPr>
          <w:rFonts w:ascii="Calibri" w:hAnsi="Calibri" w:cs="Calibri"/>
        </w:rPr>
        <w:t xml:space="preserve"> </w:t>
      </w:r>
    </w:p>
    <w:p w14:paraId="6B5B345F" w14:textId="443D4625" w:rsidR="00EB7C14" w:rsidRPr="0031798D" w:rsidRDefault="00EB7C14" w:rsidP="00EB7C14">
      <w:pPr>
        <w:rPr>
          <w:rFonts w:ascii="Calibri" w:hAnsi="Calibri" w:cs="Calibri"/>
        </w:rPr>
      </w:pPr>
      <w:r w:rsidRPr="0031798D">
        <w:rPr>
          <w:rFonts w:ascii="Calibri" w:hAnsi="Calibri" w:cs="Calibri"/>
        </w:rPr>
        <w:t xml:space="preserve">Financial Reporting Direction (FRD) 22 requires the Accountable Officer to retain specified information and make it available. This material may be made available on request to ministers, members of parliament, and members of the public, subject to the provisions of the </w:t>
      </w:r>
      <w:r w:rsidRPr="0031798D">
        <w:rPr>
          <w:rFonts w:ascii="Calibri" w:hAnsi="Calibri" w:cs="Calibri"/>
          <w:i/>
        </w:rPr>
        <w:t>Freedom of Information Act 1982</w:t>
      </w:r>
      <w:r w:rsidRPr="0031798D">
        <w:rPr>
          <w:rFonts w:ascii="Calibri" w:hAnsi="Calibri" w:cs="Calibri"/>
        </w:rPr>
        <w:t>.</w:t>
      </w:r>
    </w:p>
    <w:p w14:paraId="24F5163A" w14:textId="77777777" w:rsidR="00EB7C14" w:rsidRPr="0031798D" w:rsidRDefault="00EB7C14" w:rsidP="00EB7C14">
      <w:pPr>
        <w:rPr>
          <w:rFonts w:ascii="Calibri" w:hAnsi="Calibri" w:cs="Calibri"/>
        </w:rPr>
      </w:pPr>
    </w:p>
    <w:p w14:paraId="69627055" w14:textId="20E2BB6B" w:rsidR="00EB7C14" w:rsidRPr="0031798D" w:rsidRDefault="00EB7C14" w:rsidP="00EB7C14">
      <w:pPr>
        <w:rPr>
          <w:rFonts w:ascii="Calibri" w:hAnsi="Calibri" w:cs="Calibri"/>
        </w:rPr>
      </w:pPr>
      <w:r w:rsidRPr="0031798D">
        <w:rPr>
          <w:rFonts w:ascii="Calibri" w:hAnsi="Calibri" w:cs="Calibri"/>
        </w:rPr>
        <w:t>The Department of Education and Training makes this information available (or provides details o</w:t>
      </w:r>
      <w:r w:rsidR="009A543E" w:rsidRPr="0031798D">
        <w:rPr>
          <w:rFonts w:ascii="Calibri" w:hAnsi="Calibri" w:cs="Calibri"/>
        </w:rPr>
        <w:t>n</w:t>
      </w:r>
      <w:r w:rsidRPr="0031798D">
        <w:rPr>
          <w:rFonts w:ascii="Calibri" w:hAnsi="Calibri" w:cs="Calibri"/>
        </w:rPr>
        <w:t xml:space="preserve"> how the material may be sourced) in the </w:t>
      </w:r>
      <w:r w:rsidRPr="0031798D">
        <w:rPr>
          <w:rFonts w:ascii="Calibri" w:hAnsi="Calibri" w:cs="Calibri"/>
          <w:i/>
        </w:rPr>
        <w:t>Department of Education and Training Annual Report 202</w:t>
      </w:r>
      <w:r w:rsidR="00342783" w:rsidRPr="0031798D">
        <w:rPr>
          <w:rFonts w:ascii="Calibri" w:hAnsi="Calibri" w:cs="Calibri"/>
          <w:i/>
        </w:rPr>
        <w:t>1</w:t>
      </w:r>
      <w:r w:rsidRPr="0031798D">
        <w:rPr>
          <w:rFonts w:ascii="Calibri" w:hAnsi="Calibri" w:cs="Calibri"/>
          <w:i/>
        </w:rPr>
        <w:t>–2</w:t>
      </w:r>
      <w:r w:rsidR="00342783" w:rsidRPr="0031798D">
        <w:rPr>
          <w:rFonts w:ascii="Calibri" w:hAnsi="Calibri" w:cs="Calibri"/>
          <w:i/>
        </w:rPr>
        <w:t>2</w:t>
      </w:r>
      <w:r w:rsidRPr="0031798D">
        <w:rPr>
          <w:rFonts w:ascii="Calibri" w:hAnsi="Calibri" w:cs="Calibri"/>
        </w:rPr>
        <w:t xml:space="preserve"> or herein.</w:t>
      </w:r>
    </w:p>
    <w:p w14:paraId="007C4EBD" w14:textId="77777777" w:rsidR="00EB7C14" w:rsidRPr="0031798D" w:rsidRDefault="00EB7C14" w:rsidP="00EB7C14">
      <w:pPr>
        <w:rPr>
          <w:rFonts w:ascii="Calibri" w:hAnsi="Calibri" w:cs="Calibri"/>
        </w:rPr>
      </w:pPr>
    </w:p>
    <w:p w14:paraId="3BE564AE" w14:textId="77777777" w:rsidR="00EB7C14" w:rsidRPr="0031798D" w:rsidRDefault="00EB7C14" w:rsidP="00EB7C14">
      <w:pPr>
        <w:rPr>
          <w:rFonts w:ascii="Calibri" w:hAnsi="Calibri" w:cs="Calibri"/>
        </w:rPr>
      </w:pPr>
      <w:r w:rsidRPr="0031798D">
        <w:rPr>
          <w:rFonts w:ascii="Calibri" w:hAnsi="Calibri" w:cs="Calibri"/>
        </w:rPr>
        <w:t>Requirements covered in this report include:</w:t>
      </w:r>
    </w:p>
    <w:p w14:paraId="047658BA" w14:textId="77777777" w:rsidR="0031798D" w:rsidRPr="00C828CA" w:rsidRDefault="0031798D" w:rsidP="0031798D">
      <w:pPr>
        <w:pStyle w:val="ListParagraph"/>
        <w:numPr>
          <w:ilvl w:val="0"/>
          <w:numId w:val="6"/>
        </w:numPr>
        <w:ind w:left="360"/>
        <w:rPr>
          <w:rFonts w:ascii="Calibri" w:hAnsi="Calibri" w:cs="Calibri"/>
        </w:rPr>
      </w:pPr>
      <w:r w:rsidRPr="00C828CA">
        <w:rPr>
          <w:rFonts w:ascii="Calibri" w:hAnsi="Calibri" w:cs="Calibri"/>
        </w:rPr>
        <w:t>a statement that declarations of pecuniary interests have been duly completed by all relevant officers</w:t>
      </w:r>
    </w:p>
    <w:p w14:paraId="4B368E1E" w14:textId="77777777" w:rsidR="0031798D" w:rsidRPr="00C828CA" w:rsidRDefault="0031798D" w:rsidP="0031798D">
      <w:pPr>
        <w:pStyle w:val="ListParagraph"/>
        <w:numPr>
          <w:ilvl w:val="0"/>
          <w:numId w:val="6"/>
        </w:numPr>
        <w:ind w:left="360"/>
        <w:rPr>
          <w:rFonts w:ascii="Calibri" w:hAnsi="Calibri" w:cs="Calibri"/>
        </w:rPr>
      </w:pPr>
      <w:r w:rsidRPr="00C828CA">
        <w:rPr>
          <w:rFonts w:ascii="Calibri" w:hAnsi="Calibri" w:cs="Calibri"/>
        </w:rPr>
        <w:t>details of shares held by a senior officer as nominee or held beneficially in a statutory authority or subsidiary</w:t>
      </w:r>
    </w:p>
    <w:p w14:paraId="06F6F7BC" w14:textId="77777777" w:rsidR="0031798D" w:rsidRPr="00C828CA" w:rsidRDefault="0031798D" w:rsidP="0031798D">
      <w:pPr>
        <w:pStyle w:val="ListParagraph"/>
        <w:numPr>
          <w:ilvl w:val="0"/>
          <w:numId w:val="6"/>
        </w:numPr>
        <w:ind w:left="360"/>
        <w:rPr>
          <w:rFonts w:ascii="Calibri" w:hAnsi="Calibri" w:cs="Calibri"/>
        </w:rPr>
      </w:pPr>
      <w:r w:rsidRPr="00C828CA">
        <w:rPr>
          <w:rFonts w:ascii="Calibri" w:hAnsi="Calibri" w:cs="Calibri"/>
        </w:rPr>
        <w:t>details of publications produced by the department about itself and how these can be obtained</w:t>
      </w:r>
    </w:p>
    <w:p w14:paraId="4B8A8AD0" w14:textId="77777777" w:rsidR="0031798D" w:rsidRPr="00C828CA" w:rsidRDefault="0031798D" w:rsidP="0031798D">
      <w:pPr>
        <w:pStyle w:val="ListParagraph"/>
        <w:numPr>
          <w:ilvl w:val="0"/>
          <w:numId w:val="6"/>
        </w:numPr>
        <w:ind w:left="360"/>
        <w:rPr>
          <w:rFonts w:ascii="Calibri" w:hAnsi="Calibri" w:cs="Calibri"/>
        </w:rPr>
      </w:pPr>
      <w:r w:rsidRPr="00C828CA">
        <w:rPr>
          <w:rFonts w:ascii="Calibri" w:hAnsi="Calibri" w:cs="Calibri"/>
        </w:rPr>
        <w:t xml:space="preserve">details of changes in prices, fees, charges, </w:t>
      </w:r>
      <w:proofErr w:type="gramStart"/>
      <w:r w:rsidRPr="00C828CA">
        <w:rPr>
          <w:rFonts w:ascii="Calibri" w:hAnsi="Calibri" w:cs="Calibri"/>
        </w:rPr>
        <w:t>rates</w:t>
      </w:r>
      <w:proofErr w:type="gramEnd"/>
      <w:r w:rsidRPr="00C828CA">
        <w:rPr>
          <w:rFonts w:ascii="Calibri" w:hAnsi="Calibri" w:cs="Calibri"/>
        </w:rPr>
        <w:t xml:space="preserve"> and levies charged by the department</w:t>
      </w:r>
    </w:p>
    <w:p w14:paraId="6A542DA4" w14:textId="3489C5FD" w:rsidR="00EB7C14" w:rsidRPr="0031798D" w:rsidRDefault="00EB7C14" w:rsidP="00FC1F95">
      <w:pPr>
        <w:pStyle w:val="ListParagraph"/>
        <w:numPr>
          <w:ilvl w:val="0"/>
          <w:numId w:val="6"/>
        </w:numPr>
        <w:ind w:left="360"/>
        <w:rPr>
          <w:rFonts w:ascii="Calibri" w:hAnsi="Calibri" w:cs="Calibri"/>
        </w:rPr>
      </w:pPr>
      <w:r w:rsidRPr="0031798D">
        <w:rPr>
          <w:rFonts w:ascii="Calibri" w:hAnsi="Calibri" w:cs="Calibri"/>
        </w:rPr>
        <w:t xml:space="preserve">details of any major external reviews carried out on the </w:t>
      </w:r>
      <w:r w:rsidR="00342783" w:rsidRPr="0031798D">
        <w:rPr>
          <w:rFonts w:ascii="Calibri" w:hAnsi="Calibri" w:cs="Calibri"/>
        </w:rPr>
        <w:t>d</w:t>
      </w:r>
      <w:r w:rsidRPr="0031798D">
        <w:rPr>
          <w:rFonts w:ascii="Calibri" w:hAnsi="Calibri" w:cs="Calibri"/>
        </w:rPr>
        <w:t>epartment</w:t>
      </w:r>
    </w:p>
    <w:p w14:paraId="3A67EE5B" w14:textId="247D3881" w:rsidR="00EB7C14" w:rsidRPr="0031798D" w:rsidRDefault="00EB7C14" w:rsidP="00FC1F95">
      <w:pPr>
        <w:pStyle w:val="ListParagraph"/>
        <w:numPr>
          <w:ilvl w:val="0"/>
          <w:numId w:val="6"/>
        </w:numPr>
        <w:ind w:left="360"/>
        <w:rPr>
          <w:rFonts w:ascii="Calibri" w:hAnsi="Calibri" w:cs="Calibri"/>
        </w:rPr>
      </w:pPr>
      <w:r w:rsidRPr="0031798D">
        <w:rPr>
          <w:rFonts w:ascii="Calibri" w:hAnsi="Calibri" w:cs="Calibri"/>
        </w:rPr>
        <w:t xml:space="preserve">details of major research and development activities undertaken by the </w:t>
      </w:r>
      <w:r w:rsidR="00342783" w:rsidRPr="0031798D">
        <w:rPr>
          <w:rFonts w:ascii="Calibri" w:hAnsi="Calibri" w:cs="Calibri"/>
        </w:rPr>
        <w:t>d</w:t>
      </w:r>
      <w:r w:rsidRPr="0031798D">
        <w:rPr>
          <w:rFonts w:ascii="Calibri" w:hAnsi="Calibri" w:cs="Calibri"/>
        </w:rPr>
        <w:t>epartment</w:t>
      </w:r>
    </w:p>
    <w:p w14:paraId="402FE39D" w14:textId="77777777" w:rsidR="00EB7C14" w:rsidRPr="0031798D" w:rsidRDefault="00EB7C14" w:rsidP="00FC1F95">
      <w:pPr>
        <w:pStyle w:val="ListParagraph"/>
        <w:numPr>
          <w:ilvl w:val="0"/>
          <w:numId w:val="6"/>
        </w:numPr>
        <w:ind w:left="360"/>
        <w:rPr>
          <w:rFonts w:ascii="Calibri" w:hAnsi="Calibri" w:cs="Calibri"/>
        </w:rPr>
      </w:pPr>
      <w:r w:rsidRPr="0031798D">
        <w:rPr>
          <w:rFonts w:ascii="Calibri" w:hAnsi="Calibri" w:cs="Calibri"/>
        </w:rPr>
        <w:t>details of overseas visits undertaken including a summary of the objectives and outcomes of each visit</w:t>
      </w:r>
    </w:p>
    <w:p w14:paraId="083BCD9D" w14:textId="72ED6C2D" w:rsidR="00EB7C14" w:rsidRPr="0031798D" w:rsidRDefault="00EB7C14" w:rsidP="00FC1F95">
      <w:pPr>
        <w:pStyle w:val="ListParagraph"/>
        <w:numPr>
          <w:ilvl w:val="0"/>
          <w:numId w:val="6"/>
        </w:numPr>
        <w:ind w:left="360"/>
        <w:rPr>
          <w:rFonts w:ascii="Calibri" w:hAnsi="Calibri" w:cs="Calibri"/>
        </w:rPr>
      </w:pPr>
      <w:r w:rsidRPr="0031798D">
        <w:rPr>
          <w:rFonts w:ascii="Calibri" w:hAnsi="Calibri" w:cs="Calibri"/>
        </w:rPr>
        <w:t xml:space="preserve">details of major promotional, public relations and marketing activities undertaken to develop community awareness of the </w:t>
      </w:r>
      <w:r w:rsidR="00342783" w:rsidRPr="0031798D">
        <w:rPr>
          <w:rFonts w:ascii="Calibri" w:hAnsi="Calibri" w:cs="Calibri"/>
        </w:rPr>
        <w:t>d</w:t>
      </w:r>
      <w:r w:rsidRPr="0031798D">
        <w:rPr>
          <w:rFonts w:ascii="Calibri" w:hAnsi="Calibri" w:cs="Calibri"/>
        </w:rPr>
        <w:t>epartment and its services</w:t>
      </w:r>
    </w:p>
    <w:p w14:paraId="0E034C72" w14:textId="77777777" w:rsidR="00F50634" w:rsidRPr="007813D5" w:rsidRDefault="00F50634" w:rsidP="00F50634">
      <w:pPr>
        <w:pStyle w:val="ListParagraph"/>
        <w:numPr>
          <w:ilvl w:val="0"/>
          <w:numId w:val="6"/>
        </w:numPr>
        <w:ind w:left="360"/>
        <w:rPr>
          <w:rFonts w:ascii="Calibri" w:hAnsi="Calibri" w:cs="Calibri"/>
        </w:rPr>
      </w:pPr>
      <w:r w:rsidRPr="007813D5">
        <w:rPr>
          <w:rFonts w:ascii="Calibri" w:hAnsi="Calibri" w:cs="Calibri"/>
        </w:rPr>
        <w:t xml:space="preserve">a general statement on industrial relations </w:t>
      </w:r>
      <w:r>
        <w:rPr>
          <w:rFonts w:ascii="Calibri" w:hAnsi="Calibri" w:cs="Calibri"/>
        </w:rPr>
        <w:t>with</w:t>
      </w:r>
      <w:r w:rsidRPr="007813D5">
        <w:rPr>
          <w:rFonts w:ascii="Calibri" w:hAnsi="Calibri" w:cs="Calibri"/>
        </w:rPr>
        <w:t>in the department and details of time lost through industrial accidents and disputes</w:t>
      </w:r>
    </w:p>
    <w:p w14:paraId="794BAFC3" w14:textId="195BE6D9" w:rsidR="00EB7C14" w:rsidRPr="0031798D" w:rsidRDefault="00EB7C14" w:rsidP="00FC1F95">
      <w:pPr>
        <w:pStyle w:val="ListParagraph"/>
        <w:numPr>
          <w:ilvl w:val="0"/>
          <w:numId w:val="6"/>
        </w:numPr>
        <w:ind w:left="360"/>
        <w:rPr>
          <w:rFonts w:ascii="Calibri" w:hAnsi="Calibri" w:cs="Calibri"/>
        </w:rPr>
      </w:pPr>
      <w:r w:rsidRPr="0031798D">
        <w:rPr>
          <w:rFonts w:ascii="Calibri" w:hAnsi="Calibri" w:cs="Calibri"/>
        </w:rPr>
        <w:t xml:space="preserve">a list of major committees sponsored by the </w:t>
      </w:r>
      <w:r w:rsidR="00342783" w:rsidRPr="0031798D">
        <w:rPr>
          <w:rFonts w:ascii="Calibri" w:hAnsi="Calibri" w:cs="Calibri"/>
        </w:rPr>
        <w:t>d</w:t>
      </w:r>
      <w:r w:rsidR="007F233B" w:rsidRPr="0031798D">
        <w:rPr>
          <w:rFonts w:ascii="Calibri" w:hAnsi="Calibri" w:cs="Calibri"/>
        </w:rPr>
        <w:t>epartment</w:t>
      </w:r>
      <w:r w:rsidRPr="0031798D">
        <w:rPr>
          <w:rFonts w:ascii="Calibri" w:hAnsi="Calibri" w:cs="Calibri"/>
        </w:rPr>
        <w:t>, the purposes of each committee and the extent to which the purposes have been achieved</w:t>
      </w:r>
    </w:p>
    <w:p w14:paraId="67A2C0BA" w14:textId="77777777" w:rsidR="00EB7C14" w:rsidRPr="0031798D" w:rsidRDefault="00EB7C14" w:rsidP="00FC1F95">
      <w:pPr>
        <w:pStyle w:val="ListParagraph"/>
        <w:numPr>
          <w:ilvl w:val="0"/>
          <w:numId w:val="6"/>
        </w:numPr>
        <w:ind w:left="360"/>
        <w:rPr>
          <w:rFonts w:ascii="Calibri" w:hAnsi="Calibri" w:cs="Calibri"/>
        </w:rPr>
      </w:pPr>
      <w:r w:rsidRPr="0031798D">
        <w:rPr>
          <w:rFonts w:ascii="Calibri" w:hAnsi="Calibri" w:cs="Calibri"/>
        </w:rPr>
        <w:t>details of all consultancies and contractors including:</w:t>
      </w:r>
    </w:p>
    <w:p w14:paraId="69C88732" w14:textId="78202D76" w:rsidR="00EB7C14" w:rsidRPr="0031798D" w:rsidRDefault="00EB7C14" w:rsidP="00FC1F95">
      <w:pPr>
        <w:pStyle w:val="ListParagraph"/>
        <w:numPr>
          <w:ilvl w:val="0"/>
          <w:numId w:val="7"/>
        </w:numPr>
        <w:ind w:left="720"/>
        <w:rPr>
          <w:rFonts w:ascii="Calibri" w:hAnsi="Calibri" w:cs="Calibri"/>
        </w:rPr>
      </w:pPr>
      <w:r w:rsidRPr="0031798D">
        <w:rPr>
          <w:rFonts w:ascii="Calibri" w:hAnsi="Calibri" w:cs="Calibri"/>
        </w:rPr>
        <w:t>consultants</w:t>
      </w:r>
      <w:r w:rsidR="007F233B" w:rsidRPr="0031798D">
        <w:rPr>
          <w:rFonts w:ascii="Calibri" w:hAnsi="Calibri" w:cs="Calibri"/>
        </w:rPr>
        <w:t xml:space="preserve"> and </w:t>
      </w:r>
      <w:r w:rsidRPr="0031798D">
        <w:rPr>
          <w:rFonts w:ascii="Calibri" w:hAnsi="Calibri" w:cs="Calibri"/>
        </w:rPr>
        <w:t>contractors engaged</w:t>
      </w:r>
    </w:p>
    <w:p w14:paraId="4CF76B05" w14:textId="77777777" w:rsidR="00EB7C14" w:rsidRPr="0031798D" w:rsidRDefault="00EB7C14" w:rsidP="00FC1F95">
      <w:pPr>
        <w:pStyle w:val="ListParagraph"/>
        <w:numPr>
          <w:ilvl w:val="0"/>
          <w:numId w:val="7"/>
        </w:numPr>
        <w:ind w:left="720"/>
        <w:rPr>
          <w:rFonts w:ascii="Calibri" w:hAnsi="Calibri" w:cs="Calibri"/>
        </w:rPr>
      </w:pPr>
      <w:r w:rsidRPr="0031798D">
        <w:rPr>
          <w:rFonts w:ascii="Calibri" w:hAnsi="Calibri" w:cs="Calibri"/>
        </w:rPr>
        <w:t>services provided</w:t>
      </w:r>
    </w:p>
    <w:p w14:paraId="4AD18132" w14:textId="776030FE" w:rsidR="00EB7C14" w:rsidRPr="0031798D" w:rsidRDefault="00EB7C14" w:rsidP="00FC1F95">
      <w:pPr>
        <w:pStyle w:val="ListParagraph"/>
        <w:numPr>
          <w:ilvl w:val="0"/>
          <w:numId w:val="7"/>
        </w:numPr>
        <w:ind w:left="720"/>
        <w:rPr>
          <w:rFonts w:ascii="Calibri" w:hAnsi="Calibri" w:cs="Calibri"/>
        </w:rPr>
      </w:pPr>
      <w:r w:rsidRPr="0031798D">
        <w:rPr>
          <w:rFonts w:ascii="Calibri" w:hAnsi="Calibri" w:cs="Calibri"/>
        </w:rPr>
        <w:t>expenditure committed for each engagement.</w:t>
      </w:r>
      <w:r w:rsidR="00F74EB1" w:rsidRPr="0031798D">
        <w:rPr>
          <w:rFonts w:ascii="Calibri" w:hAnsi="Calibri" w:cs="Calibri"/>
        </w:rPr>
        <w:t xml:space="preserve"> </w:t>
      </w:r>
    </w:p>
    <w:p w14:paraId="625647F5" w14:textId="77777777" w:rsidR="00EB7C14" w:rsidRPr="0031798D" w:rsidRDefault="00EB7C14" w:rsidP="00EB7C14">
      <w:pPr>
        <w:ind w:left="720"/>
        <w:rPr>
          <w:rFonts w:ascii="Calibri" w:hAnsi="Calibri" w:cs="Calibri"/>
        </w:rPr>
      </w:pPr>
    </w:p>
    <w:p w14:paraId="0AD5E243" w14:textId="5F69D226" w:rsidR="00EB7C14" w:rsidRPr="0031798D" w:rsidRDefault="00EB7C14" w:rsidP="003838D0">
      <w:pPr>
        <w:rPr>
          <w:rFonts w:ascii="Calibri" w:hAnsi="Calibri" w:cs="Calibri"/>
        </w:rPr>
      </w:pPr>
      <w:r w:rsidRPr="0031798D">
        <w:rPr>
          <w:rFonts w:ascii="Calibri" w:hAnsi="Calibri" w:cs="Calibri"/>
        </w:rPr>
        <w:t xml:space="preserve">Requirements covered in the </w:t>
      </w:r>
      <w:r w:rsidRPr="0031798D">
        <w:rPr>
          <w:rFonts w:ascii="Calibri" w:hAnsi="Calibri" w:cs="Calibri"/>
          <w:i/>
        </w:rPr>
        <w:t>Department of Education and Training Annual Report 20</w:t>
      </w:r>
      <w:r w:rsidR="002D5B7F" w:rsidRPr="0031798D">
        <w:rPr>
          <w:rFonts w:ascii="Calibri" w:hAnsi="Calibri" w:cs="Calibri"/>
          <w:i/>
        </w:rPr>
        <w:t>2</w:t>
      </w:r>
      <w:r w:rsidR="00342783" w:rsidRPr="0031798D">
        <w:rPr>
          <w:rFonts w:ascii="Calibri" w:hAnsi="Calibri" w:cs="Calibri"/>
          <w:i/>
        </w:rPr>
        <w:t>1</w:t>
      </w:r>
      <w:r w:rsidRPr="0031798D">
        <w:rPr>
          <w:rFonts w:ascii="Calibri" w:hAnsi="Calibri" w:cs="Calibri"/>
          <w:i/>
        </w:rPr>
        <w:t>–2</w:t>
      </w:r>
      <w:r w:rsidR="00342783" w:rsidRPr="0031798D">
        <w:rPr>
          <w:rFonts w:ascii="Calibri" w:hAnsi="Calibri" w:cs="Calibri"/>
          <w:i/>
        </w:rPr>
        <w:t>2</w:t>
      </w:r>
      <w:r w:rsidR="0055247B" w:rsidRPr="0055247B">
        <w:rPr>
          <w:rFonts w:ascii="Calibri" w:hAnsi="Calibri" w:cs="Calibri"/>
          <w:iCs/>
        </w:rPr>
        <w:t xml:space="preserve"> (</w:t>
      </w:r>
      <w:r w:rsidRPr="0031798D">
        <w:rPr>
          <w:rFonts w:ascii="Calibri" w:hAnsi="Calibri" w:cs="Calibri"/>
        </w:rPr>
        <w:t>available at</w:t>
      </w:r>
      <w:r w:rsidR="00F50634">
        <w:rPr>
          <w:rFonts w:ascii="Calibri" w:hAnsi="Calibri" w:cs="Calibri"/>
        </w:rPr>
        <w:t xml:space="preserve"> </w:t>
      </w:r>
      <w:hyperlink r:id="rId15" w:history="1">
        <w:r w:rsidR="00F50634" w:rsidRPr="007813D5">
          <w:rPr>
            <w:rStyle w:val="Hyperlink"/>
            <w:rFonts w:ascii="Calibri" w:hAnsi="Calibri" w:cs="Calibri"/>
          </w:rPr>
          <w:t>www.vic.gov.au/department-education-and-training-annual-reports</w:t>
        </w:r>
      </w:hyperlink>
      <w:r w:rsidR="0055247B">
        <w:rPr>
          <w:rStyle w:val="Hyperlink"/>
          <w:rFonts w:ascii="Calibri" w:hAnsi="Calibri" w:cs="Calibri"/>
        </w:rPr>
        <w:t>)</w:t>
      </w:r>
      <w:r w:rsidRPr="0031798D">
        <w:rPr>
          <w:rFonts w:ascii="Calibri" w:hAnsi="Calibri" w:cs="Calibri"/>
        </w:rPr>
        <w:t xml:space="preserve"> include</w:t>
      </w:r>
      <w:r w:rsidR="003838D0">
        <w:rPr>
          <w:rFonts w:ascii="Calibri" w:hAnsi="Calibri" w:cs="Calibri"/>
        </w:rPr>
        <w:t xml:space="preserve">s </w:t>
      </w:r>
      <w:r w:rsidRPr="0031798D">
        <w:rPr>
          <w:rFonts w:ascii="Calibri" w:hAnsi="Calibri" w:cs="Calibri"/>
        </w:rPr>
        <w:t>details of assessments and measures undertaken to improve the occupational health and safety of employees</w:t>
      </w:r>
      <w:r w:rsidR="00F50634">
        <w:rPr>
          <w:rFonts w:ascii="Calibri" w:hAnsi="Calibri" w:cs="Calibri"/>
        </w:rPr>
        <w:t>.</w:t>
      </w:r>
    </w:p>
    <w:p w14:paraId="3AA542A1" w14:textId="77777777" w:rsidR="00F63C3E" w:rsidRDefault="00F63C3E">
      <w:pPr>
        <w:rPr>
          <w:rFonts w:ascii="Calibri" w:eastAsiaTheme="majorEastAsia" w:hAnsi="Calibri" w:cs="Calibri"/>
          <w:b/>
          <w:color w:val="AF272F" w:themeColor="accent4"/>
          <w:spacing w:val="5"/>
          <w:kern w:val="28"/>
          <w:sz w:val="44"/>
          <w:szCs w:val="52"/>
          <w:lang w:val="en-US"/>
        </w:rPr>
      </w:pPr>
      <w:r>
        <w:rPr>
          <w:rFonts w:ascii="Calibri" w:hAnsi="Calibri" w:cs="Calibri"/>
        </w:rPr>
        <w:br w:type="page"/>
      </w:r>
    </w:p>
    <w:p w14:paraId="4E29719C" w14:textId="77777777" w:rsidR="00F63C3E" w:rsidRPr="00337FF2" w:rsidRDefault="00F63C3E" w:rsidP="00457F78">
      <w:pPr>
        <w:pStyle w:val="ESHeading1"/>
        <w:rPr>
          <w:rFonts w:ascii="Calibri" w:hAnsi="Calibri" w:cs="Calibri"/>
        </w:rPr>
      </w:pPr>
      <w:bookmarkStart w:id="2" w:name="_Toc9432478"/>
      <w:bookmarkStart w:id="3" w:name="_Toc11158238"/>
      <w:bookmarkStart w:id="4" w:name="_Toc11336245"/>
      <w:bookmarkStart w:id="5" w:name="_Toc13656685"/>
      <w:bookmarkStart w:id="6" w:name="_Toc14965471"/>
      <w:bookmarkStart w:id="7" w:name="_Toc15985271"/>
      <w:bookmarkStart w:id="8" w:name="_Toc19272049"/>
      <w:bookmarkStart w:id="9" w:name="_Toc19272415"/>
      <w:bookmarkStart w:id="10" w:name="_Toc19273750"/>
      <w:bookmarkStart w:id="11" w:name="_Toc48402791"/>
      <w:bookmarkStart w:id="12" w:name="_Toc48403028"/>
      <w:bookmarkStart w:id="13" w:name="_Toc51332771"/>
      <w:bookmarkStart w:id="14" w:name="_Toc71037325"/>
      <w:bookmarkStart w:id="15" w:name="_Toc106874045"/>
      <w:bookmarkStart w:id="16" w:name="_Toc109806859"/>
      <w:bookmarkStart w:id="17" w:name="_Toc11158310"/>
      <w:bookmarkStart w:id="18" w:name="_Toc11336317"/>
      <w:bookmarkStart w:id="19" w:name="_Toc13656704"/>
      <w:bookmarkStart w:id="20" w:name="_Toc14965544"/>
      <w:bookmarkStart w:id="21" w:name="_Toc15985290"/>
      <w:bookmarkStart w:id="22" w:name="_Toc19272115"/>
      <w:bookmarkStart w:id="23" w:name="_Toc19272481"/>
      <w:bookmarkStart w:id="24" w:name="_Toc19273816"/>
      <w:bookmarkStart w:id="25" w:name="_Toc48402811"/>
      <w:bookmarkStart w:id="26" w:name="_Toc48403048"/>
      <w:bookmarkStart w:id="27" w:name="_Toc51332791"/>
      <w:bookmarkStart w:id="28" w:name="_Toc71208230"/>
      <w:bookmarkStart w:id="29" w:name="_Toc101364486"/>
      <w:bookmarkStart w:id="30" w:name="_Toc109119724"/>
      <w:r w:rsidRPr="00337FF2">
        <w:rPr>
          <w:rFonts w:ascii="Calibri" w:hAnsi="Calibri" w:cs="Calibri"/>
        </w:rPr>
        <w:lastRenderedPageBreak/>
        <w:t>Pecuniary interests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6F83AED" w14:textId="1ACDD2FF" w:rsidR="00F63C3E" w:rsidRDefault="00F63C3E" w:rsidP="00F63C3E">
      <w:pPr>
        <w:rPr>
          <w:rFonts w:ascii="Calibri" w:hAnsi="Calibri" w:cs="Calibri"/>
        </w:rPr>
      </w:pPr>
      <w:bookmarkStart w:id="31" w:name="_Toc9432479"/>
      <w:bookmarkStart w:id="32" w:name="_Toc11158239"/>
      <w:bookmarkStart w:id="33" w:name="_Toc11336246"/>
      <w:r w:rsidRPr="004500E2">
        <w:rPr>
          <w:rFonts w:ascii="Calibri" w:hAnsi="Calibri" w:cs="Calibri"/>
        </w:rPr>
        <w:t>All relevant officers have completed declarations of pecuniary interests.</w:t>
      </w:r>
    </w:p>
    <w:p w14:paraId="6524432C" w14:textId="77777777" w:rsidR="00562BF6" w:rsidRPr="00337FF2" w:rsidRDefault="00562BF6" w:rsidP="00F63C3E">
      <w:pPr>
        <w:rPr>
          <w:rFonts w:ascii="Calibri" w:hAnsi="Calibri" w:cs="Calibri"/>
        </w:rPr>
      </w:pPr>
    </w:p>
    <w:p w14:paraId="1BF953FE" w14:textId="77777777" w:rsidR="00F63C3E" w:rsidRPr="00337FF2" w:rsidRDefault="00F63C3E" w:rsidP="00457F78">
      <w:pPr>
        <w:pStyle w:val="ESHeading1"/>
        <w:rPr>
          <w:rFonts w:ascii="Calibri" w:hAnsi="Calibri" w:cs="Calibri"/>
        </w:rPr>
      </w:pPr>
      <w:bookmarkStart w:id="34" w:name="_Toc13656686"/>
      <w:bookmarkStart w:id="35" w:name="_Toc14965472"/>
      <w:bookmarkStart w:id="36" w:name="_Toc15985272"/>
      <w:bookmarkStart w:id="37" w:name="_Toc19272050"/>
      <w:bookmarkStart w:id="38" w:name="_Toc19272416"/>
      <w:bookmarkStart w:id="39" w:name="_Toc19273751"/>
      <w:bookmarkStart w:id="40" w:name="_Toc48402792"/>
      <w:bookmarkStart w:id="41" w:name="_Toc48403029"/>
      <w:bookmarkStart w:id="42" w:name="_Toc51332772"/>
      <w:bookmarkStart w:id="43" w:name="_Toc71037326"/>
      <w:bookmarkStart w:id="44" w:name="_Toc106874046"/>
      <w:bookmarkStart w:id="45" w:name="_Toc109806860"/>
      <w:r w:rsidRPr="00337FF2">
        <w:rPr>
          <w:rFonts w:ascii="Calibri" w:hAnsi="Calibri" w:cs="Calibri"/>
        </w:rPr>
        <w:t>Shares held by senior officers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717EC19" w14:textId="35C686E2" w:rsidR="00F63C3E" w:rsidRDefault="00F63C3E" w:rsidP="00F63C3E">
      <w:pPr>
        <w:rPr>
          <w:rFonts w:ascii="Calibri" w:hAnsi="Calibri" w:cs="Calibri"/>
        </w:rPr>
      </w:pPr>
      <w:bookmarkStart w:id="46" w:name="_Toc488410121"/>
      <w:bookmarkStart w:id="47" w:name="_Toc488767593"/>
      <w:bookmarkStart w:id="48" w:name="_Toc488769005"/>
      <w:r w:rsidRPr="004500E2">
        <w:rPr>
          <w:rFonts w:ascii="Calibri" w:hAnsi="Calibri" w:cs="Calibri"/>
        </w:rPr>
        <w:t>No shares are held by a senior officer as nominee or held beneficially in a statutory authority or subsidiary.</w:t>
      </w:r>
      <w:bookmarkEnd w:id="46"/>
      <w:bookmarkEnd w:id="47"/>
      <w:bookmarkEnd w:id="48"/>
    </w:p>
    <w:p w14:paraId="1C315D54" w14:textId="77777777" w:rsidR="009A32C4" w:rsidRPr="00337FF2" w:rsidRDefault="009A32C4" w:rsidP="00F63C3E">
      <w:pPr>
        <w:rPr>
          <w:rFonts w:ascii="Calibri" w:hAnsi="Calibri" w:cs="Calibri"/>
        </w:rPr>
      </w:pPr>
    </w:p>
    <w:p w14:paraId="44E43585" w14:textId="768E3434" w:rsidR="00F63C3E" w:rsidRPr="00996792" w:rsidRDefault="00F63C3E" w:rsidP="00F63C3E">
      <w:pPr>
        <w:pStyle w:val="ESHeading1"/>
        <w:rPr>
          <w:rFonts w:ascii="Calibri" w:hAnsi="Calibri" w:cs="Calibri"/>
        </w:rPr>
      </w:pPr>
      <w:bookmarkStart w:id="49" w:name="_Toc109806861"/>
      <w:r>
        <w:rPr>
          <w:rFonts w:ascii="Calibri" w:hAnsi="Calibri" w:cs="Calibri"/>
        </w:rPr>
        <w:t>P</w:t>
      </w:r>
      <w:r w:rsidRPr="00996792">
        <w:rPr>
          <w:rFonts w:ascii="Calibri" w:hAnsi="Calibri" w:cs="Calibri"/>
        </w:rPr>
        <w:t xml:space="preserve">ublications about the </w:t>
      </w:r>
      <w:r>
        <w:rPr>
          <w:rFonts w:ascii="Calibri" w:hAnsi="Calibri" w:cs="Calibri"/>
        </w:rPr>
        <w:t>d</w:t>
      </w:r>
      <w:r w:rsidRPr="00996792">
        <w:rPr>
          <w:rFonts w:ascii="Calibri" w:hAnsi="Calibri" w:cs="Calibri"/>
        </w:rPr>
        <w:t>epartment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49"/>
    </w:p>
    <w:p w14:paraId="01E615D3" w14:textId="77777777" w:rsidR="00F63C3E" w:rsidRPr="00996792" w:rsidRDefault="00F63C3E" w:rsidP="00F63C3E">
      <w:pPr>
        <w:pStyle w:val="H5"/>
        <w:rPr>
          <w:rFonts w:ascii="Calibri" w:hAnsi="Calibri" w:cs="Calibri"/>
        </w:rPr>
      </w:pPr>
      <w:r w:rsidRPr="00996792">
        <w:rPr>
          <w:rFonts w:ascii="Calibri" w:hAnsi="Calibri" w:cs="Calibri"/>
        </w:rPr>
        <w:t>Publications published by the department about itself during 2021–22</w:t>
      </w:r>
    </w:p>
    <w:tbl>
      <w:tblPr>
        <w:tblStyle w:val="TableGrid"/>
        <w:tblW w:w="491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1065"/>
        <w:gridCol w:w="4748"/>
      </w:tblGrid>
      <w:tr w:rsidR="00F63C3E" w:rsidRPr="00996792" w14:paraId="177465E3" w14:textId="77777777" w:rsidTr="0055247B">
        <w:trPr>
          <w:cantSplit/>
          <w:trHeight w:val="130"/>
          <w:tblHeader/>
        </w:trPr>
        <w:tc>
          <w:tcPr>
            <w:tcW w:w="1980" w:type="dxa"/>
            <w:tcBorders>
              <w:bottom w:val="single" w:sz="4" w:space="0" w:color="FFFFFF" w:themeColor="background1"/>
            </w:tcBorders>
            <w:shd w:val="clear" w:color="auto" w:fill="AF272F"/>
          </w:tcPr>
          <w:p w14:paraId="72DFDF58" w14:textId="77777777" w:rsidR="00F63C3E" w:rsidRPr="00996792" w:rsidRDefault="00F63C3E" w:rsidP="003C788A">
            <w:pPr>
              <w:pStyle w:val="ESTableheadingwhite"/>
              <w:rPr>
                <w:rFonts w:ascii="Calibri" w:hAnsi="Calibri" w:cs="Calibri"/>
              </w:rPr>
            </w:pPr>
            <w:r w:rsidRPr="00996792">
              <w:rPr>
                <w:rFonts w:ascii="Calibri" w:hAnsi="Calibri" w:cs="Calibri"/>
              </w:rPr>
              <w:t>Publication</w:t>
            </w:r>
          </w:p>
        </w:tc>
        <w:tc>
          <w:tcPr>
            <w:tcW w:w="1065" w:type="dxa"/>
            <w:tcBorders>
              <w:bottom w:val="single" w:sz="4" w:space="0" w:color="FFFFFF" w:themeColor="background1"/>
            </w:tcBorders>
            <w:shd w:val="clear" w:color="auto" w:fill="AF272F" w:themeFill="accent4"/>
          </w:tcPr>
          <w:p w14:paraId="11882CCF" w14:textId="77777777" w:rsidR="00F63C3E" w:rsidRPr="00996792" w:rsidRDefault="00F63C3E" w:rsidP="003C788A">
            <w:pPr>
              <w:pStyle w:val="ESTableheadingwhite"/>
              <w:rPr>
                <w:rFonts w:ascii="Calibri" w:hAnsi="Calibri" w:cs="Calibri"/>
              </w:rPr>
            </w:pPr>
            <w:r w:rsidRPr="00996792">
              <w:rPr>
                <w:rFonts w:ascii="Calibri" w:hAnsi="Calibri" w:cs="Calibri"/>
              </w:rPr>
              <w:t>Date produced</w:t>
            </w:r>
          </w:p>
        </w:tc>
        <w:tc>
          <w:tcPr>
            <w:tcW w:w="4747" w:type="dxa"/>
            <w:tcBorders>
              <w:bottom w:val="single" w:sz="4" w:space="0" w:color="FFFFFF" w:themeColor="background1"/>
            </w:tcBorders>
            <w:shd w:val="clear" w:color="auto" w:fill="AF272F" w:themeFill="accent4"/>
          </w:tcPr>
          <w:p w14:paraId="302BB2BA" w14:textId="77777777" w:rsidR="00F63C3E" w:rsidRPr="00996792" w:rsidRDefault="00F63C3E" w:rsidP="003C788A">
            <w:pPr>
              <w:pStyle w:val="ESTableheadingwhite"/>
              <w:rPr>
                <w:rFonts w:ascii="Calibri" w:hAnsi="Calibri" w:cs="Calibri"/>
              </w:rPr>
            </w:pPr>
            <w:r w:rsidRPr="00996792">
              <w:rPr>
                <w:rFonts w:ascii="Calibri" w:hAnsi="Calibri" w:cs="Calibri"/>
              </w:rPr>
              <w:t>How to obtain a copy</w:t>
            </w:r>
          </w:p>
        </w:tc>
      </w:tr>
      <w:tr w:rsidR="00F63C3E" w:rsidRPr="00996792" w14:paraId="6EB47998" w14:textId="77777777" w:rsidTr="0055247B">
        <w:trPr>
          <w:cantSplit/>
          <w:trHeight w:val="804"/>
        </w:trPr>
        <w:tc>
          <w:tcPr>
            <w:tcW w:w="1980" w:type="dxa"/>
            <w:tcBorders>
              <w:top w:val="single" w:sz="4" w:space="0" w:color="auto"/>
              <w:bottom w:val="single" w:sz="4" w:space="0" w:color="auto"/>
            </w:tcBorders>
            <w:shd w:val="clear" w:color="auto" w:fill="auto"/>
          </w:tcPr>
          <w:p w14:paraId="6775608C" w14:textId="4D53C121" w:rsidR="00F63C3E" w:rsidRPr="007813D5" w:rsidRDefault="00F63C3E" w:rsidP="003C788A">
            <w:pPr>
              <w:pStyle w:val="ESTablebody"/>
              <w:rPr>
                <w:rFonts w:ascii="Calibri" w:hAnsi="Calibri" w:cs="Calibri"/>
                <w:sz w:val="18"/>
              </w:rPr>
            </w:pPr>
            <w:r w:rsidRPr="007813D5">
              <w:rPr>
                <w:rFonts w:ascii="Calibri" w:hAnsi="Calibri" w:cs="Calibri"/>
                <w:sz w:val="18"/>
              </w:rPr>
              <w:t>The department’s Strategic Plan 2021</w:t>
            </w:r>
            <w:r w:rsidR="00A930B2">
              <w:rPr>
                <w:rFonts w:ascii="Calibri" w:hAnsi="Calibri" w:cs="Calibri"/>
                <w:sz w:val="18"/>
              </w:rPr>
              <w:t>–</w:t>
            </w:r>
            <w:r w:rsidRPr="007813D5">
              <w:rPr>
                <w:rFonts w:ascii="Calibri" w:hAnsi="Calibri" w:cs="Calibri"/>
                <w:sz w:val="18"/>
              </w:rPr>
              <w:t xml:space="preserve">25 </w:t>
            </w:r>
          </w:p>
        </w:tc>
        <w:tc>
          <w:tcPr>
            <w:tcW w:w="1065" w:type="dxa"/>
            <w:tcBorders>
              <w:top w:val="single" w:sz="4" w:space="0" w:color="auto"/>
              <w:bottom w:val="single" w:sz="4" w:space="0" w:color="auto"/>
            </w:tcBorders>
          </w:tcPr>
          <w:p w14:paraId="1D05C5B6" w14:textId="77777777" w:rsidR="00F63C3E" w:rsidRPr="007813D5" w:rsidRDefault="00F63C3E" w:rsidP="003C788A">
            <w:pPr>
              <w:pStyle w:val="ESTablebody"/>
              <w:rPr>
                <w:rFonts w:ascii="Calibri" w:hAnsi="Calibri" w:cs="Calibri"/>
                <w:sz w:val="18"/>
                <w:lang w:val="en-AU"/>
              </w:rPr>
            </w:pPr>
            <w:r w:rsidRPr="007813D5">
              <w:rPr>
                <w:rFonts w:ascii="Calibri" w:hAnsi="Calibri" w:cs="Calibri"/>
                <w:sz w:val="18"/>
                <w:lang w:val="en-AU"/>
              </w:rPr>
              <w:t>September 2021</w:t>
            </w:r>
          </w:p>
        </w:tc>
        <w:tc>
          <w:tcPr>
            <w:tcW w:w="4747" w:type="dxa"/>
            <w:tcBorders>
              <w:top w:val="single" w:sz="4" w:space="0" w:color="auto"/>
              <w:bottom w:val="single" w:sz="4" w:space="0" w:color="auto"/>
            </w:tcBorders>
          </w:tcPr>
          <w:p w14:paraId="017E8B59" w14:textId="77777777" w:rsidR="00F63C3E" w:rsidRDefault="00C724F5" w:rsidP="003C788A">
            <w:pPr>
              <w:pStyle w:val="ESTablebody"/>
            </w:pPr>
            <w:hyperlink r:id="rId16" w:history="1">
              <w:r w:rsidR="00F63C3E" w:rsidRPr="007813D5">
                <w:rPr>
                  <w:rStyle w:val="Hyperlink"/>
                  <w:rFonts w:ascii="Calibri" w:hAnsi="Calibri" w:cs="Calibri"/>
                  <w:sz w:val="18"/>
                </w:rPr>
                <w:t>www.vic.gov.au/strategy-action-plans-department-education-and-training</w:t>
              </w:r>
            </w:hyperlink>
          </w:p>
        </w:tc>
      </w:tr>
      <w:tr w:rsidR="00F63C3E" w:rsidRPr="00996792" w14:paraId="113A9DD8" w14:textId="77777777" w:rsidTr="0055247B">
        <w:trPr>
          <w:cantSplit/>
          <w:trHeight w:val="804"/>
        </w:trPr>
        <w:tc>
          <w:tcPr>
            <w:tcW w:w="1980" w:type="dxa"/>
            <w:tcBorders>
              <w:top w:val="single" w:sz="4" w:space="0" w:color="auto"/>
              <w:bottom w:val="single" w:sz="4" w:space="0" w:color="auto"/>
            </w:tcBorders>
            <w:shd w:val="clear" w:color="auto" w:fill="auto"/>
          </w:tcPr>
          <w:p w14:paraId="1CA9B921" w14:textId="20121496" w:rsidR="00F63C3E" w:rsidRPr="007813D5" w:rsidRDefault="00F63C3E" w:rsidP="003C788A">
            <w:pPr>
              <w:pStyle w:val="ESTablebody"/>
              <w:rPr>
                <w:rFonts w:ascii="Calibri" w:hAnsi="Calibri" w:cs="Calibri"/>
                <w:sz w:val="18"/>
              </w:rPr>
            </w:pPr>
            <w:r w:rsidRPr="007813D5">
              <w:rPr>
                <w:rFonts w:ascii="Calibri" w:hAnsi="Calibri" w:cs="Calibri"/>
                <w:sz w:val="18"/>
              </w:rPr>
              <w:t>The department’s Annual Report 2020</w:t>
            </w:r>
            <w:r w:rsidR="00A930B2">
              <w:rPr>
                <w:rFonts w:ascii="Calibri" w:hAnsi="Calibri" w:cs="Calibri"/>
                <w:sz w:val="18"/>
              </w:rPr>
              <w:t>–</w:t>
            </w:r>
            <w:r w:rsidRPr="007813D5">
              <w:rPr>
                <w:rFonts w:ascii="Calibri" w:hAnsi="Calibri" w:cs="Calibri"/>
                <w:sz w:val="18"/>
              </w:rPr>
              <w:t xml:space="preserve">21 </w:t>
            </w:r>
          </w:p>
        </w:tc>
        <w:tc>
          <w:tcPr>
            <w:tcW w:w="1065" w:type="dxa"/>
            <w:tcBorders>
              <w:top w:val="single" w:sz="4" w:space="0" w:color="auto"/>
              <w:bottom w:val="single" w:sz="4" w:space="0" w:color="auto"/>
            </w:tcBorders>
          </w:tcPr>
          <w:p w14:paraId="362FDE36" w14:textId="77777777" w:rsidR="00F63C3E" w:rsidRPr="007813D5" w:rsidRDefault="00F63C3E" w:rsidP="003C788A">
            <w:pPr>
              <w:pStyle w:val="ESTablebody"/>
              <w:rPr>
                <w:rFonts w:ascii="Calibri" w:hAnsi="Calibri" w:cs="Calibri"/>
                <w:sz w:val="18"/>
                <w:lang w:val="en-AU"/>
              </w:rPr>
            </w:pPr>
            <w:r w:rsidRPr="007813D5">
              <w:rPr>
                <w:rFonts w:ascii="Calibri" w:hAnsi="Calibri" w:cs="Calibri"/>
                <w:sz w:val="18"/>
                <w:lang w:val="en-AU"/>
              </w:rPr>
              <w:t>October 2021</w:t>
            </w:r>
          </w:p>
        </w:tc>
        <w:tc>
          <w:tcPr>
            <w:tcW w:w="4747" w:type="dxa"/>
            <w:tcBorders>
              <w:top w:val="single" w:sz="4" w:space="0" w:color="auto"/>
              <w:bottom w:val="single" w:sz="4" w:space="0" w:color="auto"/>
            </w:tcBorders>
          </w:tcPr>
          <w:p w14:paraId="656C926F" w14:textId="77777777" w:rsidR="00F63C3E" w:rsidRPr="007813D5" w:rsidRDefault="00C724F5" w:rsidP="003C788A">
            <w:pPr>
              <w:pStyle w:val="ESTablebody"/>
              <w:rPr>
                <w:rFonts w:ascii="Calibri" w:hAnsi="Calibri" w:cs="Calibri"/>
                <w:sz w:val="18"/>
                <w:lang w:val="en-AU"/>
              </w:rPr>
            </w:pPr>
            <w:hyperlink r:id="rId17" w:history="1">
              <w:r w:rsidR="00F63C3E" w:rsidRPr="007813D5">
                <w:rPr>
                  <w:rStyle w:val="Hyperlink"/>
                  <w:rFonts w:ascii="Calibri" w:hAnsi="Calibri" w:cs="Calibri"/>
                  <w:sz w:val="18"/>
                </w:rPr>
                <w:t>www.vic.gov.au/department-education-and-training-annual-reports</w:t>
              </w:r>
            </w:hyperlink>
          </w:p>
        </w:tc>
      </w:tr>
      <w:tr w:rsidR="00F63C3E" w:rsidRPr="00996792" w14:paraId="35E09597" w14:textId="77777777" w:rsidTr="0055247B">
        <w:trPr>
          <w:cantSplit/>
          <w:trHeight w:val="804"/>
        </w:trPr>
        <w:tc>
          <w:tcPr>
            <w:tcW w:w="1980" w:type="dxa"/>
            <w:tcBorders>
              <w:top w:val="single" w:sz="4" w:space="0" w:color="auto"/>
              <w:bottom w:val="single" w:sz="4" w:space="0" w:color="auto"/>
            </w:tcBorders>
            <w:shd w:val="clear" w:color="auto" w:fill="auto"/>
          </w:tcPr>
          <w:p w14:paraId="10C62211" w14:textId="4C75057D" w:rsidR="00F63C3E" w:rsidRPr="007813D5" w:rsidRDefault="00F63C3E" w:rsidP="003C788A">
            <w:pPr>
              <w:pStyle w:val="ESTablebody"/>
              <w:rPr>
                <w:rFonts w:ascii="Calibri" w:hAnsi="Calibri" w:cs="Calibri"/>
                <w:sz w:val="18"/>
              </w:rPr>
            </w:pPr>
            <w:r w:rsidRPr="007813D5">
              <w:rPr>
                <w:rFonts w:ascii="Calibri" w:hAnsi="Calibri" w:cs="Calibri"/>
                <w:sz w:val="18"/>
              </w:rPr>
              <w:t>Education and Training Climate Change Adaptation Action Plan 2022</w:t>
            </w:r>
            <w:r w:rsidR="00A930B2">
              <w:rPr>
                <w:rFonts w:ascii="Calibri" w:hAnsi="Calibri" w:cs="Calibri"/>
                <w:sz w:val="18"/>
              </w:rPr>
              <w:t>–</w:t>
            </w:r>
            <w:r w:rsidRPr="007813D5">
              <w:rPr>
                <w:rFonts w:ascii="Calibri" w:hAnsi="Calibri" w:cs="Calibri"/>
                <w:sz w:val="18"/>
              </w:rPr>
              <w:t xml:space="preserve">2026 </w:t>
            </w:r>
          </w:p>
        </w:tc>
        <w:tc>
          <w:tcPr>
            <w:tcW w:w="1065" w:type="dxa"/>
            <w:tcBorders>
              <w:top w:val="single" w:sz="4" w:space="0" w:color="auto"/>
              <w:bottom w:val="single" w:sz="4" w:space="0" w:color="auto"/>
            </w:tcBorders>
          </w:tcPr>
          <w:p w14:paraId="1C159B4D" w14:textId="77777777" w:rsidR="00F63C3E" w:rsidRPr="007813D5" w:rsidRDefault="00F63C3E" w:rsidP="003C788A">
            <w:pPr>
              <w:pStyle w:val="ESTablebody"/>
              <w:rPr>
                <w:rFonts w:ascii="Calibri" w:hAnsi="Calibri" w:cs="Calibri"/>
                <w:sz w:val="18"/>
                <w:lang w:val="en-AU"/>
              </w:rPr>
            </w:pPr>
            <w:r w:rsidRPr="007813D5">
              <w:rPr>
                <w:rFonts w:ascii="Calibri" w:hAnsi="Calibri" w:cs="Calibri"/>
                <w:sz w:val="18"/>
                <w:lang w:val="en-AU"/>
              </w:rPr>
              <w:t>February 2022</w:t>
            </w:r>
          </w:p>
        </w:tc>
        <w:tc>
          <w:tcPr>
            <w:tcW w:w="4747" w:type="dxa"/>
            <w:tcBorders>
              <w:top w:val="single" w:sz="4" w:space="0" w:color="auto"/>
              <w:bottom w:val="single" w:sz="4" w:space="0" w:color="auto"/>
            </w:tcBorders>
          </w:tcPr>
          <w:p w14:paraId="03F3AA80" w14:textId="77777777" w:rsidR="00F63C3E" w:rsidRPr="007813D5" w:rsidRDefault="00C724F5" w:rsidP="003C788A">
            <w:pPr>
              <w:pStyle w:val="ESTablebody"/>
              <w:rPr>
                <w:rFonts w:ascii="Calibri" w:hAnsi="Calibri" w:cs="Calibri"/>
                <w:sz w:val="18"/>
              </w:rPr>
            </w:pPr>
            <w:hyperlink r:id="rId18" w:history="1">
              <w:r w:rsidR="00F63C3E" w:rsidRPr="007813D5">
                <w:rPr>
                  <w:rStyle w:val="Hyperlink"/>
                  <w:rFonts w:ascii="Calibri" w:hAnsi="Calibri" w:cs="Calibri"/>
                  <w:sz w:val="18"/>
                </w:rPr>
                <w:t>www.vic.gov.au/climate-change-adaptation-action-plan-department-education-and-training</w:t>
              </w:r>
            </w:hyperlink>
          </w:p>
        </w:tc>
      </w:tr>
      <w:tr w:rsidR="00F63C3E" w:rsidRPr="00996792" w14:paraId="72523CF3" w14:textId="77777777" w:rsidTr="0055247B">
        <w:trPr>
          <w:cantSplit/>
          <w:trHeight w:val="804"/>
        </w:trPr>
        <w:tc>
          <w:tcPr>
            <w:tcW w:w="1980" w:type="dxa"/>
            <w:tcBorders>
              <w:top w:val="single" w:sz="4" w:space="0" w:color="auto"/>
              <w:bottom w:val="single" w:sz="4" w:space="0" w:color="auto"/>
            </w:tcBorders>
            <w:shd w:val="clear" w:color="auto" w:fill="auto"/>
          </w:tcPr>
          <w:p w14:paraId="03D79854" w14:textId="77777777" w:rsidR="00F63C3E" w:rsidRPr="007813D5" w:rsidRDefault="00F63C3E" w:rsidP="003C788A">
            <w:pPr>
              <w:pStyle w:val="ESTablebody"/>
              <w:rPr>
                <w:rFonts w:ascii="Calibri" w:hAnsi="Calibri" w:cs="Calibri"/>
                <w:sz w:val="18"/>
              </w:rPr>
            </w:pPr>
            <w:r w:rsidRPr="007813D5">
              <w:rPr>
                <w:rFonts w:ascii="Calibri" w:hAnsi="Calibri" w:cs="Calibri"/>
                <w:sz w:val="18"/>
              </w:rPr>
              <w:t xml:space="preserve">The department’s Gender Equality Action Plan 2022–25 </w:t>
            </w:r>
          </w:p>
        </w:tc>
        <w:tc>
          <w:tcPr>
            <w:tcW w:w="1065" w:type="dxa"/>
            <w:tcBorders>
              <w:top w:val="single" w:sz="4" w:space="0" w:color="auto"/>
              <w:bottom w:val="single" w:sz="4" w:space="0" w:color="auto"/>
            </w:tcBorders>
          </w:tcPr>
          <w:p w14:paraId="00FB7329" w14:textId="77777777" w:rsidR="00F63C3E" w:rsidRPr="007813D5" w:rsidRDefault="00F63C3E" w:rsidP="003C788A">
            <w:pPr>
              <w:pStyle w:val="ESTablebody"/>
              <w:rPr>
                <w:rFonts w:ascii="Calibri" w:hAnsi="Calibri" w:cs="Calibri"/>
                <w:sz w:val="18"/>
                <w:lang w:val="en-AU"/>
              </w:rPr>
            </w:pPr>
            <w:r w:rsidRPr="007813D5">
              <w:rPr>
                <w:rFonts w:ascii="Calibri" w:hAnsi="Calibri" w:cs="Calibri"/>
                <w:sz w:val="18"/>
                <w:lang w:val="en-AU"/>
              </w:rPr>
              <w:t>May 2022</w:t>
            </w:r>
          </w:p>
        </w:tc>
        <w:tc>
          <w:tcPr>
            <w:tcW w:w="4747" w:type="dxa"/>
            <w:tcBorders>
              <w:top w:val="single" w:sz="4" w:space="0" w:color="auto"/>
              <w:bottom w:val="single" w:sz="4" w:space="0" w:color="auto"/>
            </w:tcBorders>
          </w:tcPr>
          <w:p w14:paraId="497D988D" w14:textId="77777777" w:rsidR="00F63C3E" w:rsidRPr="007813D5" w:rsidRDefault="00C724F5" w:rsidP="003C788A">
            <w:pPr>
              <w:pStyle w:val="ESTablebody"/>
              <w:rPr>
                <w:rFonts w:ascii="Calibri" w:hAnsi="Calibri" w:cs="Calibri"/>
                <w:sz w:val="18"/>
              </w:rPr>
            </w:pPr>
            <w:hyperlink r:id="rId19" w:history="1">
              <w:r w:rsidR="00F63C3E" w:rsidRPr="007813D5">
                <w:rPr>
                  <w:rStyle w:val="Hyperlink"/>
                  <w:rFonts w:ascii="Calibri" w:hAnsi="Calibri" w:cs="Calibri"/>
                  <w:sz w:val="18"/>
                </w:rPr>
                <w:t>www.vic.gov.au/2022-25-gender-equality-action-plan-department-education-and-training</w:t>
              </w:r>
            </w:hyperlink>
          </w:p>
        </w:tc>
      </w:tr>
    </w:tbl>
    <w:p w14:paraId="14E86766" w14:textId="77777777" w:rsidR="00F63C3E" w:rsidRDefault="00F63C3E">
      <w:pPr>
        <w:rPr>
          <w:rFonts w:ascii="Calibri" w:hAnsi="Calibri" w:cs="Calibri"/>
        </w:rPr>
      </w:pPr>
    </w:p>
    <w:p w14:paraId="635946C7" w14:textId="77777777" w:rsidR="00F63C3E" w:rsidRDefault="00F63C3E">
      <w:pPr>
        <w:rPr>
          <w:rFonts w:ascii="Calibri" w:hAnsi="Calibri" w:cs="Calibri"/>
        </w:rPr>
      </w:pPr>
    </w:p>
    <w:p w14:paraId="4D20C9EA" w14:textId="471E3387" w:rsidR="00F63C3E" w:rsidRPr="00996792" w:rsidRDefault="00F63C3E" w:rsidP="00F63C3E">
      <w:pPr>
        <w:pStyle w:val="ESHeading1"/>
        <w:rPr>
          <w:rFonts w:ascii="Calibri" w:hAnsi="Calibri" w:cs="Calibri"/>
        </w:rPr>
      </w:pPr>
      <w:bookmarkStart w:id="50" w:name="_Toc109119725"/>
      <w:bookmarkStart w:id="51" w:name="_Toc109806862"/>
      <w:r>
        <w:rPr>
          <w:rFonts w:ascii="Calibri" w:hAnsi="Calibri" w:cs="Calibri"/>
        </w:rPr>
        <w:t>P</w:t>
      </w:r>
      <w:r w:rsidRPr="00996792">
        <w:rPr>
          <w:rFonts w:ascii="Calibri" w:hAnsi="Calibri" w:cs="Calibri"/>
        </w:rPr>
        <w:t xml:space="preserve">rices, fees, charges, </w:t>
      </w:r>
      <w:proofErr w:type="gramStart"/>
      <w:r w:rsidRPr="00996792">
        <w:rPr>
          <w:rFonts w:ascii="Calibri" w:hAnsi="Calibri" w:cs="Calibri"/>
        </w:rPr>
        <w:t>rates</w:t>
      </w:r>
      <w:proofErr w:type="gramEnd"/>
      <w:r w:rsidRPr="00996792">
        <w:rPr>
          <w:rFonts w:ascii="Calibri" w:hAnsi="Calibri" w:cs="Calibri"/>
        </w:rPr>
        <w:t xml:space="preserve"> and levies</w:t>
      </w:r>
      <w:bookmarkEnd w:id="50"/>
      <w:bookmarkEnd w:id="51"/>
    </w:p>
    <w:p w14:paraId="7DEEFDEE" w14:textId="4A7FF522" w:rsidR="00F63C3E" w:rsidRPr="00996792" w:rsidRDefault="00F63C3E" w:rsidP="00F63C3E">
      <w:pPr>
        <w:rPr>
          <w:rFonts w:ascii="Calibri" w:hAnsi="Calibri" w:cs="Calibri"/>
        </w:rPr>
      </w:pPr>
      <w:bookmarkStart w:id="52" w:name="_Hlk107499101"/>
      <w:r w:rsidRPr="007813D5">
        <w:rPr>
          <w:rFonts w:ascii="Calibri" w:hAnsi="Calibri" w:cs="Calibri"/>
        </w:rPr>
        <w:t xml:space="preserve">Details of current prices, fees, charges, rates and levies charged by the department are outlined at </w:t>
      </w:r>
      <w:hyperlink r:id="rId20" w:history="1">
        <w:r w:rsidRPr="007813D5">
          <w:rPr>
            <w:rStyle w:val="Hyperlink"/>
            <w:rFonts w:ascii="Calibri" w:hAnsi="Calibri" w:cs="Calibri"/>
          </w:rPr>
          <w:t>www.vic.gov.au/payments-fees-and-fines-department-education-and-training</w:t>
        </w:r>
      </w:hyperlink>
      <w:r w:rsidRPr="007813D5">
        <w:rPr>
          <w:rFonts w:ascii="Calibri" w:hAnsi="Calibri" w:cs="Calibri"/>
        </w:rPr>
        <w:t xml:space="preserve">. In compliance with the requirements of the Standing Directions 2018 under the </w:t>
      </w:r>
      <w:r w:rsidR="003838D0">
        <w:rPr>
          <w:rFonts w:ascii="Calibri" w:hAnsi="Calibri" w:cs="Calibri"/>
          <w:i/>
          <w:iCs/>
        </w:rPr>
        <w:t xml:space="preserve">Financial Management Act 1994 </w:t>
      </w:r>
      <w:r w:rsidR="003838D0">
        <w:rPr>
          <w:rFonts w:ascii="Calibri" w:hAnsi="Calibri" w:cs="Calibri"/>
        </w:rPr>
        <w:t>(</w:t>
      </w:r>
      <w:r w:rsidRPr="007813D5">
        <w:rPr>
          <w:rFonts w:ascii="Calibri" w:hAnsi="Calibri" w:cs="Calibri"/>
        </w:rPr>
        <w:t>FM Act</w:t>
      </w:r>
      <w:r w:rsidR="003838D0">
        <w:rPr>
          <w:rFonts w:ascii="Calibri" w:hAnsi="Calibri" w:cs="Calibri"/>
        </w:rPr>
        <w:t>)</w:t>
      </w:r>
      <w:r w:rsidRPr="007813D5">
        <w:rPr>
          <w:rFonts w:ascii="Calibri" w:hAnsi="Calibri" w:cs="Calibri"/>
        </w:rPr>
        <w:t>, changes in these details are available on request, subject to the provisions of the FOI Act.</w:t>
      </w:r>
    </w:p>
    <w:bookmarkEnd w:id="52"/>
    <w:p w14:paraId="3F58B51C" w14:textId="72FD2BD0" w:rsidR="00F63C3E" w:rsidRDefault="00F63C3E">
      <w:pPr>
        <w:rPr>
          <w:rFonts w:ascii="Calibri" w:eastAsiaTheme="majorEastAsia" w:hAnsi="Calibri" w:cs="Calibri"/>
          <w:b/>
          <w:color w:val="AF272F" w:themeColor="accent4"/>
          <w:spacing w:val="5"/>
          <w:kern w:val="28"/>
          <w:sz w:val="44"/>
          <w:szCs w:val="52"/>
          <w:lang w:val="en-US"/>
        </w:rPr>
      </w:pPr>
      <w:r>
        <w:rPr>
          <w:rFonts w:ascii="Calibri" w:hAnsi="Calibri" w:cs="Calibri"/>
        </w:rPr>
        <w:br w:type="page"/>
      </w:r>
    </w:p>
    <w:p w14:paraId="1CE7C194" w14:textId="70F9EF28" w:rsidR="001B25DF" w:rsidRPr="00B85B32" w:rsidRDefault="001B25DF" w:rsidP="00D145D5">
      <w:pPr>
        <w:pStyle w:val="ESHeading1"/>
        <w:rPr>
          <w:rFonts w:ascii="Calibri" w:hAnsi="Calibri" w:cs="Calibri"/>
        </w:rPr>
      </w:pPr>
      <w:bookmarkStart w:id="53" w:name="_Toc109806863"/>
      <w:r w:rsidRPr="00B85B32">
        <w:rPr>
          <w:rFonts w:ascii="Calibri" w:hAnsi="Calibri" w:cs="Calibri"/>
        </w:rPr>
        <w:lastRenderedPageBreak/>
        <w:t>Major external reviews</w:t>
      </w:r>
      <w:bookmarkEnd w:id="53"/>
    </w:p>
    <w:p w14:paraId="09755DCF" w14:textId="29EBFF8E" w:rsidR="00AB095A" w:rsidRPr="00B85B32" w:rsidRDefault="00AB095A" w:rsidP="00AB095A">
      <w:pPr>
        <w:rPr>
          <w:rFonts w:ascii="Calibri" w:hAnsi="Calibri" w:cs="Calibri"/>
        </w:rPr>
      </w:pPr>
      <w:r w:rsidRPr="007A3857">
        <w:rPr>
          <w:rFonts w:ascii="Calibri" w:hAnsi="Calibri" w:cs="Calibri"/>
        </w:rPr>
        <w:t xml:space="preserve">The following table details major external reviews carried out on the </w:t>
      </w:r>
      <w:r w:rsidR="005809FC" w:rsidRPr="007A3857">
        <w:rPr>
          <w:rFonts w:ascii="Calibri" w:hAnsi="Calibri" w:cs="Calibri"/>
        </w:rPr>
        <w:t>d</w:t>
      </w:r>
      <w:r w:rsidRPr="007A3857">
        <w:rPr>
          <w:rFonts w:ascii="Calibri" w:hAnsi="Calibri" w:cs="Calibri"/>
        </w:rPr>
        <w:t xml:space="preserve">epartment and completed </w:t>
      </w:r>
      <w:r w:rsidR="0069303B" w:rsidRPr="007A3857">
        <w:rPr>
          <w:rFonts w:ascii="Calibri" w:hAnsi="Calibri" w:cs="Calibri"/>
        </w:rPr>
        <w:t>during</w:t>
      </w:r>
      <w:r w:rsidRPr="007A3857">
        <w:rPr>
          <w:rFonts w:ascii="Calibri" w:hAnsi="Calibri" w:cs="Calibri"/>
        </w:rPr>
        <w:t xml:space="preserve"> 20</w:t>
      </w:r>
      <w:r w:rsidR="002463DA" w:rsidRPr="007A3857">
        <w:rPr>
          <w:rFonts w:ascii="Calibri" w:hAnsi="Calibri" w:cs="Calibri"/>
        </w:rPr>
        <w:t>2</w:t>
      </w:r>
      <w:r w:rsidR="005809FC" w:rsidRPr="007A3857">
        <w:rPr>
          <w:rFonts w:ascii="Calibri" w:hAnsi="Calibri" w:cs="Calibri"/>
        </w:rPr>
        <w:t>1</w:t>
      </w:r>
      <w:r w:rsidRPr="007A3857">
        <w:rPr>
          <w:rFonts w:ascii="Calibri" w:hAnsi="Calibri" w:cs="Calibri"/>
        </w:rPr>
        <w:t>–</w:t>
      </w:r>
      <w:r w:rsidR="00895C8B" w:rsidRPr="007A3857">
        <w:rPr>
          <w:rFonts w:ascii="Calibri" w:hAnsi="Calibri" w:cs="Calibri"/>
        </w:rPr>
        <w:t>2</w:t>
      </w:r>
      <w:r w:rsidR="005809FC" w:rsidRPr="007A3857">
        <w:rPr>
          <w:rFonts w:ascii="Calibri" w:hAnsi="Calibri" w:cs="Calibri"/>
        </w:rPr>
        <w:t>2</w:t>
      </w:r>
      <w:r w:rsidRPr="007A3857">
        <w:rPr>
          <w:rFonts w:ascii="Calibri" w:hAnsi="Calibri" w:cs="Calibri"/>
        </w:rPr>
        <w:t>.</w:t>
      </w:r>
    </w:p>
    <w:p w14:paraId="592F6FD5" w14:textId="2B7785E5" w:rsidR="00AD20F5" w:rsidRPr="00B85B32" w:rsidRDefault="001B25DF" w:rsidP="00AD20F5">
      <w:pPr>
        <w:pStyle w:val="ESTableintroheading"/>
        <w:rPr>
          <w:rFonts w:ascii="Calibri" w:hAnsi="Calibri" w:cs="Calibri"/>
        </w:rPr>
      </w:pPr>
      <w:r w:rsidRPr="00B85B32">
        <w:rPr>
          <w:rFonts w:ascii="Calibri" w:hAnsi="Calibri" w:cs="Calibri"/>
        </w:rPr>
        <w:t>Major external reviews</w:t>
      </w:r>
      <w:r w:rsidR="00D145D5" w:rsidRPr="00B85B32">
        <w:rPr>
          <w:rFonts w:ascii="Calibri" w:hAnsi="Calibri" w:cs="Calibri"/>
        </w:rPr>
        <w:t xml:space="preserve"> carried out on the </w:t>
      </w:r>
      <w:r w:rsidR="005809FC">
        <w:rPr>
          <w:rFonts w:ascii="Calibri" w:hAnsi="Calibri" w:cs="Calibri"/>
        </w:rPr>
        <w:t>d</w:t>
      </w:r>
      <w:r w:rsidR="00D145D5" w:rsidRPr="00B85B32">
        <w:rPr>
          <w:rFonts w:ascii="Calibri" w:hAnsi="Calibri" w:cs="Calibri"/>
        </w:rPr>
        <w:t>epartment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external review, Conducted by, Purpose, Completed"/>
      </w:tblPr>
      <w:tblGrid>
        <w:gridCol w:w="1693"/>
        <w:gridCol w:w="1517"/>
        <w:gridCol w:w="3589"/>
        <w:gridCol w:w="1122"/>
      </w:tblGrid>
      <w:tr w:rsidR="0032405B" w:rsidRPr="00925213" w14:paraId="1C797FE4" w14:textId="77777777" w:rsidTr="00946824">
        <w:trPr>
          <w:cantSplit/>
          <w:trHeight w:val="242"/>
          <w:tblHeader/>
        </w:trPr>
        <w:tc>
          <w:tcPr>
            <w:tcW w:w="1693" w:type="dxa"/>
            <w:tcBorders>
              <w:bottom w:val="single" w:sz="4" w:space="0" w:color="FFFFFF" w:themeColor="background1"/>
            </w:tcBorders>
            <w:shd w:val="clear" w:color="auto" w:fill="AF272F"/>
          </w:tcPr>
          <w:p w14:paraId="4596DE66" w14:textId="77777777" w:rsidR="0032405B" w:rsidRPr="00925213" w:rsidRDefault="0032405B" w:rsidP="002463DA">
            <w:pPr>
              <w:pStyle w:val="ESTableheadingwhite"/>
              <w:rPr>
                <w:rFonts w:ascii="Calibri" w:hAnsi="Calibri" w:cs="Calibri"/>
                <w:sz w:val="18"/>
              </w:rPr>
            </w:pPr>
            <w:r>
              <w:rPr>
                <w:rFonts w:ascii="Calibri" w:hAnsi="Calibri" w:cs="Calibri"/>
                <w:sz w:val="18"/>
              </w:rPr>
              <w:t>R</w:t>
            </w:r>
            <w:r w:rsidRPr="00925213">
              <w:rPr>
                <w:rFonts w:ascii="Calibri" w:hAnsi="Calibri" w:cs="Calibri"/>
                <w:sz w:val="18"/>
              </w:rPr>
              <w:t>eview</w:t>
            </w:r>
            <w:r>
              <w:rPr>
                <w:rFonts w:ascii="Calibri" w:hAnsi="Calibri" w:cs="Calibri"/>
                <w:sz w:val="18"/>
              </w:rPr>
              <w:t xml:space="preserve"> title</w:t>
            </w:r>
          </w:p>
        </w:tc>
        <w:tc>
          <w:tcPr>
            <w:tcW w:w="1517" w:type="dxa"/>
            <w:tcBorders>
              <w:bottom w:val="single" w:sz="4" w:space="0" w:color="FFFFFF" w:themeColor="background1"/>
            </w:tcBorders>
            <w:shd w:val="clear" w:color="auto" w:fill="AF272F" w:themeFill="accent4"/>
          </w:tcPr>
          <w:p w14:paraId="47DECEBD" w14:textId="77777777" w:rsidR="0032405B" w:rsidRPr="00925213" w:rsidRDefault="0032405B" w:rsidP="002463DA">
            <w:pPr>
              <w:pStyle w:val="ESTableheadingwhite"/>
              <w:rPr>
                <w:rFonts w:ascii="Calibri" w:hAnsi="Calibri" w:cs="Calibri"/>
                <w:sz w:val="18"/>
              </w:rPr>
            </w:pPr>
            <w:r w:rsidRPr="00925213">
              <w:rPr>
                <w:rFonts w:ascii="Calibri" w:hAnsi="Calibri" w:cs="Calibri"/>
                <w:sz w:val="18"/>
              </w:rPr>
              <w:t>Conducted by</w:t>
            </w:r>
          </w:p>
        </w:tc>
        <w:tc>
          <w:tcPr>
            <w:tcW w:w="3589" w:type="dxa"/>
            <w:tcBorders>
              <w:bottom w:val="single" w:sz="4" w:space="0" w:color="FFFFFF" w:themeColor="background1"/>
            </w:tcBorders>
            <w:shd w:val="clear" w:color="auto" w:fill="AF272F" w:themeFill="accent4"/>
          </w:tcPr>
          <w:p w14:paraId="49AE00C7" w14:textId="77777777" w:rsidR="0032405B" w:rsidRPr="00925213" w:rsidRDefault="0032405B" w:rsidP="002463DA">
            <w:pPr>
              <w:pStyle w:val="ESTableheadingwhite"/>
              <w:rPr>
                <w:rFonts w:ascii="Calibri" w:hAnsi="Calibri" w:cs="Calibri"/>
                <w:sz w:val="18"/>
              </w:rPr>
            </w:pPr>
            <w:r w:rsidRPr="00925213">
              <w:rPr>
                <w:rFonts w:ascii="Calibri" w:hAnsi="Calibri" w:cs="Calibri"/>
                <w:sz w:val="18"/>
              </w:rPr>
              <w:t>Purpose</w:t>
            </w:r>
          </w:p>
        </w:tc>
        <w:tc>
          <w:tcPr>
            <w:tcW w:w="1122" w:type="dxa"/>
            <w:tcBorders>
              <w:bottom w:val="single" w:sz="4" w:space="0" w:color="FFFFFF" w:themeColor="background1"/>
            </w:tcBorders>
            <w:shd w:val="clear" w:color="auto" w:fill="AF272F" w:themeFill="accent4"/>
          </w:tcPr>
          <w:p w14:paraId="33609D26" w14:textId="6C92EB4E" w:rsidR="0032405B" w:rsidRPr="00925213" w:rsidRDefault="0032405B" w:rsidP="002463DA">
            <w:pPr>
              <w:pStyle w:val="ESTableheadingwhite"/>
              <w:rPr>
                <w:rFonts w:ascii="Calibri" w:hAnsi="Calibri" w:cs="Calibri"/>
                <w:sz w:val="18"/>
              </w:rPr>
            </w:pPr>
            <w:r>
              <w:rPr>
                <w:rFonts w:ascii="Calibri" w:hAnsi="Calibri" w:cs="Calibri"/>
                <w:sz w:val="18"/>
              </w:rPr>
              <w:t xml:space="preserve">Date </w:t>
            </w:r>
            <w:r w:rsidR="003838D0">
              <w:rPr>
                <w:rFonts w:ascii="Calibri" w:hAnsi="Calibri" w:cs="Calibri"/>
                <w:sz w:val="18"/>
              </w:rPr>
              <w:t>c</w:t>
            </w:r>
            <w:r w:rsidRPr="00925213">
              <w:rPr>
                <w:rFonts w:ascii="Calibri" w:hAnsi="Calibri" w:cs="Calibri"/>
                <w:sz w:val="18"/>
              </w:rPr>
              <w:t>ompleted</w:t>
            </w:r>
          </w:p>
        </w:tc>
      </w:tr>
      <w:tr w:rsidR="0032405B" w:rsidRPr="00925213" w14:paraId="6F2D4438" w14:textId="77777777" w:rsidTr="00946824">
        <w:trPr>
          <w:cantSplit/>
        </w:trPr>
        <w:tc>
          <w:tcPr>
            <w:tcW w:w="1693" w:type="dxa"/>
            <w:tcBorders>
              <w:top w:val="single" w:sz="4" w:space="0" w:color="FFFFFF" w:themeColor="background1"/>
              <w:bottom w:val="single" w:sz="4" w:space="0" w:color="53565A" w:themeColor="accent5"/>
            </w:tcBorders>
            <w:shd w:val="clear" w:color="auto" w:fill="auto"/>
          </w:tcPr>
          <w:p w14:paraId="3C550E1D" w14:textId="77777777" w:rsidR="0032405B" w:rsidRPr="005C4DB6" w:rsidRDefault="0032405B" w:rsidP="000547D4">
            <w:pPr>
              <w:pStyle w:val="ESTablebody"/>
              <w:rPr>
                <w:rFonts w:ascii="Calibri" w:hAnsi="Calibri" w:cs="Calibri"/>
                <w:sz w:val="18"/>
                <w:lang w:val="en-AU"/>
              </w:rPr>
            </w:pPr>
            <w:r w:rsidRPr="005C4DB6">
              <w:rPr>
                <w:rFonts w:ascii="Calibri" w:hAnsi="Calibri" w:cs="Calibri"/>
                <w:sz w:val="18"/>
              </w:rPr>
              <w:t>Major Infrastructure Program Delivery Capability</w:t>
            </w:r>
          </w:p>
        </w:tc>
        <w:tc>
          <w:tcPr>
            <w:tcW w:w="1517" w:type="dxa"/>
            <w:tcBorders>
              <w:top w:val="single" w:sz="4" w:space="0" w:color="FFFFFF" w:themeColor="background1"/>
              <w:bottom w:val="single" w:sz="4" w:space="0" w:color="53565A" w:themeColor="accent5"/>
            </w:tcBorders>
          </w:tcPr>
          <w:p w14:paraId="260B3C16" w14:textId="4977CAF0" w:rsidR="0032405B" w:rsidRPr="00925213" w:rsidRDefault="0032405B" w:rsidP="000547D4">
            <w:pPr>
              <w:pStyle w:val="ESTablebody"/>
              <w:rPr>
                <w:rFonts w:ascii="Calibri" w:eastAsia="Times New Roman" w:hAnsi="Calibri" w:cs="Calibri"/>
                <w:sz w:val="18"/>
                <w:lang w:val="en-AU"/>
              </w:rPr>
            </w:pPr>
            <w:r w:rsidRPr="00FA0A73">
              <w:rPr>
                <w:rFonts w:ascii="Calibri" w:hAnsi="Calibri" w:cs="Calibri"/>
                <w:sz w:val="18"/>
              </w:rPr>
              <w:t>Victorian Auditor General’s Office</w:t>
            </w:r>
            <w:r>
              <w:rPr>
                <w:rFonts w:ascii="Calibri" w:hAnsi="Calibri" w:cs="Calibri"/>
                <w:sz w:val="18"/>
              </w:rPr>
              <w:t xml:space="preserve"> (</w:t>
            </w:r>
            <w:r w:rsidRPr="0079001C">
              <w:rPr>
                <w:rFonts w:ascii="Calibri" w:hAnsi="Calibri" w:cs="Calibri"/>
                <w:sz w:val="18"/>
              </w:rPr>
              <w:t>VAGO</w:t>
            </w:r>
            <w:r>
              <w:rPr>
                <w:rFonts w:ascii="Calibri" w:hAnsi="Calibri" w:cs="Calibri"/>
                <w:sz w:val="18"/>
              </w:rPr>
              <w:t>)</w:t>
            </w:r>
          </w:p>
        </w:tc>
        <w:tc>
          <w:tcPr>
            <w:tcW w:w="3589" w:type="dxa"/>
            <w:tcBorders>
              <w:top w:val="single" w:sz="4" w:space="0" w:color="FFFFFF" w:themeColor="background1"/>
              <w:bottom w:val="single" w:sz="4" w:space="0" w:color="53565A" w:themeColor="accent5"/>
            </w:tcBorders>
          </w:tcPr>
          <w:p w14:paraId="180CF1C2" w14:textId="77777777" w:rsidR="0032405B" w:rsidRPr="00925213" w:rsidRDefault="0032405B" w:rsidP="000547D4">
            <w:pPr>
              <w:pStyle w:val="ESTablebody"/>
              <w:rPr>
                <w:rFonts w:ascii="Calibri" w:hAnsi="Calibri" w:cs="Calibri"/>
                <w:sz w:val="18"/>
                <w:lang w:val="en-AU"/>
              </w:rPr>
            </w:pPr>
            <w:r>
              <w:rPr>
                <w:rFonts w:ascii="Calibri" w:hAnsi="Calibri" w:cs="Calibri"/>
                <w:sz w:val="18"/>
              </w:rPr>
              <w:t>To review the whole of Victorian Government and</w:t>
            </w:r>
            <w:r w:rsidRPr="0079001C">
              <w:rPr>
                <w:rFonts w:ascii="Calibri" w:hAnsi="Calibri" w:cs="Calibri"/>
                <w:sz w:val="18"/>
              </w:rPr>
              <w:t xml:space="preserve"> </w:t>
            </w:r>
            <w:r>
              <w:rPr>
                <w:rFonts w:ascii="Calibri" w:hAnsi="Calibri" w:cs="Calibri"/>
                <w:sz w:val="18"/>
                <w:lang w:val="en-AU"/>
              </w:rPr>
              <w:t xml:space="preserve">determine whether </w:t>
            </w:r>
            <w:r w:rsidRPr="00860142">
              <w:rPr>
                <w:rFonts w:ascii="Calibri" w:hAnsi="Calibri" w:cs="Calibri"/>
                <w:sz w:val="18"/>
                <w:lang w:val="en-AU"/>
              </w:rPr>
              <w:t xml:space="preserve">public sector agencies </w:t>
            </w:r>
            <w:r>
              <w:rPr>
                <w:rFonts w:ascii="Calibri" w:hAnsi="Calibri" w:cs="Calibri"/>
                <w:sz w:val="18"/>
                <w:lang w:val="en-AU"/>
              </w:rPr>
              <w:t xml:space="preserve">are </w:t>
            </w:r>
            <w:r w:rsidRPr="00860142">
              <w:rPr>
                <w:rFonts w:ascii="Calibri" w:hAnsi="Calibri" w:cs="Calibri"/>
                <w:sz w:val="18"/>
                <w:lang w:val="en-AU"/>
              </w:rPr>
              <w:t>strategically planning the material and human resources needed to deliver Victoria’s major infrastructure projects</w:t>
            </w:r>
            <w:r>
              <w:rPr>
                <w:rFonts w:ascii="Calibri" w:hAnsi="Calibri" w:cs="Calibri"/>
                <w:sz w:val="18"/>
                <w:lang w:val="en-AU"/>
              </w:rPr>
              <w:t>.</w:t>
            </w:r>
          </w:p>
        </w:tc>
        <w:tc>
          <w:tcPr>
            <w:tcW w:w="1122" w:type="dxa"/>
            <w:tcBorders>
              <w:top w:val="single" w:sz="4" w:space="0" w:color="FFFFFF" w:themeColor="background1"/>
              <w:bottom w:val="single" w:sz="4" w:space="0" w:color="53565A" w:themeColor="accent5"/>
            </w:tcBorders>
            <w:shd w:val="clear" w:color="auto" w:fill="auto"/>
          </w:tcPr>
          <w:p w14:paraId="43A36A2E" w14:textId="77777777" w:rsidR="0032405B" w:rsidRPr="00925213" w:rsidRDefault="0032405B" w:rsidP="000547D4">
            <w:pPr>
              <w:pStyle w:val="ESTablebody"/>
              <w:rPr>
                <w:rFonts w:ascii="Calibri" w:hAnsi="Calibri" w:cs="Calibri"/>
                <w:sz w:val="18"/>
                <w:lang w:val="en-AU"/>
              </w:rPr>
            </w:pPr>
            <w:r w:rsidRPr="00860142">
              <w:rPr>
                <w:rFonts w:ascii="Calibri" w:hAnsi="Calibri" w:cs="Calibri"/>
                <w:sz w:val="18"/>
              </w:rPr>
              <w:t>19 August 2021</w:t>
            </w:r>
          </w:p>
        </w:tc>
      </w:tr>
      <w:tr w:rsidR="0032405B" w:rsidRPr="00925213" w14:paraId="115D6229"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369F0C8F" w14:textId="77777777" w:rsidR="0032405B" w:rsidRPr="005C4DB6" w:rsidRDefault="0032405B" w:rsidP="000547D4">
            <w:pPr>
              <w:pStyle w:val="ESTablebody"/>
              <w:rPr>
                <w:rFonts w:ascii="Calibri" w:hAnsi="Calibri" w:cs="Calibri"/>
                <w:sz w:val="18"/>
                <w:lang w:val="en-AU"/>
              </w:rPr>
            </w:pPr>
            <w:r w:rsidRPr="005C4DB6">
              <w:rPr>
                <w:rFonts w:ascii="Calibri" w:hAnsi="Calibri" w:cs="Calibri"/>
                <w:sz w:val="18"/>
              </w:rPr>
              <w:t>Major Projects Performance</w:t>
            </w:r>
          </w:p>
        </w:tc>
        <w:tc>
          <w:tcPr>
            <w:tcW w:w="1517" w:type="dxa"/>
            <w:tcBorders>
              <w:top w:val="single" w:sz="4" w:space="0" w:color="FFFFFF" w:themeColor="background1"/>
              <w:bottom w:val="single" w:sz="4" w:space="0" w:color="53565A" w:themeColor="accent5"/>
            </w:tcBorders>
            <w:shd w:val="clear" w:color="auto" w:fill="FFFFFF" w:themeFill="background1"/>
          </w:tcPr>
          <w:p w14:paraId="0EB1994D" w14:textId="77777777" w:rsidR="0032405B" w:rsidRPr="00925213" w:rsidRDefault="0032405B" w:rsidP="000547D4">
            <w:pPr>
              <w:pStyle w:val="ESTablebody"/>
              <w:rPr>
                <w:rFonts w:ascii="Calibri" w:hAnsi="Calibri" w:cs="Calibri"/>
                <w:sz w:val="18"/>
                <w:lang w:val="en-AU"/>
              </w:rPr>
            </w:pPr>
            <w:r>
              <w:rPr>
                <w:rFonts w:ascii="Calibri" w:hAnsi="Calibri" w:cs="Calibri"/>
                <w:sz w:val="18"/>
                <w:lang w:val="en-AU"/>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4E52E029" w14:textId="77777777" w:rsidR="0032405B" w:rsidRPr="00925213" w:rsidRDefault="0032405B" w:rsidP="000547D4">
            <w:pPr>
              <w:pStyle w:val="ESTablebody"/>
              <w:rPr>
                <w:rFonts w:ascii="Calibri" w:hAnsi="Calibri" w:cs="Calibri"/>
                <w:sz w:val="18"/>
                <w:lang w:val="en-AU"/>
              </w:rPr>
            </w:pPr>
            <w:r>
              <w:rPr>
                <w:rFonts w:ascii="Calibri" w:hAnsi="Calibri" w:cs="Calibri"/>
                <w:sz w:val="18"/>
              </w:rPr>
              <w:t>To review the whole of Victorian Government and</w:t>
            </w:r>
            <w:r w:rsidRPr="0079001C">
              <w:rPr>
                <w:rFonts w:ascii="Calibri" w:hAnsi="Calibri" w:cs="Calibri"/>
                <w:sz w:val="18"/>
              </w:rPr>
              <w:t xml:space="preserve"> </w:t>
            </w:r>
            <w:r w:rsidRPr="00C91AD6">
              <w:rPr>
                <w:rFonts w:ascii="Calibri" w:hAnsi="Calibri" w:cs="Calibri"/>
                <w:sz w:val="18"/>
                <w:lang w:val="en-AU"/>
              </w:rPr>
              <w:t xml:space="preserve">assess whether public sector reporting of major capital projects contains relevant and sufficient information to enable parliament to understand project performance against approved scope, cost, </w:t>
            </w:r>
            <w:proofErr w:type="gramStart"/>
            <w:r w:rsidRPr="00C91AD6">
              <w:rPr>
                <w:rFonts w:ascii="Calibri" w:hAnsi="Calibri" w:cs="Calibri"/>
                <w:sz w:val="18"/>
                <w:lang w:val="en-AU"/>
              </w:rPr>
              <w:t>time</w:t>
            </w:r>
            <w:proofErr w:type="gramEnd"/>
            <w:r w:rsidRPr="00C91AD6">
              <w:rPr>
                <w:rFonts w:ascii="Calibri" w:hAnsi="Calibri" w:cs="Calibri"/>
                <w:sz w:val="18"/>
                <w:lang w:val="en-AU"/>
              </w:rPr>
              <w:t xml:space="preserve"> and benefit expectations.</w:t>
            </w:r>
          </w:p>
        </w:tc>
        <w:tc>
          <w:tcPr>
            <w:tcW w:w="1122" w:type="dxa"/>
            <w:tcBorders>
              <w:top w:val="single" w:sz="4" w:space="0" w:color="FFFFFF" w:themeColor="background1"/>
              <w:bottom w:val="single" w:sz="4" w:space="0" w:color="53565A" w:themeColor="accent5"/>
            </w:tcBorders>
            <w:shd w:val="clear" w:color="auto" w:fill="FFFFFF" w:themeFill="background1"/>
          </w:tcPr>
          <w:p w14:paraId="5C6E5FC8" w14:textId="77777777" w:rsidR="0032405B" w:rsidRPr="00925213" w:rsidRDefault="0032405B" w:rsidP="000547D4">
            <w:pPr>
              <w:pStyle w:val="ESTablebody"/>
              <w:rPr>
                <w:rFonts w:ascii="Calibri" w:hAnsi="Calibri" w:cs="Calibri"/>
                <w:sz w:val="18"/>
                <w:lang w:val="en-AU"/>
              </w:rPr>
            </w:pPr>
            <w:r w:rsidRPr="00C91AD6">
              <w:rPr>
                <w:rFonts w:ascii="Calibri" w:hAnsi="Calibri" w:cs="Calibri"/>
                <w:sz w:val="18"/>
              </w:rPr>
              <w:t>22 September 2021</w:t>
            </w:r>
          </w:p>
        </w:tc>
      </w:tr>
      <w:tr w:rsidR="0032405B" w:rsidRPr="00925213" w14:paraId="22646AA4"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468B84F4" w14:textId="100E613B" w:rsidR="0032405B" w:rsidRPr="005C4DB6" w:rsidRDefault="0032405B" w:rsidP="0079001C">
            <w:pPr>
              <w:pStyle w:val="ESTablebody"/>
              <w:rPr>
                <w:rFonts w:ascii="Calibri" w:hAnsi="Calibri" w:cs="Calibri"/>
                <w:sz w:val="18"/>
                <w:lang w:val="en-AU"/>
              </w:rPr>
            </w:pPr>
            <w:r w:rsidRPr="005C4DB6">
              <w:rPr>
                <w:rFonts w:ascii="Calibri" w:hAnsi="Calibri" w:cs="Calibri"/>
                <w:sz w:val="18"/>
              </w:rPr>
              <w:t xml:space="preserve">Management of </w:t>
            </w:r>
            <w:r w:rsidR="00DB141B">
              <w:rPr>
                <w:rFonts w:ascii="Calibri" w:hAnsi="Calibri" w:cs="Calibri"/>
                <w:sz w:val="18"/>
              </w:rPr>
              <w:t>S</w:t>
            </w:r>
            <w:r w:rsidRPr="005C4DB6">
              <w:rPr>
                <w:rFonts w:ascii="Calibri" w:hAnsi="Calibri" w:cs="Calibri"/>
                <w:sz w:val="18"/>
              </w:rPr>
              <w:t xml:space="preserve">pending in </w:t>
            </w:r>
            <w:r w:rsidR="00DB141B">
              <w:rPr>
                <w:rFonts w:ascii="Calibri" w:hAnsi="Calibri" w:cs="Calibri"/>
                <w:sz w:val="18"/>
              </w:rPr>
              <w:t>R</w:t>
            </w:r>
            <w:r w:rsidRPr="005C4DB6">
              <w:rPr>
                <w:rFonts w:ascii="Calibri" w:hAnsi="Calibri" w:cs="Calibri"/>
                <w:sz w:val="18"/>
              </w:rPr>
              <w:t>esponse to COVID</w:t>
            </w:r>
            <w:r w:rsidRPr="005C4DB6">
              <w:rPr>
                <w:rFonts w:ascii="Calibri" w:hAnsi="Calibri" w:cs="Calibri"/>
                <w:sz w:val="18"/>
              </w:rPr>
              <w:noBreakHyphen/>
              <w:t>19</w:t>
            </w:r>
          </w:p>
        </w:tc>
        <w:tc>
          <w:tcPr>
            <w:tcW w:w="1517" w:type="dxa"/>
            <w:tcBorders>
              <w:top w:val="single" w:sz="4" w:space="0" w:color="FFFFFF" w:themeColor="background1"/>
              <w:bottom w:val="single" w:sz="4" w:space="0" w:color="53565A" w:themeColor="accent5"/>
            </w:tcBorders>
            <w:shd w:val="clear" w:color="auto" w:fill="FFFFFF" w:themeFill="background1"/>
          </w:tcPr>
          <w:p w14:paraId="7178581C" w14:textId="13B13846" w:rsidR="0032405B" w:rsidRPr="0079001C" w:rsidRDefault="0032405B" w:rsidP="0079001C">
            <w:pPr>
              <w:pStyle w:val="ESTablebody"/>
              <w:rPr>
                <w:rFonts w:ascii="Calibri" w:hAnsi="Calibri" w:cs="Calibri"/>
                <w:sz w:val="18"/>
                <w:lang w:val="en-AU"/>
              </w:rPr>
            </w:pPr>
            <w:r w:rsidRPr="0079001C">
              <w:rPr>
                <w:rFonts w:ascii="Calibri" w:hAnsi="Calibri" w:cs="Calibri"/>
                <w:sz w:val="18"/>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30D91159" w14:textId="77777777" w:rsidR="0032405B" w:rsidRPr="0079001C" w:rsidRDefault="0032405B" w:rsidP="0079001C">
            <w:pPr>
              <w:pStyle w:val="ESTablebody"/>
              <w:rPr>
                <w:rFonts w:ascii="Calibri" w:hAnsi="Calibri" w:cs="Calibri"/>
                <w:sz w:val="18"/>
                <w:lang w:val="en-AU"/>
              </w:rPr>
            </w:pPr>
            <w:r>
              <w:rPr>
                <w:rFonts w:ascii="Calibri" w:hAnsi="Calibri" w:cs="Calibri"/>
                <w:sz w:val="18"/>
              </w:rPr>
              <w:t>To review the whole of Victorian Government and</w:t>
            </w:r>
            <w:r w:rsidRPr="0079001C">
              <w:rPr>
                <w:rFonts w:ascii="Calibri" w:hAnsi="Calibri" w:cs="Calibri"/>
                <w:sz w:val="18"/>
              </w:rPr>
              <w:t xml:space="preserve"> determine whether agency spending </w:t>
            </w:r>
            <w:r>
              <w:rPr>
                <w:rFonts w:ascii="Calibri" w:hAnsi="Calibri" w:cs="Calibri"/>
                <w:sz w:val="18"/>
              </w:rPr>
              <w:t>relating</w:t>
            </w:r>
            <w:r w:rsidRPr="0079001C">
              <w:rPr>
                <w:rFonts w:ascii="Calibri" w:hAnsi="Calibri" w:cs="Calibri"/>
                <w:sz w:val="18"/>
              </w:rPr>
              <w:t xml:space="preserve"> to </w:t>
            </w:r>
            <w:r>
              <w:rPr>
                <w:rFonts w:ascii="Calibri" w:hAnsi="Calibri" w:cs="Calibri"/>
                <w:sz w:val="18"/>
              </w:rPr>
              <w:t xml:space="preserve">the </w:t>
            </w:r>
            <w:r w:rsidRPr="0079001C">
              <w:rPr>
                <w:rFonts w:ascii="Calibri" w:hAnsi="Calibri" w:cs="Calibri"/>
                <w:sz w:val="18"/>
              </w:rPr>
              <w:t>COVID-19</w:t>
            </w:r>
            <w:r>
              <w:rPr>
                <w:rFonts w:ascii="Calibri" w:hAnsi="Calibri" w:cs="Calibri"/>
                <w:sz w:val="18"/>
              </w:rPr>
              <w:t xml:space="preserve"> pandemic</w:t>
            </w:r>
            <w:r w:rsidRPr="0079001C">
              <w:rPr>
                <w:rFonts w:ascii="Calibri" w:hAnsi="Calibri" w:cs="Calibri"/>
                <w:sz w:val="18"/>
              </w:rPr>
              <w:t>, including through Treasurer’s Advance, has been used for the stated purposes and complies with relevant laws</w:t>
            </w:r>
            <w:r>
              <w:rPr>
                <w:rFonts w:ascii="Calibri" w:hAnsi="Calibri" w:cs="Calibri"/>
                <w:sz w:val="18"/>
              </w:rPr>
              <w:t>.</w:t>
            </w:r>
          </w:p>
        </w:tc>
        <w:tc>
          <w:tcPr>
            <w:tcW w:w="1122" w:type="dxa"/>
            <w:tcBorders>
              <w:top w:val="single" w:sz="4" w:space="0" w:color="FFFFFF" w:themeColor="background1"/>
              <w:bottom w:val="single" w:sz="4" w:space="0" w:color="53565A" w:themeColor="accent5"/>
            </w:tcBorders>
            <w:shd w:val="clear" w:color="auto" w:fill="FFFFFF" w:themeFill="background1"/>
          </w:tcPr>
          <w:p w14:paraId="127B61D2" w14:textId="77777777" w:rsidR="0032405B" w:rsidRPr="0079001C" w:rsidRDefault="0032405B" w:rsidP="0079001C">
            <w:pPr>
              <w:pStyle w:val="ESTablebody"/>
              <w:rPr>
                <w:rFonts w:ascii="Calibri" w:hAnsi="Calibri" w:cs="Calibri"/>
                <w:sz w:val="18"/>
                <w:lang w:val="en-AU"/>
              </w:rPr>
            </w:pPr>
            <w:r w:rsidRPr="0079001C">
              <w:rPr>
                <w:rFonts w:ascii="Calibri" w:hAnsi="Calibri" w:cs="Calibri"/>
                <w:sz w:val="18"/>
              </w:rPr>
              <w:t>27 October 2021</w:t>
            </w:r>
          </w:p>
        </w:tc>
      </w:tr>
      <w:tr w:rsidR="0032405B" w:rsidRPr="00925213" w14:paraId="7E2D3754"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015BD5A5" w14:textId="77777777" w:rsidR="0032405B" w:rsidRPr="007A3857" w:rsidRDefault="0032405B" w:rsidP="007A3857">
            <w:pPr>
              <w:pStyle w:val="ESTablebody"/>
              <w:rPr>
                <w:rFonts w:ascii="Calibri" w:hAnsi="Calibri" w:cs="Calibri"/>
                <w:sz w:val="18"/>
              </w:rPr>
            </w:pPr>
            <w:r w:rsidRPr="007A3857">
              <w:rPr>
                <w:rFonts w:ascii="Calibri" w:hAnsi="Calibri" w:cs="Calibri"/>
                <w:sz w:val="18"/>
              </w:rPr>
              <w:t>Business Continuity During COVID-19</w:t>
            </w:r>
          </w:p>
        </w:tc>
        <w:tc>
          <w:tcPr>
            <w:tcW w:w="1517" w:type="dxa"/>
            <w:tcBorders>
              <w:top w:val="single" w:sz="4" w:space="0" w:color="FFFFFF" w:themeColor="background1"/>
              <w:bottom w:val="single" w:sz="4" w:space="0" w:color="53565A" w:themeColor="accent5"/>
            </w:tcBorders>
            <w:shd w:val="clear" w:color="auto" w:fill="FFFFFF" w:themeFill="background1"/>
          </w:tcPr>
          <w:p w14:paraId="3B1FDA08" w14:textId="77777777" w:rsidR="0032405B" w:rsidRPr="007A3857" w:rsidRDefault="0032405B" w:rsidP="007A3857">
            <w:pPr>
              <w:pStyle w:val="ESTablebody"/>
              <w:rPr>
                <w:rFonts w:ascii="Calibri" w:hAnsi="Calibri" w:cs="Calibri"/>
                <w:sz w:val="18"/>
              </w:rPr>
            </w:pPr>
            <w:r w:rsidRPr="007A3857">
              <w:rPr>
                <w:rFonts w:ascii="Calibri" w:hAnsi="Calibri" w:cs="Calibri"/>
                <w:sz w:val="18"/>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4FFC3C7F" w14:textId="77777777" w:rsidR="0032405B" w:rsidRPr="007A3857" w:rsidRDefault="0032405B" w:rsidP="007A3857">
            <w:pPr>
              <w:pStyle w:val="ESTablebody"/>
              <w:rPr>
                <w:rFonts w:ascii="Calibri" w:hAnsi="Calibri" w:cs="Calibri"/>
                <w:sz w:val="18"/>
              </w:rPr>
            </w:pPr>
            <w:r>
              <w:rPr>
                <w:rFonts w:ascii="Calibri" w:hAnsi="Calibri" w:cs="Calibri"/>
                <w:sz w:val="18"/>
              </w:rPr>
              <w:t xml:space="preserve">To review the whole of Victorian Government and </w:t>
            </w:r>
            <w:r w:rsidRPr="007A3857">
              <w:rPr>
                <w:rFonts w:ascii="Calibri" w:hAnsi="Calibri" w:cs="Calibri"/>
                <w:sz w:val="18"/>
              </w:rPr>
              <w:t>determine whether agencies’ business continuity arrangements enabled the continuation of essential public services during the COVID‐19 pandemic.</w:t>
            </w:r>
          </w:p>
        </w:tc>
        <w:tc>
          <w:tcPr>
            <w:tcW w:w="1122" w:type="dxa"/>
            <w:tcBorders>
              <w:top w:val="single" w:sz="4" w:space="0" w:color="FFFFFF" w:themeColor="background1"/>
              <w:bottom w:val="single" w:sz="4" w:space="0" w:color="53565A" w:themeColor="accent5"/>
            </w:tcBorders>
            <w:shd w:val="clear" w:color="auto" w:fill="FFFFFF" w:themeFill="background1"/>
          </w:tcPr>
          <w:p w14:paraId="1AA9C668" w14:textId="77777777" w:rsidR="0032405B" w:rsidRPr="007A3857" w:rsidRDefault="0032405B" w:rsidP="007A3857">
            <w:pPr>
              <w:pStyle w:val="ESTablebody"/>
              <w:rPr>
                <w:rFonts w:ascii="Calibri" w:hAnsi="Calibri" w:cs="Calibri"/>
                <w:sz w:val="18"/>
              </w:rPr>
            </w:pPr>
            <w:r>
              <w:rPr>
                <w:rFonts w:ascii="Calibri" w:hAnsi="Calibri" w:cs="Calibri"/>
                <w:sz w:val="18"/>
              </w:rPr>
              <w:t>23 February 2022</w:t>
            </w:r>
          </w:p>
        </w:tc>
      </w:tr>
      <w:tr w:rsidR="0032405B" w:rsidRPr="00925213" w14:paraId="7E5B2836"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27B09085" w14:textId="77777777" w:rsidR="0032405B" w:rsidRPr="00925213" w:rsidRDefault="0032405B" w:rsidP="00FA0A73">
            <w:pPr>
              <w:pStyle w:val="ESTablebody"/>
              <w:rPr>
                <w:rFonts w:ascii="Calibri" w:hAnsi="Calibri" w:cs="Calibri"/>
                <w:sz w:val="18"/>
              </w:rPr>
            </w:pPr>
            <w:r w:rsidRPr="00FA0A73">
              <w:rPr>
                <w:rFonts w:ascii="Calibri" w:hAnsi="Calibri" w:cs="Calibri"/>
                <w:sz w:val="18"/>
              </w:rPr>
              <w:t>Effectiveness of the Navigator Program</w:t>
            </w:r>
          </w:p>
        </w:tc>
        <w:tc>
          <w:tcPr>
            <w:tcW w:w="1517" w:type="dxa"/>
            <w:tcBorders>
              <w:top w:val="single" w:sz="4" w:space="0" w:color="FFFFFF" w:themeColor="background1"/>
              <w:bottom w:val="single" w:sz="4" w:space="0" w:color="53565A" w:themeColor="accent5"/>
            </w:tcBorders>
            <w:shd w:val="clear" w:color="auto" w:fill="FFFFFF" w:themeFill="background1"/>
          </w:tcPr>
          <w:p w14:paraId="3BA513A9" w14:textId="77777777" w:rsidR="0032405B" w:rsidRPr="00925213" w:rsidRDefault="0032405B" w:rsidP="00FA0A73">
            <w:pPr>
              <w:pStyle w:val="ESTablebody"/>
              <w:rPr>
                <w:rFonts w:ascii="Calibri" w:hAnsi="Calibri" w:cs="Calibri"/>
                <w:sz w:val="18"/>
              </w:rPr>
            </w:pPr>
            <w:r>
              <w:rPr>
                <w:rFonts w:ascii="Calibri" w:hAnsi="Calibri" w:cs="Calibri"/>
                <w:sz w:val="18"/>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46F00FF6" w14:textId="77777777" w:rsidR="0032405B" w:rsidRPr="00925213" w:rsidRDefault="0032405B" w:rsidP="00FA0A73">
            <w:pPr>
              <w:pStyle w:val="ESTablebody"/>
              <w:rPr>
                <w:rFonts w:ascii="Calibri" w:hAnsi="Calibri" w:cs="Calibri"/>
                <w:sz w:val="18"/>
              </w:rPr>
            </w:pPr>
            <w:r w:rsidRPr="00FA0A73">
              <w:rPr>
                <w:rFonts w:ascii="Calibri" w:hAnsi="Calibri" w:cs="Calibri"/>
                <w:sz w:val="18"/>
              </w:rPr>
              <w:t>To review the Navigator Program’s effectiveness in reengaging students with education</w:t>
            </w:r>
            <w:r>
              <w:rPr>
                <w:rFonts w:ascii="Calibri" w:hAnsi="Calibri" w:cs="Calibri"/>
                <w:sz w:val="18"/>
              </w:rPr>
              <w:t>.</w:t>
            </w:r>
          </w:p>
        </w:tc>
        <w:tc>
          <w:tcPr>
            <w:tcW w:w="1122" w:type="dxa"/>
            <w:tcBorders>
              <w:top w:val="single" w:sz="4" w:space="0" w:color="FFFFFF" w:themeColor="background1"/>
              <w:bottom w:val="single" w:sz="4" w:space="0" w:color="53565A" w:themeColor="accent5"/>
            </w:tcBorders>
            <w:shd w:val="clear" w:color="auto" w:fill="FFFFFF" w:themeFill="background1"/>
          </w:tcPr>
          <w:p w14:paraId="02A13AD8" w14:textId="77777777" w:rsidR="0032405B" w:rsidRPr="00925213" w:rsidRDefault="0032405B" w:rsidP="00FA0A73">
            <w:pPr>
              <w:pStyle w:val="ESTablebody"/>
              <w:rPr>
                <w:rFonts w:ascii="Calibri" w:hAnsi="Calibri" w:cs="Calibri"/>
                <w:sz w:val="18"/>
              </w:rPr>
            </w:pPr>
            <w:r w:rsidRPr="00FA0A73">
              <w:rPr>
                <w:rFonts w:ascii="Calibri" w:hAnsi="Calibri" w:cs="Calibri"/>
                <w:sz w:val="18"/>
              </w:rPr>
              <w:t>23 March 2022</w:t>
            </w:r>
          </w:p>
        </w:tc>
      </w:tr>
      <w:tr w:rsidR="0032405B" w:rsidRPr="00925213" w14:paraId="39E707F6" w14:textId="77777777" w:rsidTr="00D14C9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0A22A538" w14:textId="77777777" w:rsidR="0032405B" w:rsidRPr="0079001C" w:rsidRDefault="0032405B" w:rsidP="0079001C">
            <w:pPr>
              <w:pStyle w:val="ESTablebody"/>
              <w:rPr>
                <w:rFonts w:ascii="Calibri" w:hAnsi="Calibri" w:cs="Calibri"/>
                <w:sz w:val="18"/>
              </w:rPr>
            </w:pPr>
            <w:r w:rsidRPr="0079001C">
              <w:rPr>
                <w:rFonts w:ascii="Calibri" w:hAnsi="Calibri" w:cs="Calibri"/>
                <w:sz w:val="18"/>
              </w:rPr>
              <w:t>Information and Communication Technology (ICT) Provisioning in Schools</w:t>
            </w:r>
          </w:p>
        </w:tc>
        <w:tc>
          <w:tcPr>
            <w:tcW w:w="1517" w:type="dxa"/>
            <w:tcBorders>
              <w:top w:val="single" w:sz="4" w:space="0" w:color="FFFFFF" w:themeColor="background1"/>
              <w:bottom w:val="single" w:sz="4" w:space="0" w:color="53565A" w:themeColor="accent5"/>
            </w:tcBorders>
            <w:shd w:val="clear" w:color="auto" w:fill="FFFFFF" w:themeFill="background1"/>
          </w:tcPr>
          <w:p w14:paraId="6E291AA6" w14:textId="77777777" w:rsidR="0032405B" w:rsidRPr="0079001C" w:rsidRDefault="0032405B" w:rsidP="0079001C">
            <w:pPr>
              <w:pStyle w:val="ESTablebody"/>
              <w:rPr>
                <w:rFonts w:ascii="Calibri" w:hAnsi="Calibri" w:cs="Calibri"/>
                <w:sz w:val="18"/>
                <w:lang w:val="en-AU"/>
              </w:rPr>
            </w:pPr>
            <w:r w:rsidRPr="0079001C">
              <w:rPr>
                <w:rFonts w:ascii="Calibri" w:hAnsi="Calibri" w:cs="Calibri"/>
                <w:sz w:val="18"/>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39F0532F" w14:textId="77777777" w:rsidR="0032405B" w:rsidRPr="0079001C" w:rsidRDefault="0032405B" w:rsidP="0079001C">
            <w:pPr>
              <w:pStyle w:val="ESTablebody"/>
              <w:rPr>
                <w:rFonts w:ascii="Calibri" w:hAnsi="Calibri" w:cs="Calibri"/>
                <w:sz w:val="18"/>
                <w:lang w:val="en-AU"/>
              </w:rPr>
            </w:pPr>
            <w:r w:rsidRPr="0079001C">
              <w:rPr>
                <w:rFonts w:ascii="Calibri" w:hAnsi="Calibri" w:cs="Calibri"/>
                <w:sz w:val="18"/>
              </w:rPr>
              <w:t xml:space="preserve">To determine whether </w:t>
            </w:r>
            <w:r>
              <w:rPr>
                <w:rFonts w:ascii="Calibri" w:hAnsi="Calibri" w:cs="Calibri"/>
                <w:sz w:val="18"/>
              </w:rPr>
              <w:t>the department</w:t>
            </w:r>
            <w:r w:rsidRPr="0079001C">
              <w:rPr>
                <w:rFonts w:ascii="Calibri" w:hAnsi="Calibri" w:cs="Calibri"/>
                <w:sz w:val="18"/>
              </w:rPr>
              <w:t xml:space="preserve"> and government schools are equipped with the ICT infrastructure and resources necessary for ICT‐facilitated teaching and learning.</w:t>
            </w:r>
          </w:p>
        </w:tc>
        <w:tc>
          <w:tcPr>
            <w:tcW w:w="1122" w:type="dxa"/>
            <w:tcBorders>
              <w:top w:val="single" w:sz="4" w:space="0" w:color="FFFFFF" w:themeColor="background1"/>
              <w:bottom w:val="single" w:sz="4" w:space="0" w:color="53565A" w:themeColor="accent5"/>
            </w:tcBorders>
            <w:shd w:val="clear" w:color="auto" w:fill="FFFFFF" w:themeFill="background1"/>
          </w:tcPr>
          <w:p w14:paraId="53B3F5BC" w14:textId="77777777" w:rsidR="0032405B" w:rsidRPr="0079001C" w:rsidRDefault="0032405B" w:rsidP="0079001C">
            <w:pPr>
              <w:pStyle w:val="ESTablebody"/>
              <w:rPr>
                <w:rFonts w:ascii="Calibri" w:hAnsi="Calibri" w:cs="Calibri"/>
                <w:sz w:val="18"/>
              </w:rPr>
            </w:pPr>
            <w:r w:rsidRPr="0079001C">
              <w:rPr>
                <w:rFonts w:ascii="Calibri" w:hAnsi="Calibri" w:cs="Calibri"/>
                <w:sz w:val="18"/>
              </w:rPr>
              <w:t xml:space="preserve">6 April 2022 </w:t>
            </w:r>
          </w:p>
        </w:tc>
      </w:tr>
      <w:tr w:rsidR="0032405B" w:rsidRPr="00925213" w14:paraId="7AAA2460"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6F2939F6" w14:textId="77777777" w:rsidR="0032405B" w:rsidRPr="00693180" w:rsidRDefault="0032405B" w:rsidP="007A3857">
            <w:pPr>
              <w:pStyle w:val="ESTablebody"/>
              <w:rPr>
                <w:rFonts w:ascii="Calibri" w:hAnsi="Calibri" w:cs="Calibri"/>
                <w:sz w:val="18"/>
              </w:rPr>
            </w:pPr>
            <w:r w:rsidRPr="007A3857">
              <w:rPr>
                <w:rFonts w:ascii="Calibri" w:hAnsi="Calibri" w:cs="Calibri"/>
                <w:sz w:val="18"/>
              </w:rPr>
              <w:t>Government Advertising</w:t>
            </w:r>
          </w:p>
        </w:tc>
        <w:tc>
          <w:tcPr>
            <w:tcW w:w="1517" w:type="dxa"/>
            <w:tcBorders>
              <w:top w:val="single" w:sz="4" w:space="0" w:color="FFFFFF" w:themeColor="background1"/>
              <w:bottom w:val="single" w:sz="4" w:space="0" w:color="53565A" w:themeColor="accent5"/>
            </w:tcBorders>
            <w:shd w:val="clear" w:color="auto" w:fill="FFFFFF" w:themeFill="background1"/>
          </w:tcPr>
          <w:p w14:paraId="1BA18B27" w14:textId="77777777" w:rsidR="0032405B" w:rsidRPr="00693180" w:rsidRDefault="0032405B" w:rsidP="007A3857">
            <w:pPr>
              <w:pStyle w:val="ESTablebody"/>
              <w:rPr>
                <w:rFonts w:ascii="Calibri" w:hAnsi="Calibri" w:cs="Calibri"/>
                <w:sz w:val="18"/>
              </w:rPr>
            </w:pPr>
            <w:r w:rsidRPr="007A3857">
              <w:rPr>
                <w:rFonts w:ascii="Calibri" w:hAnsi="Calibri" w:cs="Calibri"/>
                <w:sz w:val="18"/>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1F642984" w14:textId="77777777" w:rsidR="0032405B" w:rsidRPr="00693180" w:rsidRDefault="0032405B" w:rsidP="007A3857">
            <w:pPr>
              <w:pStyle w:val="ESTablebody"/>
              <w:rPr>
                <w:rFonts w:ascii="Calibri" w:hAnsi="Calibri" w:cs="Calibri"/>
                <w:sz w:val="18"/>
              </w:rPr>
            </w:pPr>
            <w:r>
              <w:rPr>
                <w:rFonts w:ascii="Calibri" w:hAnsi="Calibri" w:cs="Calibri"/>
                <w:sz w:val="18"/>
              </w:rPr>
              <w:t>To review the whole of Victorian Government and</w:t>
            </w:r>
            <w:r w:rsidRPr="007A3857">
              <w:rPr>
                <w:rFonts w:ascii="Calibri" w:hAnsi="Calibri" w:cs="Calibri"/>
                <w:sz w:val="18"/>
              </w:rPr>
              <w:t xml:space="preserve"> determine whether government advertising campaigns complied with the 2017 laws and were cost-effective. </w:t>
            </w:r>
          </w:p>
        </w:tc>
        <w:tc>
          <w:tcPr>
            <w:tcW w:w="1122" w:type="dxa"/>
            <w:tcBorders>
              <w:top w:val="single" w:sz="4" w:space="0" w:color="FFFFFF" w:themeColor="background1"/>
              <w:bottom w:val="single" w:sz="4" w:space="0" w:color="53565A" w:themeColor="accent5"/>
            </w:tcBorders>
            <w:shd w:val="clear" w:color="auto" w:fill="FFFFFF" w:themeFill="background1"/>
          </w:tcPr>
          <w:p w14:paraId="60997854" w14:textId="77777777" w:rsidR="0032405B" w:rsidRPr="00693180" w:rsidRDefault="0032405B" w:rsidP="007A3857">
            <w:pPr>
              <w:pStyle w:val="ESTablebody"/>
              <w:rPr>
                <w:rFonts w:ascii="Calibri" w:hAnsi="Calibri" w:cs="Calibri"/>
                <w:sz w:val="18"/>
              </w:rPr>
            </w:pPr>
            <w:r>
              <w:rPr>
                <w:rFonts w:ascii="Calibri" w:hAnsi="Calibri" w:cs="Calibri"/>
                <w:sz w:val="18"/>
              </w:rPr>
              <w:t>6 April 2022</w:t>
            </w:r>
          </w:p>
        </w:tc>
      </w:tr>
    </w:tbl>
    <w:p w14:paraId="0D59FFC2" w14:textId="77777777" w:rsidR="002463DA" w:rsidRPr="00B85B32" w:rsidRDefault="002463DA" w:rsidP="00AD20F5">
      <w:pPr>
        <w:pStyle w:val="ESTableintroheading"/>
        <w:rPr>
          <w:rFonts w:ascii="Calibri" w:hAnsi="Calibri" w:cs="Calibri"/>
        </w:rPr>
        <w:sectPr w:rsidR="002463DA" w:rsidRPr="00B85B32" w:rsidSect="003326DB">
          <w:footerReference w:type="default" r:id="rId21"/>
          <w:pgSz w:w="11900" w:h="16840"/>
          <w:pgMar w:top="1440" w:right="1134" w:bottom="1440" w:left="2835" w:header="708" w:footer="708" w:gutter="0"/>
          <w:pgNumType w:start="4"/>
          <w:cols w:space="708"/>
          <w:docGrid w:linePitch="360"/>
        </w:sectPr>
      </w:pPr>
    </w:p>
    <w:p w14:paraId="0BD5F5F3" w14:textId="77777777" w:rsidR="00C12FA8" w:rsidRPr="00B85B32" w:rsidRDefault="00C12FA8" w:rsidP="00C12FA8">
      <w:pPr>
        <w:pStyle w:val="ESHeading1"/>
        <w:rPr>
          <w:rFonts w:ascii="Calibri" w:hAnsi="Calibri" w:cs="Calibri"/>
        </w:rPr>
      </w:pPr>
      <w:bookmarkStart w:id="54" w:name="_Toc8812155"/>
      <w:bookmarkStart w:id="55" w:name="_Toc109806864"/>
      <w:bookmarkStart w:id="56" w:name="_Hlk80020650"/>
      <w:r w:rsidRPr="00B85B32">
        <w:rPr>
          <w:rFonts w:ascii="Calibri" w:hAnsi="Calibri" w:cs="Calibri"/>
        </w:rPr>
        <w:lastRenderedPageBreak/>
        <w:t>Major research and development</w:t>
      </w:r>
      <w:bookmarkEnd w:id="54"/>
      <w:bookmarkEnd w:id="55"/>
    </w:p>
    <w:p w14:paraId="2A49140A" w14:textId="5B59F503" w:rsidR="00C12FA8" w:rsidRPr="00B85B32" w:rsidRDefault="00DF6209" w:rsidP="00C12FA8">
      <w:pPr>
        <w:rPr>
          <w:rFonts w:ascii="Calibri" w:hAnsi="Calibri" w:cs="Calibri"/>
        </w:rPr>
      </w:pPr>
      <w:r w:rsidRPr="00457F78">
        <w:rPr>
          <w:rFonts w:ascii="Calibri" w:hAnsi="Calibri" w:cs="Calibri"/>
        </w:rPr>
        <w:t xml:space="preserve">The following </w:t>
      </w:r>
      <w:r w:rsidR="00FB2991" w:rsidRPr="00457F78">
        <w:rPr>
          <w:rFonts w:ascii="Calibri" w:hAnsi="Calibri" w:cs="Calibri"/>
        </w:rPr>
        <w:t xml:space="preserve">table </w:t>
      </w:r>
      <w:r w:rsidR="00C12FA8" w:rsidRPr="00457F78">
        <w:rPr>
          <w:rFonts w:ascii="Calibri" w:hAnsi="Calibri" w:cs="Calibri"/>
        </w:rPr>
        <w:t xml:space="preserve">details </w:t>
      </w:r>
      <w:r w:rsidR="0005727D" w:rsidRPr="00457F78">
        <w:rPr>
          <w:rFonts w:ascii="Calibri" w:hAnsi="Calibri" w:cs="Calibri"/>
        </w:rPr>
        <w:t>the</w:t>
      </w:r>
      <w:r w:rsidR="00C12FA8" w:rsidRPr="00457F78">
        <w:rPr>
          <w:rFonts w:ascii="Calibri" w:hAnsi="Calibri" w:cs="Calibri"/>
        </w:rPr>
        <w:t xml:space="preserve"> research and development activities undertaken by the </w:t>
      </w:r>
      <w:r w:rsidR="0001574F" w:rsidRPr="00457F78">
        <w:rPr>
          <w:rFonts w:ascii="Calibri" w:hAnsi="Calibri" w:cs="Calibri"/>
        </w:rPr>
        <w:t>d</w:t>
      </w:r>
      <w:r w:rsidR="00C12FA8" w:rsidRPr="00457F78">
        <w:rPr>
          <w:rFonts w:ascii="Calibri" w:hAnsi="Calibri" w:cs="Calibri"/>
        </w:rPr>
        <w:t xml:space="preserve">epartment. </w:t>
      </w:r>
      <w:r w:rsidR="0005727D" w:rsidRPr="00457F78">
        <w:rPr>
          <w:rFonts w:ascii="Calibri" w:hAnsi="Calibri" w:cs="Calibri"/>
        </w:rPr>
        <w:t xml:space="preserve">This includes reviews, studies and evaluations that were established, </w:t>
      </w:r>
      <w:proofErr w:type="gramStart"/>
      <w:r w:rsidR="0005727D" w:rsidRPr="00457F78">
        <w:rPr>
          <w:rFonts w:ascii="Calibri" w:hAnsi="Calibri" w:cs="Calibri"/>
        </w:rPr>
        <w:t>commenced</w:t>
      </w:r>
      <w:proofErr w:type="gramEnd"/>
      <w:r w:rsidR="0005727D" w:rsidRPr="00457F78">
        <w:rPr>
          <w:rFonts w:ascii="Calibri" w:hAnsi="Calibri" w:cs="Calibri"/>
        </w:rPr>
        <w:t xml:space="preserve"> or completed by or on behalf of the </w:t>
      </w:r>
      <w:r w:rsidR="0001574F" w:rsidRPr="00457F78">
        <w:rPr>
          <w:rFonts w:ascii="Calibri" w:hAnsi="Calibri" w:cs="Calibri"/>
        </w:rPr>
        <w:t>d</w:t>
      </w:r>
      <w:r w:rsidR="0005727D" w:rsidRPr="00457F78">
        <w:rPr>
          <w:rFonts w:ascii="Calibri" w:hAnsi="Calibri" w:cs="Calibri"/>
        </w:rPr>
        <w:t>epartment in 202</w:t>
      </w:r>
      <w:r w:rsidR="0001574F" w:rsidRPr="00457F78">
        <w:rPr>
          <w:rFonts w:ascii="Calibri" w:hAnsi="Calibri" w:cs="Calibri"/>
        </w:rPr>
        <w:t>1</w:t>
      </w:r>
      <w:r w:rsidR="0005727D" w:rsidRPr="00457F78">
        <w:rPr>
          <w:rFonts w:ascii="Calibri" w:hAnsi="Calibri" w:cs="Calibri"/>
        </w:rPr>
        <w:t>–2</w:t>
      </w:r>
      <w:r w:rsidR="0001574F" w:rsidRPr="00457F78">
        <w:rPr>
          <w:rFonts w:ascii="Calibri" w:hAnsi="Calibri" w:cs="Calibri"/>
        </w:rPr>
        <w:t>2</w:t>
      </w:r>
      <w:r w:rsidR="00C344A2">
        <w:rPr>
          <w:rFonts w:ascii="Calibri" w:hAnsi="Calibri" w:cs="Calibri"/>
        </w:rPr>
        <w:t xml:space="preserve"> and have a total cost in excess of $100,000</w:t>
      </w:r>
      <w:r w:rsidR="0005727D" w:rsidRPr="00457F78">
        <w:rPr>
          <w:rFonts w:ascii="Calibri" w:hAnsi="Calibri" w:cs="Calibri"/>
        </w:rPr>
        <w:t>.</w:t>
      </w:r>
    </w:p>
    <w:p w14:paraId="50929647" w14:textId="5297F411" w:rsidR="00C12FA8" w:rsidRPr="00B85B32" w:rsidRDefault="00C12FA8" w:rsidP="00C12FA8">
      <w:pPr>
        <w:pStyle w:val="ESTableintroheading"/>
        <w:rPr>
          <w:rFonts w:ascii="Calibri" w:hAnsi="Calibri" w:cs="Calibri"/>
        </w:rPr>
      </w:pPr>
      <w:r w:rsidRPr="00B85B32">
        <w:rPr>
          <w:rFonts w:ascii="Calibri" w:hAnsi="Calibri" w:cs="Calibri"/>
        </w:rPr>
        <w:t>Major research and development</w:t>
      </w:r>
    </w:p>
    <w:tbl>
      <w:tblPr>
        <w:tblStyle w:val="TableGrid"/>
        <w:tblW w:w="4932"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Description w:val="Columns: Major research and development, Conducted by, Purpose"/>
      </w:tblPr>
      <w:tblGrid>
        <w:gridCol w:w="2547"/>
        <w:gridCol w:w="2126"/>
        <w:gridCol w:w="4678"/>
      </w:tblGrid>
      <w:tr w:rsidR="0019565A" w:rsidRPr="00925213" w14:paraId="7911E3E1" w14:textId="77777777" w:rsidTr="00AA753C">
        <w:trPr>
          <w:cantSplit/>
          <w:trHeight w:val="130"/>
          <w:tblHeader/>
        </w:trPr>
        <w:tc>
          <w:tcPr>
            <w:tcW w:w="2547" w:type="dxa"/>
            <w:tcBorders>
              <w:bottom w:val="single" w:sz="4" w:space="0" w:color="FFFFFF" w:themeColor="background1"/>
            </w:tcBorders>
            <w:shd w:val="clear" w:color="auto" w:fill="AF272F"/>
            <w:vAlign w:val="center"/>
          </w:tcPr>
          <w:p w14:paraId="51627853" w14:textId="77777777" w:rsidR="0019565A" w:rsidRPr="0079001C" w:rsidRDefault="0019565A" w:rsidP="00E031DC">
            <w:pPr>
              <w:pStyle w:val="ESTableheadingwhite"/>
              <w:rPr>
                <w:rFonts w:ascii="Calibri" w:hAnsi="Calibri" w:cs="Calibri"/>
                <w:sz w:val="18"/>
              </w:rPr>
            </w:pPr>
            <w:bookmarkStart w:id="57" w:name="_Hlk77849224"/>
            <w:bookmarkStart w:id="58" w:name="_Hlk77849250"/>
            <w:r w:rsidRPr="0079001C">
              <w:rPr>
                <w:rFonts w:ascii="Calibri" w:hAnsi="Calibri" w:cs="Calibri"/>
                <w:sz w:val="18"/>
              </w:rPr>
              <w:t xml:space="preserve">Major research and development </w:t>
            </w:r>
          </w:p>
        </w:tc>
        <w:tc>
          <w:tcPr>
            <w:tcW w:w="2126" w:type="dxa"/>
            <w:tcBorders>
              <w:bottom w:val="single" w:sz="4" w:space="0" w:color="FFFFFF" w:themeColor="background1"/>
            </w:tcBorders>
            <w:shd w:val="clear" w:color="auto" w:fill="AF272F" w:themeFill="accent4"/>
            <w:vAlign w:val="center"/>
          </w:tcPr>
          <w:p w14:paraId="49AEE2F7" w14:textId="77777777" w:rsidR="0019565A" w:rsidRPr="0079001C" w:rsidRDefault="0019565A" w:rsidP="00E031DC">
            <w:pPr>
              <w:pStyle w:val="ESTableheadingwhite"/>
              <w:rPr>
                <w:rFonts w:ascii="Calibri" w:hAnsi="Calibri" w:cs="Calibri"/>
                <w:sz w:val="18"/>
              </w:rPr>
            </w:pPr>
            <w:r w:rsidRPr="0079001C">
              <w:rPr>
                <w:rFonts w:ascii="Calibri" w:hAnsi="Calibri" w:cs="Calibri"/>
                <w:sz w:val="18"/>
              </w:rPr>
              <w:t>Conducted by</w:t>
            </w:r>
          </w:p>
        </w:tc>
        <w:tc>
          <w:tcPr>
            <w:tcW w:w="4678" w:type="dxa"/>
            <w:tcBorders>
              <w:bottom w:val="single" w:sz="4" w:space="0" w:color="FFFFFF" w:themeColor="background1"/>
            </w:tcBorders>
            <w:shd w:val="clear" w:color="auto" w:fill="AF272F"/>
            <w:vAlign w:val="center"/>
          </w:tcPr>
          <w:p w14:paraId="5545FD43" w14:textId="77777777" w:rsidR="0019565A" w:rsidRPr="0079001C" w:rsidRDefault="0019565A" w:rsidP="00E031DC">
            <w:pPr>
              <w:pStyle w:val="ESTableheadingwhite"/>
              <w:rPr>
                <w:rFonts w:ascii="Calibri" w:hAnsi="Calibri" w:cs="Calibri"/>
                <w:sz w:val="18"/>
              </w:rPr>
            </w:pPr>
            <w:r w:rsidRPr="0079001C">
              <w:rPr>
                <w:rFonts w:ascii="Calibri" w:hAnsi="Calibri" w:cs="Calibri"/>
                <w:sz w:val="18"/>
              </w:rPr>
              <w:t>Purpose</w:t>
            </w:r>
          </w:p>
        </w:tc>
      </w:tr>
      <w:bookmarkEnd w:id="57"/>
      <w:tr w:rsidR="0019565A" w:rsidRPr="00925213" w14:paraId="74CFA5F2" w14:textId="77777777" w:rsidTr="00AA753C">
        <w:trPr>
          <w:cantSplit/>
          <w:trHeight w:val="628"/>
        </w:trPr>
        <w:tc>
          <w:tcPr>
            <w:tcW w:w="2547" w:type="dxa"/>
            <w:tcBorders>
              <w:top w:val="single" w:sz="4" w:space="0" w:color="auto"/>
              <w:bottom w:val="single" w:sz="4" w:space="0" w:color="auto"/>
            </w:tcBorders>
            <w:shd w:val="clear" w:color="auto" w:fill="auto"/>
            <w:vAlign w:val="center"/>
          </w:tcPr>
          <w:p w14:paraId="3E602833" w14:textId="77777777" w:rsidR="0019565A" w:rsidRPr="0079001C" w:rsidRDefault="0019565A" w:rsidP="00E031DC">
            <w:pPr>
              <w:pStyle w:val="ESTablebody"/>
              <w:rPr>
                <w:rFonts w:ascii="Calibri" w:hAnsi="Calibri" w:cs="Calibri"/>
                <w:sz w:val="18"/>
              </w:rPr>
            </w:pPr>
            <w:r w:rsidRPr="0079001C">
              <w:rPr>
                <w:rFonts w:ascii="Calibri" w:hAnsi="Calibri" w:cs="Calibri"/>
                <w:sz w:val="18"/>
              </w:rPr>
              <w:t xml:space="preserve">A </w:t>
            </w:r>
            <w:r>
              <w:rPr>
                <w:rFonts w:ascii="Calibri" w:hAnsi="Calibri" w:cs="Calibri"/>
                <w:sz w:val="18"/>
              </w:rPr>
              <w:t>Re</w:t>
            </w:r>
            <w:r w:rsidRPr="0079001C">
              <w:rPr>
                <w:rFonts w:ascii="Calibri" w:hAnsi="Calibri" w:cs="Calibri"/>
                <w:sz w:val="18"/>
              </w:rPr>
              <w:t>view of the Student Resource Package</w:t>
            </w:r>
          </w:p>
        </w:tc>
        <w:tc>
          <w:tcPr>
            <w:tcW w:w="2126" w:type="dxa"/>
            <w:tcBorders>
              <w:top w:val="single" w:sz="4" w:space="0" w:color="auto"/>
              <w:bottom w:val="single" w:sz="4" w:space="0" w:color="auto"/>
            </w:tcBorders>
            <w:shd w:val="clear" w:color="auto" w:fill="auto"/>
            <w:vAlign w:val="center"/>
          </w:tcPr>
          <w:p w14:paraId="09F2F0F1" w14:textId="77777777" w:rsidR="0019565A" w:rsidRPr="0079001C" w:rsidRDefault="0019565A" w:rsidP="00E031DC">
            <w:pPr>
              <w:pStyle w:val="ESTablebody"/>
              <w:rPr>
                <w:rFonts w:ascii="Calibri" w:eastAsia="Times New Roman" w:hAnsi="Calibri" w:cs="Calibri"/>
                <w:sz w:val="18"/>
              </w:rPr>
            </w:pPr>
            <w:r w:rsidRPr="0079001C">
              <w:rPr>
                <w:rFonts w:ascii="Calibri" w:eastAsia="Times New Roman" w:hAnsi="Calibri" w:cs="Calibri"/>
                <w:sz w:val="18"/>
              </w:rPr>
              <w:t xml:space="preserve">Deloitte </w:t>
            </w:r>
          </w:p>
        </w:tc>
        <w:tc>
          <w:tcPr>
            <w:tcW w:w="4678" w:type="dxa"/>
            <w:tcBorders>
              <w:top w:val="single" w:sz="4" w:space="0" w:color="auto"/>
              <w:bottom w:val="single" w:sz="4" w:space="0" w:color="auto"/>
            </w:tcBorders>
            <w:shd w:val="clear" w:color="auto" w:fill="auto"/>
            <w:vAlign w:val="center"/>
          </w:tcPr>
          <w:p w14:paraId="4811FACF" w14:textId="77777777" w:rsidR="0019565A" w:rsidRPr="0079001C" w:rsidRDefault="0019565A" w:rsidP="00E031DC">
            <w:pPr>
              <w:pStyle w:val="ESTablebody"/>
              <w:rPr>
                <w:rFonts w:ascii="Calibri" w:hAnsi="Calibri" w:cs="Calibri"/>
                <w:sz w:val="18"/>
              </w:rPr>
            </w:pPr>
            <w:r w:rsidRPr="0079001C">
              <w:rPr>
                <w:rFonts w:ascii="Calibri" w:hAnsi="Calibri" w:cs="Calibri"/>
                <w:sz w:val="18"/>
              </w:rPr>
              <w:t>To understand expenditure requirements of schools in different contexts.</w:t>
            </w:r>
          </w:p>
        </w:tc>
      </w:tr>
      <w:tr w:rsidR="0019565A" w:rsidRPr="00925213" w14:paraId="2BEF2F09"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D1E3172" w14:textId="77777777" w:rsidR="0019565A" w:rsidRPr="0079001C" w:rsidRDefault="0019565A" w:rsidP="00486B24">
            <w:pPr>
              <w:pStyle w:val="ESTablebody"/>
              <w:rPr>
                <w:rFonts w:ascii="Calibri" w:hAnsi="Calibri" w:cs="Calibri"/>
                <w:sz w:val="18"/>
              </w:rPr>
            </w:pPr>
            <w:r w:rsidRPr="00061F1C">
              <w:rPr>
                <w:rFonts w:ascii="Calibri" w:hAnsi="Calibri" w:cs="Calibri"/>
                <w:sz w:val="18"/>
              </w:rPr>
              <w:t xml:space="preserve">Actions to </w:t>
            </w:r>
            <w:proofErr w:type="spellStart"/>
            <w:r>
              <w:rPr>
                <w:rFonts w:ascii="Calibri" w:hAnsi="Calibri" w:cs="Calibri"/>
                <w:sz w:val="18"/>
              </w:rPr>
              <w:t>O</w:t>
            </w:r>
            <w:r w:rsidRPr="00061F1C">
              <w:rPr>
                <w:rFonts w:ascii="Calibri" w:hAnsi="Calibri" w:cs="Calibri"/>
                <w:sz w:val="18"/>
              </w:rPr>
              <w:t>ptimise</w:t>
            </w:r>
            <w:proofErr w:type="spellEnd"/>
            <w:r w:rsidRPr="00061F1C">
              <w:rPr>
                <w:rFonts w:ascii="Calibri" w:hAnsi="Calibri" w:cs="Calibri"/>
                <w:sz w:val="18"/>
              </w:rPr>
              <w:t xml:space="preserve"> </w:t>
            </w:r>
            <w:r>
              <w:rPr>
                <w:rFonts w:ascii="Calibri" w:hAnsi="Calibri" w:cs="Calibri"/>
                <w:sz w:val="18"/>
              </w:rPr>
              <w:t>R</w:t>
            </w:r>
            <w:r w:rsidRPr="00061F1C">
              <w:rPr>
                <w:rFonts w:ascii="Calibri" w:hAnsi="Calibri" w:cs="Calibri"/>
                <w:sz w:val="18"/>
              </w:rPr>
              <w:t xml:space="preserve">egional </w:t>
            </w:r>
            <w:r>
              <w:rPr>
                <w:rFonts w:ascii="Calibri" w:hAnsi="Calibri" w:cs="Calibri"/>
                <w:sz w:val="18"/>
              </w:rPr>
              <w:t>S</w:t>
            </w:r>
            <w:r w:rsidRPr="00061F1C">
              <w:rPr>
                <w:rFonts w:ascii="Calibri" w:hAnsi="Calibri" w:cs="Calibri"/>
                <w:sz w:val="18"/>
              </w:rPr>
              <w:t xml:space="preserve">tructures and </w:t>
            </w:r>
            <w:r>
              <w:rPr>
                <w:rFonts w:ascii="Calibri" w:hAnsi="Calibri" w:cs="Calibri"/>
                <w:sz w:val="18"/>
              </w:rPr>
              <w:t>D</w:t>
            </w:r>
            <w:r w:rsidRPr="00061F1C">
              <w:rPr>
                <w:rFonts w:ascii="Calibri" w:hAnsi="Calibri" w:cs="Calibri"/>
                <w:sz w:val="18"/>
              </w:rPr>
              <w:t>elivery</w:t>
            </w:r>
          </w:p>
        </w:tc>
        <w:tc>
          <w:tcPr>
            <w:tcW w:w="2126" w:type="dxa"/>
            <w:tcBorders>
              <w:top w:val="single" w:sz="4" w:space="0" w:color="auto"/>
              <w:bottom w:val="single" w:sz="4" w:space="0" w:color="auto"/>
            </w:tcBorders>
            <w:shd w:val="clear" w:color="auto" w:fill="auto"/>
            <w:vAlign w:val="center"/>
          </w:tcPr>
          <w:p w14:paraId="6A5BB80E" w14:textId="77777777" w:rsidR="0019565A" w:rsidRPr="0079001C" w:rsidRDefault="0019565A" w:rsidP="00486B24">
            <w:pPr>
              <w:pStyle w:val="ESTablebody"/>
              <w:rPr>
                <w:rFonts w:ascii="Calibri" w:hAnsi="Calibri" w:cs="Calibri"/>
                <w:sz w:val="18"/>
              </w:rPr>
            </w:pPr>
            <w:bookmarkStart w:id="59" w:name="_Hlk106873286"/>
            <w:r w:rsidRPr="00061F1C">
              <w:rPr>
                <w:rFonts w:ascii="Calibri" w:hAnsi="Calibri" w:cs="Calibri"/>
                <w:sz w:val="18"/>
              </w:rPr>
              <w:t xml:space="preserve">Deloitte </w:t>
            </w:r>
            <w:bookmarkEnd w:id="59"/>
          </w:p>
        </w:tc>
        <w:tc>
          <w:tcPr>
            <w:tcW w:w="4678" w:type="dxa"/>
            <w:tcBorders>
              <w:top w:val="single" w:sz="4" w:space="0" w:color="auto"/>
              <w:bottom w:val="single" w:sz="4" w:space="0" w:color="auto"/>
            </w:tcBorders>
            <w:shd w:val="clear" w:color="auto" w:fill="auto"/>
            <w:vAlign w:val="center"/>
          </w:tcPr>
          <w:p w14:paraId="5BB0E287" w14:textId="77777777" w:rsidR="0019565A" w:rsidRPr="009F7FA2" w:rsidRDefault="0019565A" w:rsidP="00486B24">
            <w:pPr>
              <w:pStyle w:val="ESTablebody"/>
              <w:rPr>
                <w:rFonts w:ascii="Calibri" w:eastAsia="Times New Roman" w:hAnsi="Calibri" w:cs="Calibri"/>
                <w:sz w:val="18"/>
              </w:rPr>
            </w:pPr>
            <w:r w:rsidRPr="009F7FA2">
              <w:rPr>
                <w:rFonts w:ascii="Calibri" w:eastAsia="Times New Roman" w:hAnsi="Calibri" w:cs="Calibri"/>
                <w:sz w:val="18"/>
              </w:rPr>
              <w:t>To reduce and respond to the impact of known constraints and challenges on region and area provision by identifying practical actions that enhance support for vocational and applied learning and mental health and wellbeing through development of new place</w:t>
            </w:r>
            <w:r w:rsidRPr="009F7FA2">
              <w:rPr>
                <w:rFonts w:ascii="Calibri" w:eastAsia="Times New Roman" w:hAnsi="Calibri" w:cs="Calibri"/>
                <w:sz w:val="18"/>
              </w:rPr>
              <w:noBreakHyphen/>
              <w:t>based models.</w:t>
            </w:r>
          </w:p>
        </w:tc>
      </w:tr>
      <w:tr w:rsidR="0019565A" w:rsidRPr="00925213" w14:paraId="44F831F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1EC2585"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Active Schools Evaluation</w:t>
            </w:r>
          </w:p>
        </w:tc>
        <w:tc>
          <w:tcPr>
            <w:tcW w:w="2126" w:type="dxa"/>
            <w:tcBorders>
              <w:top w:val="single" w:sz="4" w:space="0" w:color="auto"/>
              <w:bottom w:val="single" w:sz="4" w:space="0" w:color="auto"/>
            </w:tcBorders>
            <w:shd w:val="clear" w:color="auto" w:fill="auto"/>
            <w:vAlign w:val="center"/>
          </w:tcPr>
          <w:p w14:paraId="2B680A1A" w14:textId="77777777" w:rsidR="0019565A" w:rsidRPr="0079001C" w:rsidRDefault="0019565A" w:rsidP="00F872A2">
            <w:pPr>
              <w:pStyle w:val="ESTablebody"/>
              <w:rPr>
                <w:rFonts w:ascii="Calibri" w:hAnsi="Calibri" w:cs="Calibri"/>
                <w:sz w:val="18"/>
              </w:rPr>
            </w:pPr>
            <w:proofErr w:type="spellStart"/>
            <w:r w:rsidRPr="00F872A2">
              <w:rPr>
                <w:rFonts w:ascii="Calibri" w:hAnsi="Calibri" w:cs="Calibri"/>
                <w:sz w:val="18"/>
              </w:rPr>
              <w:t>Synergisti</w:t>
            </w:r>
            <w:r>
              <w:rPr>
                <w:rFonts w:ascii="Calibri" w:hAnsi="Calibri" w:cs="Calibri"/>
                <w:sz w:val="18"/>
              </w:rPr>
              <w:t>q</w:t>
            </w:r>
            <w:proofErr w:type="spellEnd"/>
          </w:p>
        </w:tc>
        <w:tc>
          <w:tcPr>
            <w:tcW w:w="4678" w:type="dxa"/>
            <w:tcBorders>
              <w:top w:val="single" w:sz="4" w:space="0" w:color="auto"/>
              <w:bottom w:val="single" w:sz="4" w:space="0" w:color="auto"/>
            </w:tcBorders>
            <w:shd w:val="clear" w:color="auto" w:fill="auto"/>
            <w:vAlign w:val="center"/>
          </w:tcPr>
          <w:p w14:paraId="5158566B"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To determine how successful the Active Schools initiative is at increasing school’s capacity and capability to improve their approach to physical activity.</w:t>
            </w:r>
          </w:p>
        </w:tc>
      </w:tr>
      <w:tr w:rsidR="0019565A" w:rsidRPr="00925213" w14:paraId="3A51C79E"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0A0DA0C"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Alternative </w:t>
            </w:r>
            <w:r>
              <w:rPr>
                <w:rFonts w:ascii="Calibri" w:hAnsi="Calibri" w:cs="Calibri"/>
                <w:sz w:val="18"/>
              </w:rPr>
              <w:t>E</w:t>
            </w:r>
            <w:r w:rsidRPr="006B4211">
              <w:rPr>
                <w:rFonts w:ascii="Calibri" w:hAnsi="Calibri" w:cs="Calibri"/>
                <w:sz w:val="18"/>
              </w:rPr>
              <w:t xml:space="preserve">ducation </w:t>
            </w:r>
            <w:r>
              <w:rPr>
                <w:rFonts w:ascii="Calibri" w:hAnsi="Calibri" w:cs="Calibri"/>
                <w:sz w:val="18"/>
              </w:rPr>
              <w:t>P</w:t>
            </w:r>
            <w:r w:rsidRPr="006B4211">
              <w:rPr>
                <w:rFonts w:ascii="Calibri" w:hAnsi="Calibri" w:cs="Calibri"/>
                <w:sz w:val="18"/>
              </w:rPr>
              <w:t xml:space="preserve">rovision </w:t>
            </w:r>
            <w:r>
              <w:rPr>
                <w:rFonts w:ascii="Calibri" w:hAnsi="Calibri" w:cs="Calibri"/>
                <w:sz w:val="18"/>
              </w:rPr>
              <w:t>M</w:t>
            </w:r>
            <w:r w:rsidRPr="006B4211">
              <w:rPr>
                <w:rFonts w:ascii="Calibri" w:hAnsi="Calibri" w:cs="Calibri"/>
                <w:sz w:val="18"/>
              </w:rPr>
              <w:t>odelling</w:t>
            </w:r>
          </w:p>
        </w:tc>
        <w:tc>
          <w:tcPr>
            <w:tcW w:w="2126" w:type="dxa"/>
            <w:tcBorders>
              <w:top w:val="single" w:sz="4" w:space="0" w:color="auto"/>
              <w:bottom w:val="single" w:sz="4" w:space="0" w:color="auto"/>
            </w:tcBorders>
            <w:shd w:val="clear" w:color="auto" w:fill="auto"/>
            <w:vAlign w:val="center"/>
          </w:tcPr>
          <w:p w14:paraId="35D9BCA0" w14:textId="77777777" w:rsidR="0019565A" w:rsidRPr="00D53206" w:rsidRDefault="0019565A" w:rsidP="00482320">
            <w:pPr>
              <w:pStyle w:val="ESTablebody"/>
              <w:rPr>
                <w:rFonts w:ascii="Calibri" w:hAnsi="Calibri" w:cs="Calibri"/>
                <w:sz w:val="18"/>
                <w:highlight w:val="yellow"/>
              </w:rPr>
            </w:pPr>
            <w:r w:rsidRPr="006E2D0B">
              <w:rPr>
                <w:rFonts w:ascii="Calibri" w:hAnsi="Calibri" w:cs="Calibri"/>
                <w:sz w:val="18"/>
              </w:rPr>
              <w:t>Geografia</w:t>
            </w:r>
          </w:p>
        </w:tc>
        <w:tc>
          <w:tcPr>
            <w:tcW w:w="4678" w:type="dxa"/>
            <w:tcBorders>
              <w:top w:val="single" w:sz="4" w:space="0" w:color="auto"/>
              <w:bottom w:val="single" w:sz="4" w:space="0" w:color="auto"/>
            </w:tcBorders>
            <w:shd w:val="clear" w:color="auto" w:fill="auto"/>
            <w:vAlign w:val="center"/>
          </w:tcPr>
          <w:p w14:paraId="7D261DCA" w14:textId="77777777" w:rsidR="0019565A" w:rsidRPr="00D53206" w:rsidRDefault="0019565A" w:rsidP="00482320">
            <w:pPr>
              <w:pStyle w:val="ESTablebody"/>
              <w:rPr>
                <w:rFonts w:ascii="Calibri" w:hAnsi="Calibri" w:cs="Calibri"/>
                <w:sz w:val="18"/>
                <w:highlight w:val="yellow"/>
              </w:rPr>
            </w:pPr>
            <w:r w:rsidRPr="006E2D0B">
              <w:rPr>
                <w:rFonts w:ascii="Calibri" w:hAnsi="Calibri" w:cs="Calibri"/>
                <w:sz w:val="18"/>
              </w:rPr>
              <w:t>To undertake demand and provision modelling of the alternative education delivery of secondary school education</w:t>
            </w:r>
            <w:r>
              <w:rPr>
                <w:rFonts w:ascii="Calibri" w:hAnsi="Calibri" w:cs="Calibri"/>
                <w:sz w:val="18"/>
              </w:rPr>
              <w:t>.</w:t>
            </w:r>
          </w:p>
        </w:tc>
      </w:tr>
      <w:tr w:rsidR="0019565A" w:rsidRPr="00925213" w14:paraId="732C73FC"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E63CE57" w14:textId="1C4FE9E2" w:rsidR="0019565A" w:rsidRPr="0079001C" w:rsidRDefault="0019565A" w:rsidP="00061F1C">
            <w:pPr>
              <w:pStyle w:val="ESTablebody"/>
              <w:rPr>
                <w:rFonts w:ascii="Calibri" w:hAnsi="Calibri" w:cs="Calibri"/>
                <w:sz w:val="18"/>
              </w:rPr>
            </w:pPr>
            <w:r w:rsidRPr="00061F1C">
              <w:rPr>
                <w:rFonts w:ascii="Calibri" w:hAnsi="Calibri" w:cs="Calibri"/>
                <w:sz w:val="18"/>
              </w:rPr>
              <w:t xml:space="preserve">Amplify </w:t>
            </w:r>
            <w:r>
              <w:rPr>
                <w:rFonts w:ascii="Calibri" w:hAnsi="Calibri" w:cs="Calibri"/>
                <w:sz w:val="18"/>
              </w:rPr>
              <w:t xml:space="preserve">– </w:t>
            </w:r>
            <w:r w:rsidRPr="00061F1C">
              <w:rPr>
                <w:rFonts w:ascii="Calibri" w:hAnsi="Calibri" w:cs="Calibri"/>
                <w:sz w:val="18"/>
              </w:rPr>
              <w:t xml:space="preserve">Empowering </w:t>
            </w:r>
            <w:r w:rsidR="003838D0">
              <w:rPr>
                <w:rFonts w:ascii="Calibri" w:hAnsi="Calibri" w:cs="Calibri"/>
                <w:sz w:val="18"/>
              </w:rPr>
              <w:t>Student Voice</w:t>
            </w:r>
            <w:r w:rsidRPr="00061F1C">
              <w:rPr>
                <w:rFonts w:ascii="Calibri" w:hAnsi="Calibri" w:cs="Calibri"/>
                <w:sz w:val="18"/>
              </w:rPr>
              <w:t xml:space="preserve">, </w:t>
            </w:r>
            <w:proofErr w:type="gramStart"/>
            <w:r w:rsidR="003838D0">
              <w:rPr>
                <w:rFonts w:ascii="Calibri" w:hAnsi="Calibri" w:cs="Calibri"/>
                <w:sz w:val="18"/>
              </w:rPr>
              <w:t>A</w:t>
            </w:r>
            <w:r w:rsidRPr="00061F1C">
              <w:rPr>
                <w:rFonts w:ascii="Calibri" w:hAnsi="Calibri" w:cs="Calibri"/>
                <w:sz w:val="18"/>
              </w:rPr>
              <w:t>gency</w:t>
            </w:r>
            <w:proofErr w:type="gramEnd"/>
            <w:r w:rsidRPr="00061F1C">
              <w:rPr>
                <w:rFonts w:ascii="Calibri" w:hAnsi="Calibri" w:cs="Calibri"/>
                <w:sz w:val="18"/>
              </w:rPr>
              <w:t xml:space="preserve"> and </w:t>
            </w:r>
            <w:r w:rsidR="003838D0">
              <w:rPr>
                <w:rFonts w:ascii="Calibri" w:hAnsi="Calibri" w:cs="Calibri"/>
                <w:sz w:val="18"/>
              </w:rPr>
              <w:t>L</w:t>
            </w:r>
            <w:r w:rsidRPr="00061F1C">
              <w:rPr>
                <w:rFonts w:ascii="Calibri" w:hAnsi="Calibri" w:cs="Calibri"/>
                <w:sz w:val="18"/>
              </w:rPr>
              <w:t>eadership</w:t>
            </w:r>
          </w:p>
        </w:tc>
        <w:tc>
          <w:tcPr>
            <w:tcW w:w="2126" w:type="dxa"/>
            <w:tcBorders>
              <w:top w:val="single" w:sz="4" w:space="0" w:color="auto"/>
              <w:bottom w:val="single" w:sz="4" w:space="0" w:color="auto"/>
            </w:tcBorders>
            <w:shd w:val="clear" w:color="auto" w:fill="auto"/>
            <w:vAlign w:val="center"/>
          </w:tcPr>
          <w:p w14:paraId="05EFC690"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Australian Council for Educational Research</w:t>
            </w:r>
          </w:p>
        </w:tc>
        <w:tc>
          <w:tcPr>
            <w:tcW w:w="4678" w:type="dxa"/>
            <w:tcBorders>
              <w:top w:val="single" w:sz="4" w:space="0" w:color="auto"/>
              <w:bottom w:val="single" w:sz="4" w:space="0" w:color="auto"/>
            </w:tcBorders>
            <w:shd w:val="clear" w:color="auto" w:fill="auto"/>
            <w:vAlign w:val="center"/>
          </w:tcPr>
          <w:p w14:paraId="5AA1259A" w14:textId="64FE1B26"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To evaluate the implementation and impact of Amplify – Empowering Student Voice, Agency and Leadership practice guide and the Amplify Toolkit</w:t>
            </w:r>
            <w:r w:rsidR="00FB754F">
              <w:rPr>
                <w:rFonts w:ascii="Calibri" w:eastAsia="Times New Roman" w:hAnsi="Calibri" w:cs="Calibri"/>
                <w:sz w:val="18"/>
              </w:rPr>
              <w:t>.</w:t>
            </w:r>
          </w:p>
        </w:tc>
      </w:tr>
      <w:tr w:rsidR="0019565A" w:rsidRPr="00925213" w14:paraId="59650F1C"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B6A9218" w14:textId="77777777" w:rsidR="0019565A" w:rsidRPr="00F872A2" w:rsidRDefault="0019565A" w:rsidP="00693180">
            <w:pPr>
              <w:pStyle w:val="ESTablebody"/>
              <w:rPr>
                <w:rFonts w:ascii="Calibri" w:hAnsi="Calibri" w:cs="Calibri"/>
                <w:sz w:val="18"/>
              </w:rPr>
            </w:pPr>
            <w:r w:rsidRPr="00F872A2">
              <w:rPr>
                <w:rFonts w:ascii="Calibri" w:hAnsi="Calibri" w:cs="Calibri"/>
                <w:sz w:val="18"/>
              </w:rPr>
              <w:t xml:space="preserve">Apprenticeship Support Officer Program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12736CD3"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7122A6C7"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To provide a program level evaluation of the Apprenticeship Support Officer program to date.</w:t>
            </w:r>
          </w:p>
        </w:tc>
      </w:tr>
      <w:tr w:rsidR="0019565A" w:rsidRPr="00925213" w14:paraId="04E0120E"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50197E4" w14:textId="77777777" w:rsidR="0019565A" w:rsidRPr="00061F1C" w:rsidRDefault="0019565A" w:rsidP="00486B24">
            <w:pPr>
              <w:pStyle w:val="ESTablebody"/>
              <w:rPr>
                <w:rFonts w:ascii="Calibri" w:hAnsi="Calibri" w:cs="Calibri"/>
                <w:sz w:val="18"/>
              </w:rPr>
            </w:pPr>
            <w:r w:rsidRPr="00061F1C">
              <w:rPr>
                <w:rFonts w:ascii="Calibri" w:hAnsi="Calibri" w:cs="Calibri"/>
                <w:sz w:val="18"/>
              </w:rPr>
              <w:t>Catching Up in 2021 – Tutor Learning and Family Engagement Initiative</w:t>
            </w:r>
          </w:p>
        </w:tc>
        <w:tc>
          <w:tcPr>
            <w:tcW w:w="2126" w:type="dxa"/>
            <w:tcBorders>
              <w:top w:val="single" w:sz="4" w:space="0" w:color="auto"/>
              <w:bottom w:val="single" w:sz="4" w:space="0" w:color="auto"/>
            </w:tcBorders>
            <w:shd w:val="clear" w:color="auto" w:fill="auto"/>
            <w:vAlign w:val="center"/>
          </w:tcPr>
          <w:p w14:paraId="792CBCD3" w14:textId="77777777" w:rsidR="0019565A" w:rsidRPr="0079001C" w:rsidRDefault="0019565A" w:rsidP="00486B24">
            <w:pPr>
              <w:pStyle w:val="ESTablebody"/>
              <w:rPr>
                <w:rFonts w:ascii="Calibri" w:hAnsi="Calibri" w:cs="Calibri"/>
                <w:sz w:val="18"/>
              </w:rPr>
            </w:pPr>
            <w:r w:rsidRPr="00061F1C">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4454D0EE" w14:textId="77777777" w:rsidR="0019565A" w:rsidRPr="009F7FA2" w:rsidRDefault="0019565A" w:rsidP="00486B24">
            <w:pPr>
              <w:pStyle w:val="ESTablebody"/>
              <w:rPr>
                <w:rFonts w:ascii="Calibri" w:eastAsia="Times New Roman" w:hAnsi="Calibri" w:cs="Calibri"/>
                <w:sz w:val="18"/>
              </w:rPr>
            </w:pPr>
            <w:r w:rsidRPr="009F7FA2">
              <w:rPr>
                <w:rFonts w:ascii="Calibri" w:eastAsia="Times New Roman" w:hAnsi="Calibri" w:cs="Calibri"/>
                <w:sz w:val="18"/>
              </w:rPr>
              <w:t>To identify examples of tutoring practice models and determine the implications for the future direction of the broader school improvement architecture.</w:t>
            </w:r>
          </w:p>
        </w:tc>
      </w:tr>
      <w:tr w:rsidR="0019565A" w:rsidRPr="00925213" w14:paraId="64B69F7D"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3216387"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Child Information Sharing Mapping and Demand Analysis</w:t>
            </w:r>
          </w:p>
        </w:tc>
        <w:tc>
          <w:tcPr>
            <w:tcW w:w="2126" w:type="dxa"/>
            <w:tcBorders>
              <w:top w:val="single" w:sz="4" w:space="0" w:color="auto"/>
              <w:bottom w:val="single" w:sz="4" w:space="0" w:color="auto"/>
            </w:tcBorders>
            <w:shd w:val="clear" w:color="auto" w:fill="auto"/>
            <w:vAlign w:val="center"/>
          </w:tcPr>
          <w:p w14:paraId="52F3ED9C"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72EF6305"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To support improvements in the implementation and embedding of the Child Information Sharing Scheme.</w:t>
            </w:r>
          </w:p>
        </w:tc>
      </w:tr>
      <w:tr w:rsidR="0019565A" w:rsidRPr="00925213" w14:paraId="1A46E31F" w14:textId="77777777" w:rsidTr="00DD7F0E">
        <w:trPr>
          <w:cantSplit/>
          <w:trHeight w:val="629"/>
        </w:trPr>
        <w:tc>
          <w:tcPr>
            <w:tcW w:w="2547" w:type="dxa"/>
            <w:tcBorders>
              <w:top w:val="single" w:sz="4" w:space="0" w:color="auto"/>
              <w:bottom w:val="single" w:sz="4" w:space="0" w:color="auto"/>
            </w:tcBorders>
            <w:shd w:val="clear" w:color="auto" w:fill="auto"/>
            <w:vAlign w:val="center"/>
          </w:tcPr>
          <w:p w14:paraId="4D11752C" w14:textId="77777777" w:rsidR="0019565A" w:rsidRPr="0079001C" w:rsidRDefault="0019565A" w:rsidP="00AA753C">
            <w:pPr>
              <w:spacing w:before="120" w:after="120"/>
              <w:rPr>
                <w:rFonts w:ascii="Calibri" w:eastAsia="Times New Roman" w:hAnsi="Calibri" w:cs="Calibri"/>
                <w:sz w:val="18"/>
                <w:szCs w:val="18"/>
                <w:lang w:val="en-US"/>
              </w:rPr>
            </w:pPr>
            <w:r w:rsidRPr="0079001C">
              <w:rPr>
                <w:rFonts w:ascii="Calibri" w:eastAsia="Times New Roman" w:hAnsi="Calibri" w:cs="Calibri"/>
                <w:sz w:val="18"/>
                <w:szCs w:val="18"/>
                <w:lang w:val="en-US"/>
              </w:rPr>
              <w:t xml:space="preserve">Cost of </w:t>
            </w:r>
            <w:r>
              <w:rPr>
                <w:rFonts w:ascii="Calibri" w:eastAsia="Times New Roman" w:hAnsi="Calibri" w:cs="Calibri"/>
                <w:sz w:val="18"/>
                <w:szCs w:val="18"/>
                <w:lang w:val="en-US"/>
              </w:rPr>
              <w:t>Q</w:t>
            </w:r>
            <w:r w:rsidRPr="0079001C">
              <w:rPr>
                <w:rFonts w:ascii="Calibri" w:eastAsia="Times New Roman" w:hAnsi="Calibri" w:cs="Calibri"/>
                <w:sz w:val="18"/>
                <w:szCs w:val="18"/>
                <w:lang w:val="en-US"/>
              </w:rPr>
              <w:t xml:space="preserve">uality </w:t>
            </w:r>
            <w:r>
              <w:rPr>
                <w:rFonts w:ascii="Calibri" w:eastAsia="Times New Roman" w:hAnsi="Calibri" w:cs="Calibri"/>
                <w:sz w:val="18"/>
                <w:szCs w:val="18"/>
                <w:lang w:val="en-US"/>
              </w:rPr>
              <w:t>K</w:t>
            </w:r>
            <w:r w:rsidRPr="0079001C">
              <w:rPr>
                <w:rFonts w:ascii="Calibri" w:eastAsia="Times New Roman" w:hAnsi="Calibri" w:cs="Calibri"/>
                <w:sz w:val="18"/>
                <w:szCs w:val="18"/>
                <w:lang w:val="en-US"/>
              </w:rPr>
              <w:t>indergarten</w:t>
            </w:r>
          </w:p>
        </w:tc>
        <w:tc>
          <w:tcPr>
            <w:tcW w:w="2126" w:type="dxa"/>
            <w:tcBorders>
              <w:top w:val="single" w:sz="4" w:space="0" w:color="auto"/>
              <w:bottom w:val="single" w:sz="4" w:space="0" w:color="auto"/>
            </w:tcBorders>
            <w:shd w:val="clear" w:color="auto" w:fill="auto"/>
            <w:vAlign w:val="center"/>
          </w:tcPr>
          <w:p w14:paraId="31C8EF01"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Deloitte</w:t>
            </w:r>
          </w:p>
        </w:tc>
        <w:tc>
          <w:tcPr>
            <w:tcW w:w="4678" w:type="dxa"/>
            <w:tcBorders>
              <w:top w:val="single" w:sz="4" w:space="0" w:color="auto"/>
              <w:bottom w:val="single" w:sz="4" w:space="0" w:color="auto"/>
            </w:tcBorders>
            <w:shd w:val="clear" w:color="auto" w:fill="auto"/>
            <w:vAlign w:val="center"/>
          </w:tcPr>
          <w:p w14:paraId="0485C0EC"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To inform the development of opportunities and risks in the kindergarten funding system by using recent empirical data on how revenue and costs vary across Victoria’s diverse kindergarten providers.</w:t>
            </w:r>
          </w:p>
        </w:tc>
      </w:tr>
      <w:tr w:rsidR="0019565A" w:rsidRPr="00925213" w14:paraId="143AE6FA"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C83D762" w14:textId="77777777" w:rsidR="0019565A" w:rsidRPr="00FA0A73" w:rsidRDefault="0019565A" w:rsidP="00693180">
            <w:pPr>
              <w:pStyle w:val="ESTablebody"/>
              <w:rPr>
                <w:rFonts w:ascii="Calibri" w:hAnsi="Calibri" w:cs="Calibri"/>
                <w:color w:val="000000"/>
                <w:sz w:val="18"/>
              </w:rPr>
            </w:pPr>
            <w:r w:rsidRPr="00FA0A73">
              <w:rPr>
                <w:rFonts w:ascii="Calibri" w:hAnsi="Calibri" w:cs="Calibri"/>
                <w:color w:val="000000"/>
                <w:sz w:val="18"/>
              </w:rPr>
              <w:t xml:space="preserve">Detailed </w:t>
            </w:r>
            <w:r>
              <w:rPr>
                <w:rFonts w:ascii="Calibri" w:hAnsi="Calibri" w:cs="Calibri"/>
                <w:color w:val="000000"/>
                <w:sz w:val="18"/>
              </w:rPr>
              <w:t>E</w:t>
            </w:r>
            <w:r w:rsidRPr="00FA0A73">
              <w:rPr>
                <w:rFonts w:ascii="Calibri" w:hAnsi="Calibri" w:cs="Calibri"/>
                <w:color w:val="000000"/>
                <w:sz w:val="18"/>
              </w:rPr>
              <w:t xml:space="preserve">mployment </w:t>
            </w:r>
            <w:r>
              <w:rPr>
                <w:rFonts w:ascii="Calibri" w:hAnsi="Calibri" w:cs="Calibri"/>
                <w:color w:val="000000"/>
                <w:sz w:val="18"/>
              </w:rPr>
              <w:t>F</w:t>
            </w:r>
            <w:r w:rsidRPr="00FA0A73">
              <w:rPr>
                <w:rFonts w:ascii="Calibri" w:hAnsi="Calibri" w:cs="Calibri"/>
                <w:color w:val="000000"/>
                <w:sz w:val="18"/>
              </w:rPr>
              <w:t>orecasts</w:t>
            </w:r>
          </w:p>
        </w:tc>
        <w:tc>
          <w:tcPr>
            <w:tcW w:w="2126" w:type="dxa"/>
            <w:tcBorders>
              <w:top w:val="single" w:sz="4" w:space="0" w:color="auto"/>
              <w:bottom w:val="single" w:sz="4" w:space="0" w:color="auto"/>
            </w:tcBorders>
            <w:shd w:val="clear" w:color="auto" w:fill="auto"/>
            <w:vAlign w:val="center"/>
          </w:tcPr>
          <w:p w14:paraId="58EA8A24" w14:textId="77777777" w:rsidR="0019565A" w:rsidRPr="00FA0A73" w:rsidRDefault="0019565A" w:rsidP="00693180">
            <w:pPr>
              <w:pStyle w:val="ESTablebody"/>
              <w:rPr>
                <w:rFonts w:ascii="Calibri" w:hAnsi="Calibri" w:cs="Calibri"/>
                <w:sz w:val="18"/>
              </w:rPr>
            </w:pPr>
            <w:r w:rsidRPr="00FA0A73">
              <w:rPr>
                <w:rFonts w:ascii="Calibri" w:hAnsi="Calibri" w:cs="Calibri"/>
                <w:color w:val="000000"/>
                <w:sz w:val="18"/>
              </w:rPr>
              <w:t xml:space="preserve">Deloitte </w:t>
            </w:r>
          </w:p>
        </w:tc>
        <w:tc>
          <w:tcPr>
            <w:tcW w:w="4678" w:type="dxa"/>
            <w:tcBorders>
              <w:top w:val="single" w:sz="4" w:space="0" w:color="auto"/>
              <w:bottom w:val="single" w:sz="4" w:space="0" w:color="auto"/>
            </w:tcBorders>
            <w:shd w:val="clear" w:color="auto" w:fill="auto"/>
            <w:vAlign w:val="center"/>
          </w:tcPr>
          <w:p w14:paraId="38C2621E" w14:textId="77777777" w:rsidR="0019565A" w:rsidRPr="00FA0A73" w:rsidRDefault="0019565A" w:rsidP="00693180">
            <w:pPr>
              <w:pStyle w:val="ESTablebody"/>
              <w:rPr>
                <w:rFonts w:ascii="Calibri" w:hAnsi="Calibri" w:cs="Calibri"/>
                <w:sz w:val="18"/>
              </w:rPr>
            </w:pPr>
            <w:r w:rsidRPr="00FA0A73">
              <w:rPr>
                <w:rFonts w:ascii="Calibri" w:hAnsi="Calibri" w:cs="Calibri"/>
                <w:color w:val="000000"/>
                <w:sz w:val="18"/>
              </w:rPr>
              <w:t>To provide a comprehensive view of changing demand for occupations in Victoria.</w:t>
            </w:r>
          </w:p>
        </w:tc>
      </w:tr>
      <w:tr w:rsidR="0019565A" w:rsidRPr="00925213" w14:paraId="399A7111" w14:textId="77777777" w:rsidTr="00AA753C">
        <w:trPr>
          <w:cantSplit/>
          <w:trHeight w:val="628"/>
        </w:trPr>
        <w:tc>
          <w:tcPr>
            <w:tcW w:w="2547" w:type="dxa"/>
            <w:tcBorders>
              <w:top w:val="single" w:sz="4" w:space="0" w:color="auto"/>
              <w:bottom w:val="single" w:sz="4" w:space="0" w:color="auto"/>
            </w:tcBorders>
            <w:shd w:val="clear" w:color="auto" w:fill="auto"/>
            <w:vAlign w:val="center"/>
          </w:tcPr>
          <w:p w14:paraId="32BBC2A3" w14:textId="77777777" w:rsidR="0019565A" w:rsidRPr="00693180" w:rsidRDefault="0019565A" w:rsidP="00E031DC">
            <w:pPr>
              <w:pStyle w:val="ESTablebody"/>
              <w:rPr>
                <w:rFonts w:ascii="Calibri" w:hAnsi="Calibri" w:cs="Calibri"/>
                <w:sz w:val="18"/>
              </w:rPr>
            </w:pPr>
            <w:r w:rsidRPr="00693180">
              <w:rPr>
                <w:rFonts w:ascii="Calibri" w:hAnsi="Calibri" w:cs="Calibri"/>
                <w:sz w:val="18"/>
              </w:rPr>
              <w:t>Development of a 10 Year Digital Horizon roadmap for government schools in Victoria</w:t>
            </w:r>
          </w:p>
        </w:tc>
        <w:tc>
          <w:tcPr>
            <w:tcW w:w="2126" w:type="dxa"/>
            <w:tcBorders>
              <w:top w:val="single" w:sz="4" w:space="0" w:color="auto"/>
              <w:bottom w:val="single" w:sz="4" w:space="0" w:color="auto"/>
            </w:tcBorders>
            <w:shd w:val="clear" w:color="auto" w:fill="auto"/>
            <w:vAlign w:val="center"/>
          </w:tcPr>
          <w:p w14:paraId="6826BB6F" w14:textId="77777777" w:rsidR="0019565A" w:rsidRPr="00693180" w:rsidRDefault="0019565A" w:rsidP="00E031DC">
            <w:pPr>
              <w:pStyle w:val="ESTablebody"/>
              <w:rPr>
                <w:rFonts w:ascii="Calibri" w:hAnsi="Calibri" w:cs="Calibri"/>
                <w:sz w:val="18"/>
              </w:rPr>
            </w:pPr>
            <w:r w:rsidRPr="00693180">
              <w:rPr>
                <w:rFonts w:ascii="Calibri" w:hAnsi="Calibri" w:cs="Calibri"/>
                <w:sz w:val="18"/>
              </w:rPr>
              <w:t>KPMG</w:t>
            </w:r>
          </w:p>
        </w:tc>
        <w:tc>
          <w:tcPr>
            <w:tcW w:w="4678" w:type="dxa"/>
            <w:tcBorders>
              <w:top w:val="single" w:sz="4" w:space="0" w:color="auto"/>
              <w:bottom w:val="single" w:sz="4" w:space="0" w:color="auto"/>
            </w:tcBorders>
            <w:shd w:val="clear" w:color="auto" w:fill="auto"/>
            <w:vAlign w:val="center"/>
          </w:tcPr>
          <w:p w14:paraId="30F17175" w14:textId="77777777" w:rsidR="0019565A" w:rsidRPr="00693180" w:rsidRDefault="0019565A" w:rsidP="00E031DC">
            <w:pPr>
              <w:pStyle w:val="ESTablebody"/>
              <w:rPr>
                <w:rFonts w:ascii="Calibri" w:hAnsi="Calibri" w:cs="Calibri"/>
                <w:sz w:val="18"/>
              </w:rPr>
            </w:pPr>
            <w:r w:rsidRPr="00693180">
              <w:rPr>
                <w:rFonts w:ascii="Calibri" w:hAnsi="Calibri" w:cs="Calibri"/>
                <w:sz w:val="18"/>
              </w:rPr>
              <w:t>To establish the framework for investment in digital capability in Victorian government schools.</w:t>
            </w:r>
          </w:p>
        </w:tc>
      </w:tr>
      <w:tr w:rsidR="0019565A" w:rsidRPr="00925213" w14:paraId="39A8F707"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74F071AA" w14:textId="77777777" w:rsidR="0019565A" w:rsidRPr="00FA0A73" w:rsidRDefault="0019565A" w:rsidP="00693180">
            <w:pPr>
              <w:pStyle w:val="ESTablebody"/>
              <w:rPr>
                <w:rFonts w:ascii="Calibri" w:hAnsi="Calibri" w:cs="Calibri"/>
                <w:sz w:val="18"/>
              </w:rPr>
            </w:pPr>
            <w:r w:rsidRPr="00F872A2">
              <w:rPr>
                <w:rFonts w:ascii="Calibri" w:hAnsi="Calibri" w:cs="Calibri"/>
                <w:sz w:val="18"/>
              </w:rPr>
              <w:t>Development of Skills Solution Model across Priority Industries</w:t>
            </w:r>
          </w:p>
        </w:tc>
        <w:tc>
          <w:tcPr>
            <w:tcW w:w="2126" w:type="dxa"/>
            <w:tcBorders>
              <w:top w:val="single" w:sz="4" w:space="0" w:color="auto"/>
              <w:bottom w:val="single" w:sz="4" w:space="0" w:color="auto"/>
            </w:tcBorders>
            <w:shd w:val="clear" w:color="auto" w:fill="auto"/>
            <w:vAlign w:val="center"/>
          </w:tcPr>
          <w:p w14:paraId="47457474"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N</w:t>
            </w:r>
            <w:r>
              <w:rPr>
                <w:rFonts w:ascii="Calibri" w:hAnsi="Calibri" w:cs="Calibri"/>
                <w:sz w:val="18"/>
              </w:rPr>
              <w:t>ous</w:t>
            </w:r>
          </w:p>
        </w:tc>
        <w:tc>
          <w:tcPr>
            <w:tcW w:w="4678" w:type="dxa"/>
            <w:tcBorders>
              <w:top w:val="single" w:sz="4" w:space="0" w:color="auto"/>
              <w:bottom w:val="single" w:sz="4" w:space="0" w:color="auto"/>
            </w:tcBorders>
            <w:shd w:val="clear" w:color="auto" w:fill="auto"/>
            <w:vAlign w:val="center"/>
          </w:tcPr>
          <w:p w14:paraId="4E915CFB" w14:textId="3DFFA618" w:rsidR="0019565A" w:rsidRPr="00FA0A73" w:rsidRDefault="0019565A" w:rsidP="00693180">
            <w:pPr>
              <w:pStyle w:val="ESTablebody"/>
              <w:rPr>
                <w:rFonts w:ascii="Calibri" w:hAnsi="Calibri" w:cs="Calibri"/>
                <w:sz w:val="18"/>
              </w:rPr>
            </w:pPr>
            <w:r w:rsidRPr="00FA0A73">
              <w:rPr>
                <w:rFonts w:ascii="Calibri" w:hAnsi="Calibri" w:cs="Calibri"/>
                <w:sz w:val="18"/>
              </w:rPr>
              <w:t>To develop a ‘</w:t>
            </w:r>
            <w:r w:rsidR="003838D0">
              <w:rPr>
                <w:rFonts w:ascii="Calibri" w:hAnsi="Calibri" w:cs="Calibri"/>
                <w:sz w:val="18"/>
              </w:rPr>
              <w:t>s</w:t>
            </w:r>
            <w:r w:rsidRPr="00FA0A73">
              <w:rPr>
                <w:rFonts w:ascii="Calibri" w:hAnsi="Calibri" w:cs="Calibri"/>
                <w:sz w:val="18"/>
              </w:rPr>
              <w:t xml:space="preserve">kills </w:t>
            </w:r>
            <w:r w:rsidR="003838D0">
              <w:rPr>
                <w:rFonts w:ascii="Calibri" w:hAnsi="Calibri" w:cs="Calibri"/>
                <w:sz w:val="18"/>
              </w:rPr>
              <w:t>s</w:t>
            </w:r>
            <w:r w:rsidRPr="00FA0A73">
              <w:rPr>
                <w:rFonts w:ascii="Calibri" w:hAnsi="Calibri" w:cs="Calibri"/>
                <w:sz w:val="18"/>
              </w:rPr>
              <w:t>olutions’ model to address current and anticipated skills and workforce shortages in priority industries in Victoria.</w:t>
            </w:r>
          </w:p>
        </w:tc>
      </w:tr>
      <w:tr w:rsidR="0019565A" w:rsidRPr="00925213" w14:paraId="040DB01F"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219AC53" w14:textId="77777777" w:rsidR="0019565A" w:rsidRPr="0019565A" w:rsidRDefault="0019565A" w:rsidP="00482320">
            <w:pPr>
              <w:pStyle w:val="ESTablebody"/>
              <w:rPr>
                <w:rFonts w:ascii="Calibri" w:hAnsi="Calibri" w:cs="Calibri"/>
                <w:sz w:val="18"/>
              </w:rPr>
            </w:pPr>
            <w:r w:rsidRPr="0019565A">
              <w:rPr>
                <w:rFonts w:ascii="Calibri" w:hAnsi="Calibri" w:cs="Calibri"/>
                <w:sz w:val="18"/>
              </w:rPr>
              <w:lastRenderedPageBreak/>
              <w:t>Developmental Evaluation of the Child Link Pilot Phase Implementation</w:t>
            </w:r>
          </w:p>
        </w:tc>
        <w:tc>
          <w:tcPr>
            <w:tcW w:w="2126" w:type="dxa"/>
            <w:tcBorders>
              <w:top w:val="single" w:sz="4" w:space="0" w:color="auto"/>
              <w:bottom w:val="single" w:sz="4" w:space="0" w:color="auto"/>
            </w:tcBorders>
            <w:shd w:val="clear" w:color="auto" w:fill="auto"/>
            <w:vAlign w:val="center"/>
          </w:tcPr>
          <w:p w14:paraId="4DF4AB64"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Allen + Clarke</w:t>
            </w:r>
          </w:p>
        </w:tc>
        <w:tc>
          <w:tcPr>
            <w:tcW w:w="4678" w:type="dxa"/>
            <w:tcBorders>
              <w:top w:val="single" w:sz="4" w:space="0" w:color="auto"/>
              <w:bottom w:val="single" w:sz="4" w:space="0" w:color="auto"/>
            </w:tcBorders>
            <w:shd w:val="clear" w:color="auto" w:fill="auto"/>
            <w:vAlign w:val="center"/>
          </w:tcPr>
          <w:p w14:paraId="3E6000DB" w14:textId="200ED6D7" w:rsidR="0019565A" w:rsidRPr="0019565A" w:rsidRDefault="0019565A" w:rsidP="00482320">
            <w:pPr>
              <w:pStyle w:val="ESTablebody"/>
              <w:rPr>
                <w:rFonts w:ascii="Calibri" w:hAnsi="Calibri" w:cs="Calibri"/>
                <w:sz w:val="18"/>
              </w:rPr>
            </w:pPr>
            <w:r w:rsidRPr="0019565A">
              <w:rPr>
                <w:rFonts w:ascii="Calibri" w:hAnsi="Calibri" w:cs="Calibri"/>
                <w:sz w:val="18"/>
              </w:rPr>
              <w:t xml:space="preserve">To obtain independent advice and recommendations on factors that may enhance the </w:t>
            </w:r>
            <w:r w:rsidR="003838D0">
              <w:rPr>
                <w:rFonts w:ascii="Calibri" w:hAnsi="Calibri" w:cs="Calibri"/>
                <w:sz w:val="18"/>
              </w:rPr>
              <w:t>p</w:t>
            </w:r>
            <w:r w:rsidRPr="0019565A">
              <w:rPr>
                <w:rFonts w:ascii="Calibri" w:hAnsi="Calibri" w:cs="Calibri"/>
                <w:sz w:val="18"/>
              </w:rPr>
              <w:t xml:space="preserve">ilot </w:t>
            </w:r>
            <w:r w:rsidR="003838D0">
              <w:rPr>
                <w:rFonts w:ascii="Calibri" w:hAnsi="Calibri" w:cs="Calibri"/>
                <w:sz w:val="18"/>
              </w:rPr>
              <w:t>p</w:t>
            </w:r>
            <w:r w:rsidRPr="0019565A">
              <w:rPr>
                <w:rFonts w:ascii="Calibri" w:hAnsi="Calibri" w:cs="Calibri"/>
                <w:sz w:val="18"/>
              </w:rPr>
              <w:t>hase implementation and subsequent implementation of Child Link.</w:t>
            </w:r>
          </w:p>
        </w:tc>
      </w:tr>
      <w:tr w:rsidR="0019565A" w:rsidRPr="00925213" w14:paraId="40C84738"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C2A5195"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Disability Inclusion Support Improvement Project</w:t>
            </w:r>
          </w:p>
        </w:tc>
        <w:tc>
          <w:tcPr>
            <w:tcW w:w="2126" w:type="dxa"/>
            <w:tcBorders>
              <w:top w:val="single" w:sz="4" w:space="0" w:color="auto"/>
              <w:bottom w:val="single" w:sz="4" w:space="0" w:color="auto"/>
            </w:tcBorders>
            <w:shd w:val="clear" w:color="auto" w:fill="auto"/>
            <w:vAlign w:val="center"/>
          </w:tcPr>
          <w:p w14:paraId="1E887D13"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7533015D"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To examine the supports available for children with disability, developmental delay or complex medical needs to access and engage in a funded kindergarten program. </w:t>
            </w:r>
          </w:p>
        </w:tc>
      </w:tr>
      <w:tr w:rsidR="0019565A" w:rsidRPr="00925213" w14:paraId="792CCD3D"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E6101B0" w14:textId="77777777" w:rsidR="0019565A" w:rsidRPr="0079001C" w:rsidRDefault="0019565A" w:rsidP="00AA753C">
            <w:pPr>
              <w:spacing w:before="120" w:after="120"/>
              <w:rPr>
                <w:rFonts w:ascii="Calibri" w:eastAsia="Times New Roman" w:hAnsi="Calibri" w:cs="Calibri"/>
                <w:sz w:val="18"/>
                <w:szCs w:val="18"/>
                <w:lang w:val="en-US"/>
              </w:rPr>
            </w:pPr>
            <w:r w:rsidRPr="0079001C">
              <w:rPr>
                <w:rFonts w:ascii="Calibri" w:eastAsia="Times New Roman" w:hAnsi="Calibri" w:cs="Calibri"/>
                <w:sz w:val="18"/>
                <w:szCs w:val="18"/>
                <w:lang w:val="en-US"/>
              </w:rPr>
              <w:t>Early Childhood Strategic Evaluation</w:t>
            </w:r>
          </w:p>
        </w:tc>
        <w:tc>
          <w:tcPr>
            <w:tcW w:w="2126" w:type="dxa"/>
            <w:tcBorders>
              <w:top w:val="single" w:sz="4" w:space="0" w:color="auto"/>
              <w:bottom w:val="single" w:sz="4" w:space="0" w:color="auto"/>
            </w:tcBorders>
            <w:shd w:val="clear" w:color="auto" w:fill="auto"/>
            <w:vAlign w:val="center"/>
          </w:tcPr>
          <w:p w14:paraId="4A8AAEAE" w14:textId="77777777" w:rsidR="0019565A" w:rsidRPr="0079001C" w:rsidRDefault="0019565A" w:rsidP="00AA753C">
            <w:pPr>
              <w:pStyle w:val="ESTablebody"/>
              <w:rPr>
                <w:rFonts w:ascii="Calibri" w:eastAsia="Times New Roman" w:hAnsi="Calibri" w:cs="Calibri"/>
                <w:sz w:val="18"/>
              </w:rPr>
            </w:pPr>
            <w:r w:rsidRPr="0079001C">
              <w:rPr>
                <w:rFonts w:ascii="Calibri" w:eastAsia="Times New Roman" w:hAnsi="Calibri" w:cs="Calibri"/>
                <w:sz w:val="18"/>
              </w:rPr>
              <w:t>ACIL Allen</w:t>
            </w:r>
          </w:p>
        </w:tc>
        <w:tc>
          <w:tcPr>
            <w:tcW w:w="4678" w:type="dxa"/>
            <w:tcBorders>
              <w:top w:val="single" w:sz="4" w:space="0" w:color="auto"/>
              <w:bottom w:val="single" w:sz="4" w:space="0" w:color="auto"/>
            </w:tcBorders>
            <w:shd w:val="clear" w:color="auto" w:fill="auto"/>
            <w:vAlign w:val="center"/>
          </w:tcPr>
          <w:p w14:paraId="455C18B6"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To evaluate the collective impact of priority reforms under the early childhood reform plan.</w:t>
            </w:r>
          </w:p>
        </w:tc>
      </w:tr>
      <w:tr w:rsidR="0019565A" w:rsidRPr="00925213" w14:paraId="44624CD7"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6CA962B"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Early Years Assessment and Learning Tool Development and Pilot</w:t>
            </w:r>
          </w:p>
        </w:tc>
        <w:tc>
          <w:tcPr>
            <w:tcW w:w="2126" w:type="dxa"/>
            <w:tcBorders>
              <w:top w:val="single" w:sz="4" w:space="0" w:color="auto"/>
              <w:bottom w:val="single" w:sz="4" w:space="0" w:color="auto"/>
            </w:tcBorders>
            <w:shd w:val="clear" w:color="auto" w:fill="auto"/>
            <w:vAlign w:val="center"/>
          </w:tcPr>
          <w:p w14:paraId="64EFD6F2"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6015EE42"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To develop and pilot an assessment tool for use by educators in kindergarten programs.</w:t>
            </w:r>
          </w:p>
        </w:tc>
      </w:tr>
      <w:tr w:rsidR="0019565A" w:rsidRPr="00925213" w14:paraId="17D2B093"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A2ABF68"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Early Years Assessment and Learning Tool Pilot Evaluation</w:t>
            </w:r>
          </w:p>
        </w:tc>
        <w:tc>
          <w:tcPr>
            <w:tcW w:w="2126" w:type="dxa"/>
            <w:tcBorders>
              <w:top w:val="single" w:sz="4" w:space="0" w:color="auto"/>
              <w:bottom w:val="single" w:sz="4" w:space="0" w:color="auto"/>
            </w:tcBorders>
            <w:shd w:val="clear" w:color="auto" w:fill="auto"/>
            <w:vAlign w:val="center"/>
          </w:tcPr>
          <w:p w14:paraId="24FDB074"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ARTD Consultants</w:t>
            </w:r>
          </w:p>
        </w:tc>
        <w:tc>
          <w:tcPr>
            <w:tcW w:w="4678" w:type="dxa"/>
            <w:tcBorders>
              <w:top w:val="single" w:sz="4" w:space="0" w:color="auto"/>
              <w:bottom w:val="single" w:sz="4" w:space="0" w:color="auto"/>
            </w:tcBorders>
            <w:shd w:val="clear" w:color="auto" w:fill="auto"/>
            <w:vAlign w:val="center"/>
          </w:tcPr>
          <w:p w14:paraId="33672A68"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To evaluate the use of the Early Years Assessment and Learning Tool in the pilot.</w:t>
            </w:r>
          </w:p>
        </w:tc>
      </w:tr>
      <w:tr w:rsidR="0019565A" w:rsidRPr="00925213" w14:paraId="67628357"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8CCB43F" w14:textId="77777777" w:rsidR="0019565A" w:rsidRPr="00FA0A73" w:rsidRDefault="0019565A" w:rsidP="0066712A">
            <w:pPr>
              <w:pStyle w:val="ESTablebody"/>
              <w:rPr>
                <w:rFonts w:ascii="Calibri" w:hAnsi="Calibri" w:cs="Calibri"/>
                <w:sz w:val="18"/>
              </w:rPr>
            </w:pPr>
            <w:r w:rsidRPr="00FA0A73">
              <w:rPr>
                <w:rFonts w:ascii="Calibri" w:hAnsi="Calibri" w:cs="Calibri"/>
                <w:sz w:val="18"/>
              </w:rPr>
              <w:t>Education Plans Evaluation</w:t>
            </w:r>
          </w:p>
        </w:tc>
        <w:tc>
          <w:tcPr>
            <w:tcW w:w="2126" w:type="dxa"/>
            <w:tcBorders>
              <w:top w:val="single" w:sz="4" w:space="0" w:color="auto"/>
              <w:bottom w:val="single" w:sz="4" w:space="0" w:color="auto"/>
            </w:tcBorders>
            <w:shd w:val="clear" w:color="auto" w:fill="auto"/>
            <w:vAlign w:val="center"/>
          </w:tcPr>
          <w:p w14:paraId="302B9B3F" w14:textId="77777777" w:rsidR="0019565A" w:rsidRPr="00FA0A73" w:rsidRDefault="0019565A" w:rsidP="0066712A">
            <w:pPr>
              <w:pStyle w:val="ESTablebody"/>
              <w:rPr>
                <w:rFonts w:ascii="Calibri" w:hAnsi="Calibri" w:cs="Calibri"/>
                <w:sz w:val="18"/>
              </w:rPr>
            </w:pPr>
            <w:proofErr w:type="spellStart"/>
            <w:r w:rsidRPr="00FA0A73">
              <w:rPr>
                <w:rFonts w:ascii="Calibri" w:hAnsi="Calibri" w:cs="Calibri"/>
                <w:sz w:val="18"/>
              </w:rPr>
              <w:t>Synergistiq</w:t>
            </w:r>
            <w:proofErr w:type="spellEnd"/>
          </w:p>
        </w:tc>
        <w:tc>
          <w:tcPr>
            <w:tcW w:w="4678" w:type="dxa"/>
            <w:tcBorders>
              <w:top w:val="single" w:sz="4" w:space="0" w:color="auto"/>
              <w:bottom w:val="single" w:sz="4" w:space="0" w:color="auto"/>
            </w:tcBorders>
            <w:shd w:val="clear" w:color="auto" w:fill="auto"/>
            <w:vAlign w:val="center"/>
          </w:tcPr>
          <w:p w14:paraId="13EF88DF" w14:textId="7454A77B" w:rsidR="0019565A" w:rsidRPr="00FA0A73" w:rsidRDefault="0019565A" w:rsidP="0066712A">
            <w:pPr>
              <w:pStyle w:val="ESTablebody"/>
              <w:rPr>
                <w:rFonts w:ascii="Calibri" w:hAnsi="Calibri" w:cs="Calibri"/>
                <w:sz w:val="18"/>
              </w:rPr>
            </w:pPr>
            <w:r w:rsidRPr="00FA0A73">
              <w:rPr>
                <w:rFonts w:ascii="Calibri" w:hAnsi="Calibri" w:cs="Calibri"/>
                <w:sz w:val="18"/>
              </w:rPr>
              <w:t xml:space="preserve">To review the planning, </w:t>
            </w:r>
            <w:proofErr w:type="gramStart"/>
            <w:r w:rsidRPr="00FA0A73">
              <w:rPr>
                <w:rFonts w:ascii="Calibri" w:hAnsi="Calibri" w:cs="Calibri"/>
                <w:sz w:val="18"/>
              </w:rPr>
              <w:t>implementation</w:t>
            </w:r>
            <w:proofErr w:type="gramEnd"/>
            <w:r w:rsidRPr="00FA0A73">
              <w:rPr>
                <w:rFonts w:ascii="Calibri" w:hAnsi="Calibri" w:cs="Calibri"/>
                <w:sz w:val="18"/>
              </w:rPr>
              <w:t xml:space="preserve"> and outcomes of the Education Plan initiative and its eight plans. To quantify and qualify insights into the most effective approaches to and the impact of interventions being delivered.</w:t>
            </w:r>
          </w:p>
        </w:tc>
      </w:tr>
      <w:tr w:rsidR="0019565A" w:rsidRPr="00925213" w14:paraId="5B9D1066"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9558083" w14:textId="77777777" w:rsidR="0019565A" w:rsidRPr="0079001C" w:rsidRDefault="0019565A" w:rsidP="00486B24">
            <w:pPr>
              <w:pStyle w:val="ESTablebody"/>
              <w:rPr>
                <w:rFonts w:ascii="Calibri" w:hAnsi="Calibri" w:cs="Calibri"/>
                <w:sz w:val="18"/>
              </w:rPr>
            </w:pPr>
            <w:r w:rsidRPr="000547D4">
              <w:rPr>
                <w:rFonts w:ascii="Calibri" w:hAnsi="Calibri" w:cs="Calibri"/>
                <w:sz w:val="18"/>
              </w:rPr>
              <w:t xml:space="preserve">Employee Wellbeing and Operational Policy Reforms </w:t>
            </w:r>
            <w:r>
              <w:rPr>
                <w:rFonts w:ascii="Calibri" w:hAnsi="Calibri" w:cs="Calibri"/>
                <w:sz w:val="18"/>
              </w:rPr>
              <w:t>E</w:t>
            </w:r>
            <w:r w:rsidRPr="000547D4">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70300E9C" w14:textId="77777777" w:rsidR="0019565A" w:rsidRPr="0079001C" w:rsidRDefault="0019565A" w:rsidP="00486B24">
            <w:pPr>
              <w:pStyle w:val="ESTablebody"/>
              <w:rPr>
                <w:rFonts w:ascii="Calibri" w:hAnsi="Calibri" w:cs="Calibri"/>
                <w:sz w:val="18"/>
              </w:rPr>
            </w:pPr>
            <w:r w:rsidRPr="000547D4">
              <w:rPr>
                <w:rFonts w:ascii="Calibri" w:hAnsi="Calibri" w:cs="Calibri"/>
                <w:sz w:val="18"/>
              </w:rPr>
              <w:t>Paxton Partners</w:t>
            </w:r>
          </w:p>
        </w:tc>
        <w:tc>
          <w:tcPr>
            <w:tcW w:w="4678" w:type="dxa"/>
            <w:tcBorders>
              <w:top w:val="single" w:sz="4" w:space="0" w:color="auto"/>
              <w:bottom w:val="single" w:sz="4" w:space="0" w:color="auto"/>
            </w:tcBorders>
            <w:shd w:val="clear" w:color="auto" w:fill="auto"/>
            <w:vAlign w:val="center"/>
          </w:tcPr>
          <w:p w14:paraId="7EAD5B86" w14:textId="797E12FE" w:rsidR="0019565A" w:rsidRPr="009F7FA2" w:rsidRDefault="0019565A" w:rsidP="00486B24">
            <w:pPr>
              <w:pStyle w:val="ESTablebody"/>
              <w:rPr>
                <w:rFonts w:ascii="Calibri" w:eastAsia="Times New Roman" w:hAnsi="Calibri" w:cs="Calibri"/>
                <w:sz w:val="18"/>
              </w:rPr>
            </w:pPr>
            <w:r w:rsidRPr="000547D4">
              <w:rPr>
                <w:rFonts w:ascii="Calibri" w:hAnsi="Calibri" w:cs="Calibri"/>
                <w:sz w:val="18"/>
              </w:rPr>
              <w:t xml:space="preserve">To evaluate the individual and collective impact of </w:t>
            </w:r>
            <w:r w:rsidR="003838D0">
              <w:rPr>
                <w:rFonts w:ascii="Calibri" w:hAnsi="Calibri" w:cs="Calibri"/>
                <w:sz w:val="18"/>
              </w:rPr>
              <w:t>p</w:t>
            </w:r>
            <w:r w:rsidRPr="000547D4">
              <w:rPr>
                <w:rFonts w:ascii="Calibri" w:hAnsi="Calibri" w:cs="Calibri"/>
                <w:sz w:val="18"/>
              </w:rPr>
              <w:t xml:space="preserve">rincipal </w:t>
            </w:r>
            <w:r w:rsidR="003838D0">
              <w:rPr>
                <w:rFonts w:ascii="Calibri" w:hAnsi="Calibri" w:cs="Calibri"/>
                <w:sz w:val="18"/>
              </w:rPr>
              <w:t>h</w:t>
            </w:r>
            <w:r w:rsidRPr="000547D4">
              <w:rPr>
                <w:rFonts w:ascii="Calibri" w:hAnsi="Calibri" w:cs="Calibri"/>
                <w:sz w:val="18"/>
              </w:rPr>
              <w:t xml:space="preserve">ealth and </w:t>
            </w:r>
            <w:r w:rsidR="003838D0">
              <w:rPr>
                <w:rFonts w:ascii="Calibri" w:hAnsi="Calibri" w:cs="Calibri"/>
                <w:sz w:val="18"/>
              </w:rPr>
              <w:t>w</w:t>
            </w:r>
            <w:r w:rsidRPr="000547D4">
              <w:rPr>
                <w:rFonts w:ascii="Calibri" w:hAnsi="Calibri" w:cs="Calibri"/>
                <w:sz w:val="18"/>
              </w:rPr>
              <w:t>ellbeing</w:t>
            </w:r>
            <w:r w:rsidR="003838D0">
              <w:rPr>
                <w:rFonts w:ascii="Calibri" w:hAnsi="Calibri" w:cs="Calibri"/>
                <w:sz w:val="18"/>
              </w:rPr>
              <w:t>,</w:t>
            </w:r>
            <w:r w:rsidRPr="000547D4">
              <w:rPr>
                <w:rFonts w:ascii="Calibri" w:hAnsi="Calibri" w:cs="Calibri"/>
                <w:sz w:val="18"/>
              </w:rPr>
              <w:t xml:space="preserve"> </w:t>
            </w:r>
            <w:r w:rsidR="003838D0">
              <w:rPr>
                <w:rFonts w:ascii="Calibri" w:hAnsi="Calibri" w:cs="Calibri"/>
                <w:sz w:val="18"/>
              </w:rPr>
              <w:t>o</w:t>
            </w:r>
            <w:r w:rsidRPr="000547D4">
              <w:rPr>
                <w:rFonts w:ascii="Calibri" w:hAnsi="Calibri" w:cs="Calibri"/>
                <w:sz w:val="18"/>
              </w:rPr>
              <w:t xml:space="preserve">ccupational </w:t>
            </w:r>
            <w:r w:rsidR="003838D0">
              <w:rPr>
                <w:rFonts w:ascii="Calibri" w:hAnsi="Calibri" w:cs="Calibri"/>
                <w:sz w:val="18"/>
              </w:rPr>
              <w:t>h</w:t>
            </w:r>
            <w:r w:rsidRPr="000547D4">
              <w:rPr>
                <w:rFonts w:ascii="Calibri" w:hAnsi="Calibri" w:cs="Calibri"/>
                <w:sz w:val="18"/>
              </w:rPr>
              <w:t xml:space="preserve">ealth and </w:t>
            </w:r>
            <w:r w:rsidR="003838D0">
              <w:rPr>
                <w:rFonts w:ascii="Calibri" w:hAnsi="Calibri" w:cs="Calibri"/>
                <w:sz w:val="18"/>
              </w:rPr>
              <w:t>s</w:t>
            </w:r>
            <w:r w:rsidRPr="000547D4">
              <w:rPr>
                <w:rFonts w:ascii="Calibri" w:hAnsi="Calibri" w:cs="Calibri"/>
                <w:sz w:val="18"/>
              </w:rPr>
              <w:t xml:space="preserve">afety and </w:t>
            </w:r>
            <w:r w:rsidR="003838D0">
              <w:rPr>
                <w:rFonts w:ascii="Calibri" w:hAnsi="Calibri" w:cs="Calibri"/>
                <w:sz w:val="18"/>
              </w:rPr>
              <w:t>w</w:t>
            </w:r>
            <w:r w:rsidRPr="000547D4">
              <w:rPr>
                <w:rFonts w:ascii="Calibri" w:hAnsi="Calibri" w:cs="Calibri"/>
                <w:sz w:val="18"/>
              </w:rPr>
              <w:t xml:space="preserve">orkers’ </w:t>
            </w:r>
            <w:r w:rsidR="003838D0">
              <w:rPr>
                <w:rFonts w:ascii="Calibri" w:hAnsi="Calibri" w:cs="Calibri"/>
                <w:sz w:val="18"/>
              </w:rPr>
              <w:t>c</w:t>
            </w:r>
            <w:r w:rsidRPr="000547D4">
              <w:rPr>
                <w:rFonts w:ascii="Calibri" w:hAnsi="Calibri" w:cs="Calibri"/>
                <w:sz w:val="18"/>
              </w:rPr>
              <w:t xml:space="preserve">ompensation and </w:t>
            </w:r>
            <w:r w:rsidR="003838D0">
              <w:rPr>
                <w:rFonts w:ascii="Calibri" w:hAnsi="Calibri" w:cs="Calibri"/>
                <w:sz w:val="18"/>
              </w:rPr>
              <w:t>o</w:t>
            </w:r>
            <w:r w:rsidRPr="000547D4">
              <w:rPr>
                <w:rFonts w:ascii="Calibri" w:hAnsi="Calibri" w:cs="Calibri"/>
                <w:sz w:val="18"/>
              </w:rPr>
              <w:t xml:space="preserve">perational </w:t>
            </w:r>
            <w:r w:rsidR="003838D0">
              <w:rPr>
                <w:rFonts w:ascii="Calibri" w:hAnsi="Calibri" w:cs="Calibri"/>
                <w:sz w:val="18"/>
              </w:rPr>
              <w:t>p</w:t>
            </w:r>
            <w:r w:rsidRPr="000547D4">
              <w:rPr>
                <w:rFonts w:ascii="Calibri" w:hAnsi="Calibri" w:cs="Calibri"/>
                <w:sz w:val="18"/>
              </w:rPr>
              <w:t xml:space="preserve">olicy </w:t>
            </w:r>
            <w:r w:rsidR="003838D0">
              <w:rPr>
                <w:rFonts w:ascii="Calibri" w:hAnsi="Calibri" w:cs="Calibri"/>
                <w:sz w:val="18"/>
              </w:rPr>
              <w:t>r</w:t>
            </w:r>
            <w:r w:rsidRPr="000547D4">
              <w:rPr>
                <w:rFonts w:ascii="Calibri" w:hAnsi="Calibri" w:cs="Calibri"/>
                <w:sz w:val="18"/>
              </w:rPr>
              <w:t xml:space="preserve">eforms. </w:t>
            </w:r>
          </w:p>
        </w:tc>
      </w:tr>
      <w:tr w:rsidR="0019565A" w:rsidRPr="00925213" w14:paraId="0A401C8C"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38B0879" w14:textId="77777777" w:rsidR="0019565A" w:rsidRPr="0079001C" w:rsidRDefault="0019565A" w:rsidP="00061F1C">
            <w:pPr>
              <w:pStyle w:val="ESTablebody"/>
              <w:rPr>
                <w:rFonts w:ascii="Calibri" w:hAnsi="Calibri" w:cs="Calibri"/>
                <w:sz w:val="18"/>
              </w:rPr>
            </w:pPr>
            <w:r w:rsidRPr="003E4823">
              <w:rPr>
                <w:rFonts w:ascii="Calibri" w:hAnsi="Calibri" w:cs="Calibri"/>
                <w:sz w:val="18"/>
              </w:rPr>
              <w:t>Enhanced public health investigation of SARS-CoV-2 cases in Victorian schools and early childhood education and care</w:t>
            </w:r>
          </w:p>
        </w:tc>
        <w:tc>
          <w:tcPr>
            <w:tcW w:w="2126" w:type="dxa"/>
            <w:tcBorders>
              <w:top w:val="single" w:sz="4" w:space="0" w:color="auto"/>
              <w:bottom w:val="single" w:sz="4" w:space="0" w:color="auto"/>
            </w:tcBorders>
            <w:shd w:val="clear" w:color="auto" w:fill="auto"/>
            <w:vAlign w:val="center"/>
          </w:tcPr>
          <w:p w14:paraId="77D0E79D" w14:textId="77777777" w:rsidR="0019565A" w:rsidRPr="0079001C" w:rsidRDefault="0019565A" w:rsidP="00061F1C">
            <w:pPr>
              <w:pStyle w:val="ESTablebody"/>
              <w:rPr>
                <w:rFonts w:ascii="Calibri" w:hAnsi="Calibri" w:cs="Calibri"/>
                <w:sz w:val="18"/>
              </w:rPr>
            </w:pPr>
            <w:r w:rsidRPr="003E4823">
              <w:rPr>
                <w:rFonts w:ascii="Calibri" w:hAnsi="Calibri" w:cs="Calibri"/>
                <w:sz w:val="18"/>
              </w:rPr>
              <w:t>Murdoch Children’s Research Institute in partnership with the department and the Department of Health</w:t>
            </w:r>
          </w:p>
        </w:tc>
        <w:tc>
          <w:tcPr>
            <w:tcW w:w="4678" w:type="dxa"/>
            <w:tcBorders>
              <w:top w:val="single" w:sz="4" w:space="0" w:color="auto"/>
              <w:bottom w:val="single" w:sz="4" w:space="0" w:color="auto"/>
            </w:tcBorders>
            <w:shd w:val="clear" w:color="auto" w:fill="auto"/>
            <w:vAlign w:val="center"/>
          </w:tcPr>
          <w:p w14:paraId="24527430" w14:textId="77777777" w:rsidR="0019565A" w:rsidRPr="0079001C" w:rsidRDefault="0019565A" w:rsidP="00061F1C">
            <w:pPr>
              <w:pStyle w:val="ESTablebody"/>
              <w:rPr>
                <w:rFonts w:ascii="Calibri" w:hAnsi="Calibri" w:cs="Calibri"/>
                <w:sz w:val="18"/>
              </w:rPr>
            </w:pPr>
            <w:r w:rsidRPr="003E4823">
              <w:rPr>
                <w:rFonts w:ascii="Calibri" w:hAnsi="Calibri" w:cs="Calibri"/>
                <w:sz w:val="18"/>
              </w:rPr>
              <w:t>To research COVID-19 transmission in Victorian school and Early Childhood Education and Care settings.</w:t>
            </w:r>
          </w:p>
        </w:tc>
      </w:tr>
      <w:tr w:rsidR="0019565A" w:rsidRPr="00925213" w14:paraId="0D0E266B"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893E8CC" w14:textId="77777777" w:rsidR="0019565A" w:rsidRPr="00061F1C" w:rsidRDefault="0019565A" w:rsidP="00061F1C">
            <w:pPr>
              <w:pStyle w:val="ESTablebody"/>
              <w:rPr>
                <w:rFonts w:ascii="Calibri" w:hAnsi="Calibri" w:cs="Calibri"/>
                <w:sz w:val="18"/>
              </w:rPr>
            </w:pPr>
            <w:r w:rsidRPr="00061F1C">
              <w:rPr>
                <w:rFonts w:ascii="Calibri" w:hAnsi="Calibri" w:cs="Calibri"/>
                <w:sz w:val="18"/>
              </w:rPr>
              <w:t>Enhancing the Mentoring Capability Framework and the Graduate Teacher Capability Framework</w:t>
            </w:r>
          </w:p>
        </w:tc>
        <w:tc>
          <w:tcPr>
            <w:tcW w:w="2126" w:type="dxa"/>
            <w:tcBorders>
              <w:top w:val="single" w:sz="4" w:space="0" w:color="auto"/>
              <w:bottom w:val="single" w:sz="4" w:space="0" w:color="auto"/>
            </w:tcBorders>
            <w:shd w:val="clear" w:color="auto" w:fill="auto"/>
            <w:vAlign w:val="center"/>
          </w:tcPr>
          <w:p w14:paraId="3D56ADF4"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Cambridge Education</w:t>
            </w:r>
          </w:p>
        </w:tc>
        <w:tc>
          <w:tcPr>
            <w:tcW w:w="4678" w:type="dxa"/>
            <w:tcBorders>
              <w:top w:val="single" w:sz="4" w:space="0" w:color="auto"/>
              <w:bottom w:val="single" w:sz="4" w:space="0" w:color="auto"/>
            </w:tcBorders>
            <w:shd w:val="clear" w:color="auto" w:fill="auto"/>
            <w:vAlign w:val="center"/>
          </w:tcPr>
          <w:p w14:paraId="415C4D4C" w14:textId="77777777" w:rsidR="0019565A" w:rsidRPr="009F7FA2" w:rsidRDefault="0019565A" w:rsidP="00F94F3F">
            <w:pPr>
              <w:pStyle w:val="ESTablebody"/>
              <w:rPr>
                <w:rFonts w:ascii="Calibri" w:eastAsia="Times New Roman" w:hAnsi="Calibri" w:cs="Calibri"/>
                <w:sz w:val="18"/>
              </w:rPr>
            </w:pPr>
            <w:r w:rsidRPr="009F7FA2">
              <w:rPr>
                <w:rFonts w:ascii="Calibri" w:eastAsia="Times New Roman" w:hAnsi="Calibri" w:cs="Calibri"/>
                <w:sz w:val="18"/>
              </w:rPr>
              <w:t xml:space="preserve">To </w:t>
            </w:r>
            <w:r>
              <w:rPr>
                <w:rFonts w:ascii="Calibri" w:eastAsia="Times New Roman" w:hAnsi="Calibri" w:cs="Calibri"/>
                <w:sz w:val="18"/>
              </w:rPr>
              <w:t xml:space="preserve">enhance and </w:t>
            </w:r>
            <w:r w:rsidRPr="009F7FA2">
              <w:rPr>
                <w:rFonts w:ascii="Calibri" w:eastAsia="Times New Roman" w:hAnsi="Calibri" w:cs="Calibri"/>
                <w:sz w:val="18"/>
              </w:rPr>
              <w:t>ensur</w:t>
            </w:r>
            <w:r>
              <w:rPr>
                <w:rFonts w:ascii="Calibri" w:eastAsia="Times New Roman" w:hAnsi="Calibri" w:cs="Calibri"/>
                <w:sz w:val="18"/>
              </w:rPr>
              <w:t xml:space="preserve">e </w:t>
            </w:r>
            <w:r w:rsidRPr="009F7FA2">
              <w:rPr>
                <w:rFonts w:ascii="Calibri" w:eastAsia="Times New Roman" w:hAnsi="Calibri" w:cs="Calibri"/>
                <w:sz w:val="18"/>
              </w:rPr>
              <w:t xml:space="preserve">a current evidence base underpins the Mentor Capability Framework and Graduate Teacher Capability Framework. </w:t>
            </w:r>
            <w:r>
              <w:rPr>
                <w:rFonts w:ascii="Calibri" w:eastAsia="Times New Roman" w:hAnsi="Calibri" w:cs="Calibri"/>
                <w:sz w:val="18"/>
              </w:rPr>
              <w:t>The research also assists</w:t>
            </w:r>
            <w:r w:rsidRPr="009F7FA2">
              <w:rPr>
                <w:rFonts w:ascii="Calibri" w:eastAsia="Times New Roman" w:hAnsi="Calibri" w:cs="Calibri"/>
                <w:sz w:val="18"/>
              </w:rPr>
              <w:t xml:space="preserve"> develop</w:t>
            </w:r>
            <w:r>
              <w:rPr>
                <w:rFonts w:ascii="Calibri" w:eastAsia="Times New Roman" w:hAnsi="Calibri" w:cs="Calibri"/>
                <w:sz w:val="18"/>
              </w:rPr>
              <w:t xml:space="preserve">ment of </w:t>
            </w:r>
            <w:r w:rsidRPr="009F7FA2">
              <w:rPr>
                <w:rFonts w:ascii="Calibri" w:eastAsia="Times New Roman" w:hAnsi="Calibri" w:cs="Calibri"/>
                <w:sz w:val="18"/>
              </w:rPr>
              <w:t>resources to support mentors.</w:t>
            </w:r>
          </w:p>
        </w:tc>
      </w:tr>
      <w:tr w:rsidR="0019565A" w:rsidRPr="00925213" w14:paraId="4645DE7D"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72E4871F" w14:textId="77777777" w:rsidR="0019565A" w:rsidRPr="0079001C" w:rsidRDefault="0019565A" w:rsidP="00C81E5F">
            <w:pPr>
              <w:pStyle w:val="ESTablebody"/>
              <w:rPr>
                <w:rFonts w:ascii="Calibri" w:hAnsi="Calibri" w:cs="Calibri"/>
                <w:sz w:val="18"/>
              </w:rPr>
            </w:pPr>
            <w:r w:rsidRPr="003E4823">
              <w:rPr>
                <w:rFonts w:ascii="Calibri" w:hAnsi="Calibri" w:cs="Calibri"/>
                <w:sz w:val="18"/>
              </w:rPr>
              <w:t xml:space="preserve">Equipment Boost for Schools Initiative </w:t>
            </w:r>
            <w:r>
              <w:rPr>
                <w:rFonts w:ascii="Calibri" w:hAnsi="Calibri" w:cs="Calibri"/>
                <w:sz w:val="18"/>
              </w:rPr>
              <w:t>E</w:t>
            </w:r>
            <w:r w:rsidRPr="003E4823">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4420AF91" w14:textId="77777777" w:rsidR="0019565A" w:rsidRPr="0079001C" w:rsidRDefault="0019565A" w:rsidP="003E4823">
            <w:pPr>
              <w:pStyle w:val="ESTablebody"/>
              <w:rPr>
                <w:rFonts w:ascii="Calibri" w:hAnsi="Calibri" w:cs="Calibri"/>
                <w:sz w:val="18"/>
              </w:rPr>
            </w:pPr>
            <w:r w:rsidRPr="003E4823">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34FC1888" w14:textId="2988DB4A" w:rsidR="0019565A" w:rsidRPr="0079001C" w:rsidRDefault="0019565A" w:rsidP="003E4823">
            <w:pPr>
              <w:pStyle w:val="ESTablebody"/>
              <w:rPr>
                <w:rFonts w:ascii="Calibri" w:hAnsi="Calibri" w:cs="Calibri"/>
                <w:sz w:val="18"/>
              </w:rPr>
            </w:pPr>
            <w:r w:rsidRPr="003E4823">
              <w:rPr>
                <w:rFonts w:ascii="Calibri" w:hAnsi="Calibri" w:cs="Calibri"/>
                <w:sz w:val="18"/>
              </w:rPr>
              <w:t xml:space="preserve">To investigate the extent to which the intended outcomes of the initiative have been met and the impact that the initiative has had on students, schools, </w:t>
            </w:r>
            <w:proofErr w:type="gramStart"/>
            <w:r w:rsidRPr="003E4823">
              <w:rPr>
                <w:rFonts w:ascii="Calibri" w:hAnsi="Calibri" w:cs="Calibri"/>
                <w:sz w:val="18"/>
              </w:rPr>
              <w:t>teachers</w:t>
            </w:r>
            <w:proofErr w:type="gramEnd"/>
            <w:r w:rsidRPr="003E4823">
              <w:rPr>
                <w:rFonts w:ascii="Calibri" w:hAnsi="Calibri" w:cs="Calibri"/>
                <w:sz w:val="18"/>
              </w:rPr>
              <w:t xml:space="preserve"> and other departmental staff.</w:t>
            </w:r>
          </w:p>
        </w:tc>
      </w:tr>
      <w:tr w:rsidR="0019565A" w:rsidRPr="00925213" w14:paraId="67A5406B"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1754D63" w14:textId="51DAE268" w:rsidR="0019565A" w:rsidRPr="00FA0A73" w:rsidRDefault="0019565A" w:rsidP="00693180">
            <w:pPr>
              <w:pStyle w:val="ESTablebody"/>
              <w:rPr>
                <w:rFonts w:ascii="Calibri" w:hAnsi="Calibri" w:cs="Calibri"/>
                <w:color w:val="000000"/>
                <w:sz w:val="18"/>
              </w:rPr>
            </w:pPr>
            <w:r w:rsidRPr="00FA0A73">
              <w:rPr>
                <w:rFonts w:ascii="Calibri" w:hAnsi="Calibri" w:cs="Calibri"/>
                <w:color w:val="000000"/>
                <w:sz w:val="18"/>
              </w:rPr>
              <w:t xml:space="preserve">Estimating the </w:t>
            </w:r>
            <w:r w:rsidR="003838D0">
              <w:rPr>
                <w:rFonts w:ascii="Calibri" w:hAnsi="Calibri" w:cs="Calibri"/>
                <w:color w:val="000000"/>
                <w:sz w:val="18"/>
              </w:rPr>
              <w:t>C</w:t>
            </w:r>
            <w:r w:rsidRPr="00FA0A73">
              <w:rPr>
                <w:rFonts w:ascii="Calibri" w:hAnsi="Calibri" w:cs="Calibri"/>
                <w:color w:val="000000"/>
                <w:sz w:val="18"/>
              </w:rPr>
              <w:t xml:space="preserve">ost of </w:t>
            </w:r>
            <w:r w:rsidR="003838D0">
              <w:rPr>
                <w:rFonts w:ascii="Calibri" w:hAnsi="Calibri" w:cs="Calibri"/>
                <w:color w:val="000000"/>
                <w:sz w:val="18"/>
              </w:rPr>
              <w:t>D</w:t>
            </w:r>
            <w:r w:rsidRPr="00FA0A73">
              <w:rPr>
                <w:rFonts w:ascii="Calibri" w:hAnsi="Calibri" w:cs="Calibri"/>
                <w:color w:val="000000"/>
                <w:sz w:val="18"/>
              </w:rPr>
              <w:t>elivery in VET</w:t>
            </w:r>
          </w:p>
        </w:tc>
        <w:tc>
          <w:tcPr>
            <w:tcW w:w="2126" w:type="dxa"/>
            <w:tcBorders>
              <w:top w:val="single" w:sz="4" w:space="0" w:color="auto"/>
              <w:bottom w:val="single" w:sz="4" w:space="0" w:color="auto"/>
            </w:tcBorders>
            <w:shd w:val="clear" w:color="auto" w:fill="auto"/>
            <w:vAlign w:val="center"/>
          </w:tcPr>
          <w:p w14:paraId="0C2678A1" w14:textId="77777777" w:rsidR="0019565A" w:rsidRPr="00FA0A73" w:rsidRDefault="0019565A" w:rsidP="00693180">
            <w:pPr>
              <w:pStyle w:val="ESTablebody"/>
              <w:rPr>
                <w:rFonts w:ascii="Calibri" w:hAnsi="Calibri" w:cs="Calibri"/>
                <w:sz w:val="18"/>
              </w:rPr>
            </w:pPr>
            <w:r w:rsidRPr="00FA0A73">
              <w:rPr>
                <w:rFonts w:ascii="Calibri" w:hAnsi="Calibri" w:cs="Calibri"/>
                <w:color w:val="000000"/>
                <w:sz w:val="18"/>
              </w:rPr>
              <w:t>ACIL Allen</w:t>
            </w:r>
          </w:p>
        </w:tc>
        <w:tc>
          <w:tcPr>
            <w:tcW w:w="4678" w:type="dxa"/>
            <w:tcBorders>
              <w:top w:val="single" w:sz="4" w:space="0" w:color="auto"/>
              <w:bottom w:val="single" w:sz="4" w:space="0" w:color="auto"/>
            </w:tcBorders>
            <w:shd w:val="clear" w:color="auto" w:fill="auto"/>
            <w:vAlign w:val="center"/>
          </w:tcPr>
          <w:p w14:paraId="3AEE6BAB" w14:textId="6A4CA4E4" w:rsidR="0019565A" w:rsidRPr="00FA0A73" w:rsidRDefault="0019565A" w:rsidP="00693180">
            <w:pPr>
              <w:pStyle w:val="ESTablebody"/>
              <w:rPr>
                <w:rFonts w:ascii="Calibri" w:hAnsi="Calibri" w:cs="Calibri"/>
                <w:sz w:val="18"/>
              </w:rPr>
            </w:pPr>
            <w:r w:rsidRPr="00FA0A73">
              <w:rPr>
                <w:rFonts w:ascii="Calibri" w:hAnsi="Calibri" w:cs="Calibri"/>
                <w:color w:val="000000"/>
                <w:sz w:val="18"/>
              </w:rPr>
              <w:t xml:space="preserve">To </w:t>
            </w:r>
            <w:r>
              <w:rPr>
                <w:rFonts w:ascii="Calibri" w:hAnsi="Calibri" w:cs="Calibri"/>
                <w:color w:val="000000"/>
                <w:sz w:val="18"/>
              </w:rPr>
              <w:t xml:space="preserve">investigate the cost of delivering quality </w:t>
            </w:r>
            <w:r w:rsidR="003838D0">
              <w:rPr>
                <w:rFonts w:ascii="Calibri" w:hAnsi="Calibri" w:cs="Calibri"/>
                <w:color w:val="000000"/>
                <w:sz w:val="18"/>
              </w:rPr>
              <w:t>VET</w:t>
            </w:r>
            <w:r w:rsidRPr="00FA0A73">
              <w:rPr>
                <w:rFonts w:ascii="Calibri" w:hAnsi="Calibri" w:cs="Calibri"/>
                <w:color w:val="000000"/>
                <w:sz w:val="18"/>
              </w:rPr>
              <w:t>.</w:t>
            </w:r>
          </w:p>
        </w:tc>
      </w:tr>
      <w:tr w:rsidR="0019565A" w:rsidRPr="00925213" w14:paraId="32733C16"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9A5415B"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Evaluation of Community Understanding and Safety Training in schools </w:t>
            </w:r>
          </w:p>
        </w:tc>
        <w:tc>
          <w:tcPr>
            <w:tcW w:w="2126" w:type="dxa"/>
            <w:tcBorders>
              <w:top w:val="single" w:sz="4" w:space="0" w:color="auto"/>
              <w:bottom w:val="single" w:sz="4" w:space="0" w:color="auto"/>
            </w:tcBorders>
            <w:shd w:val="clear" w:color="auto" w:fill="auto"/>
            <w:vAlign w:val="center"/>
          </w:tcPr>
          <w:p w14:paraId="63C91CE5"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EY Sweeney</w:t>
            </w:r>
          </w:p>
        </w:tc>
        <w:tc>
          <w:tcPr>
            <w:tcW w:w="4678" w:type="dxa"/>
            <w:tcBorders>
              <w:top w:val="single" w:sz="4" w:space="0" w:color="auto"/>
              <w:bottom w:val="single" w:sz="4" w:space="0" w:color="auto"/>
            </w:tcBorders>
            <w:shd w:val="clear" w:color="auto" w:fill="auto"/>
            <w:vAlign w:val="center"/>
          </w:tcPr>
          <w:p w14:paraId="3566590E"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To conduct an evaluation of cultural understanding and safety training to improve ongoing implementation. The evaluation will develop a program logic map through focused stakeholder workshops and a comprehensive monitoring and evaluation framework.</w:t>
            </w:r>
          </w:p>
        </w:tc>
      </w:tr>
      <w:tr w:rsidR="0019565A" w:rsidRPr="00925213" w14:paraId="473D75E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9D4F535" w14:textId="77777777" w:rsidR="0019565A" w:rsidRPr="005F1264" w:rsidRDefault="0019565A" w:rsidP="005F1264">
            <w:pPr>
              <w:pStyle w:val="ESTablebody"/>
              <w:rPr>
                <w:rFonts w:ascii="Calibri" w:hAnsi="Calibri" w:cs="Calibri"/>
                <w:sz w:val="18"/>
              </w:rPr>
            </w:pPr>
            <w:r w:rsidRPr="005F1264">
              <w:rPr>
                <w:rFonts w:ascii="Calibri" w:hAnsi="Calibri" w:cs="Calibri"/>
                <w:sz w:val="18"/>
              </w:rPr>
              <w:t>Evaluation of Disability Inclusion</w:t>
            </w:r>
          </w:p>
        </w:tc>
        <w:tc>
          <w:tcPr>
            <w:tcW w:w="2126" w:type="dxa"/>
            <w:tcBorders>
              <w:top w:val="single" w:sz="4" w:space="0" w:color="auto"/>
              <w:bottom w:val="single" w:sz="4" w:space="0" w:color="auto"/>
            </w:tcBorders>
            <w:shd w:val="clear" w:color="auto" w:fill="auto"/>
            <w:vAlign w:val="center"/>
          </w:tcPr>
          <w:p w14:paraId="49CFA43B" w14:textId="77777777" w:rsidR="0019565A" w:rsidRPr="0079001C" w:rsidRDefault="0019565A" w:rsidP="005F1264">
            <w:pPr>
              <w:pStyle w:val="ESTablebody"/>
              <w:rPr>
                <w:rFonts w:ascii="Calibri" w:hAnsi="Calibri" w:cs="Calibri"/>
                <w:sz w:val="18"/>
              </w:rPr>
            </w:pPr>
            <w:r w:rsidRPr="005F1264">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3DDC4B31" w14:textId="77777777" w:rsidR="0019565A" w:rsidRPr="0079001C" w:rsidRDefault="0019565A" w:rsidP="005F1264">
            <w:pPr>
              <w:pStyle w:val="ESTablebody"/>
              <w:rPr>
                <w:rFonts w:ascii="Calibri" w:hAnsi="Calibri" w:cs="Calibri"/>
                <w:sz w:val="18"/>
              </w:rPr>
            </w:pPr>
            <w:r w:rsidRPr="005F1264">
              <w:rPr>
                <w:rFonts w:ascii="Calibri" w:hAnsi="Calibri" w:cs="Calibri"/>
                <w:sz w:val="18"/>
              </w:rPr>
              <w:t xml:space="preserve">To evaluate the reform, including evaluating the implementation and short to medium term outcomes. </w:t>
            </w:r>
          </w:p>
        </w:tc>
      </w:tr>
      <w:tr w:rsidR="0019565A" w:rsidRPr="00925213" w14:paraId="184A246C"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BE04C33" w14:textId="77777777" w:rsidR="0019565A" w:rsidRPr="00EF6912" w:rsidRDefault="0019565A" w:rsidP="00EF6912">
            <w:pPr>
              <w:pStyle w:val="ESTablebody"/>
              <w:rPr>
                <w:rFonts w:ascii="Calibri" w:hAnsi="Calibri" w:cs="Calibri"/>
                <w:sz w:val="18"/>
              </w:rPr>
            </w:pPr>
            <w:r w:rsidRPr="00EF6912">
              <w:rPr>
                <w:rFonts w:ascii="Calibri" w:hAnsi="Calibri" w:cs="Calibri"/>
                <w:sz w:val="18"/>
              </w:rPr>
              <w:t xml:space="preserve">Evaluation of I CAN Network </w:t>
            </w:r>
            <w:r>
              <w:rPr>
                <w:rFonts w:ascii="Calibri" w:hAnsi="Calibri" w:cs="Calibri"/>
                <w:sz w:val="18"/>
              </w:rPr>
              <w:t>S</w:t>
            </w:r>
            <w:r w:rsidRPr="00EF6912">
              <w:rPr>
                <w:rFonts w:ascii="Calibri" w:hAnsi="Calibri" w:cs="Calibri"/>
                <w:sz w:val="18"/>
              </w:rPr>
              <w:t xml:space="preserve">chools and </w:t>
            </w:r>
            <w:r>
              <w:rPr>
                <w:rFonts w:ascii="Calibri" w:hAnsi="Calibri" w:cs="Calibri"/>
                <w:sz w:val="18"/>
              </w:rPr>
              <w:t>O</w:t>
            </w:r>
            <w:r w:rsidRPr="00EF6912">
              <w:rPr>
                <w:rFonts w:ascii="Calibri" w:hAnsi="Calibri" w:cs="Calibri"/>
                <w:sz w:val="18"/>
              </w:rPr>
              <w:t xml:space="preserve">nline </w:t>
            </w:r>
            <w:r>
              <w:rPr>
                <w:rFonts w:ascii="Calibri" w:hAnsi="Calibri" w:cs="Calibri"/>
                <w:sz w:val="18"/>
              </w:rPr>
              <w:t>P</w:t>
            </w:r>
            <w:r w:rsidRPr="00EF6912">
              <w:rPr>
                <w:rFonts w:ascii="Calibri" w:hAnsi="Calibri" w:cs="Calibri"/>
                <w:sz w:val="18"/>
              </w:rPr>
              <w:t>rograms</w:t>
            </w:r>
          </w:p>
        </w:tc>
        <w:tc>
          <w:tcPr>
            <w:tcW w:w="2126" w:type="dxa"/>
            <w:tcBorders>
              <w:top w:val="single" w:sz="4" w:space="0" w:color="auto"/>
              <w:bottom w:val="single" w:sz="4" w:space="0" w:color="auto"/>
            </w:tcBorders>
            <w:shd w:val="clear" w:color="auto" w:fill="auto"/>
            <w:vAlign w:val="center"/>
          </w:tcPr>
          <w:p w14:paraId="06D805FD" w14:textId="77777777" w:rsidR="0019565A" w:rsidRPr="00EF6912" w:rsidRDefault="0019565A" w:rsidP="00EF6912">
            <w:pPr>
              <w:pStyle w:val="ESTablebody"/>
              <w:rPr>
                <w:rFonts w:ascii="Calibri" w:hAnsi="Calibri" w:cs="Calibri"/>
                <w:sz w:val="18"/>
              </w:rPr>
            </w:pPr>
            <w:r w:rsidRPr="00EF6912">
              <w:rPr>
                <w:rFonts w:ascii="Calibri" w:hAnsi="Calibri" w:cs="Calibri"/>
                <w:sz w:val="18"/>
              </w:rPr>
              <w:t>Australian Catholic University</w:t>
            </w:r>
          </w:p>
        </w:tc>
        <w:tc>
          <w:tcPr>
            <w:tcW w:w="4678" w:type="dxa"/>
            <w:tcBorders>
              <w:top w:val="single" w:sz="4" w:space="0" w:color="auto"/>
              <w:bottom w:val="single" w:sz="4" w:space="0" w:color="auto"/>
            </w:tcBorders>
            <w:shd w:val="clear" w:color="auto" w:fill="auto"/>
            <w:vAlign w:val="center"/>
          </w:tcPr>
          <w:p w14:paraId="286A7D00" w14:textId="7A8CFB2A" w:rsidR="0019565A" w:rsidRPr="00EF6912" w:rsidRDefault="0019565A" w:rsidP="00EF6912">
            <w:pPr>
              <w:pStyle w:val="ESTablebody"/>
              <w:rPr>
                <w:rFonts w:ascii="Calibri" w:hAnsi="Calibri" w:cs="Calibri"/>
                <w:sz w:val="18"/>
              </w:rPr>
            </w:pPr>
            <w:r w:rsidRPr="00EF6912">
              <w:rPr>
                <w:rFonts w:ascii="Calibri" w:hAnsi="Calibri" w:cs="Calibri"/>
                <w:sz w:val="18"/>
              </w:rPr>
              <w:t>To evaluate the outcomes of the I CAN Network’s programs in Victorian government schools.</w:t>
            </w:r>
          </w:p>
        </w:tc>
      </w:tr>
      <w:tr w:rsidR="0019565A" w:rsidRPr="00925213" w14:paraId="4126B149"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F63F848" w14:textId="77777777" w:rsidR="0019565A" w:rsidRPr="0079001C" w:rsidRDefault="0019565A" w:rsidP="00061F1C">
            <w:pPr>
              <w:pStyle w:val="ESTablebody"/>
              <w:rPr>
                <w:rFonts w:ascii="Calibri" w:hAnsi="Calibri" w:cs="Calibri"/>
                <w:sz w:val="18"/>
              </w:rPr>
            </w:pPr>
            <w:r w:rsidRPr="00061F1C">
              <w:rPr>
                <w:rFonts w:ascii="Calibri" w:hAnsi="Calibri" w:cs="Calibri"/>
                <w:sz w:val="18"/>
              </w:rPr>
              <w:lastRenderedPageBreak/>
              <w:t xml:space="preserve">Evaluation of the </w:t>
            </w:r>
            <w:r>
              <w:rPr>
                <w:rFonts w:ascii="Calibri" w:hAnsi="Calibri" w:cs="Calibri"/>
                <w:sz w:val="18"/>
              </w:rPr>
              <w:t>D</w:t>
            </w:r>
            <w:r w:rsidRPr="00061F1C">
              <w:rPr>
                <w:rFonts w:ascii="Calibri" w:hAnsi="Calibri" w:cs="Calibri"/>
                <w:sz w:val="18"/>
              </w:rPr>
              <w:t xml:space="preserve">ifferentiated </w:t>
            </w:r>
            <w:r>
              <w:rPr>
                <w:rFonts w:ascii="Calibri" w:hAnsi="Calibri" w:cs="Calibri"/>
                <w:sz w:val="18"/>
              </w:rPr>
              <w:t>S</w:t>
            </w:r>
            <w:r w:rsidRPr="00061F1C">
              <w:rPr>
                <w:rFonts w:ascii="Calibri" w:hAnsi="Calibri" w:cs="Calibri"/>
                <w:sz w:val="18"/>
              </w:rPr>
              <w:t xml:space="preserve">upport for </w:t>
            </w:r>
            <w:r>
              <w:rPr>
                <w:rFonts w:ascii="Calibri" w:hAnsi="Calibri" w:cs="Calibri"/>
                <w:sz w:val="18"/>
              </w:rPr>
              <w:t>S</w:t>
            </w:r>
            <w:r w:rsidRPr="00061F1C">
              <w:rPr>
                <w:rFonts w:ascii="Calibri" w:hAnsi="Calibri" w:cs="Calibri"/>
                <w:sz w:val="18"/>
              </w:rPr>
              <w:t xml:space="preserve">chool </w:t>
            </w:r>
            <w:r>
              <w:rPr>
                <w:rFonts w:ascii="Calibri" w:hAnsi="Calibri" w:cs="Calibri"/>
                <w:sz w:val="18"/>
              </w:rPr>
              <w:t>I</w:t>
            </w:r>
            <w:r w:rsidRPr="00061F1C">
              <w:rPr>
                <w:rFonts w:ascii="Calibri" w:hAnsi="Calibri" w:cs="Calibri"/>
                <w:sz w:val="18"/>
              </w:rPr>
              <w:t xml:space="preserve">mprovement </w:t>
            </w:r>
            <w:r>
              <w:rPr>
                <w:rFonts w:ascii="Calibri" w:hAnsi="Calibri" w:cs="Calibri"/>
                <w:sz w:val="18"/>
              </w:rPr>
              <w:t>P</w:t>
            </w:r>
            <w:r w:rsidRPr="00061F1C">
              <w:rPr>
                <w:rFonts w:ascii="Calibri" w:hAnsi="Calibri" w:cs="Calibri"/>
                <w:sz w:val="18"/>
              </w:rPr>
              <w:t>rogram</w:t>
            </w:r>
          </w:p>
        </w:tc>
        <w:tc>
          <w:tcPr>
            <w:tcW w:w="2126" w:type="dxa"/>
            <w:tcBorders>
              <w:top w:val="single" w:sz="4" w:space="0" w:color="auto"/>
              <w:bottom w:val="single" w:sz="4" w:space="0" w:color="auto"/>
            </w:tcBorders>
            <w:shd w:val="clear" w:color="auto" w:fill="auto"/>
            <w:vAlign w:val="center"/>
          </w:tcPr>
          <w:p w14:paraId="6938D312"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44064F8D" w14:textId="2C8DB635"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 xml:space="preserve">To investigate the </w:t>
            </w:r>
            <w:r>
              <w:rPr>
                <w:rFonts w:ascii="Calibri" w:eastAsia="Times New Roman" w:hAnsi="Calibri" w:cs="Calibri"/>
                <w:sz w:val="18"/>
              </w:rPr>
              <w:t xml:space="preserve">program’s </w:t>
            </w:r>
            <w:r w:rsidRPr="009F7FA2">
              <w:rPr>
                <w:rFonts w:ascii="Calibri" w:eastAsia="Times New Roman" w:hAnsi="Calibri" w:cs="Calibri"/>
                <w:sz w:val="18"/>
              </w:rPr>
              <w:t xml:space="preserve">implementation process and its impact on teaching, </w:t>
            </w:r>
            <w:proofErr w:type="gramStart"/>
            <w:r w:rsidRPr="009F7FA2">
              <w:rPr>
                <w:rFonts w:ascii="Calibri" w:eastAsia="Times New Roman" w:hAnsi="Calibri" w:cs="Calibri"/>
                <w:sz w:val="18"/>
              </w:rPr>
              <w:t>leadership</w:t>
            </w:r>
            <w:proofErr w:type="gramEnd"/>
            <w:r w:rsidRPr="009F7FA2">
              <w:rPr>
                <w:rFonts w:ascii="Calibri" w:eastAsia="Times New Roman" w:hAnsi="Calibri" w:cs="Calibri"/>
                <w:sz w:val="18"/>
              </w:rPr>
              <w:t xml:space="preserve"> and school operations</w:t>
            </w:r>
            <w:r w:rsidR="003838D0">
              <w:rPr>
                <w:rFonts w:ascii="Calibri" w:eastAsia="Times New Roman" w:hAnsi="Calibri" w:cs="Calibri"/>
                <w:sz w:val="18"/>
              </w:rPr>
              <w:t>, as well as</w:t>
            </w:r>
            <w:r w:rsidRPr="009F7FA2">
              <w:rPr>
                <w:rFonts w:ascii="Calibri" w:eastAsia="Times New Roman" w:hAnsi="Calibri" w:cs="Calibri"/>
                <w:sz w:val="18"/>
              </w:rPr>
              <w:t xml:space="preserve"> the sustainability of the program’s school level impact.</w:t>
            </w:r>
          </w:p>
        </w:tc>
      </w:tr>
      <w:tr w:rsidR="0019565A" w:rsidRPr="00925213" w14:paraId="47F506A1"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46C07ED"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Evaluation of the Early Childhood Language Program</w:t>
            </w:r>
          </w:p>
        </w:tc>
        <w:tc>
          <w:tcPr>
            <w:tcW w:w="2126" w:type="dxa"/>
            <w:tcBorders>
              <w:top w:val="single" w:sz="4" w:space="0" w:color="auto"/>
              <w:bottom w:val="single" w:sz="4" w:space="0" w:color="auto"/>
            </w:tcBorders>
            <w:shd w:val="clear" w:color="auto" w:fill="auto"/>
            <w:vAlign w:val="center"/>
          </w:tcPr>
          <w:p w14:paraId="3F78D0BC"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18EC9AA2" w14:textId="30C2FD3B" w:rsidR="0019565A" w:rsidRPr="0019565A" w:rsidRDefault="0019565A" w:rsidP="00482320">
            <w:pPr>
              <w:pStyle w:val="ESTablebody"/>
              <w:rPr>
                <w:rFonts w:ascii="Calibri" w:hAnsi="Calibri" w:cs="Calibri"/>
                <w:sz w:val="18"/>
              </w:rPr>
            </w:pPr>
            <w:r w:rsidRPr="0019565A">
              <w:rPr>
                <w:rFonts w:ascii="Calibri" w:hAnsi="Calibri" w:cs="Calibri"/>
                <w:sz w:val="18"/>
              </w:rPr>
              <w:t>To evaluate the Early Childhood Language Program</w:t>
            </w:r>
            <w:r w:rsidR="00681168">
              <w:rPr>
                <w:rFonts w:ascii="Calibri" w:hAnsi="Calibri" w:cs="Calibri"/>
                <w:sz w:val="18"/>
              </w:rPr>
              <w:t xml:space="preserve"> to support continuous improvement and inform next steps</w:t>
            </w:r>
            <w:r w:rsidR="00681168" w:rsidRPr="0019565A">
              <w:rPr>
                <w:rFonts w:ascii="Calibri" w:hAnsi="Calibri" w:cs="Calibri"/>
                <w:sz w:val="18"/>
              </w:rPr>
              <w:t>.</w:t>
            </w:r>
          </w:p>
        </w:tc>
      </w:tr>
      <w:tr w:rsidR="0019565A" w:rsidRPr="00925213" w14:paraId="156655CC"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E0C16CC"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Evaluation of the </w:t>
            </w:r>
            <w:r>
              <w:rPr>
                <w:rFonts w:ascii="Calibri" w:hAnsi="Calibri" w:cs="Calibri"/>
                <w:sz w:val="18"/>
              </w:rPr>
              <w:t>E</w:t>
            </w:r>
            <w:r w:rsidRPr="00061F1C">
              <w:rPr>
                <w:rFonts w:ascii="Calibri" w:hAnsi="Calibri" w:cs="Calibri"/>
                <w:sz w:val="18"/>
              </w:rPr>
              <w:t xml:space="preserve">xcellence in </w:t>
            </w:r>
            <w:r>
              <w:rPr>
                <w:rFonts w:ascii="Calibri" w:hAnsi="Calibri" w:cs="Calibri"/>
                <w:sz w:val="18"/>
              </w:rPr>
              <w:t>T</w:t>
            </w:r>
            <w:r w:rsidRPr="00061F1C">
              <w:rPr>
                <w:rFonts w:ascii="Calibri" w:hAnsi="Calibri" w:cs="Calibri"/>
                <w:sz w:val="18"/>
              </w:rPr>
              <w:t xml:space="preserve">eacher </w:t>
            </w:r>
            <w:r>
              <w:rPr>
                <w:rFonts w:ascii="Calibri" w:hAnsi="Calibri" w:cs="Calibri"/>
                <w:sz w:val="18"/>
              </w:rPr>
              <w:t>E</w:t>
            </w:r>
            <w:r w:rsidRPr="00061F1C">
              <w:rPr>
                <w:rFonts w:ascii="Calibri" w:hAnsi="Calibri" w:cs="Calibri"/>
                <w:sz w:val="18"/>
              </w:rPr>
              <w:t xml:space="preserve">ducation </w:t>
            </w:r>
            <w:r>
              <w:rPr>
                <w:rFonts w:ascii="Calibri" w:hAnsi="Calibri" w:cs="Calibri"/>
                <w:sz w:val="18"/>
              </w:rPr>
              <w:t>R</w:t>
            </w:r>
            <w:r w:rsidRPr="00061F1C">
              <w:rPr>
                <w:rFonts w:ascii="Calibri" w:hAnsi="Calibri" w:cs="Calibri"/>
                <w:sz w:val="18"/>
              </w:rPr>
              <w:t xml:space="preserve">eforms: </w:t>
            </w:r>
            <w:r>
              <w:rPr>
                <w:rFonts w:ascii="Calibri" w:hAnsi="Calibri" w:cs="Calibri"/>
                <w:sz w:val="18"/>
              </w:rPr>
              <w:t>M</w:t>
            </w:r>
            <w:r w:rsidRPr="00061F1C">
              <w:rPr>
                <w:rFonts w:ascii="Calibri" w:hAnsi="Calibri" w:cs="Calibri"/>
                <w:sz w:val="18"/>
              </w:rPr>
              <w:t>ulti-</w:t>
            </w:r>
            <w:r>
              <w:rPr>
                <w:rFonts w:ascii="Calibri" w:hAnsi="Calibri" w:cs="Calibri"/>
                <w:sz w:val="18"/>
              </w:rPr>
              <w:t>P</w:t>
            </w:r>
            <w:r w:rsidRPr="00061F1C">
              <w:rPr>
                <w:rFonts w:ascii="Calibri" w:hAnsi="Calibri" w:cs="Calibri"/>
                <w:sz w:val="18"/>
              </w:rPr>
              <w:t xml:space="preserve">rogram </w:t>
            </w:r>
            <w:r>
              <w:rPr>
                <w:rFonts w:ascii="Calibri" w:hAnsi="Calibri" w:cs="Calibri"/>
                <w:sz w:val="18"/>
              </w:rPr>
              <w:t>E</w:t>
            </w:r>
            <w:r w:rsidRPr="00061F1C">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50D34E73" w14:textId="77777777" w:rsidR="0019565A" w:rsidRPr="0079001C" w:rsidRDefault="0019565A" w:rsidP="00061F1C">
            <w:pPr>
              <w:pStyle w:val="ESTablebody"/>
              <w:rPr>
                <w:rFonts w:ascii="Calibri" w:hAnsi="Calibri" w:cs="Calibri"/>
                <w:sz w:val="18"/>
              </w:rPr>
            </w:pPr>
            <w:proofErr w:type="spellStart"/>
            <w:r w:rsidRPr="00061F1C">
              <w:rPr>
                <w:rFonts w:ascii="Calibri" w:hAnsi="Calibri" w:cs="Calibri"/>
                <w:sz w:val="18"/>
              </w:rPr>
              <w:t>Synergistiq</w:t>
            </w:r>
            <w:proofErr w:type="spellEnd"/>
          </w:p>
        </w:tc>
        <w:tc>
          <w:tcPr>
            <w:tcW w:w="4678" w:type="dxa"/>
            <w:tcBorders>
              <w:top w:val="single" w:sz="4" w:space="0" w:color="auto"/>
              <w:bottom w:val="single" w:sz="4" w:space="0" w:color="auto"/>
            </w:tcBorders>
            <w:shd w:val="clear" w:color="auto" w:fill="auto"/>
            <w:vAlign w:val="center"/>
          </w:tcPr>
          <w:p w14:paraId="55757069" w14:textId="264A9A96" w:rsidR="0019565A" w:rsidRPr="009F7FA2" w:rsidRDefault="0019565A" w:rsidP="00061F1C">
            <w:pPr>
              <w:pStyle w:val="ESTablebody"/>
              <w:rPr>
                <w:rFonts w:ascii="Calibri" w:eastAsia="Times New Roman" w:hAnsi="Calibri" w:cs="Calibri"/>
                <w:sz w:val="18"/>
              </w:rPr>
            </w:pPr>
            <w:bookmarkStart w:id="60" w:name="_Hlk106613000"/>
            <w:r w:rsidRPr="009F7FA2">
              <w:rPr>
                <w:rFonts w:ascii="Calibri" w:eastAsia="Times New Roman" w:hAnsi="Calibri" w:cs="Calibri"/>
                <w:sz w:val="18"/>
              </w:rPr>
              <w:t xml:space="preserve">To evaluate and report on </w:t>
            </w:r>
            <w:bookmarkEnd w:id="60"/>
            <w:r w:rsidRPr="009F7FA2">
              <w:rPr>
                <w:rFonts w:ascii="Calibri" w:eastAsia="Times New Roman" w:hAnsi="Calibri" w:cs="Calibri"/>
                <w:sz w:val="18"/>
              </w:rPr>
              <w:t xml:space="preserve">the National Exceptional Teaching in Disadvantaged Schools program, </w:t>
            </w:r>
            <w:r w:rsidR="000366A7">
              <w:rPr>
                <w:rFonts w:ascii="Calibri" w:eastAsia="Times New Roman" w:hAnsi="Calibri" w:cs="Calibri"/>
                <w:sz w:val="18"/>
              </w:rPr>
              <w:t>e</w:t>
            </w:r>
            <w:r w:rsidRPr="009F7FA2">
              <w:rPr>
                <w:rFonts w:ascii="Calibri" w:eastAsia="Times New Roman" w:hAnsi="Calibri" w:cs="Calibri"/>
                <w:sz w:val="18"/>
              </w:rPr>
              <w:t xml:space="preserve">mployment-based </w:t>
            </w:r>
            <w:proofErr w:type="gramStart"/>
            <w:r w:rsidRPr="009F7FA2">
              <w:rPr>
                <w:rFonts w:ascii="Calibri" w:eastAsia="Times New Roman" w:hAnsi="Calibri" w:cs="Calibri"/>
                <w:sz w:val="18"/>
              </w:rPr>
              <w:t>pathways</w:t>
            </w:r>
            <w:proofErr w:type="gramEnd"/>
            <w:r w:rsidRPr="009F7FA2">
              <w:rPr>
                <w:rFonts w:ascii="Calibri" w:eastAsia="Times New Roman" w:hAnsi="Calibri" w:cs="Calibri"/>
                <w:sz w:val="18"/>
              </w:rPr>
              <w:t xml:space="preserve"> and the Diploma of </w:t>
            </w:r>
            <w:r w:rsidR="000366A7">
              <w:rPr>
                <w:rFonts w:ascii="Calibri" w:eastAsia="Times New Roman" w:hAnsi="Calibri" w:cs="Calibri"/>
                <w:sz w:val="18"/>
              </w:rPr>
              <w:t>T</w:t>
            </w:r>
            <w:r w:rsidRPr="009F7FA2">
              <w:rPr>
                <w:rFonts w:ascii="Calibri" w:eastAsia="Times New Roman" w:hAnsi="Calibri" w:cs="Calibri"/>
                <w:sz w:val="18"/>
              </w:rPr>
              <w:t xml:space="preserve">eacher </w:t>
            </w:r>
            <w:r w:rsidR="000366A7">
              <w:rPr>
                <w:rFonts w:ascii="Calibri" w:eastAsia="Times New Roman" w:hAnsi="Calibri" w:cs="Calibri"/>
                <w:sz w:val="18"/>
              </w:rPr>
              <w:t>E</w:t>
            </w:r>
            <w:r w:rsidRPr="009F7FA2">
              <w:rPr>
                <w:rFonts w:ascii="Calibri" w:eastAsia="Times New Roman" w:hAnsi="Calibri" w:cs="Calibri"/>
                <w:sz w:val="18"/>
              </w:rPr>
              <w:t xml:space="preserve">ducation </w:t>
            </w:r>
            <w:r w:rsidR="000366A7">
              <w:rPr>
                <w:rFonts w:ascii="Calibri" w:eastAsia="Times New Roman" w:hAnsi="Calibri" w:cs="Calibri"/>
                <w:sz w:val="18"/>
              </w:rPr>
              <w:t>P</w:t>
            </w:r>
            <w:r w:rsidRPr="009F7FA2">
              <w:rPr>
                <w:rFonts w:ascii="Calibri" w:eastAsia="Times New Roman" w:hAnsi="Calibri" w:cs="Calibri"/>
                <w:sz w:val="18"/>
              </w:rPr>
              <w:t>reparation.</w:t>
            </w:r>
          </w:p>
        </w:tc>
      </w:tr>
      <w:tr w:rsidR="0019565A" w:rsidRPr="00925213" w14:paraId="130D584B"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1F62AEF" w14:textId="77777777" w:rsidR="0019565A" w:rsidRPr="0079001C" w:rsidRDefault="0019565A" w:rsidP="00AA753C">
            <w:pPr>
              <w:spacing w:before="120" w:after="120"/>
              <w:rPr>
                <w:rFonts w:ascii="Calibri" w:eastAsia="Times New Roman" w:hAnsi="Calibri" w:cs="Calibri"/>
                <w:sz w:val="18"/>
                <w:szCs w:val="18"/>
                <w:lang w:val="en-US"/>
              </w:rPr>
            </w:pPr>
            <w:r w:rsidRPr="0079001C">
              <w:rPr>
                <w:rFonts w:ascii="Calibri" w:eastAsia="Times New Roman" w:hAnsi="Calibri" w:cs="Calibri"/>
                <w:sz w:val="18"/>
                <w:szCs w:val="18"/>
                <w:lang w:val="en-US"/>
              </w:rPr>
              <w:t>Evaluation of the</w:t>
            </w:r>
            <w:r>
              <w:rPr>
                <w:rFonts w:ascii="Calibri" w:eastAsia="Times New Roman" w:hAnsi="Calibri" w:cs="Calibri"/>
                <w:sz w:val="18"/>
                <w:szCs w:val="18"/>
                <w:lang w:val="en-US"/>
              </w:rPr>
              <w:t xml:space="preserve"> I</w:t>
            </w:r>
            <w:r w:rsidRPr="0079001C">
              <w:rPr>
                <w:rFonts w:ascii="Calibri" w:eastAsia="Times New Roman" w:hAnsi="Calibri" w:cs="Calibri"/>
                <w:sz w:val="18"/>
                <w:szCs w:val="18"/>
                <w:lang w:val="en-US"/>
              </w:rPr>
              <w:t xml:space="preserve">nnovative </w:t>
            </w:r>
            <w:r>
              <w:rPr>
                <w:rFonts w:ascii="Calibri" w:eastAsia="Times New Roman" w:hAnsi="Calibri" w:cs="Calibri"/>
                <w:sz w:val="18"/>
                <w:szCs w:val="18"/>
                <w:lang w:val="en-US"/>
              </w:rPr>
              <w:t>I</w:t>
            </w:r>
            <w:r w:rsidRPr="0079001C">
              <w:rPr>
                <w:rFonts w:ascii="Calibri" w:eastAsia="Times New Roman" w:hAnsi="Calibri" w:cs="Calibri"/>
                <w:sz w:val="18"/>
                <w:szCs w:val="18"/>
                <w:lang w:val="en-US"/>
              </w:rPr>
              <w:t xml:space="preserve">nitial </w:t>
            </w:r>
            <w:r>
              <w:rPr>
                <w:rFonts w:ascii="Calibri" w:eastAsia="Times New Roman" w:hAnsi="Calibri" w:cs="Calibri"/>
                <w:sz w:val="18"/>
                <w:szCs w:val="18"/>
                <w:lang w:val="en-US"/>
              </w:rPr>
              <w:t>T</w:t>
            </w:r>
            <w:r w:rsidRPr="0079001C">
              <w:rPr>
                <w:rFonts w:ascii="Calibri" w:eastAsia="Times New Roman" w:hAnsi="Calibri" w:cs="Calibri"/>
                <w:sz w:val="18"/>
                <w:szCs w:val="18"/>
                <w:lang w:val="en-US"/>
              </w:rPr>
              <w:t xml:space="preserve">eacher </w:t>
            </w:r>
            <w:r>
              <w:rPr>
                <w:rFonts w:ascii="Calibri" w:eastAsia="Times New Roman" w:hAnsi="Calibri" w:cs="Calibri"/>
                <w:sz w:val="18"/>
                <w:szCs w:val="18"/>
                <w:lang w:val="en-US"/>
              </w:rPr>
              <w:t>E</w:t>
            </w:r>
            <w:r w:rsidRPr="0079001C">
              <w:rPr>
                <w:rFonts w:ascii="Calibri" w:eastAsia="Times New Roman" w:hAnsi="Calibri" w:cs="Calibri"/>
                <w:sz w:val="18"/>
                <w:szCs w:val="18"/>
                <w:lang w:val="en-US"/>
              </w:rPr>
              <w:t xml:space="preserve">ducation </w:t>
            </w:r>
            <w:r>
              <w:rPr>
                <w:rFonts w:ascii="Calibri" w:eastAsia="Times New Roman" w:hAnsi="Calibri" w:cs="Calibri"/>
                <w:sz w:val="18"/>
                <w:szCs w:val="18"/>
                <w:lang w:val="en-US"/>
              </w:rPr>
              <w:t>P</w:t>
            </w:r>
            <w:r w:rsidRPr="0079001C">
              <w:rPr>
                <w:rFonts w:ascii="Calibri" w:eastAsia="Times New Roman" w:hAnsi="Calibri" w:cs="Calibri"/>
                <w:sz w:val="18"/>
                <w:szCs w:val="18"/>
                <w:lang w:val="en-US"/>
              </w:rPr>
              <w:t>rogram</w:t>
            </w:r>
          </w:p>
        </w:tc>
        <w:tc>
          <w:tcPr>
            <w:tcW w:w="2126" w:type="dxa"/>
            <w:tcBorders>
              <w:top w:val="single" w:sz="4" w:space="0" w:color="auto"/>
              <w:bottom w:val="single" w:sz="4" w:space="0" w:color="auto"/>
            </w:tcBorders>
            <w:shd w:val="clear" w:color="auto" w:fill="auto"/>
            <w:vAlign w:val="center"/>
          </w:tcPr>
          <w:p w14:paraId="2BD9D2AA" w14:textId="77777777" w:rsidR="0019565A" w:rsidRPr="0079001C" w:rsidRDefault="0019565A" w:rsidP="00AA753C">
            <w:pPr>
              <w:pStyle w:val="ESTablebody"/>
              <w:rPr>
                <w:rFonts w:ascii="Calibri" w:eastAsia="Times New Roman" w:hAnsi="Calibri" w:cs="Calibri"/>
                <w:sz w:val="18"/>
              </w:rPr>
            </w:pPr>
            <w:r w:rsidRPr="0079001C">
              <w:rPr>
                <w:rFonts w:ascii="Calibri" w:eastAsia="Times New Roman" w:hAnsi="Calibri" w:cs="Calibri"/>
                <w:sz w:val="18"/>
              </w:rPr>
              <w:t>The department</w:t>
            </w:r>
          </w:p>
        </w:tc>
        <w:tc>
          <w:tcPr>
            <w:tcW w:w="4678" w:type="dxa"/>
            <w:tcBorders>
              <w:top w:val="single" w:sz="4" w:space="0" w:color="auto"/>
              <w:bottom w:val="single" w:sz="4" w:space="0" w:color="auto"/>
            </w:tcBorders>
            <w:shd w:val="clear" w:color="auto" w:fill="auto"/>
            <w:vAlign w:val="center"/>
          </w:tcPr>
          <w:p w14:paraId="5E73944E"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To understand the program’s contribution to teacher supply in Victorian government secondary schools and identify opportunities to improve program effectiveness.</w:t>
            </w:r>
          </w:p>
        </w:tc>
      </w:tr>
      <w:tr w:rsidR="0019565A" w:rsidRPr="00925213" w14:paraId="1B96E64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200F491"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 xml:space="preserve">Evaluation of the Kindergarten Quality Improvement Program </w:t>
            </w:r>
          </w:p>
        </w:tc>
        <w:tc>
          <w:tcPr>
            <w:tcW w:w="2126" w:type="dxa"/>
            <w:tcBorders>
              <w:top w:val="single" w:sz="4" w:space="0" w:color="auto"/>
              <w:bottom w:val="single" w:sz="4" w:space="0" w:color="auto"/>
            </w:tcBorders>
            <w:shd w:val="clear" w:color="auto" w:fill="auto"/>
            <w:vAlign w:val="center"/>
          </w:tcPr>
          <w:p w14:paraId="79B2FE71"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62D835DA" w14:textId="12B18ACF" w:rsidR="0019565A" w:rsidRPr="0019565A" w:rsidRDefault="0019565A" w:rsidP="00482320">
            <w:pPr>
              <w:pStyle w:val="ESTablebody"/>
              <w:rPr>
                <w:rFonts w:ascii="Calibri" w:hAnsi="Calibri" w:cs="Calibri"/>
                <w:sz w:val="18"/>
              </w:rPr>
            </w:pPr>
            <w:r w:rsidRPr="0019565A">
              <w:rPr>
                <w:rFonts w:ascii="Calibri" w:hAnsi="Calibri" w:cs="Calibri"/>
                <w:sz w:val="18"/>
              </w:rPr>
              <w:t>To evaluate phases 1 and 2 of the Kindergarten Quality Improvement Program</w:t>
            </w:r>
            <w:r w:rsidR="000114F9">
              <w:rPr>
                <w:rFonts w:ascii="Calibri" w:hAnsi="Calibri" w:cs="Calibri"/>
                <w:sz w:val="18"/>
              </w:rPr>
              <w:t>, to support continuous improvement and inform next steps</w:t>
            </w:r>
            <w:r w:rsidR="000114F9" w:rsidRPr="0019565A">
              <w:rPr>
                <w:rFonts w:ascii="Calibri" w:hAnsi="Calibri" w:cs="Calibri"/>
                <w:sz w:val="18"/>
              </w:rPr>
              <w:t>.</w:t>
            </w:r>
          </w:p>
        </w:tc>
      </w:tr>
      <w:tr w:rsidR="0019565A" w:rsidRPr="00925213" w14:paraId="0FE35BDE"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70C2156" w14:textId="77777777" w:rsidR="0019565A" w:rsidRPr="00061F1C" w:rsidRDefault="0019565A" w:rsidP="00061F1C">
            <w:pPr>
              <w:pStyle w:val="ESTablebody"/>
              <w:rPr>
                <w:rFonts w:ascii="Calibri" w:hAnsi="Calibri" w:cs="Calibri"/>
                <w:sz w:val="18"/>
              </w:rPr>
            </w:pPr>
            <w:r w:rsidRPr="00061F1C">
              <w:rPr>
                <w:rFonts w:ascii="Calibri" w:hAnsi="Calibri" w:cs="Calibri"/>
                <w:sz w:val="18"/>
              </w:rPr>
              <w:t xml:space="preserve">Evaluation of the </w:t>
            </w:r>
            <w:r>
              <w:rPr>
                <w:rFonts w:ascii="Calibri" w:hAnsi="Calibri" w:cs="Calibri"/>
                <w:sz w:val="18"/>
              </w:rPr>
              <w:t>S</w:t>
            </w:r>
            <w:r w:rsidRPr="00061F1C">
              <w:rPr>
                <w:rFonts w:ascii="Calibri" w:hAnsi="Calibri" w:cs="Calibri"/>
                <w:sz w:val="18"/>
              </w:rPr>
              <w:t>chool-</w:t>
            </w:r>
            <w:r>
              <w:rPr>
                <w:rFonts w:ascii="Calibri" w:hAnsi="Calibri" w:cs="Calibri"/>
                <w:sz w:val="18"/>
              </w:rPr>
              <w:t>B</w:t>
            </w:r>
            <w:r w:rsidRPr="00061F1C">
              <w:rPr>
                <w:rFonts w:ascii="Calibri" w:hAnsi="Calibri" w:cs="Calibri"/>
                <w:sz w:val="18"/>
              </w:rPr>
              <w:t xml:space="preserve">ased </w:t>
            </w:r>
            <w:r>
              <w:rPr>
                <w:rFonts w:ascii="Calibri" w:hAnsi="Calibri" w:cs="Calibri"/>
                <w:sz w:val="18"/>
              </w:rPr>
              <w:t>E</w:t>
            </w:r>
            <w:r w:rsidRPr="00061F1C">
              <w:rPr>
                <w:rFonts w:ascii="Calibri" w:hAnsi="Calibri" w:cs="Calibri"/>
                <w:sz w:val="18"/>
              </w:rPr>
              <w:t xml:space="preserve">xecutive </w:t>
            </w:r>
            <w:r>
              <w:rPr>
                <w:rFonts w:ascii="Calibri" w:hAnsi="Calibri" w:cs="Calibri"/>
                <w:sz w:val="18"/>
              </w:rPr>
              <w:t>C</w:t>
            </w:r>
            <w:r w:rsidRPr="00061F1C">
              <w:rPr>
                <w:rFonts w:ascii="Calibri" w:hAnsi="Calibri" w:cs="Calibri"/>
                <w:sz w:val="18"/>
              </w:rPr>
              <w:t xml:space="preserve">lass </w:t>
            </w:r>
            <w:r>
              <w:rPr>
                <w:rFonts w:ascii="Calibri" w:hAnsi="Calibri" w:cs="Calibri"/>
                <w:sz w:val="18"/>
              </w:rPr>
              <w:t>P</w:t>
            </w:r>
            <w:r w:rsidRPr="00061F1C">
              <w:rPr>
                <w:rFonts w:ascii="Calibri" w:hAnsi="Calibri" w:cs="Calibri"/>
                <w:sz w:val="18"/>
              </w:rPr>
              <w:t xml:space="preserve">rincipal </w:t>
            </w:r>
            <w:r>
              <w:rPr>
                <w:rFonts w:ascii="Calibri" w:hAnsi="Calibri" w:cs="Calibri"/>
                <w:sz w:val="18"/>
              </w:rPr>
              <w:t>I</w:t>
            </w:r>
            <w:r w:rsidRPr="00061F1C">
              <w:rPr>
                <w:rFonts w:ascii="Calibri" w:hAnsi="Calibri" w:cs="Calibri"/>
                <w:sz w:val="18"/>
              </w:rPr>
              <w:t>nitiative</w:t>
            </w:r>
          </w:p>
        </w:tc>
        <w:tc>
          <w:tcPr>
            <w:tcW w:w="2126" w:type="dxa"/>
            <w:tcBorders>
              <w:top w:val="single" w:sz="4" w:space="0" w:color="auto"/>
              <w:bottom w:val="single" w:sz="4" w:space="0" w:color="auto"/>
            </w:tcBorders>
            <w:shd w:val="clear" w:color="auto" w:fill="auto"/>
            <w:vAlign w:val="center"/>
          </w:tcPr>
          <w:p w14:paraId="77678BEC"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Australian Council for Educational Research</w:t>
            </w:r>
          </w:p>
        </w:tc>
        <w:tc>
          <w:tcPr>
            <w:tcW w:w="4678" w:type="dxa"/>
            <w:tcBorders>
              <w:top w:val="single" w:sz="4" w:space="0" w:color="auto"/>
              <w:bottom w:val="single" w:sz="4" w:space="0" w:color="auto"/>
            </w:tcBorders>
            <w:shd w:val="clear" w:color="auto" w:fill="auto"/>
            <w:vAlign w:val="center"/>
          </w:tcPr>
          <w:p w14:paraId="5A6FD8F7" w14:textId="01BB6D46"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 xml:space="preserve">To improve the </w:t>
            </w:r>
            <w:proofErr w:type="gramStart"/>
            <w:r w:rsidRPr="009F7FA2">
              <w:rPr>
                <w:rFonts w:ascii="Calibri" w:eastAsia="Times New Roman" w:hAnsi="Calibri" w:cs="Calibri"/>
                <w:sz w:val="18"/>
              </w:rPr>
              <w:t>School</w:t>
            </w:r>
            <w:proofErr w:type="gramEnd"/>
            <w:r w:rsidRPr="009F7FA2">
              <w:rPr>
                <w:rFonts w:ascii="Calibri" w:eastAsia="Times New Roman" w:hAnsi="Calibri" w:cs="Calibri"/>
                <w:sz w:val="18"/>
              </w:rPr>
              <w:t>-</w:t>
            </w:r>
            <w:r w:rsidR="000366A7">
              <w:rPr>
                <w:rFonts w:ascii="Calibri" w:eastAsia="Times New Roman" w:hAnsi="Calibri" w:cs="Calibri"/>
                <w:sz w:val="18"/>
              </w:rPr>
              <w:t>B</w:t>
            </w:r>
            <w:r w:rsidRPr="009F7FA2">
              <w:rPr>
                <w:rFonts w:ascii="Calibri" w:eastAsia="Times New Roman" w:hAnsi="Calibri" w:cs="Calibri"/>
                <w:sz w:val="18"/>
              </w:rPr>
              <w:t xml:space="preserve">ased Executive Class Principal </w:t>
            </w:r>
            <w:r w:rsidR="000366A7">
              <w:rPr>
                <w:rFonts w:ascii="Calibri" w:eastAsia="Times New Roman" w:hAnsi="Calibri" w:cs="Calibri"/>
                <w:sz w:val="18"/>
              </w:rPr>
              <w:t>I</w:t>
            </w:r>
            <w:r w:rsidRPr="009F7FA2">
              <w:rPr>
                <w:rFonts w:ascii="Calibri" w:eastAsia="Times New Roman" w:hAnsi="Calibri" w:cs="Calibri"/>
                <w:sz w:val="18"/>
              </w:rPr>
              <w:t>nitiative by providing recommendations that inform the adaptation of the initiative and future policy decisions regarding the program.</w:t>
            </w:r>
          </w:p>
        </w:tc>
      </w:tr>
      <w:tr w:rsidR="0019565A" w:rsidRPr="00925213" w14:paraId="02735950"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04808DA" w14:textId="77777777" w:rsidR="0019565A" w:rsidRPr="00061F1C" w:rsidRDefault="0019565A" w:rsidP="00061F1C">
            <w:pPr>
              <w:pStyle w:val="ESTablebody"/>
              <w:rPr>
                <w:rFonts w:ascii="Calibri" w:hAnsi="Calibri" w:cs="Calibri"/>
                <w:sz w:val="18"/>
              </w:rPr>
            </w:pPr>
            <w:bookmarkStart w:id="61" w:name="_Hlk108774598"/>
            <w:r w:rsidRPr="00061F1C">
              <w:rPr>
                <w:rFonts w:ascii="Calibri" w:hAnsi="Calibri" w:cs="Calibri"/>
                <w:sz w:val="18"/>
              </w:rPr>
              <w:t xml:space="preserve">Evaluation of the </w:t>
            </w:r>
            <w:r>
              <w:rPr>
                <w:rFonts w:ascii="Calibri" w:hAnsi="Calibri" w:cs="Calibri"/>
                <w:sz w:val="18"/>
              </w:rPr>
              <w:t>S</w:t>
            </w:r>
            <w:r w:rsidRPr="00061F1C">
              <w:rPr>
                <w:rFonts w:ascii="Calibri" w:hAnsi="Calibri" w:cs="Calibri"/>
                <w:sz w:val="18"/>
              </w:rPr>
              <w:t xml:space="preserve">trategic </w:t>
            </w:r>
            <w:r>
              <w:rPr>
                <w:rFonts w:ascii="Calibri" w:hAnsi="Calibri" w:cs="Calibri"/>
                <w:sz w:val="18"/>
              </w:rPr>
              <w:t>P</w:t>
            </w:r>
            <w:r w:rsidRPr="00061F1C">
              <w:rPr>
                <w:rFonts w:ascii="Calibri" w:hAnsi="Calibri" w:cs="Calibri"/>
                <w:sz w:val="18"/>
              </w:rPr>
              <w:t xml:space="preserve">lanning </w:t>
            </w:r>
            <w:r>
              <w:rPr>
                <w:rFonts w:ascii="Calibri" w:hAnsi="Calibri" w:cs="Calibri"/>
                <w:sz w:val="18"/>
              </w:rPr>
              <w:t>O</w:t>
            </w:r>
            <w:r w:rsidRPr="00061F1C">
              <w:rPr>
                <w:rFonts w:ascii="Calibri" w:hAnsi="Calibri" w:cs="Calibri"/>
                <w:sz w:val="18"/>
              </w:rPr>
              <w:t xml:space="preserve">nline </w:t>
            </w:r>
            <w:r>
              <w:rPr>
                <w:rFonts w:ascii="Calibri" w:hAnsi="Calibri" w:cs="Calibri"/>
                <w:sz w:val="18"/>
              </w:rPr>
              <w:t>T</w:t>
            </w:r>
            <w:r w:rsidRPr="00061F1C">
              <w:rPr>
                <w:rFonts w:ascii="Calibri" w:hAnsi="Calibri" w:cs="Calibri"/>
                <w:sz w:val="18"/>
              </w:rPr>
              <w:t>ool</w:t>
            </w:r>
            <w:bookmarkEnd w:id="61"/>
          </w:p>
        </w:tc>
        <w:tc>
          <w:tcPr>
            <w:tcW w:w="2126" w:type="dxa"/>
            <w:tcBorders>
              <w:top w:val="single" w:sz="4" w:space="0" w:color="auto"/>
              <w:bottom w:val="single" w:sz="4" w:space="0" w:color="auto"/>
            </w:tcBorders>
            <w:shd w:val="clear" w:color="auto" w:fill="auto"/>
            <w:vAlign w:val="center"/>
          </w:tcPr>
          <w:p w14:paraId="06884554" w14:textId="77777777" w:rsidR="0019565A" w:rsidRDefault="0019565A" w:rsidP="00061F1C">
            <w:pPr>
              <w:pStyle w:val="ESTablebody"/>
              <w:rPr>
                <w:rFonts w:ascii="Calibri" w:hAnsi="Calibri" w:cs="Calibri"/>
                <w:sz w:val="18"/>
              </w:rPr>
            </w:pPr>
            <w:r w:rsidRPr="00061F1C">
              <w:rPr>
                <w:rFonts w:ascii="Calibri" w:hAnsi="Calibri" w:cs="Calibri"/>
                <w:sz w:val="18"/>
              </w:rPr>
              <w:t xml:space="preserve">ARTD </w:t>
            </w:r>
            <w:r>
              <w:rPr>
                <w:rFonts w:ascii="Calibri" w:hAnsi="Calibri" w:cs="Calibri"/>
                <w:sz w:val="18"/>
              </w:rPr>
              <w:t>Consultants</w:t>
            </w:r>
          </w:p>
          <w:p w14:paraId="34D8487C"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686193E3" w14:textId="035DD5E0" w:rsidR="0019565A" w:rsidRPr="009F7FA2" w:rsidRDefault="00E11A6D" w:rsidP="00061F1C">
            <w:pPr>
              <w:pStyle w:val="ESTablebody"/>
              <w:rPr>
                <w:rFonts w:ascii="Calibri" w:eastAsia="Times New Roman" w:hAnsi="Calibri" w:cs="Calibri"/>
                <w:sz w:val="18"/>
              </w:rPr>
            </w:pPr>
            <w:r w:rsidRPr="004956F8">
              <w:rPr>
                <w:rFonts w:ascii="Calibri" w:eastAsia="Times New Roman" w:hAnsi="Calibri" w:cs="Calibri"/>
                <w:sz w:val="18"/>
              </w:rPr>
              <w:t>To evaluate the Strategic Planning Online Tool, in terms of utility, functionality and impact, with a view to future enhancements.</w:t>
            </w:r>
          </w:p>
        </w:tc>
      </w:tr>
      <w:tr w:rsidR="0019565A" w:rsidRPr="00925213" w14:paraId="0F455D33"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E36107B" w14:textId="77777777" w:rsidR="0019565A" w:rsidRPr="0079001C" w:rsidRDefault="0019565A" w:rsidP="00AA753C">
            <w:pPr>
              <w:spacing w:before="120" w:after="120"/>
              <w:rPr>
                <w:rFonts w:ascii="Calibri" w:eastAsia="Times New Roman" w:hAnsi="Calibri" w:cs="Calibri"/>
                <w:sz w:val="18"/>
                <w:szCs w:val="18"/>
                <w:lang w:val="en-US"/>
              </w:rPr>
            </w:pPr>
            <w:r w:rsidRPr="0079001C">
              <w:rPr>
                <w:rFonts w:ascii="Calibri" w:eastAsia="Times New Roman" w:hAnsi="Calibri" w:cs="Calibri"/>
                <w:sz w:val="18"/>
                <w:szCs w:val="18"/>
                <w:lang w:val="en-US"/>
              </w:rPr>
              <w:t xml:space="preserve">Evaluation of the </w:t>
            </w:r>
            <w:r>
              <w:rPr>
                <w:rFonts w:ascii="Calibri" w:eastAsia="Times New Roman" w:hAnsi="Calibri" w:cs="Calibri"/>
                <w:sz w:val="18"/>
                <w:szCs w:val="18"/>
                <w:lang w:val="en-US"/>
              </w:rPr>
              <w:t>T</w:t>
            </w:r>
            <w:r w:rsidRPr="0079001C">
              <w:rPr>
                <w:rFonts w:ascii="Calibri" w:eastAsia="Times New Roman" w:hAnsi="Calibri" w:cs="Calibri"/>
                <w:sz w:val="18"/>
                <w:szCs w:val="18"/>
                <w:lang w:val="en-US"/>
              </w:rPr>
              <w:t xml:space="preserve">eacher </w:t>
            </w:r>
            <w:r>
              <w:rPr>
                <w:rFonts w:ascii="Calibri" w:eastAsia="Times New Roman" w:hAnsi="Calibri" w:cs="Calibri"/>
                <w:sz w:val="18"/>
                <w:szCs w:val="18"/>
                <w:lang w:val="en-US"/>
              </w:rPr>
              <w:t>F</w:t>
            </w:r>
            <w:r w:rsidRPr="0079001C">
              <w:rPr>
                <w:rFonts w:ascii="Calibri" w:eastAsia="Times New Roman" w:hAnsi="Calibri" w:cs="Calibri"/>
                <w:sz w:val="18"/>
                <w:szCs w:val="18"/>
                <w:lang w:val="en-US"/>
              </w:rPr>
              <w:t xml:space="preserve">inancial </w:t>
            </w:r>
            <w:r>
              <w:rPr>
                <w:rFonts w:ascii="Calibri" w:eastAsia="Times New Roman" w:hAnsi="Calibri" w:cs="Calibri"/>
                <w:sz w:val="18"/>
                <w:szCs w:val="18"/>
                <w:lang w:val="en-US"/>
              </w:rPr>
              <w:t>I</w:t>
            </w:r>
            <w:r w:rsidRPr="0079001C">
              <w:rPr>
                <w:rFonts w:ascii="Calibri" w:eastAsia="Times New Roman" w:hAnsi="Calibri" w:cs="Calibri"/>
                <w:sz w:val="18"/>
                <w:szCs w:val="18"/>
                <w:lang w:val="en-US"/>
              </w:rPr>
              <w:t xml:space="preserve">ncentives </w:t>
            </w:r>
            <w:r>
              <w:rPr>
                <w:rFonts w:ascii="Calibri" w:eastAsia="Times New Roman" w:hAnsi="Calibri" w:cs="Calibri"/>
                <w:sz w:val="18"/>
                <w:szCs w:val="18"/>
                <w:lang w:val="en-US"/>
              </w:rPr>
              <w:t>I</w:t>
            </w:r>
            <w:r w:rsidRPr="0079001C">
              <w:rPr>
                <w:rFonts w:ascii="Calibri" w:eastAsia="Times New Roman" w:hAnsi="Calibri" w:cs="Calibri"/>
                <w:sz w:val="18"/>
                <w:szCs w:val="18"/>
                <w:lang w:val="en-US"/>
              </w:rPr>
              <w:t>nitiative</w:t>
            </w:r>
          </w:p>
        </w:tc>
        <w:tc>
          <w:tcPr>
            <w:tcW w:w="2126" w:type="dxa"/>
            <w:tcBorders>
              <w:top w:val="single" w:sz="4" w:space="0" w:color="auto"/>
              <w:bottom w:val="single" w:sz="4" w:space="0" w:color="auto"/>
            </w:tcBorders>
            <w:shd w:val="clear" w:color="auto" w:fill="auto"/>
            <w:vAlign w:val="center"/>
          </w:tcPr>
          <w:p w14:paraId="1B22FDEE"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The department</w:t>
            </w:r>
          </w:p>
        </w:tc>
        <w:tc>
          <w:tcPr>
            <w:tcW w:w="4678" w:type="dxa"/>
            <w:tcBorders>
              <w:top w:val="single" w:sz="4" w:space="0" w:color="auto"/>
              <w:bottom w:val="single" w:sz="4" w:space="0" w:color="auto"/>
            </w:tcBorders>
            <w:shd w:val="clear" w:color="auto" w:fill="auto"/>
            <w:vAlign w:val="center"/>
          </w:tcPr>
          <w:p w14:paraId="28744344"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To evaluate the implementation and outcomes of the teacher financial incentives initiative for future policy and funding directions.</w:t>
            </w:r>
          </w:p>
        </w:tc>
      </w:tr>
      <w:tr w:rsidR="0019565A" w:rsidRPr="00925213" w14:paraId="00A9F2A7"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73152AAB" w14:textId="77777777" w:rsidR="0019565A" w:rsidRPr="0079001C" w:rsidRDefault="0019565A" w:rsidP="00AA753C">
            <w:pPr>
              <w:spacing w:before="120" w:after="120"/>
              <w:rPr>
                <w:rFonts w:ascii="Calibri" w:eastAsia="Times New Roman" w:hAnsi="Calibri" w:cs="Calibri"/>
                <w:sz w:val="18"/>
                <w:szCs w:val="18"/>
                <w:lang w:val="en-US"/>
              </w:rPr>
            </w:pPr>
            <w:r w:rsidRPr="0079001C">
              <w:rPr>
                <w:rFonts w:ascii="Calibri" w:eastAsia="Times New Roman" w:hAnsi="Calibri" w:cs="Calibri"/>
                <w:sz w:val="18"/>
                <w:szCs w:val="18"/>
                <w:lang w:val="en-US"/>
              </w:rPr>
              <w:t>Evaluation of the Victorian Early Years Learning and Development Framework (2016) Implementation</w:t>
            </w:r>
          </w:p>
        </w:tc>
        <w:tc>
          <w:tcPr>
            <w:tcW w:w="2126" w:type="dxa"/>
            <w:tcBorders>
              <w:top w:val="single" w:sz="4" w:space="0" w:color="auto"/>
              <w:bottom w:val="single" w:sz="4" w:space="0" w:color="auto"/>
            </w:tcBorders>
            <w:shd w:val="clear" w:color="auto" w:fill="auto"/>
            <w:vAlign w:val="center"/>
          </w:tcPr>
          <w:p w14:paraId="0E12C45B" w14:textId="77777777" w:rsidR="0019565A" w:rsidRPr="0079001C" w:rsidRDefault="0019565A" w:rsidP="00AA753C">
            <w:pPr>
              <w:pStyle w:val="ESTablebody"/>
              <w:rPr>
                <w:rFonts w:ascii="Calibri" w:hAnsi="Calibri" w:cs="Calibri"/>
                <w:sz w:val="18"/>
              </w:rPr>
            </w:pPr>
            <w:proofErr w:type="spellStart"/>
            <w:r w:rsidRPr="0079001C">
              <w:rPr>
                <w:rFonts w:ascii="Calibri" w:hAnsi="Calibri" w:cs="Calibri"/>
                <w:sz w:val="18"/>
              </w:rPr>
              <w:t>Synergisti</w:t>
            </w:r>
            <w:r>
              <w:rPr>
                <w:rFonts w:ascii="Calibri" w:hAnsi="Calibri" w:cs="Calibri"/>
                <w:sz w:val="18"/>
              </w:rPr>
              <w:t>q</w:t>
            </w:r>
            <w:proofErr w:type="spellEnd"/>
          </w:p>
        </w:tc>
        <w:tc>
          <w:tcPr>
            <w:tcW w:w="4678" w:type="dxa"/>
            <w:tcBorders>
              <w:top w:val="single" w:sz="4" w:space="0" w:color="auto"/>
              <w:bottom w:val="single" w:sz="4" w:space="0" w:color="auto"/>
            </w:tcBorders>
            <w:shd w:val="clear" w:color="auto" w:fill="auto"/>
            <w:vAlign w:val="center"/>
          </w:tcPr>
          <w:p w14:paraId="01038FA2" w14:textId="77777777" w:rsidR="0019565A" w:rsidRPr="0079001C" w:rsidRDefault="0019565A" w:rsidP="00AA753C">
            <w:pPr>
              <w:pStyle w:val="ESTablebody"/>
              <w:rPr>
                <w:rFonts w:ascii="Calibri" w:hAnsi="Calibri" w:cs="Calibri"/>
                <w:sz w:val="18"/>
              </w:rPr>
            </w:pPr>
            <w:r w:rsidRPr="0079001C">
              <w:rPr>
                <w:rFonts w:ascii="Calibri" w:hAnsi="Calibri" w:cs="Calibri"/>
                <w:sz w:val="18"/>
              </w:rPr>
              <w:t xml:space="preserve">To evaluate the extent to which the revised framework has been communicated to the sector by </w:t>
            </w:r>
            <w:r>
              <w:rPr>
                <w:rFonts w:ascii="Calibri" w:hAnsi="Calibri" w:cs="Calibri"/>
                <w:sz w:val="18"/>
              </w:rPr>
              <w:t xml:space="preserve">the </w:t>
            </w:r>
            <w:r w:rsidRPr="0079001C">
              <w:rPr>
                <w:rFonts w:ascii="Calibri" w:hAnsi="Calibri" w:cs="Calibri"/>
                <w:sz w:val="18"/>
              </w:rPr>
              <w:t xml:space="preserve">Victorian Curriculum and Assessment Authority (VCAA) and the </w:t>
            </w:r>
            <w:r>
              <w:rPr>
                <w:rFonts w:ascii="Calibri" w:hAnsi="Calibri" w:cs="Calibri"/>
                <w:sz w:val="18"/>
              </w:rPr>
              <w:t>d</w:t>
            </w:r>
            <w:r w:rsidRPr="0079001C">
              <w:rPr>
                <w:rFonts w:ascii="Calibri" w:hAnsi="Calibri" w:cs="Calibri"/>
                <w:sz w:val="18"/>
              </w:rPr>
              <w:t>epartment and whether early childhood professionals have revised their practices.</w:t>
            </w:r>
          </w:p>
        </w:tc>
      </w:tr>
      <w:tr w:rsidR="0019565A" w:rsidRPr="00925213" w14:paraId="783C04D1"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2CE9802"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Evaluation of the Victorian Professional Learning Communities (PLC) </w:t>
            </w:r>
            <w:r w:rsidRPr="00B64004">
              <w:rPr>
                <w:rFonts w:ascii="Calibri" w:hAnsi="Calibri" w:cs="Calibri"/>
                <w:sz w:val="18"/>
              </w:rPr>
              <w:t>Initiative</w:t>
            </w:r>
            <w:r>
              <w:rPr>
                <w:rFonts w:ascii="Calibri" w:hAnsi="Calibri" w:cs="Calibri"/>
                <w:sz w:val="18"/>
              </w:rPr>
              <w:t xml:space="preserve"> (2019–22) </w:t>
            </w:r>
          </w:p>
          <w:p w14:paraId="1AAA5191" w14:textId="77777777" w:rsidR="0019565A" w:rsidRPr="0079001C" w:rsidRDefault="0019565A" w:rsidP="00061F1C">
            <w:pPr>
              <w:pStyle w:val="ESTablebody"/>
              <w:rPr>
                <w:rFonts w:ascii="Calibri" w:hAnsi="Calibri" w:cs="Calibri"/>
                <w:sz w:val="18"/>
              </w:rPr>
            </w:pPr>
          </w:p>
        </w:tc>
        <w:tc>
          <w:tcPr>
            <w:tcW w:w="2126" w:type="dxa"/>
            <w:tcBorders>
              <w:top w:val="single" w:sz="4" w:space="0" w:color="auto"/>
              <w:bottom w:val="single" w:sz="4" w:space="0" w:color="auto"/>
            </w:tcBorders>
            <w:shd w:val="clear" w:color="auto" w:fill="auto"/>
            <w:vAlign w:val="center"/>
          </w:tcPr>
          <w:p w14:paraId="1307E1C9"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306D9D65" w14:textId="714107C2"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 xml:space="preserve">To evaluate ongoing implementation, </w:t>
            </w:r>
            <w:proofErr w:type="gramStart"/>
            <w:r w:rsidRPr="009F7FA2">
              <w:rPr>
                <w:rFonts w:ascii="Calibri" w:eastAsia="Times New Roman" w:hAnsi="Calibri" w:cs="Calibri"/>
                <w:sz w:val="18"/>
              </w:rPr>
              <w:t>design</w:t>
            </w:r>
            <w:proofErr w:type="gramEnd"/>
            <w:r w:rsidRPr="009F7FA2">
              <w:rPr>
                <w:rFonts w:ascii="Calibri" w:eastAsia="Times New Roman" w:hAnsi="Calibri" w:cs="Calibri"/>
                <w:sz w:val="18"/>
              </w:rPr>
              <w:t xml:space="preserve"> and decision</w:t>
            </w:r>
            <w:r>
              <w:rPr>
                <w:rFonts w:ascii="Calibri" w:eastAsia="Times New Roman" w:hAnsi="Calibri" w:cs="Calibri"/>
                <w:sz w:val="18"/>
              </w:rPr>
              <w:noBreakHyphen/>
            </w:r>
            <w:r w:rsidRPr="009F7FA2">
              <w:rPr>
                <w:rFonts w:ascii="Calibri" w:eastAsia="Times New Roman" w:hAnsi="Calibri" w:cs="Calibri"/>
                <w:sz w:val="18"/>
              </w:rPr>
              <w:t xml:space="preserve">making associated with the Victorian PLC </w:t>
            </w:r>
            <w:r w:rsidR="000366A7">
              <w:rPr>
                <w:rFonts w:ascii="Calibri" w:eastAsia="Times New Roman" w:hAnsi="Calibri" w:cs="Calibri"/>
                <w:sz w:val="18"/>
              </w:rPr>
              <w:t>I</w:t>
            </w:r>
            <w:r w:rsidRPr="009F7FA2">
              <w:rPr>
                <w:rFonts w:ascii="Calibri" w:eastAsia="Times New Roman" w:hAnsi="Calibri" w:cs="Calibri"/>
                <w:sz w:val="18"/>
              </w:rPr>
              <w:t>nitiative and its impact on teaching practices and learning outcomes in more than 800 Victorian government schools. The evaluation also assess</w:t>
            </w:r>
            <w:r>
              <w:rPr>
                <w:rFonts w:ascii="Calibri" w:eastAsia="Times New Roman" w:hAnsi="Calibri" w:cs="Calibri"/>
                <w:sz w:val="18"/>
              </w:rPr>
              <w:t>es</w:t>
            </w:r>
            <w:r w:rsidRPr="009F7FA2">
              <w:rPr>
                <w:rFonts w:ascii="Calibri" w:eastAsia="Times New Roman" w:hAnsi="Calibri" w:cs="Calibri"/>
                <w:sz w:val="18"/>
              </w:rPr>
              <w:t xml:space="preserve"> the consistency of the PLC implementation practices and the program's social and economic costs and benefits.</w:t>
            </w:r>
          </w:p>
        </w:tc>
      </w:tr>
      <w:tr w:rsidR="0019565A" w:rsidRPr="00925213" w14:paraId="2093F09B"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191B54F"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Evaluation of the Victorian Professional Learning Communities (PLC) </w:t>
            </w:r>
            <w:r>
              <w:rPr>
                <w:rFonts w:ascii="Calibri" w:hAnsi="Calibri" w:cs="Calibri"/>
                <w:sz w:val="18"/>
              </w:rPr>
              <w:t>I</w:t>
            </w:r>
            <w:r w:rsidRPr="00B64004">
              <w:rPr>
                <w:rFonts w:ascii="Calibri" w:hAnsi="Calibri" w:cs="Calibri"/>
                <w:sz w:val="18"/>
              </w:rPr>
              <w:t>nitiative</w:t>
            </w:r>
            <w:r>
              <w:rPr>
                <w:rFonts w:ascii="Calibri" w:hAnsi="Calibri" w:cs="Calibri"/>
                <w:sz w:val="18"/>
              </w:rPr>
              <w:t xml:space="preserve"> (2022–23)</w:t>
            </w:r>
          </w:p>
          <w:p w14:paraId="3DE55ECE" w14:textId="77777777" w:rsidR="0019565A" w:rsidRPr="0079001C" w:rsidRDefault="0019565A" w:rsidP="00061F1C">
            <w:pPr>
              <w:pStyle w:val="ESTablebody"/>
              <w:rPr>
                <w:rFonts w:ascii="Calibri" w:hAnsi="Calibri" w:cs="Calibri"/>
                <w:sz w:val="18"/>
              </w:rPr>
            </w:pPr>
          </w:p>
        </w:tc>
        <w:tc>
          <w:tcPr>
            <w:tcW w:w="2126" w:type="dxa"/>
            <w:tcBorders>
              <w:top w:val="single" w:sz="4" w:space="0" w:color="auto"/>
              <w:bottom w:val="single" w:sz="4" w:space="0" w:color="auto"/>
            </w:tcBorders>
            <w:shd w:val="clear" w:color="auto" w:fill="auto"/>
            <w:vAlign w:val="center"/>
          </w:tcPr>
          <w:p w14:paraId="2372ED23"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Australian Council for Educational Research </w:t>
            </w:r>
          </w:p>
        </w:tc>
        <w:tc>
          <w:tcPr>
            <w:tcW w:w="4678" w:type="dxa"/>
            <w:tcBorders>
              <w:top w:val="single" w:sz="4" w:space="0" w:color="auto"/>
              <w:bottom w:val="single" w:sz="4" w:space="0" w:color="auto"/>
            </w:tcBorders>
            <w:shd w:val="clear" w:color="auto" w:fill="auto"/>
            <w:vAlign w:val="center"/>
          </w:tcPr>
          <w:p w14:paraId="0B002B90" w14:textId="5ADCE16E"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 xml:space="preserve">To evaluate ongoing implementation, </w:t>
            </w:r>
            <w:proofErr w:type="gramStart"/>
            <w:r w:rsidRPr="009F7FA2">
              <w:rPr>
                <w:rFonts w:ascii="Calibri" w:eastAsia="Times New Roman" w:hAnsi="Calibri" w:cs="Calibri"/>
                <w:sz w:val="18"/>
              </w:rPr>
              <w:t>design</w:t>
            </w:r>
            <w:proofErr w:type="gramEnd"/>
            <w:r w:rsidRPr="009F7FA2">
              <w:rPr>
                <w:rFonts w:ascii="Calibri" w:eastAsia="Times New Roman" w:hAnsi="Calibri" w:cs="Calibri"/>
                <w:sz w:val="18"/>
              </w:rPr>
              <w:t xml:space="preserve"> and decision</w:t>
            </w:r>
            <w:r>
              <w:rPr>
                <w:rFonts w:ascii="Calibri" w:eastAsia="Times New Roman" w:hAnsi="Calibri" w:cs="Calibri"/>
                <w:sz w:val="18"/>
              </w:rPr>
              <w:noBreakHyphen/>
            </w:r>
            <w:r w:rsidRPr="009F7FA2">
              <w:rPr>
                <w:rFonts w:ascii="Calibri" w:eastAsia="Times New Roman" w:hAnsi="Calibri" w:cs="Calibri"/>
                <w:sz w:val="18"/>
              </w:rPr>
              <w:t xml:space="preserve">making associated with the Victorian PLC </w:t>
            </w:r>
            <w:r w:rsidR="000366A7">
              <w:rPr>
                <w:rFonts w:ascii="Calibri" w:eastAsia="Times New Roman" w:hAnsi="Calibri" w:cs="Calibri"/>
                <w:sz w:val="18"/>
              </w:rPr>
              <w:t>I</w:t>
            </w:r>
            <w:r w:rsidRPr="009F7FA2">
              <w:rPr>
                <w:rFonts w:ascii="Calibri" w:eastAsia="Times New Roman" w:hAnsi="Calibri" w:cs="Calibri"/>
                <w:sz w:val="18"/>
              </w:rPr>
              <w:t>nitiative and its impact on teaching practices and learning outcomes in more than 1,000 Victorian government schools. The evaluation also assess</w:t>
            </w:r>
            <w:r>
              <w:rPr>
                <w:rFonts w:ascii="Calibri" w:eastAsia="Times New Roman" w:hAnsi="Calibri" w:cs="Calibri"/>
                <w:sz w:val="18"/>
              </w:rPr>
              <w:t>es</w:t>
            </w:r>
            <w:r w:rsidRPr="009F7FA2">
              <w:rPr>
                <w:rFonts w:ascii="Calibri" w:eastAsia="Times New Roman" w:hAnsi="Calibri" w:cs="Calibri"/>
                <w:sz w:val="18"/>
              </w:rPr>
              <w:t xml:space="preserve"> the consistency of the PLC implementation practices and the program's social and economic costs and benefits.</w:t>
            </w:r>
          </w:p>
        </w:tc>
      </w:tr>
      <w:tr w:rsidR="0019565A" w:rsidRPr="00925213" w14:paraId="4D7D34F3"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682341C" w14:textId="77777777" w:rsidR="0019565A" w:rsidRPr="0079001C" w:rsidRDefault="0019565A" w:rsidP="00AA753C">
            <w:pPr>
              <w:spacing w:before="120" w:after="120"/>
              <w:rPr>
                <w:rFonts w:ascii="Calibri" w:eastAsia="Times New Roman" w:hAnsi="Calibri" w:cs="Calibri"/>
                <w:sz w:val="18"/>
                <w:szCs w:val="18"/>
                <w:lang w:val="en-US"/>
              </w:rPr>
            </w:pPr>
            <w:r w:rsidRPr="0079001C">
              <w:rPr>
                <w:rFonts w:ascii="Calibri" w:eastAsia="Times New Roman" w:hAnsi="Calibri" w:cs="Calibri"/>
                <w:sz w:val="18"/>
                <w:szCs w:val="18"/>
                <w:lang w:val="en-US"/>
              </w:rPr>
              <w:t>Evaluation of Transforming the First Years of the Teaching Career (Career Start Pilot)</w:t>
            </w:r>
          </w:p>
        </w:tc>
        <w:tc>
          <w:tcPr>
            <w:tcW w:w="2126" w:type="dxa"/>
            <w:tcBorders>
              <w:top w:val="single" w:sz="4" w:space="0" w:color="auto"/>
              <w:bottom w:val="single" w:sz="4" w:space="0" w:color="auto"/>
            </w:tcBorders>
            <w:shd w:val="clear" w:color="auto" w:fill="auto"/>
            <w:vAlign w:val="center"/>
          </w:tcPr>
          <w:p w14:paraId="2C161327"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The department</w:t>
            </w:r>
          </w:p>
        </w:tc>
        <w:tc>
          <w:tcPr>
            <w:tcW w:w="4678" w:type="dxa"/>
            <w:tcBorders>
              <w:top w:val="single" w:sz="4" w:space="0" w:color="auto"/>
              <w:bottom w:val="single" w:sz="4" w:space="0" w:color="auto"/>
            </w:tcBorders>
            <w:shd w:val="clear" w:color="auto" w:fill="auto"/>
            <w:vAlign w:val="center"/>
          </w:tcPr>
          <w:p w14:paraId="65E9981B" w14:textId="77777777" w:rsidR="0019565A" w:rsidRPr="0079001C" w:rsidRDefault="0019565A" w:rsidP="00AA753C">
            <w:pPr>
              <w:pStyle w:val="ESTablebody"/>
              <w:rPr>
                <w:rFonts w:ascii="Calibri" w:hAnsi="Calibri" w:cs="Calibri"/>
                <w:sz w:val="18"/>
              </w:rPr>
            </w:pPr>
            <w:r w:rsidRPr="0079001C">
              <w:rPr>
                <w:rFonts w:ascii="Calibri" w:eastAsia="Times New Roman" w:hAnsi="Calibri" w:cs="Calibri"/>
                <w:sz w:val="18"/>
              </w:rPr>
              <w:t xml:space="preserve">To evaluate the effectiveness of the </w:t>
            </w:r>
            <w:proofErr w:type="gramStart"/>
            <w:r w:rsidRPr="0079001C">
              <w:rPr>
                <w:rFonts w:ascii="Calibri" w:eastAsia="Times New Roman" w:hAnsi="Calibri" w:cs="Calibri"/>
                <w:sz w:val="18"/>
              </w:rPr>
              <w:t>Career</w:t>
            </w:r>
            <w:proofErr w:type="gramEnd"/>
            <w:r w:rsidRPr="0079001C">
              <w:rPr>
                <w:rFonts w:ascii="Calibri" w:eastAsia="Times New Roman" w:hAnsi="Calibri" w:cs="Calibri"/>
                <w:sz w:val="18"/>
              </w:rPr>
              <w:t xml:space="preserve"> Start Pilot in accelerating the professional development of first and second year graduate teachers, enhancing their wellbeing and reducing attrition levels in the participating cohorts. </w:t>
            </w:r>
          </w:p>
        </w:tc>
      </w:tr>
      <w:tr w:rsidR="0019565A" w:rsidRPr="00925213" w14:paraId="5F8CF0FA"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76532C1"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Free Sanitary Pads and Tampons in all Public Schools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60590634"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524FEEE7"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To assess the progress and performance of the initiative, with a particular focus on reducing student concern about getting their period at school and relieving financial burdens for parents and students.</w:t>
            </w:r>
          </w:p>
        </w:tc>
      </w:tr>
      <w:tr w:rsidR="0019565A" w:rsidRPr="00925213" w14:paraId="3C4FA4F3"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D059797"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Funded Three-Year-Old Kindergarten: Evaluation of Implementation and Early Outcomes</w:t>
            </w:r>
          </w:p>
        </w:tc>
        <w:tc>
          <w:tcPr>
            <w:tcW w:w="2126" w:type="dxa"/>
            <w:tcBorders>
              <w:top w:val="single" w:sz="4" w:space="0" w:color="auto"/>
              <w:bottom w:val="single" w:sz="4" w:space="0" w:color="auto"/>
            </w:tcBorders>
            <w:shd w:val="clear" w:color="auto" w:fill="auto"/>
            <w:vAlign w:val="center"/>
          </w:tcPr>
          <w:p w14:paraId="1A953D7F"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6A64E91B" w14:textId="178AF931" w:rsidR="0019565A" w:rsidRPr="0019565A" w:rsidRDefault="0019565A" w:rsidP="00482320">
            <w:pPr>
              <w:pStyle w:val="ESTablebody"/>
              <w:rPr>
                <w:rFonts w:ascii="Calibri" w:hAnsi="Calibri" w:cs="Calibri"/>
                <w:sz w:val="18"/>
              </w:rPr>
            </w:pPr>
            <w:r w:rsidRPr="0019565A">
              <w:rPr>
                <w:rFonts w:ascii="Calibri" w:hAnsi="Calibri" w:cs="Calibri"/>
                <w:sz w:val="18"/>
              </w:rPr>
              <w:t xml:space="preserve">To evaluate the implementation of </w:t>
            </w:r>
            <w:r w:rsidR="000366A7">
              <w:rPr>
                <w:rFonts w:ascii="Calibri" w:hAnsi="Calibri" w:cs="Calibri"/>
                <w:sz w:val="18"/>
              </w:rPr>
              <w:t>F</w:t>
            </w:r>
            <w:r w:rsidRPr="0019565A">
              <w:rPr>
                <w:rFonts w:ascii="Calibri" w:hAnsi="Calibri" w:cs="Calibri"/>
                <w:sz w:val="18"/>
              </w:rPr>
              <w:t>unded Three-Year-Old Kindergarten, covering 2020 and 2021, identify early outcomes and assist in guiding preparation for statewide delivery in 2022.</w:t>
            </w:r>
          </w:p>
        </w:tc>
      </w:tr>
      <w:tr w:rsidR="0019565A" w:rsidRPr="00925213" w14:paraId="2C5494BE"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677C695" w14:textId="77777777" w:rsidR="0019565A" w:rsidRPr="00061F1C" w:rsidRDefault="0019565A" w:rsidP="00061F1C">
            <w:pPr>
              <w:pStyle w:val="ESTablebody"/>
              <w:rPr>
                <w:rFonts w:ascii="Calibri" w:hAnsi="Calibri" w:cs="Calibri"/>
                <w:sz w:val="18"/>
              </w:rPr>
            </w:pPr>
            <w:r w:rsidRPr="00061F1C">
              <w:rPr>
                <w:rFonts w:ascii="Calibri" w:hAnsi="Calibri" w:cs="Calibri"/>
                <w:sz w:val="18"/>
              </w:rPr>
              <w:t xml:space="preserve">Graduate </w:t>
            </w:r>
            <w:r>
              <w:rPr>
                <w:rFonts w:ascii="Calibri" w:hAnsi="Calibri" w:cs="Calibri"/>
                <w:sz w:val="18"/>
              </w:rPr>
              <w:t>T</w:t>
            </w:r>
            <w:r w:rsidRPr="00061F1C">
              <w:rPr>
                <w:rFonts w:ascii="Calibri" w:hAnsi="Calibri" w:cs="Calibri"/>
                <w:sz w:val="18"/>
              </w:rPr>
              <w:t xml:space="preserve">eacher </w:t>
            </w:r>
            <w:r>
              <w:rPr>
                <w:rFonts w:ascii="Calibri" w:hAnsi="Calibri" w:cs="Calibri"/>
                <w:sz w:val="18"/>
              </w:rPr>
              <w:t>S</w:t>
            </w:r>
            <w:r w:rsidRPr="00061F1C">
              <w:rPr>
                <w:rFonts w:ascii="Calibri" w:hAnsi="Calibri" w:cs="Calibri"/>
                <w:sz w:val="18"/>
              </w:rPr>
              <w:t>urvey</w:t>
            </w:r>
          </w:p>
        </w:tc>
        <w:tc>
          <w:tcPr>
            <w:tcW w:w="2126" w:type="dxa"/>
            <w:tcBorders>
              <w:top w:val="single" w:sz="4" w:space="0" w:color="auto"/>
              <w:bottom w:val="single" w:sz="4" w:space="0" w:color="auto"/>
            </w:tcBorders>
            <w:shd w:val="clear" w:color="auto" w:fill="auto"/>
            <w:vAlign w:val="center"/>
          </w:tcPr>
          <w:p w14:paraId="4C0A26D5"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Social Research Centre</w:t>
            </w:r>
          </w:p>
        </w:tc>
        <w:tc>
          <w:tcPr>
            <w:tcW w:w="4678" w:type="dxa"/>
            <w:tcBorders>
              <w:top w:val="single" w:sz="4" w:space="0" w:color="auto"/>
              <w:bottom w:val="single" w:sz="4" w:space="0" w:color="auto"/>
            </w:tcBorders>
            <w:shd w:val="clear" w:color="auto" w:fill="auto"/>
            <w:vAlign w:val="center"/>
          </w:tcPr>
          <w:p w14:paraId="3C809804" w14:textId="77777777"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To understand the experiences of recent entrants to the teaching profession so that the department can influence the provision of quality Initial Teacher Education and make improvements to systems and supports.</w:t>
            </w:r>
          </w:p>
        </w:tc>
      </w:tr>
      <w:tr w:rsidR="0019565A" w:rsidRPr="00925213" w14:paraId="2E2219DD"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3DAF4D8"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Head Start </w:t>
            </w:r>
            <w:r>
              <w:rPr>
                <w:rFonts w:ascii="Calibri" w:hAnsi="Calibri" w:cs="Calibri"/>
                <w:sz w:val="18"/>
              </w:rPr>
              <w:t>E</w:t>
            </w:r>
            <w:r w:rsidRPr="006B4211">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41EFE8AC"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N</w:t>
            </w:r>
            <w:r>
              <w:rPr>
                <w:rFonts w:ascii="Calibri" w:hAnsi="Calibri" w:cs="Calibri"/>
                <w:sz w:val="18"/>
              </w:rPr>
              <w:t>ous</w:t>
            </w:r>
          </w:p>
        </w:tc>
        <w:tc>
          <w:tcPr>
            <w:tcW w:w="4678" w:type="dxa"/>
            <w:tcBorders>
              <w:top w:val="single" w:sz="4" w:space="0" w:color="auto"/>
              <w:bottom w:val="single" w:sz="4" w:space="0" w:color="auto"/>
            </w:tcBorders>
            <w:shd w:val="clear" w:color="auto" w:fill="auto"/>
            <w:vAlign w:val="center"/>
          </w:tcPr>
          <w:p w14:paraId="2BBDDF09"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To undertake a process and impact evaluation to determine how the Head Start pilot has been rolled out in the 10 Head Start clusters, including its impact on schools, </w:t>
            </w:r>
            <w:proofErr w:type="gramStart"/>
            <w:r w:rsidRPr="006B4211">
              <w:rPr>
                <w:rFonts w:ascii="Calibri" w:hAnsi="Calibri" w:cs="Calibri"/>
                <w:sz w:val="18"/>
              </w:rPr>
              <w:t>families</w:t>
            </w:r>
            <w:proofErr w:type="gramEnd"/>
            <w:r w:rsidRPr="006B4211">
              <w:rPr>
                <w:rFonts w:ascii="Calibri" w:hAnsi="Calibri" w:cs="Calibri"/>
                <w:sz w:val="18"/>
              </w:rPr>
              <w:t xml:space="preserve"> and employers.</w:t>
            </w:r>
          </w:p>
        </w:tc>
      </w:tr>
      <w:tr w:rsidR="0019565A" w:rsidRPr="00925213" w14:paraId="3CAA957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D46F299" w14:textId="77777777" w:rsidR="0019565A" w:rsidRPr="00F872A2" w:rsidRDefault="0019565A" w:rsidP="00693180">
            <w:pPr>
              <w:pStyle w:val="ESTablebody"/>
              <w:rPr>
                <w:rFonts w:ascii="Calibri" w:hAnsi="Calibri" w:cs="Calibri"/>
                <w:sz w:val="18"/>
              </w:rPr>
            </w:pPr>
            <w:r w:rsidRPr="00F872A2">
              <w:rPr>
                <w:rFonts w:ascii="Calibri" w:hAnsi="Calibri" w:cs="Calibri"/>
                <w:sz w:val="18"/>
              </w:rPr>
              <w:t xml:space="preserve">Higher Apprenticeships Program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55D5C414"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04D00DB5" w14:textId="49868718" w:rsidR="0019565A" w:rsidRPr="00FA0A73" w:rsidRDefault="0019565A" w:rsidP="00693180">
            <w:pPr>
              <w:pStyle w:val="ESTablebody"/>
              <w:rPr>
                <w:rFonts w:ascii="Calibri" w:hAnsi="Calibri" w:cs="Calibri"/>
                <w:sz w:val="18"/>
              </w:rPr>
            </w:pPr>
            <w:r w:rsidRPr="00FA0A73">
              <w:rPr>
                <w:rFonts w:ascii="Calibri" w:hAnsi="Calibri" w:cs="Calibri"/>
                <w:sz w:val="18"/>
              </w:rPr>
              <w:t xml:space="preserve">To provide a program level evaluation of the Higher Apprenticeships pilot to date. </w:t>
            </w:r>
          </w:p>
        </w:tc>
      </w:tr>
      <w:tr w:rsidR="0019565A" w:rsidRPr="00925213" w14:paraId="22240241"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77341532" w14:textId="77777777" w:rsidR="0019565A" w:rsidRPr="00FA0A73" w:rsidRDefault="0019565A" w:rsidP="00693180">
            <w:pPr>
              <w:pStyle w:val="ESTablebody"/>
              <w:rPr>
                <w:rFonts w:ascii="Calibri" w:hAnsi="Calibri" w:cs="Calibri"/>
                <w:color w:val="000000"/>
                <w:sz w:val="18"/>
              </w:rPr>
            </w:pPr>
            <w:r w:rsidRPr="00FA0A73">
              <w:rPr>
                <w:rFonts w:ascii="Calibri" w:hAnsi="Calibri" w:cs="Calibri"/>
                <w:color w:val="000000"/>
                <w:sz w:val="18"/>
              </w:rPr>
              <w:t xml:space="preserve">Job </w:t>
            </w:r>
            <w:r>
              <w:rPr>
                <w:rFonts w:ascii="Calibri" w:hAnsi="Calibri" w:cs="Calibri"/>
                <w:color w:val="000000"/>
                <w:sz w:val="18"/>
              </w:rPr>
              <w:t>F</w:t>
            </w:r>
            <w:r w:rsidRPr="00FA0A73">
              <w:rPr>
                <w:rFonts w:ascii="Calibri" w:hAnsi="Calibri" w:cs="Calibri"/>
                <w:color w:val="000000"/>
                <w:sz w:val="18"/>
              </w:rPr>
              <w:t xml:space="preserve">eed </w:t>
            </w:r>
            <w:r>
              <w:rPr>
                <w:rFonts w:ascii="Calibri" w:hAnsi="Calibri" w:cs="Calibri"/>
                <w:color w:val="000000"/>
                <w:sz w:val="18"/>
              </w:rPr>
              <w:t>D</w:t>
            </w:r>
            <w:r w:rsidRPr="00FA0A73">
              <w:rPr>
                <w:rFonts w:ascii="Calibri" w:hAnsi="Calibri" w:cs="Calibri"/>
                <w:color w:val="000000"/>
                <w:sz w:val="18"/>
              </w:rPr>
              <w:t>ata</w:t>
            </w:r>
          </w:p>
        </w:tc>
        <w:tc>
          <w:tcPr>
            <w:tcW w:w="2126" w:type="dxa"/>
            <w:tcBorders>
              <w:top w:val="single" w:sz="4" w:space="0" w:color="auto"/>
              <w:bottom w:val="single" w:sz="4" w:space="0" w:color="auto"/>
            </w:tcBorders>
            <w:shd w:val="clear" w:color="auto" w:fill="auto"/>
            <w:vAlign w:val="center"/>
          </w:tcPr>
          <w:p w14:paraId="241E16C0" w14:textId="77777777" w:rsidR="0019565A" w:rsidRPr="00FA0A73" w:rsidRDefault="0019565A" w:rsidP="00693180">
            <w:pPr>
              <w:pStyle w:val="ESTablebody"/>
              <w:rPr>
                <w:rFonts w:ascii="Calibri" w:hAnsi="Calibri" w:cs="Calibri"/>
                <w:sz w:val="18"/>
              </w:rPr>
            </w:pPr>
            <w:r w:rsidRPr="00FA0A73">
              <w:rPr>
                <w:rFonts w:ascii="Calibri" w:hAnsi="Calibri" w:cs="Calibri"/>
                <w:color w:val="000000"/>
                <w:sz w:val="18"/>
              </w:rPr>
              <w:t>Burning Glass International</w:t>
            </w:r>
          </w:p>
        </w:tc>
        <w:tc>
          <w:tcPr>
            <w:tcW w:w="4678" w:type="dxa"/>
            <w:tcBorders>
              <w:top w:val="single" w:sz="4" w:space="0" w:color="auto"/>
              <w:bottom w:val="single" w:sz="4" w:space="0" w:color="auto"/>
            </w:tcBorders>
            <w:shd w:val="clear" w:color="auto" w:fill="auto"/>
            <w:vAlign w:val="center"/>
          </w:tcPr>
          <w:p w14:paraId="315B99B2" w14:textId="77777777" w:rsidR="0019565A" w:rsidRPr="00FA0A73" w:rsidRDefault="0019565A" w:rsidP="00693180">
            <w:pPr>
              <w:pStyle w:val="ESTablebody"/>
              <w:rPr>
                <w:rFonts w:ascii="Calibri" w:hAnsi="Calibri" w:cs="Calibri"/>
                <w:sz w:val="18"/>
              </w:rPr>
            </w:pPr>
            <w:r w:rsidRPr="00FA0A73">
              <w:rPr>
                <w:rFonts w:ascii="Calibri" w:hAnsi="Calibri" w:cs="Calibri"/>
                <w:color w:val="000000"/>
                <w:sz w:val="18"/>
              </w:rPr>
              <w:t>To provide detailed real-time and time-series job data that covers Victorian online job vacancies and is coded to standard classification structures. This allow</w:t>
            </w:r>
            <w:r>
              <w:rPr>
                <w:rFonts w:ascii="Calibri" w:hAnsi="Calibri" w:cs="Calibri"/>
                <w:color w:val="000000"/>
                <w:sz w:val="18"/>
              </w:rPr>
              <w:t>s</w:t>
            </w:r>
            <w:r w:rsidRPr="00FA0A73">
              <w:rPr>
                <w:rFonts w:ascii="Calibri" w:hAnsi="Calibri" w:cs="Calibri"/>
                <w:color w:val="000000"/>
                <w:sz w:val="18"/>
              </w:rPr>
              <w:t xml:space="preserve"> for up-to-date advice on the </w:t>
            </w:r>
            <w:proofErr w:type="spellStart"/>
            <w:r w:rsidRPr="00FA0A73">
              <w:rPr>
                <w:rFonts w:ascii="Calibri" w:hAnsi="Calibri" w:cs="Calibri"/>
                <w:color w:val="000000"/>
                <w:sz w:val="18"/>
              </w:rPr>
              <w:t>labour</w:t>
            </w:r>
            <w:proofErr w:type="spellEnd"/>
            <w:r w:rsidRPr="00FA0A73">
              <w:rPr>
                <w:rFonts w:ascii="Calibri" w:hAnsi="Calibri" w:cs="Calibri"/>
                <w:color w:val="000000"/>
                <w:sz w:val="18"/>
              </w:rPr>
              <w:t xml:space="preserve"> market and its implications for training.</w:t>
            </w:r>
          </w:p>
        </w:tc>
      </w:tr>
      <w:tr w:rsidR="0019565A" w:rsidRPr="00925213" w14:paraId="15C426AA"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A77411E"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LGBTIQ+ Inclusion in Schools </w:t>
            </w:r>
            <w:r>
              <w:rPr>
                <w:rFonts w:ascii="Calibri" w:hAnsi="Calibri" w:cs="Calibri"/>
                <w:sz w:val="18"/>
              </w:rPr>
              <w:t>R</w:t>
            </w:r>
            <w:r w:rsidRPr="00F872A2">
              <w:rPr>
                <w:rFonts w:ascii="Calibri" w:hAnsi="Calibri" w:cs="Calibri"/>
                <w:sz w:val="18"/>
              </w:rPr>
              <w:t xml:space="preserve">esearch </w:t>
            </w:r>
            <w:r>
              <w:rPr>
                <w:rFonts w:ascii="Calibri" w:hAnsi="Calibri" w:cs="Calibri"/>
                <w:sz w:val="18"/>
              </w:rPr>
              <w:t>P</w:t>
            </w:r>
            <w:r w:rsidRPr="00F872A2">
              <w:rPr>
                <w:rFonts w:ascii="Calibri" w:hAnsi="Calibri" w:cs="Calibri"/>
                <w:sz w:val="18"/>
              </w:rPr>
              <w:t xml:space="preserve">roject </w:t>
            </w:r>
          </w:p>
        </w:tc>
        <w:tc>
          <w:tcPr>
            <w:tcW w:w="2126" w:type="dxa"/>
            <w:tcBorders>
              <w:top w:val="single" w:sz="4" w:space="0" w:color="auto"/>
              <w:bottom w:val="single" w:sz="4" w:space="0" w:color="auto"/>
            </w:tcBorders>
            <w:shd w:val="clear" w:color="auto" w:fill="auto"/>
            <w:vAlign w:val="center"/>
          </w:tcPr>
          <w:p w14:paraId="2C09FD02"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Urbis</w:t>
            </w:r>
          </w:p>
        </w:tc>
        <w:tc>
          <w:tcPr>
            <w:tcW w:w="4678" w:type="dxa"/>
            <w:tcBorders>
              <w:top w:val="single" w:sz="4" w:space="0" w:color="auto"/>
              <w:bottom w:val="single" w:sz="4" w:space="0" w:color="auto"/>
            </w:tcBorders>
            <w:shd w:val="clear" w:color="auto" w:fill="auto"/>
            <w:vAlign w:val="center"/>
          </w:tcPr>
          <w:p w14:paraId="163BF8CA" w14:textId="744C283D" w:rsidR="0019565A" w:rsidRPr="0079001C" w:rsidRDefault="0019565A" w:rsidP="00F872A2">
            <w:pPr>
              <w:pStyle w:val="ESTablebody"/>
              <w:rPr>
                <w:rFonts w:ascii="Calibri" w:hAnsi="Calibri" w:cs="Calibri"/>
                <w:sz w:val="18"/>
              </w:rPr>
            </w:pPr>
            <w:r>
              <w:rPr>
                <w:rFonts w:ascii="Calibri" w:hAnsi="Calibri" w:cs="Calibri"/>
                <w:sz w:val="18"/>
              </w:rPr>
              <w:t>T</w:t>
            </w:r>
            <w:r w:rsidRPr="00F872A2">
              <w:rPr>
                <w:rFonts w:ascii="Calibri" w:hAnsi="Calibri" w:cs="Calibri"/>
                <w:sz w:val="18"/>
              </w:rPr>
              <w:t xml:space="preserve">o determine which elements of the LGBTIQ+ </w:t>
            </w:r>
            <w:r w:rsidR="000366A7">
              <w:rPr>
                <w:rFonts w:ascii="Calibri" w:hAnsi="Calibri" w:cs="Calibri"/>
                <w:sz w:val="18"/>
              </w:rPr>
              <w:t>I</w:t>
            </w:r>
            <w:r w:rsidRPr="00F872A2">
              <w:rPr>
                <w:rFonts w:ascii="Calibri" w:hAnsi="Calibri" w:cs="Calibri"/>
                <w:sz w:val="18"/>
              </w:rPr>
              <w:t xml:space="preserve">nclusion in </w:t>
            </w:r>
            <w:r w:rsidR="000366A7">
              <w:rPr>
                <w:rFonts w:ascii="Calibri" w:hAnsi="Calibri" w:cs="Calibri"/>
                <w:sz w:val="18"/>
              </w:rPr>
              <w:t>S</w:t>
            </w:r>
            <w:r w:rsidRPr="00F872A2">
              <w:rPr>
                <w:rFonts w:ascii="Calibri" w:hAnsi="Calibri" w:cs="Calibri"/>
                <w:sz w:val="18"/>
              </w:rPr>
              <w:t>chools program are effective, and to provide recommendations to further support schools build more inclusive environments for LGBTIQ+ students.</w:t>
            </w:r>
          </w:p>
        </w:tc>
      </w:tr>
      <w:tr w:rsidR="0019565A" w:rsidRPr="00925213" w14:paraId="7A8366AF"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10C13F6"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Literacy and </w:t>
            </w:r>
            <w:r>
              <w:rPr>
                <w:rFonts w:ascii="Calibri" w:hAnsi="Calibri" w:cs="Calibri"/>
                <w:sz w:val="18"/>
              </w:rPr>
              <w:t>N</w:t>
            </w:r>
            <w:r w:rsidRPr="00061F1C">
              <w:rPr>
                <w:rFonts w:ascii="Calibri" w:hAnsi="Calibri" w:cs="Calibri"/>
                <w:sz w:val="18"/>
              </w:rPr>
              <w:t xml:space="preserve">umeracy </w:t>
            </w:r>
            <w:r>
              <w:rPr>
                <w:rFonts w:ascii="Calibri" w:hAnsi="Calibri" w:cs="Calibri"/>
                <w:sz w:val="18"/>
              </w:rPr>
              <w:t>S</w:t>
            </w:r>
            <w:r w:rsidRPr="00061F1C">
              <w:rPr>
                <w:rFonts w:ascii="Calibri" w:hAnsi="Calibri" w:cs="Calibri"/>
                <w:sz w:val="18"/>
              </w:rPr>
              <w:t xml:space="preserve">trategy </w:t>
            </w:r>
            <w:r>
              <w:rPr>
                <w:rFonts w:ascii="Calibri" w:hAnsi="Calibri" w:cs="Calibri"/>
                <w:sz w:val="18"/>
              </w:rPr>
              <w:t>E</w:t>
            </w:r>
            <w:r w:rsidRPr="00061F1C">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676693CA"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University of Melbourne </w:t>
            </w:r>
          </w:p>
        </w:tc>
        <w:tc>
          <w:tcPr>
            <w:tcW w:w="4678" w:type="dxa"/>
            <w:tcBorders>
              <w:top w:val="single" w:sz="4" w:space="0" w:color="auto"/>
              <w:bottom w:val="single" w:sz="4" w:space="0" w:color="auto"/>
            </w:tcBorders>
            <w:shd w:val="clear" w:color="auto" w:fill="auto"/>
            <w:vAlign w:val="center"/>
          </w:tcPr>
          <w:p w14:paraId="65409AE6" w14:textId="119AC80A"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 xml:space="preserve">To determine the extent to which the strategy improves literacy and numeracy achievement, </w:t>
            </w:r>
            <w:r w:rsidR="000366A7">
              <w:rPr>
                <w:rFonts w:ascii="Calibri" w:eastAsia="Times New Roman" w:hAnsi="Calibri" w:cs="Calibri"/>
                <w:sz w:val="18"/>
              </w:rPr>
              <w:t xml:space="preserve">to </w:t>
            </w:r>
            <w:r w:rsidRPr="009F7FA2">
              <w:rPr>
                <w:rFonts w:ascii="Calibri" w:eastAsia="Times New Roman" w:hAnsi="Calibri" w:cs="Calibri"/>
                <w:sz w:val="18"/>
              </w:rPr>
              <w:t xml:space="preserve">recommend improvements to the strategy’s design and implementation, and </w:t>
            </w:r>
            <w:r w:rsidR="000366A7">
              <w:rPr>
                <w:rFonts w:ascii="Calibri" w:eastAsia="Times New Roman" w:hAnsi="Calibri" w:cs="Calibri"/>
                <w:sz w:val="18"/>
              </w:rPr>
              <w:t>to</w:t>
            </w:r>
            <w:r w:rsidRPr="009F7FA2">
              <w:rPr>
                <w:rFonts w:ascii="Calibri" w:eastAsia="Times New Roman" w:hAnsi="Calibri" w:cs="Calibri"/>
                <w:sz w:val="18"/>
              </w:rPr>
              <w:t xml:space="preserve"> inform decision-making about future investment in literacy and numeracy resources, professional </w:t>
            </w:r>
            <w:proofErr w:type="gramStart"/>
            <w:r w:rsidRPr="009F7FA2">
              <w:rPr>
                <w:rFonts w:ascii="Calibri" w:eastAsia="Times New Roman" w:hAnsi="Calibri" w:cs="Calibri"/>
                <w:sz w:val="18"/>
              </w:rPr>
              <w:t>learning</w:t>
            </w:r>
            <w:proofErr w:type="gramEnd"/>
            <w:r w:rsidRPr="009F7FA2">
              <w:rPr>
                <w:rFonts w:ascii="Calibri" w:eastAsia="Times New Roman" w:hAnsi="Calibri" w:cs="Calibri"/>
                <w:sz w:val="18"/>
              </w:rPr>
              <w:t xml:space="preserve"> and other supports.</w:t>
            </w:r>
          </w:p>
        </w:tc>
      </w:tr>
      <w:tr w:rsidR="0019565A" w:rsidRPr="00925213" w14:paraId="2CEE9FD8"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E072E74" w14:textId="77777777" w:rsidR="0019565A" w:rsidRPr="00EF6912" w:rsidRDefault="0019565A" w:rsidP="00EF6912">
            <w:pPr>
              <w:pStyle w:val="ESTablebody"/>
              <w:rPr>
                <w:rFonts w:ascii="Calibri" w:hAnsi="Calibri" w:cs="Calibri"/>
                <w:sz w:val="18"/>
              </w:rPr>
            </w:pPr>
            <w:r w:rsidRPr="00EF6912">
              <w:rPr>
                <w:rFonts w:ascii="Calibri" w:hAnsi="Calibri" w:cs="Calibri"/>
                <w:sz w:val="18"/>
              </w:rPr>
              <w:t xml:space="preserve">Mental Health in Primary School </w:t>
            </w:r>
            <w:r>
              <w:rPr>
                <w:rFonts w:ascii="Calibri" w:hAnsi="Calibri" w:cs="Calibri"/>
                <w:sz w:val="18"/>
              </w:rPr>
              <w:t>P</w:t>
            </w:r>
            <w:r w:rsidRPr="00EF6912">
              <w:rPr>
                <w:rFonts w:ascii="Calibri" w:hAnsi="Calibri" w:cs="Calibri"/>
                <w:sz w:val="18"/>
              </w:rPr>
              <w:t>ilot</w:t>
            </w:r>
          </w:p>
        </w:tc>
        <w:tc>
          <w:tcPr>
            <w:tcW w:w="2126" w:type="dxa"/>
            <w:tcBorders>
              <w:top w:val="single" w:sz="4" w:space="0" w:color="auto"/>
              <w:bottom w:val="single" w:sz="4" w:space="0" w:color="auto"/>
            </w:tcBorders>
            <w:shd w:val="clear" w:color="auto" w:fill="auto"/>
            <w:vAlign w:val="center"/>
          </w:tcPr>
          <w:p w14:paraId="148DDAC1" w14:textId="77777777" w:rsidR="0019565A" w:rsidRPr="00EF6912" w:rsidRDefault="0019565A" w:rsidP="00EF6912">
            <w:pPr>
              <w:pStyle w:val="ESTablebody"/>
              <w:rPr>
                <w:rFonts w:ascii="Calibri" w:hAnsi="Calibri" w:cs="Calibri"/>
                <w:sz w:val="18"/>
              </w:rPr>
            </w:pPr>
            <w:r w:rsidRPr="00EF6912">
              <w:rPr>
                <w:rFonts w:ascii="Calibri" w:hAnsi="Calibri" w:cs="Calibri"/>
                <w:sz w:val="18"/>
              </w:rPr>
              <w:t>Murdoch Children’s Research Institute</w:t>
            </w:r>
          </w:p>
        </w:tc>
        <w:tc>
          <w:tcPr>
            <w:tcW w:w="4678" w:type="dxa"/>
            <w:tcBorders>
              <w:top w:val="single" w:sz="4" w:space="0" w:color="auto"/>
              <w:bottom w:val="single" w:sz="4" w:space="0" w:color="auto"/>
            </w:tcBorders>
            <w:shd w:val="clear" w:color="auto" w:fill="auto"/>
            <w:vAlign w:val="center"/>
          </w:tcPr>
          <w:p w14:paraId="210DE3F3" w14:textId="64054A88" w:rsidR="0019565A" w:rsidRPr="00EF6912" w:rsidRDefault="0019565A" w:rsidP="00EF6912">
            <w:pPr>
              <w:pStyle w:val="ESTablebody"/>
              <w:rPr>
                <w:rFonts w:ascii="Calibri" w:hAnsi="Calibri" w:cs="Calibri"/>
                <w:sz w:val="18"/>
              </w:rPr>
            </w:pPr>
            <w:r w:rsidRPr="00EF6912">
              <w:rPr>
                <w:rFonts w:ascii="Calibri" w:hAnsi="Calibri" w:cs="Calibri"/>
                <w:sz w:val="18"/>
              </w:rPr>
              <w:t xml:space="preserve">To evaluate the outcomes of the </w:t>
            </w:r>
            <w:r w:rsidR="000366A7">
              <w:rPr>
                <w:rFonts w:ascii="Calibri" w:hAnsi="Calibri" w:cs="Calibri"/>
                <w:sz w:val="18"/>
              </w:rPr>
              <w:t>M</w:t>
            </w:r>
            <w:r w:rsidRPr="00EF6912">
              <w:rPr>
                <w:rFonts w:ascii="Calibri" w:hAnsi="Calibri" w:cs="Calibri"/>
                <w:sz w:val="18"/>
              </w:rPr>
              <w:t xml:space="preserve">ental </w:t>
            </w:r>
            <w:r w:rsidR="000366A7">
              <w:rPr>
                <w:rFonts w:ascii="Calibri" w:hAnsi="Calibri" w:cs="Calibri"/>
                <w:sz w:val="18"/>
              </w:rPr>
              <w:t>H</w:t>
            </w:r>
            <w:r w:rsidRPr="00EF6912">
              <w:rPr>
                <w:rFonts w:ascii="Calibri" w:hAnsi="Calibri" w:cs="Calibri"/>
                <w:sz w:val="18"/>
              </w:rPr>
              <w:t xml:space="preserve">ealth in </w:t>
            </w:r>
            <w:r w:rsidR="000366A7">
              <w:rPr>
                <w:rFonts w:ascii="Calibri" w:hAnsi="Calibri" w:cs="Calibri"/>
                <w:sz w:val="18"/>
              </w:rPr>
              <w:t>P</w:t>
            </w:r>
            <w:r w:rsidRPr="00EF6912">
              <w:rPr>
                <w:rFonts w:ascii="Calibri" w:hAnsi="Calibri" w:cs="Calibri"/>
                <w:sz w:val="18"/>
              </w:rPr>
              <w:t xml:space="preserve">rimary </w:t>
            </w:r>
            <w:r w:rsidR="000366A7">
              <w:rPr>
                <w:rFonts w:ascii="Calibri" w:hAnsi="Calibri" w:cs="Calibri"/>
                <w:sz w:val="18"/>
              </w:rPr>
              <w:t>S</w:t>
            </w:r>
            <w:r w:rsidRPr="00EF6912">
              <w:rPr>
                <w:rFonts w:ascii="Calibri" w:hAnsi="Calibri" w:cs="Calibri"/>
                <w:sz w:val="18"/>
              </w:rPr>
              <w:t xml:space="preserve">chools model and inform future potential implementation. </w:t>
            </w:r>
          </w:p>
        </w:tc>
      </w:tr>
      <w:tr w:rsidR="0019565A" w:rsidRPr="00925213" w14:paraId="3291E9E0"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976EEA5" w14:textId="77777777" w:rsidR="0019565A" w:rsidRPr="0079001C" w:rsidRDefault="0019565A" w:rsidP="0066712A">
            <w:pPr>
              <w:pStyle w:val="ESTablebody"/>
              <w:rPr>
                <w:rFonts w:ascii="Calibri" w:hAnsi="Calibri" w:cs="Calibri"/>
                <w:sz w:val="18"/>
              </w:rPr>
            </w:pPr>
            <w:r w:rsidRPr="0066712A">
              <w:rPr>
                <w:rFonts w:ascii="Calibri" w:hAnsi="Calibri" w:cs="Calibri"/>
                <w:sz w:val="18"/>
              </w:rPr>
              <w:t xml:space="preserve">Mental Health Practitioners </w:t>
            </w:r>
            <w:r>
              <w:rPr>
                <w:rFonts w:ascii="Calibri" w:hAnsi="Calibri" w:cs="Calibri"/>
                <w:sz w:val="18"/>
              </w:rPr>
              <w:t>I</w:t>
            </w:r>
            <w:r w:rsidRPr="0066712A">
              <w:rPr>
                <w:rFonts w:ascii="Calibri" w:hAnsi="Calibri" w:cs="Calibri"/>
                <w:sz w:val="18"/>
              </w:rPr>
              <w:t xml:space="preserve">nitiative </w:t>
            </w:r>
            <w:r>
              <w:rPr>
                <w:rFonts w:ascii="Calibri" w:hAnsi="Calibri" w:cs="Calibri"/>
                <w:sz w:val="18"/>
              </w:rPr>
              <w:t>E</w:t>
            </w:r>
            <w:r w:rsidRPr="0066712A">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42AE0D3A" w14:textId="77777777" w:rsidR="0019565A" w:rsidRPr="0079001C" w:rsidRDefault="0019565A" w:rsidP="0066712A">
            <w:pPr>
              <w:pStyle w:val="ESTablebody"/>
              <w:rPr>
                <w:rFonts w:ascii="Calibri" w:hAnsi="Calibri" w:cs="Calibri"/>
                <w:sz w:val="18"/>
              </w:rPr>
            </w:pPr>
            <w:proofErr w:type="spellStart"/>
            <w:r w:rsidRPr="0066712A">
              <w:rPr>
                <w:rFonts w:ascii="Calibri" w:hAnsi="Calibri" w:cs="Calibri"/>
                <w:sz w:val="18"/>
              </w:rPr>
              <w:t>Dandolo</w:t>
            </w:r>
            <w:proofErr w:type="spellEnd"/>
            <w:r w:rsidRPr="0066712A">
              <w:rPr>
                <w:rFonts w:ascii="Calibri" w:hAnsi="Calibri" w:cs="Calibri"/>
                <w:sz w:val="18"/>
              </w:rPr>
              <w:t xml:space="preserve"> Partners</w:t>
            </w:r>
          </w:p>
        </w:tc>
        <w:tc>
          <w:tcPr>
            <w:tcW w:w="4678" w:type="dxa"/>
            <w:tcBorders>
              <w:top w:val="single" w:sz="4" w:space="0" w:color="auto"/>
              <w:bottom w:val="single" w:sz="4" w:space="0" w:color="auto"/>
            </w:tcBorders>
            <w:shd w:val="clear" w:color="auto" w:fill="auto"/>
            <w:vAlign w:val="center"/>
          </w:tcPr>
          <w:p w14:paraId="2A3E4961" w14:textId="0D2C2F1C" w:rsidR="0019565A" w:rsidRPr="0079001C" w:rsidRDefault="0019565A" w:rsidP="0066712A">
            <w:pPr>
              <w:pStyle w:val="ESTablebody"/>
              <w:rPr>
                <w:rFonts w:ascii="Calibri" w:hAnsi="Calibri" w:cs="Calibri"/>
                <w:sz w:val="18"/>
              </w:rPr>
            </w:pPr>
            <w:r w:rsidRPr="0066712A">
              <w:rPr>
                <w:rFonts w:ascii="Calibri" w:hAnsi="Calibri" w:cs="Calibri"/>
                <w:sz w:val="18"/>
              </w:rPr>
              <w:t xml:space="preserve">To evaluate the </w:t>
            </w:r>
            <w:r>
              <w:rPr>
                <w:rFonts w:ascii="Calibri" w:hAnsi="Calibri" w:cs="Calibri"/>
                <w:sz w:val="18"/>
              </w:rPr>
              <w:t xml:space="preserve">Mental Health Practitioners </w:t>
            </w:r>
            <w:r w:rsidR="000366A7">
              <w:rPr>
                <w:rFonts w:ascii="Calibri" w:hAnsi="Calibri" w:cs="Calibri"/>
                <w:sz w:val="18"/>
              </w:rPr>
              <w:t>I</w:t>
            </w:r>
            <w:r w:rsidRPr="0066712A">
              <w:rPr>
                <w:rFonts w:ascii="Calibri" w:hAnsi="Calibri" w:cs="Calibri"/>
                <w:sz w:val="18"/>
              </w:rPr>
              <w:t>nitiative in secondary and specialist schools.</w:t>
            </w:r>
          </w:p>
        </w:tc>
      </w:tr>
      <w:tr w:rsidR="0019565A" w:rsidRPr="00925213" w14:paraId="296703E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2C615D6"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Middle Years Literacy and Numeracy Support </w:t>
            </w:r>
            <w:r>
              <w:rPr>
                <w:rFonts w:ascii="Calibri" w:hAnsi="Calibri" w:cs="Calibri"/>
                <w:sz w:val="18"/>
              </w:rPr>
              <w:t>I</w:t>
            </w:r>
            <w:r w:rsidRPr="00061F1C">
              <w:rPr>
                <w:rFonts w:ascii="Calibri" w:hAnsi="Calibri" w:cs="Calibri"/>
                <w:sz w:val="18"/>
              </w:rPr>
              <w:t xml:space="preserve">nitiative </w:t>
            </w:r>
            <w:r>
              <w:rPr>
                <w:rFonts w:ascii="Calibri" w:hAnsi="Calibri" w:cs="Calibri"/>
                <w:sz w:val="18"/>
              </w:rPr>
              <w:t>E</w:t>
            </w:r>
            <w:r w:rsidRPr="00061F1C">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244075F4"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Australian Council for Educational Research</w:t>
            </w:r>
          </w:p>
        </w:tc>
        <w:tc>
          <w:tcPr>
            <w:tcW w:w="4678" w:type="dxa"/>
            <w:tcBorders>
              <w:top w:val="single" w:sz="4" w:space="0" w:color="auto"/>
              <w:bottom w:val="single" w:sz="4" w:space="0" w:color="auto"/>
            </w:tcBorders>
            <w:shd w:val="clear" w:color="auto" w:fill="auto"/>
            <w:vAlign w:val="center"/>
          </w:tcPr>
          <w:p w14:paraId="57F9E8DB" w14:textId="77777777"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To determine whether the initiative is achieving intended outcomes for students, teachers, school leaders and parents/</w:t>
            </w:r>
            <w:proofErr w:type="spellStart"/>
            <w:r w:rsidRPr="009F7FA2">
              <w:rPr>
                <w:rFonts w:ascii="Calibri" w:eastAsia="Times New Roman" w:hAnsi="Calibri" w:cs="Calibri"/>
                <w:sz w:val="18"/>
              </w:rPr>
              <w:t>carers</w:t>
            </w:r>
            <w:proofErr w:type="spellEnd"/>
            <w:r w:rsidRPr="009F7FA2">
              <w:rPr>
                <w:rFonts w:ascii="Calibri" w:eastAsia="Times New Roman" w:hAnsi="Calibri" w:cs="Calibri"/>
                <w:sz w:val="18"/>
              </w:rPr>
              <w:t xml:space="preserve"> and being implemented effectively. </w:t>
            </w:r>
          </w:p>
        </w:tc>
      </w:tr>
      <w:tr w:rsidR="0019565A" w:rsidRPr="00925213" w14:paraId="3B4B0406"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700CC546"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 xml:space="preserve">Multilingual </w:t>
            </w:r>
            <w:r>
              <w:rPr>
                <w:rFonts w:ascii="Calibri" w:hAnsi="Calibri" w:cs="Calibri"/>
                <w:sz w:val="18"/>
              </w:rPr>
              <w:t>R</w:t>
            </w:r>
            <w:r w:rsidRPr="00F872A2">
              <w:rPr>
                <w:rFonts w:ascii="Calibri" w:hAnsi="Calibri" w:cs="Calibri"/>
                <w:sz w:val="18"/>
              </w:rPr>
              <w:t xml:space="preserve">esources for </w:t>
            </w:r>
            <w:r>
              <w:rPr>
                <w:rFonts w:ascii="Calibri" w:hAnsi="Calibri" w:cs="Calibri"/>
                <w:sz w:val="18"/>
              </w:rPr>
              <w:t>P</w:t>
            </w:r>
            <w:r w:rsidRPr="00F872A2">
              <w:rPr>
                <w:rFonts w:ascii="Calibri" w:hAnsi="Calibri" w:cs="Calibri"/>
                <w:sz w:val="18"/>
              </w:rPr>
              <w:t xml:space="preserve">lurilingual </w:t>
            </w:r>
            <w:r>
              <w:rPr>
                <w:rFonts w:ascii="Calibri" w:hAnsi="Calibri" w:cs="Calibri"/>
                <w:sz w:val="18"/>
              </w:rPr>
              <w:t>S</w:t>
            </w:r>
            <w:r w:rsidRPr="00F872A2">
              <w:rPr>
                <w:rFonts w:ascii="Calibri" w:hAnsi="Calibri" w:cs="Calibri"/>
                <w:sz w:val="18"/>
              </w:rPr>
              <w:t>trategies</w:t>
            </w:r>
          </w:p>
        </w:tc>
        <w:tc>
          <w:tcPr>
            <w:tcW w:w="2126" w:type="dxa"/>
            <w:tcBorders>
              <w:top w:val="single" w:sz="4" w:space="0" w:color="auto"/>
              <w:bottom w:val="single" w:sz="4" w:space="0" w:color="auto"/>
            </w:tcBorders>
            <w:shd w:val="clear" w:color="auto" w:fill="auto"/>
            <w:vAlign w:val="center"/>
          </w:tcPr>
          <w:p w14:paraId="34F8F5E8"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Monash University</w:t>
            </w:r>
          </w:p>
        </w:tc>
        <w:tc>
          <w:tcPr>
            <w:tcW w:w="4678" w:type="dxa"/>
            <w:tcBorders>
              <w:top w:val="single" w:sz="4" w:space="0" w:color="auto"/>
              <w:bottom w:val="single" w:sz="4" w:space="0" w:color="auto"/>
            </w:tcBorders>
            <w:shd w:val="clear" w:color="auto" w:fill="auto"/>
            <w:vAlign w:val="center"/>
          </w:tcPr>
          <w:p w14:paraId="4DFE9946"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 xml:space="preserve">To create resources that support teachers and schools to use multilingual resources that foster language learning. </w:t>
            </w:r>
          </w:p>
        </w:tc>
      </w:tr>
      <w:tr w:rsidR="0019565A" w:rsidRPr="00925213" w14:paraId="05D9A601"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7E61BBE"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 xml:space="preserve">Primary Mathematics and Science Specialists initiative: Cohort 6 </w:t>
            </w:r>
          </w:p>
        </w:tc>
        <w:tc>
          <w:tcPr>
            <w:tcW w:w="2126" w:type="dxa"/>
            <w:tcBorders>
              <w:top w:val="single" w:sz="4" w:space="0" w:color="auto"/>
              <w:bottom w:val="single" w:sz="4" w:space="0" w:color="auto"/>
            </w:tcBorders>
            <w:shd w:val="clear" w:color="auto" w:fill="auto"/>
            <w:vAlign w:val="center"/>
          </w:tcPr>
          <w:p w14:paraId="61C31F63"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The department</w:t>
            </w:r>
          </w:p>
        </w:tc>
        <w:tc>
          <w:tcPr>
            <w:tcW w:w="4678" w:type="dxa"/>
            <w:tcBorders>
              <w:top w:val="single" w:sz="4" w:space="0" w:color="auto"/>
              <w:bottom w:val="single" w:sz="4" w:space="0" w:color="auto"/>
            </w:tcBorders>
            <w:shd w:val="clear" w:color="auto" w:fill="auto"/>
            <w:vAlign w:val="center"/>
          </w:tcPr>
          <w:p w14:paraId="1598113A"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 xml:space="preserve">To evaluate Cohort 6 of the Primary Mathematics and Science Specialists initiative and inform the iterative improvement of the program. </w:t>
            </w:r>
          </w:p>
        </w:tc>
      </w:tr>
      <w:tr w:rsidR="0019565A" w:rsidRPr="00925213" w14:paraId="198921CF"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9C2363B" w14:textId="77777777" w:rsidR="0019565A" w:rsidRPr="00F872A2" w:rsidRDefault="0019565A" w:rsidP="00693180">
            <w:pPr>
              <w:pStyle w:val="ESTablebody"/>
              <w:rPr>
                <w:rFonts w:ascii="Calibri" w:hAnsi="Calibri" w:cs="Calibri"/>
                <w:sz w:val="18"/>
              </w:rPr>
            </w:pPr>
            <w:r w:rsidRPr="00F872A2">
              <w:rPr>
                <w:rFonts w:ascii="Calibri" w:hAnsi="Calibri" w:cs="Calibri"/>
                <w:sz w:val="18"/>
              </w:rPr>
              <w:t xml:space="preserve">Quality Apprenticeships </w:t>
            </w:r>
            <w:r>
              <w:rPr>
                <w:rFonts w:ascii="Calibri" w:hAnsi="Calibri" w:cs="Calibri"/>
                <w:sz w:val="18"/>
              </w:rPr>
              <w:t>P</w:t>
            </w:r>
            <w:r w:rsidRPr="00F872A2">
              <w:rPr>
                <w:rFonts w:ascii="Calibri" w:hAnsi="Calibri" w:cs="Calibri"/>
                <w:sz w:val="18"/>
              </w:rPr>
              <w:t xml:space="preserve">rogram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7AA71BF2"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77E7FAB0"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To advise the department on policy implications resulting from the Quality Apprenticeships program.</w:t>
            </w:r>
          </w:p>
        </w:tc>
      </w:tr>
      <w:tr w:rsidR="0019565A" w:rsidRPr="00925213" w14:paraId="4157A3DA"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CE2BD05" w14:textId="77777777" w:rsidR="0019565A" w:rsidRPr="00FA0A73" w:rsidRDefault="0019565A" w:rsidP="00693180">
            <w:pPr>
              <w:pStyle w:val="ESTablebody"/>
              <w:rPr>
                <w:rFonts w:ascii="Calibri" w:hAnsi="Calibri" w:cs="Calibri"/>
                <w:sz w:val="18"/>
              </w:rPr>
            </w:pPr>
            <w:r w:rsidRPr="00F872A2">
              <w:rPr>
                <w:rFonts w:ascii="Calibri" w:hAnsi="Calibri" w:cs="Calibri"/>
                <w:sz w:val="18"/>
              </w:rPr>
              <w:t>Regional and Specialist Tr</w:t>
            </w:r>
            <w:r>
              <w:rPr>
                <w:rFonts w:ascii="Calibri" w:hAnsi="Calibri" w:cs="Calibri"/>
                <w:sz w:val="18"/>
              </w:rPr>
              <w:t>a</w:t>
            </w:r>
            <w:r w:rsidRPr="00F872A2">
              <w:rPr>
                <w:rFonts w:ascii="Calibri" w:hAnsi="Calibri" w:cs="Calibri"/>
                <w:sz w:val="18"/>
              </w:rPr>
              <w:t>ining Fund and Workforce Training Innovation Fund Review and Redesign</w:t>
            </w:r>
          </w:p>
        </w:tc>
        <w:tc>
          <w:tcPr>
            <w:tcW w:w="2126" w:type="dxa"/>
            <w:tcBorders>
              <w:top w:val="single" w:sz="4" w:space="0" w:color="auto"/>
              <w:bottom w:val="single" w:sz="4" w:space="0" w:color="auto"/>
            </w:tcBorders>
            <w:shd w:val="clear" w:color="auto" w:fill="auto"/>
            <w:vAlign w:val="center"/>
          </w:tcPr>
          <w:p w14:paraId="617A32D8"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KPMG</w:t>
            </w:r>
          </w:p>
        </w:tc>
        <w:tc>
          <w:tcPr>
            <w:tcW w:w="4678" w:type="dxa"/>
            <w:tcBorders>
              <w:top w:val="single" w:sz="4" w:space="0" w:color="auto"/>
              <w:bottom w:val="single" w:sz="4" w:space="0" w:color="auto"/>
            </w:tcBorders>
            <w:shd w:val="clear" w:color="auto" w:fill="auto"/>
            <w:vAlign w:val="center"/>
          </w:tcPr>
          <w:p w14:paraId="27FD73FE" w14:textId="77777777" w:rsidR="0019565A" w:rsidRPr="00FA0A73" w:rsidRDefault="0019565A" w:rsidP="00693180">
            <w:pPr>
              <w:pStyle w:val="ESTablebody"/>
              <w:rPr>
                <w:rFonts w:ascii="Calibri" w:hAnsi="Calibri" w:cs="Calibri"/>
                <w:sz w:val="18"/>
              </w:rPr>
            </w:pPr>
            <w:r w:rsidRPr="00FA0A73">
              <w:rPr>
                <w:rFonts w:ascii="Calibri" w:hAnsi="Calibri" w:cs="Calibri"/>
                <w:sz w:val="18"/>
              </w:rPr>
              <w:t>To align grant programs with the new strategic and operational context for the broader skills system model.</w:t>
            </w:r>
          </w:p>
        </w:tc>
      </w:tr>
      <w:tr w:rsidR="0019565A" w:rsidRPr="00925213" w14:paraId="1619AA10"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A35AE19"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Research and evaluation on assessment practices that support the continuity of children's learning from kindergarten to school</w:t>
            </w:r>
          </w:p>
        </w:tc>
        <w:tc>
          <w:tcPr>
            <w:tcW w:w="2126" w:type="dxa"/>
            <w:tcBorders>
              <w:top w:val="single" w:sz="4" w:space="0" w:color="auto"/>
              <w:bottom w:val="single" w:sz="4" w:space="0" w:color="auto"/>
            </w:tcBorders>
            <w:shd w:val="clear" w:color="auto" w:fill="auto"/>
            <w:vAlign w:val="center"/>
          </w:tcPr>
          <w:p w14:paraId="5864CEFF"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Urbis</w:t>
            </w:r>
          </w:p>
        </w:tc>
        <w:tc>
          <w:tcPr>
            <w:tcW w:w="4678" w:type="dxa"/>
            <w:tcBorders>
              <w:top w:val="single" w:sz="4" w:space="0" w:color="auto"/>
              <w:bottom w:val="single" w:sz="4" w:space="0" w:color="auto"/>
            </w:tcBorders>
            <w:shd w:val="clear" w:color="auto" w:fill="auto"/>
            <w:vAlign w:val="center"/>
          </w:tcPr>
          <w:p w14:paraId="2E65E547"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To evaluate the Transition Learning and Development Statement and research assessment practices that support continuity of learning.</w:t>
            </w:r>
          </w:p>
        </w:tc>
      </w:tr>
      <w:tr w:rsidR="0019565A" w:rsidRPr="00925213" w14:paraId="417BBD7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719DF669" w14:textId="77777777" w:rsidR="0019565A" w:rsidRPr="0079001C" w:rsidRDefault="0019565A" w:rsidP="0066712A">
            <w:pPr>
              <w:pStyle w:val="ESTablebody"/>
              <w:rPr>
                <w:rFonts w:ascii="Calibri" w:hAnsi="Calibri" w:cs="Calibri"/>
                <w:sz w:val="18"/>
              </w:rPr>
            </w:pPr>
            <w:r w:rsidRPr="0066712A">
              <w:rPr>
                <w:rFonts w:ascii="Calibri" w:hAnsi="Calibri" w:cs="Calibri"/>
                <w:sz w:val="18"/>
              </w:rPr>
              <w:t>Research into impacts of bushfires and COVID-19 pandemic on staff and student wellbeing in bushfire-impacted schools</w:t>
            </w:r>
          </w:p>
        </w:tc>
        <w:tc>
          <w:tcPr>
            <w:tcW w:w="2126" w:type="dxa"/>
            <w:tcBorders>
              <w:top w:val="single" w:sz="4" w:space="0" w:color="auto"/>
              <w:bottom w:val="single" w:sz="4" w:space="0" w:color="auto"/>
            </w:tcBorders>
            <w:shd w:val="clear" w:color="auto" w:fill="auto"/>
            <w:vAlign w:val="center"/>
          </w:tcPr>
          <w:p w14:paraId="540308BD" w14:textId="77777777" w:rsidR="0019565A" w:rsidRPr="0079001C" w:rsidRDefault="0019565A" w:rsidP="0066712A">
            <w:pPr>
              <w:pStyle w:val="ESTablebody"/>
              <w:rPr>
                <w:rFonts w:ascii="Calibri" w:hAnsi="Calibri" w:cs="Calibri"/>
                <w:sz w:val="18"/>
              </w:rPr>
            </w:pPr>
            <w:r w:rsidRPr="0066712A">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13731866" w14:textId="77777777" w:rsidR="0019565A" w:rsidRPr="0079001C" w:rsidRDefault="0019565A" w:rsidP="0066712A">
            <w:pPr>
              <w:pStyle w:val="ESTablebody"/>
              <w:rPr>
                <w:rFonts w:ascii="Calibri" w:hAnsi="Calibri" w:cs="Calibri"/>
                <w:sz w:val="18"/>
              </w:rPr>
            </w:pPr>
            <w:r w:rsidRPr="0066712A">
              <w:rPr>
                <w:rFonts w:ascii="Calibri" w:hAnsi="Calibri" w:cs="Calibri"/>
                <w:sz w:val="18"/>
              </w:rPr>
              <w:t>To measure wellbeing of staff and student cohorts in up to 101 schools across bushfire impacted areas.</w:t>
            </w:r>
          </w:p>
        </w:tc>
      </w:tr>
      <w:tr w:rsidR="0019565A" w:rsidRPr="00925213" w14:paraId="05B986A5"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31FA7B0"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Respectful Relationships </w:t>
            </w:r>
            <w:r>
              <w:rPr>
                <w:rFonts w:ascii="Calibri" w:hAnsi="Calibri" w:cs="Calibri"/>
                <w:sz w:val="18"/>
              </w:rPr>
              <w:t>I</w:t>
            </w:r>
            <w:r w:rsidRPr="00F872A2">
              <w:rPr>
                <w:rFonts w:ascii="Calibri" w:hAnsi="Calibri" w:cs="Calibri"/>
                <w:sz w:val="18"/>
              </w:rPr>
              <w:t>nitiative - Phase 3</w:t>
            </w:r>
          </w:p>
        </w:tc>
        <w:tc>
          <w:tcPr>
            <w:tcW w:w="2126" w:type="dxa"/>
            <w:tcBorders>
              <w:top w:val="single" w:sz="4" w:space="0" w:color="auto"/>
              <w:bottom w:val="single" w:sz="4" w:space="0" w:color="auto"/>
            </w:tcBorders>
            <w:shd w:val="clear" w:color="auto" w:fill="auto"/>
            <w:vAlign w:val="center"/>
          </w:tcPr>
          <w:p w14:paraId="3070ECA5"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77334A62"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To examine the effectiveness of implementing a whole school approach to respectful relationships in Victorian schools and to capture early signs of impact on school communities and funded kindergarten programs.</w:t>
            </w:r>
          </w:p>
        </w:tc>
      </w:tr>
      <w:tr w:rsidR="0019565A" w:rsidRPr="00925213" w14:paraId="12398061"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96F10EE"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 xml:space="preserve">Rural and </w:t>
            </w:r>
            <w:r>
              <w:rPr>
                <w:rFonts w:ascii="Calibri" w:hAnsi="Calibri" w:cs="Calibri"/>
                <w:sz w:val="18"/>
              </w:rPr>
              <w:t>R</w:t>
            </w:r>
            <w:r w:rsidRPr="00F872A2">
              <w:rPr>
                <w:rFonts w:ascii="Calibri" w:hAnsi="Calibri" w:cs="Calibri"/>
                <w:sz w:val="18"/>
              </w:rPr>
              <w:t xml:space="preserve">egional </w:t>
            </w:r>
            <w:r>
              <w:rPr>
                <w:rFonts w:ascii="Calibri" w:hAnsi="Calibri" w:cs="Calibri"/>
                <w:sz w:val="18"/>
              </w:rPr>
              <w:t>E</w:t>
            </w:r>
            <w:r w:rsidRPr="00F872A2">
              <w:rPr>
                <w:rFonts w:ascii="Calibri" w:hAnsi="Calibri" w:cs="Calibri"/>
                <w:sz w:val="18"/>
              </w:rPr>
              <w:t xml:space="preserve">ducational </w:t>
            </w:r>
            <w:r>
              <w:rPr>
                <w:rFonts w:ascii="Calibri" w:hAnsi="Calibri" w:cs="Calibri"/>
                <w:sz w:val="18"/>
              </w:rPr>
              <w:t>R</w:t>
            </w:r>
            <w:r w:rsidRPr="00F872A2">
              <w:rPr>
                <w:rFonts w:ascii="Calibri" w:hAnsi="Calibri" w:cs="Calibri"/>
                <w:sz w:val="18"/>
              </w:rPr>
              <w:t xml:space="preserve">eform </w:t>
            </w:r>
            <w:r>
              <w:rPr>
                <w:rFonts w:ascii="Calibri" w:hAnsi="Calibri" w:cs="Calibri"/>
                <w:sz w:val="18"/>
              </w:rPr>
              <w:t>P</w:t>
            </w:r>
            <w:r w:rsidRPr="00F872A2">
              <w:rPr>
                <w:rFonts w:ascii="Calibri" w:hAnsi="Calibri" w:cs="Calibri"/>
                <w:sz w:val="18"/>
              </w:rPr>
              <w:t xml:space="preserve">rogram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74E93BA5" w14:textId="77777777" w:rsidR="0019565A" w:rsidRPr="00FA0A73" w:rsidRDefault="0019565A" w:rsidP="00F872A2">
            <w:pPr>
              <w:pStyle w:val="ESTablebody"/>
              <w:rPr>
                <w:rFonts w:ascii="Calibri" w:hAnsi="Calibri" w:cs="Calibri"/>
                <w:sz w:val="18"/>
              </w:rPr>
            </w:pPr>
            <w:proofErr w:type="spellStart"/>
            <w:r w:rsidRPr="00F872A2">
              <w:rPr>
                <w:rFonts w:ascii="Calibri" w:hAnsi="Calibri" w:cs="Calibri"/>
                <w:sz w:val="18"/>
              </w:rPr>
              <w:t>Synergistiq</w:t>
            </w:r>
            <w:proofErr w:type="spellEnd"/>
          </w:p>
        </w:tc>
        <w:tc>
          <w:tcPr>
            <w:tcW w:w="4678" w:type="dxa"/>
            <w:tcBorders>
              <w:top w:val="single" w:sz="4" w:space="0" w:color="auto"/>
              <w:bottom w:val="single" w:sz="4" w:space="0" w:color="auto"/>
            </w:tcBorders>
            <w:shd w:val="clear" w:color="auto" w:fill="auto"/>
            <w:vAlign w:val="center"/>
          </w:tcPr>
          <w:p w14:paraId="32A22A32"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To determine if the program has improved educational outcomes for rural and regional students.</w:t>
            </w:r>
          </w:p>
        </w:tc>
      </w:tr>
      <w:tr w:rsidR="0019565A" w:rsidRPr="00925213" w14:paraId="2C11B85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2FED644"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School </w:t>
            </w:r>
            <w:r>
              <w:rPr>
                <w:rFonts w:ascii="Calibri" w:hAnsi="Calibri" w:cs="Calibri"/>
                <w:sz w:val="18"/>
              </w:rPr>
              <w:t>B</w:t>
            </w:r>
            <w:r w:rsidRPr="00F872A2">
              <w:rPr>
                <w:rFonts w:ascii="Calibri" w:hAnsi="Calibri" w:cs="Calibri"/>
                <w:sz w:val="18"/>
              </w:rPr>
              <w:t xml:space="preserve">reakfast </w:t>
            </w:r>
            <w:r>
              <w:rPr>
                <w:rFonts w:ascii="Calibri" w:hAnsi="Calibri" w:cs="Calibri"/>
                <w:sz w:val="18"/>
              </w:rPr>
              <w:t>C</w:t>
            </w:r>
            <w:r w:rsidRPr="00F872A2">
              <w:rPr>
                <w:rFonts w:ascii="Calibri" w:hAnsi="Calibri" w:cs="Calibri"/>
                <w:sz w:val="18"/>
              </w:rPr>
              <w:t xml:space="preserve">lubs </w:t>
            </w:r>
            <w:r>
              <w:rPr>
                <w:rFonts w:ascii="Calibri" w:hAnsi="Calibri" w:cs="Calibri"/>
                <w:sz w:val="18"/>
              </w:rPr>
              <w:t>P</w:t>
            </w:r>
            <w:r w:rsidRPr="00F872A2">
              <w:rPr>
                <w:rFonts w:ascii="Calibri" w:hAnsi="Calibri" w:cs="Calibri"/>
                <w:sz w:val="18"/>
              </w:rPr>
              <w:t xml:space="preserve">rogram </w:t>
            </w:r>
            <w:r>
              <w:rPr>
                <w:rFonts w:ascii="Calibri" w:hAnsi="Calibri" w:cs="Calibri"/>
                <w:sz w:val="18"/>
              </w:rPr>
              <w:t>E</w:t>
            </w:r>
            <w:r w:rsidRPr="00F872A2">
              <w:rPr>
                <w:rFonts w:ascii="Calibri" w:hAnsi="Calibri" w:cs="Calibri"/>
                <w:sz w:val="18"/>
              </w:rPr>
              <w:t xml:space="preserve">valuation </w:t>
            </w:r>
          </w:p>
        </w:tc>
        <w:tc>
          <w:tcPr>
            <w:tcW w:w="2126" w:type="dxa"/>
            <w:tcBorders>
              <w:top w:val="single" w:sz="4" w:space="0" w:color="auto"/>
              <w:bottom w:val="single" w:sz="4" w:space="0" w:color="auto"/>
            </w:tcBorders>
            <w:shd w:val="clear" w:color="auto" w:fill="auto"/>
            <w:vAlign w:val="center"/>
          </w:tcPr>
          <w:p w14:paraId="456EBE0D"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ACIL Allen</w:t>
            </w:r>
          </w:p>
        </w:tc>
        <w:tc>
          <w:tcPr>
            <w:tcW w:w="4678" w:type="dxa"/>
            <w:tcBorders>
              <w:top w:val="single" w:sz="4" w:space="0" w:color="auto"/>
              <w:bottom w:val="single" w:sz="4" w:space="0" w:color="auto"/>
            </w:tcBorders>
            <w:shd w:val="clear" w:color="auto" w:fill="auto"/>
            <w:vAlign w:val="center"/>
          </w:tcPr>
          <w:p w14:paraId="447DE046"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To support the </w:t>
            </w:r>
            <w:r>
              <w:rPr>
                <w:rFonts w:ascii="Calibri" w:hAnsi="Calibri" w:cs="Calibri"/>
                <w:sz w:val="18"/>
              </w:rPr>
              <w:t>d</w:t>
            </w:r>
            <w:r w:rsidRPr="00F872A2">
              <w:rPr>
                <w:rFonts w:ascii="Calibri" w:hAnsi="Calibri" w:cs="Calibri"/>
                <w:sz w:val="18"/>
              </w:rPr>
              <w:t xml:space="preserve">epartment’s understanding of the progress and performance of the program across the 1,000 participating schools. </w:t>
            </w:r>
          </w:p>
        </w:tc>
      </w:tr>
      <w:tr w:rsidR="0019565A" w:rsidRPr="00925213" w14:paraId="1B737833"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ED8E1EE"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 xml:space="preserve">School Readiness Funding Process Evaluation </w:t>
            </w:r>
          </w:p>
        </w:tc>
        <w:tc>
          <w:tcPr>
            <w:tcW w:w="2126" w:type="dxa"/>
            <w:tcBorders>
              <w:top w:val="single" w:sz="4" w:space="0" w:color="auto"/>
              <w:bottom w:val="single" w:sz="4" w:space="0" w:color="auto"/>
            </w:tcBorders>
            <w:shd w:val="clear" w:color="auto" w:fill="auto"/>
            <w:vAlign w:val="center"/>
          </w:tcPr>
          <w:p w14:paraId="21602D85" w14:textId="77777777" w:rsidR="0019565A" w:rsidRPr="0019565A" w:rsidRDefault="0019565A" w:rsidP="00482320">
            <w:pPr>
              <w:pStyle w:val="ESTablebody"/>
              <w:rPr>
                <w:rFonts w:ascii="Calibri" w:hAnsi="Calibri" w:cs="Calibri"/>
                <w:sz w:val="18"/>
              </w:rPr>
            </w:pPr>
            <w:r w:rsidRPr="0019565A">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01BF1ACA" w14:textId="12F5098D" w:rsidR="0019565A" w:rsidRPr="0019565A" w:rsidRDefault="0019565A" w:rsidP="00482320">
            <w:pPr>
              <w:pStyle w:val="ESTablebody"/>
              <w:rPr>
                <w:rFonts w:ascii="Calibri" w:hAnsi="Calibri" w:cs="Calibri"/>
                <w:sz w:val="18"/>
              </w:rPr>
            </w:pPr>
            <w:r w:rsidRPr="0019565A">
              <w:rPr>
                <w:rFonts w:ascii="Calibri" w:hAnsi="Calibri" w:cs="Calibri"/>
                <w:sz w:val="18"/>
              </w:rPr>
              <w:t xml:space="preserve">To identify opportunities for continuous improvement of </w:t>
            </w:r>
            <w:r w:rsidR="000366A7">
              <w:rPr>
                <w:rFonts w:ascii="Calibri" w:hAnsi="Calibri" w:cs="Calibri"/>
                <w:sz w:val="18"/>
              </w:rPr>
              <w:t>s</w:t>
            </w:r>
            <w:r w:rsidRPr="0019565A">
              <w:rPr>
                <w:rFonts w:ascii="Calibri" w:hAnsi="Calibri" w:cs="Calibri"/>
                <w:sz w:val="18"/>
              </w:rPr>
              <w:t xml:space="preserve">chool </w:t>
            </w:r>
            <w:r w:rsidR="000366A7">
              <w:rPr>
                <w:rFonts w:ascii="Calibri" w:hAnsi="Calibri" w:cs="Calibri"/>
                <w:sz w:val="18"/>
              </w:rPr>
              <w:t>r</w:t>
            </w:r>
            <w:r w:rsidRPr="0019565A">
              <w:rPr>
                <w:rFonts w:ascii="Calibri" w:hAnsi="Calibri" w:cs="Calibri"/>
                <w:sz w:val="18"/>
              </w:rPr>
              <w:t xml:space="preserve">eadiness </w:t>
            </w:r>
            <w:r w:rsidR="000366A7">
              <w:rPr>
                <w:rFonts w:ascii="Calibri" w:hAnsi="Calibri" w:cs="Calibri"/>
                <w:sz w:val="18"/>
              </w:rPr>
              <w:t>f</w:t>
            </w:r>
            <w:r w:rsidRPr="0019565A">
              <w:rPr>
                <w:rFonts w:ascii="Calibri" w:hAnsi="Calibri" w:cs="Calibri"/>
                <w:sz w:val="18"/>
              </w:rPr>
              <w:t>unding.</w:t>
            </w:r>
          </w:p>
        </w:tc>
      </w:tr>
      <w:tr w:rsidR="0019565A" w:rsidRPr="00925213" w14:paraId="3D53CC6C"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7D6F494" w14:textId="77777777" w:rsidR="0019565A" w:rsidRPr="00FA0A73" w:rsidRDefault="0019565A" w:rsidP="0066712A">
            <w:pPr>
              <w:pStyle w:val="ESTablebody"/>
              <w:rPr>
                <w:rFonts w:ascii="Calibri" w:hAnsi="Calibri" w:cs="Calibri"/>
                <w:sz w:val="18"/>
              </w:rPr>
            </w:pPr>
            <w:r w:rsidRPr="00FA0A73">
              <w:rPr>
                <w:rFonts w:ascii="Calibri" w:hAnsi="Calibri" w:cs="Calibri"/>
                <w:sz w:val="18"/>
              </w:rPr>
              <w:t xml:space="preserve">Secondary Instrumental Music Program </w:t>
            </w:r>
          </w:p>
        </w:tc>
        <w:tc>
          <w:tcPr>
            <w:tcW w:w="2126" w:type="dxa"/>
            <w:tcBorders>
              <w:top w:val="single" w:sz="4" w:space="0" w:color="auto"/>
              <w:bottom w:val="single" w:sz="4" w:space="0" w:color="auto"/>
            </w:tcBorders>
            <w:shd w:val="clear" w:color="auto" w:fill="auto"/>
            <w:vAlign w:val="center"/>
          </w:tcPr>
          <w:p w14:paraId="4C719726" w14:textId="77777777" w:rsidR="0019565A" w:rsidRPr="00FA0A73" w:rsidRDefault="0019565A" w:rsidP="0066712A">
            <w:pPr>
              <w:pStyle w:val="ESTablebody"/>
              <w:rPr>
                <w:rFonts w:ascii="Calibri" w:hAnsi="Calibri" w:cs="Calibri"/>
                <w:sz w:val="18"/>
              </w:rPr>
            </w:pPr>
            <w:r w:rsidRPr="00FA0A73">
              <w:rPr>
                <w:rFonts w:ascii="Calibri" w:hAnsi="Calibri" w:cs="Calibri"/>
                <w:sz w:val="18"/>
              </w:rPr>
              <w:t>ARTD Consultants</w:t>
            </w:r>
          </w:p>
        </w:tc>
        <w:tc>
          <w:tcPr>
            <w:tcW w:w="4678" w:type="dxa"/>
            <w:tcBorders>
              <w:top w:val="single" w:sz="4" w:space="0" w:color="auto"/>
              <w:bottom w:val="single" w:sz="4" w:space="0" w:color="auto"/>
            </w:tcBorders>
            <w:shd w:val="clear" w:color="auto" w:fill="auto"/>
            <w:vAlign w:val="center"/>
          </w:tcPr>
          <w:p w14:paraId="3CC06E49" w14:textId="77777777" w:rsidR="0019565A" w:rsidRPr="00FA0A73" w:rsidRDefault="0019565A" w:rsidP="0066712A">
            <w:pPr>
              <w:pStyle w:val="ESTablebody"/>
              <w:rPr>
                <w:rFonts w:ascii="Calibri" w:hAnsi="Calibri" w:cs="Calibri"/>
                <w:sz w:val="18"/>
              </w:rPr>
            </w:pPr>
            <w:r w:rsidRPr="00FA0A73">
              <w:rPr>
                <w:rFonts w:ascii="Calibri" w:hAnsi="Calibri" w:cs="Calibri"/>
                <w:sz w:val="18"/>
              </w:rPr>
              <w:t xml:space="preserve">To assess the effectiveness of the program and to inform </w:t>
            </w:r>
            <w:r>
              <w:rPr>
                <w:rFonts w:ascii="Calibri" w:hAnsi="Calibri" w:cs="Calibri"/>
                <w:sz w:val="18"/>
              </w:rPr>
              <w:t xml:space="preserve">future </w:t>
            </w:r>
            <w:r w:rsidRPr="00FA0A73">
              <w:rPr>
                <w:rFonts w:ascii="Calibri" w:hAnsi="Calibri" w:cs="Calibri"/>
                <w:sz w:val="18"/>
              </w:rPr>
              <w:t xml:space="preserve">decisions </w:t>
            </w:r>
            <w:r>
              <w:rPr>
                <w:rFonts w:ascii="Calibri" w:hAnsi="Calibri" w:cs="Calibri"/>
                <w:sz w:val="18"/>
              </w:rPr>
              <w:t>on</w:t>
            </w:r>
            <w:r w:rsidRPr="00FA0A73">
              <w:rPr>
                <w:rFonts w:ascii="Calibri" w:hAnsi="Calibri" w:cs="Calibri"/>
                <w:sz w:val="18"/>
              </w:rPr>
              <w:t xml:space="preserve"> the program.</w:t>
            </w:r>
          </w:p>
        </w:tc>
      </w:tr>
      <w:tr w:rsidR="0019565A" w:rsidRPr="00925213" w14:paraId="68C0D04A"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2D62645"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Secondary Mathematics and Science Initiative</w:t>
            </w:r>
            <w:r>
              <w:rPr>
                <w:rFonts w:ascii="Calibri" w:hAnsi="Calibri" w:cs="Calibri"/>
                <w:sz w:val="18"/>
              </w:rPr>
              <w:t xml:space="preserve"> </w:t>
            </w:r>
            <w:r w:rsidRPr="00F872A2">
              <w:rPr>
                <w:rFonts w:ascii="Calibri" w:hAnsi="Calibri" w:cs="Calibri"/>
                <w:sz w:val="18"/>
              </w:rPr>
              <w:t>for out-of-field teachers</w:t>
            </w:r>
          </w:p>
        </w:tc>
        <w:tc>
          <w:tcPr>
            <w:tcW w:w="2126" w:type="dxa"/>
            <w:tcBorders>
              <w:top w:val="single" w:sz="4" w:space="0" w:color="auto"/>
              <w:bottom w:val="single" w:sz="4" w:space="0" w:color="auto"/>
            </w:tcBorders>
            <w:shd w:val="clear" w:color="auto" w:fill="auto"/>
            <w:vAlign w:val="center"/>
          </w:tcPr>
          <w:p w14:paraId="7C871980"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The department</w:t>
            </w:r>
          </w:p>
        </w:tc>
        <w:tc>
          <w:tcPr>
            <w:tcW w:w="4678" w:type="dxa"/>
            <w:tcBorders>
              <w:top w:val="single" w:sz="4" w:space="0" w:color="auto"/>
              <w:bottom w:val="single" w:sz="4" w:space="0" w:color="auto"/>
            </w:tcBorders>
            <w:shd w:val="clear" w:color="auto" w:fill="auto"/>
            <w:vAlign w:val="center"/>
          </w:tcPr>
          <w:p w14:paraId="65EA4E0A"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T</w:t>
            </w:r>
            <w:r>
              <w:rPr>
                <w:rFonts w:ascii="Calibri" w:hAnsi="Calibri" w:cs="Calibri"/>
                <w:sz w:val="18"/>
              </w:rPr>
              <w:t>o</w:t>
            </w:r>
            <w:r w:rsidRPr="00F872A2">
              <w:rPr>
                <w:rFonts w:ascii="Calibri" w:hAnsi="Calibri" w:cs="Calibri"/>
                <w:sz w:val="18"/>
              </w:rPr>
              <w:t xml:space="preserve"> evaluate Cohorts 1 and 2 of the Secondary Mathematics and Science Initiative.</w:t>
            </w:r>
          </w:p>
        </w:tc>
      </w:tr>
      <w:tr w:rsidR="0019565A" w:rsidRPr="00925213" w14:paraId="070DBB1B"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8038DFC"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Senior Secondary Pathways Reform Strategic </w:t>
            </w:r>
            <w:r>
              <w:rPr>
                <w:rFonts w:ascii="Calibri" w:hAnsi="Calibri" w:cs="Calibri"/>
                <w:sz w:val="18"/>
              </w:rPr>
              <w:t>E</w:t>
            </w:r>
            <w:r w:rsidRPr="006B4211">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4B6AD3FD"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The department</w:t>
            </w:r>
          </w:p>
        </w:tc>
        <w:tc>
          <w:tcPr>
            <w:tcW w:w="4678" w:type="dxa"/>
            <w:tcBorders>
              <w:top w:val="single" w:sz="4" w:space="0" w:color="auto"/>
              <w:bottom w:val="single" w:sz="4" w:space="0" w:color="auto"/>
            </w:tcBorders>
            <w:shd w:val="clear" w:color="auto" w:fill="auto"/>
            <w:vAlign w:val="center"/>
          </w:tcPr>
          <w:p w14:paraId="5C5369C6" w14:textId="6BB6BEAA"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To design and implement a strategic evaluation for the </w:t>
            </w:r>
            <w:r w:rsidR="000366A7">
              <w:rPr>
                <w:rFonts w:ascii="Calibri" w:hAnsi="Calibri" w:cs="Calibri"/>
                <w:sz w:val="18"/>
              </w:rPr>
              <w:t>S</w:t>
            </w:r>
            <w:r w:rsidRPr="006B4211">
              <w:rPr>
                <w:rFonts w:ascii="Calibri" w:hAnsi="Calibri" w:cs="Calibri"/>
                <w:sz w:val="18"/>
              </w:rPr>
              <w:t xml:space="preserve">enior </w:t>
            </w:r>
            <w:r w:rsidR="000366A7">
              <w:rPr>
                <w:rFonts w:ascii="Calibri" w:hAnsi="Calibri" w:cs="Calibri"/>
                <w:sz w:val="18"/>
              </w:rPr>
              <w:t>S</w:t>
            </w:r>
            <w:r w:rsidRPr="006B4211">
              <w:rPr>
                <w:rFonts w:ascii="Calibri" w:hAnsi="Calibri" w:cs="Calibri"/>
                <w:sz w:val="18"/>
              </w:rPr>
              <w:t xml:space="preserve">econdary </w:t>
            </w:r>
            <w:r w:rsidR="000366A7">
              <w:rPr>
                <w:rFonts w:ascii="Calibri" w:hAnsi="Calibri" w:cs="Calibri"/>
                <w:sz w:val="18"/>
              </w:rPr>
              <w:t>P</w:t>
            </w:r>
            <w:r w:rsidRPr="006B4211">
              <w:rPr>
                <w:rFonts w:ascii="Calibri" w:hAnsi="Calibri" w:cs="Calibri"/>
                <w:sz w:val="18"/>
              </w:rPr>
              <w:t>athway</w:t>
            </w:r>
            <w:r>
              <w:rPr>
                <w:rFonts w:ascii="Calibri" w:hAnsi="Calibri" w:cs="Calibri"/>
                <w:sz w:val="18"/>
              </w:rPr>
              <w:t>s</w:t>
            </w:r>
            <w:r w:rsidRPr="006B4211">
              <w:rPr>
                <w:rFonts w:ascii="Calibri" w:hAnsi="Calibri" w:cs="Calibri"/>
                <w:sz w:val="18"/>
              </w:rPr>
              <w:t xml:space="preserve"> reforms.</w:t>
            </w:r>
          </w:p>
        </w:tc>
      </w:tr>
      <w:tr w:rsidR="0019565A" w:rsidRPr="00925213" w14:paraId="3A4962F9"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4CFBD0C"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 xml:space="preserve">Software for </w:t>
            </w:r>
            <w:r>
              <w:rPr>
                <w:rFonts w:ascii="Calibri" w:hAnsi="Calibri" w:cs="Calibri"/>
                <w:sz w:val="18"/>
              </w:rPr>
              <w:t>S</w:t>
            </w:r>
            <w:r w:rsidRPr="00F872A2">
              <w:rPr>
                <w:rFonts w:ascii="Calibri" w:hAnsi="Calibri" w:cs="Calibri"/>
                <w:sz w:val="18"/>
              </w:rPr>
              <w:t xml:space="preserve">chools </w:t>
            </w:r>
            <w:r>
              <w:rPr>
                <w:rFonts w:ascii="Calibri" w:hAnsi="Calibri" w:cs="Calibri"/>
                <w:sz w:val="18"/>
              </w:rPr>
              <w:t>P</w:t>
            </w:r>
            <w:r w:rsidRPr="00F872A2">
              <w:rPr>
                <w:rFonts w:ascii="Calibri" w:hAnsi="Calibri" w:cs="Calibri"/>
                <w:sz w:val="18"/>
              </w:rPr>
              <w:t xml:space="preserve">rogram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20943EB7"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University of Melbourne</w:t>
            </w:r>
          </w:p>
        </w:tc>
        <w:tc>
          <w:tcPr>
            <w:tcW w:w="4678" w:type="dxa"/>
            <w:tcBorders>
              <w:top w:val="single" w:sz="4" w:space="0" w:color="auto"/>
              <w:bottom w:val="single" w:sz="4" w:space="0" w:color="auto"/>
            </w:tcBorders>
            <w:shd w:val="clear" w:color="auto" w:fill="auto"/>
            <w:vAlign w:val="center"/>
          </w:tcPr>
          <w:p w14:paraId="7236C5A6" w14:textId="02AE4987" w:rsidR="0019565A" w:rsidRPr="00FA0A73" w:rsidRDefault="0019565A" w:rsidP="00F872A2">
            <w:pPr>
              <w:pStyle w:val="ESTablebody"/>
              <w:rPr>
                <w:rFonts w:ascii="Calibri" w:hAnsi="Calibri" w:cs="Calibri"/>
                <w:sz w:val="18"/>
              </w:rPr>
            </w:pPr>
            <w:r w:rsidRPr="00F872A2">
              <w:rPr>
                <w:rFonts w:ascii="Calibri" w:hAnsi="Calibri" w:cs="Calibri"/>
                <w:sz w:val="18"/>
              </w:rPr>
              <w:t xml:space="preserve">To evaluate the program, other key digital tools supporting learning and teaching in Victorian </w:t>
            </w:r>
            <w:r w:rsidR="000366A7">
              <w:rPr>
                <w:rFonts w:ascii="Calibri" w:hAnsi="Calibri" w:cs="Calibri"/>
                <w:sz w:val="18"/>
              </w:rPr>
              <w:t>g</w:t>
            </w:r>
            <w:r w:rsidRPr="00F872A2">
              <w:rPr>
                <w:rFonts w:ascii="Calibri" w:hAnsi="Calibri" w:cs="Calibri"/>
                <w:sz w:val="18"/>
              </w:rPr>
              <w:t xml:space="preserve">overnment schools and assess impacts and outcomes. </w:t>
            </w:r>
          </w:p>
        </w:tc>
      </w:tr>
      <w:tr w:rsidR="0019565A" w:rsidRPr="00925213" w14:paraId="619E6285"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C66B310"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Speech Pathology in Schools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7AF04706"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6EE1A5B1"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To investigate the implementation to inform ongoing rollout and the impact of the initiative on building longer-term teacher capability.</w:t>
            </w:r>
          </w:p>
        </w:tc>
      </w:tr>
      <w:tr w:rsidR="0019565A" w:rsidRPr="00925213" w14:paraId="20C986E7"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43685D3"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Student Excellence Program</w:t>
            </w:r>
          </w:p>
        </w:tc>
        <w:tc>
          <w:tcPr>
            <w:tcW w:w="2126" w:type="dxa"/>
            <w:tcBorders>
              <w:top w:val="single" w:sz="4" w:space="0" w:color="auto"/>
              <w:bottom w:val="single" w:sz="4" w:space="0" w:color="auto"/>
            </w:tcBorders>
            <w:shd w:val="clear" w:color="auto" w:fill="auto"/>
            <w:vAlign w:val="center"/>
          </w:tcPr>
          <w:p w14:paraId="0AB8ACA6"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69C40A3C"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To determine the effectiveness of the Student Excellence Program initiatives in supporting high-ability students and their teachers.</w:t>
            </w:r>
          </w:p>
        </w:tc>
      </w:tr>
      <w:tr w:rsidR="0019565A" w:rsidRPr="00925213" w14:paraId="57DBD9D3"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E48FCFE" w14:textId="77777777" w:rsidR="0019565A" w:rsidRPr="00EF6912" w:rsidRDefault="0019565A" w:rsidP="00EF6912">
            <w:pPr>
              <w:pStyle w:val="ESTablebody"/>
              <w:rPr>
                <w:rFonts w:ascii="Calibri" w:hAnsi="Calibri" w:cs="Calibri"/>
                <w:sz w:val="18"/>
              </w:rPr>
            </w:pPr>
            <w:r w:rsidRPr="00EF6912">
              <w:rPr>
                <w:rFonts w:ascii="Calibri" w:hAnsi="Calibri" w:cs="Calibri"/>
                <w:sz w:val="18"/>
              </w:rPr>
              <w:t>Supporting the establishment of the full Schools Mental Health Menu</w:t>
            </w:r>
          </w:p>
        </w:tc>
        <w:tc>
          <w:tcPr>
            <w:tcW w:w="2126" w:type="dxa"/>
            <w:tcBorders>
              <w:top w:val="single" w:sz="4" w:space="0" w:color="auto"/>
              <w:bottom w:val="single" w:sz="4" w:space="0" w:color="auto"/>
            </w:tcBorders>
            <w:shd w:val="clear" w:color="auto" w:fill="auto"/>
            <w:vAlign w:val="center"/>
          </w:tcPr>
          <w:p w14:paraId="011E9B81" w14:textId="77777777" w:rsidR="0019565A" w:rsidRPr="0079001C" w:rsidRDefault="0019565A" w:rsidP="00EF6912">
            <w:pPr>
              <w:pStyle w:val="ESTablebody"/>
              <w:rPr>
                <w:rFonts w:ascii="Calibri" w:hAnsi="Calibri" w:cs="Calibri"/>
                <w:sz w:val="18"/>
              </w:rPr>
            </w:pPr>
            <w:r w:rsidRPr="00EF6912">
              <w:rPr>
                <w:rFonts w:ascii="Calibri" w:hAnsi="Calibri" w:cs="Calibri"/>
                <w:sz w:val="18"/>
              </w:rPr>
              <w:t>Deloitte</w:t>
            </w:r>
          </w:p>
        </w:tc>
        <w:tc>
          <w:tcPr>
            <w:tcW w:w="4678" w:type="dxa"/>
            <w:tcBorders>
              <w:top w:val="single" w:sz="4" w:space="0" w:color="auto"/>
              <w:bottom w:val="single" w:sz="4" w:space="0" w:color="auto"/>
            </w:tcBorders>
            <w:shd w:val="clear" w:color="auto" w:fill="auto"/>
            <w:vAlign w:val="center"/>
          </w:tcPr>
          <w:p w14:paraId="0E4067D4" w14:textId="77777777" w:rsidR="0019565A" w:rsidRPr="0079001C" w:rsidRDefault="0019565A" w:rsidP="00EF6912">
            <w:pPr>
              <w:pStyle w:val="ESTablebody"/>
              <w:rPr>
                <w:rFonts w:ascii="Calibri" w:hAnsi="Calibri" w:cs="Calibri"/>
                <w:sz w:val="18"/>
              </w:rPr>
            </w:pPr>
            <w:r w:rsidRPr="00EF6912">
              <w:rPr>
                <w:rFonts w:ascii="Calibri" w:hAnsi="Calibri" w:cs="Calibri"/>
                <w:sz w:val="18"/>
              </w:rPr>
              <w:t>To investigate policy considerations and options for the Schools Mental Health Menu design and to support the development of the open procurement process to establish the full menu.</w:t>
            </w:r>
          </w:p>
        </w:tc>
      </w:tr>
      <w:tr w:rsidR="0019565A" w:rsidRPr="00925213" w14:paraId="6C798008"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284066A2" w14:textId="77777777" w:rsidR="0019565A" w:rsidRPr="00224BD7" w:rsidRDefault="0019565A" w:rsidP="00224BD7">
            <w:pPr>
              <w:pStyle w:val="ESTablebody"/>
              <w:rPr>
                <w:rFonts w:ascii="Calibri" w:hAnsi="Calibri" w:cs="Calibri"/>
                <w:sz w:val="18"/>
              </w:rPr>
            </w:pPr>
            <w:r w:rsidRPr="00224BD7">
              <w:rPr>
                <w:rFonts w:ascii="Calibri" w:hAnsi="Calibri" w:cs="Calibri"/>
                <w:sz w:val="18"/>
              </w:rPr>
              <w:t>TAFE Enterprise Architecture</w:t>
            </w:r>
          </w:p>
        </w:tc>
        <w:tc>
          <w:tcPr>
            <w:tcW w:w="2126" w:type="dxa"/>
            <w:tcBorders>
              <w:top w:val="single" w:sz="4" w:space="0" w:color="auto"/>
              <w:bottom w:val="single" w:sz="4" w:space="0" w:color="auto"/>
            </w:tcBorders>
            <w:shd w:val="clear" w:color="auto" w:fill="auto"/>
            <w:vAlign w:val="center"/>
          </w:tcPr>
          <w:p w14:paraId="49AE1118" w14:textId="77777777" w:rsidR="0019565A" w:rsidRPr="00224BD7" w:rsidRDefault="0019565A" w:rsidP="00224BD7">
            <w:pPr>
              <w:pStyle w:val="ESTablebody"/>
              <w:rPr>
                <w:rFonts w:ascii="Calibri" w:hAnsi="Calibri" w:cs="Calibri"/>
                <w:sz w:val="18"/>
              </w:rPr>
            </w:pPr>
            <w:r w:rsidRPr="00224BD7">
              <w:rPr>
                <w:rFonts w:ascii="Calibri" w:hAnsi="Calibri" w:cs="Calibri"/>
                <w:sz w:val="18"/>
              </w:rPr>
              <w:t>Deloitte and Charter X</w:t>
            </w:r>
          </w:p>
        </w:tc>
        <w:tc>
          <w:tcPr>
            <w:tcW w:w="4678" w:type="dxa"/>
            <w:tcBorders>
              <w:top w:val="single" w:sz="4" w:space="0" w:color="auto"/>
              <w:bottom w:val="single" w:sz="4" w:space="0" w:color="auto"/>
            </w:tcBorders>
            <w:shd w:val="clear" w:color="auto" w:fill="auto"/>
            <w:vAlign w:val="center"/>
          </w:tcPr>
          <w:p w14:paraId="35D2A10F" w14:textId="77777777" w:rsidR="0019565A" w:rsidRPr="00224BD7" w:rsidRDefault="0019565A" w:rsidP="00224BD7">
            <w:pPr>
              <w:pStyle w:val="ESTablebody"/>
              <w:rPr>
                <w:rFonts w:ascii="Calibri" w:hAnsi="Calibri" w:cs="Calibri"/>
                <w:sz w:val="18"/>
              </w:rPr>
            </w:pPr>
            <w:r>
              <w:rPr>
                <w:rFonts w:ascii="Calibri" w:hAnsi="Calibri" w:cs="Calibri"/>
                <w:sz w:val="18"/>
              </w:rPr>
              <w:t>To</w:t>
            </w:r>
            <w:r w:rsidRPr="00224BD7">
              <w:rPr>
                <w:rFonts w:ascii="Calibri" w:hAnsi="Calibri" w:cs="Calibri"/>
                <w:sz w:val="18"/>
              </w:rPr>
              <w:t xml:space="preserve"> provide a blueprint of future common, or shared, ICT functionality across the TAFE institutes. </w:t>
            </w:r>
          </w:p>
        </w:tc>
      </w:tr>
      <w:tr w:rsidR="0019565A" w:rsidRPr="00925213" w14:paraId="36FC5469"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C31ACF8" w14:textId="77777777" w:rsidR="0019565A" w:rsidRPr="00FA0A73" w:rsidRDefault="0019565A" w:rsidP="00A55245">
            <w:pPr>
              <w:pStyle w:val="ESTablebody"/>
              <w:rPr>
                <w:rFonts w:ascii="Calibri" w:hAnsi="Calibri" w:cs="Calibri"/>
                <w:sz w:val="18"/>
              </w:rPr>
            </w:pPr>
            <w:r w:rsidRPr="00F872A2">
              <w:rPr>
                <w:rFonts w:ascii="Calibri" w:hAnsi="Calibri" w:cs="Calibri"/>
                <w:sz w:val="18"/>
              </w:rPr>
              <w:t xml:space="preserve">TAFE Network Asset </w:t>
            </w:r>
            <w:proofErr w:type="spellStart"/>
            <w:r w:rsidRPr="00F872A2">
              <w:rPr>
                <w:rFonts w:ascii="Calibri" w:hAnsi="Calibri" w:cs="Calibri"/>
                <w:sz w:val="18"/>
              </w:rPr>
              <w:t>Stocktake</w:t>
            </w:r>
            <w:proofErr w:type="spellEnd"/>
            <w:r w:rsidRPr="00F872A2">
              <w:rPr>
                <w:rFonts w:ascii="Calibri" w:hAnsi="Calibri" w:cs="Calibri"/>
                <w:sz w:val="18"/>
              </w:rPr>
              <w:t xml:space="preserve"> and Strategy</w:t>
            </w:r>
          </w:p>
        </w:tc>
        <w:tc>
          <w:tcPr>
            <w:tcW w:w="2126" w:type="dxa"/>
            <w:tcBorders>
              <w:top w:val="single" w:sz="4" w:space="0" w:color="auto"/>
              <w:bottom w:val="single" w:sz="4" w:space="0" w:color="auto"/>
            </w:tcBorders>
            <w:shd w:val="clear" w:color="auto" w:fill="auto"/>
            <w:vAlign w:val="center"/>
          </w:tcPr>
          <w:p w14:paraId="68C55585" w14:textId="77777777" w:rsidR="0019565A" w:rsidRPr="00FA0A73" w:rsidRDefault="0019565A" w:rsidP="00A55245">
            <w:pPr>
              <w:pStyle w:val="ESTablebody"/>
              <w:rPr>
                <w:rFonts w:ascii="Calibri" w:hAnsi="Calibri" w:cs="Calibri"/>
                <w:sz w:val="18"/>
              </w:rPr>
            </w:pPr>
            <w:r w:rsidRPr="00FA0A73">
              <w:rPr>
                <w:rFonts w:ascii="Calibri" w:hAnsi="Calibri" w:cs="Calibri"/>
                <w:sz w:val="18"/>
              </w:rPr>
              <w:t>SGS Consulting</w:t>
            </w:r>
          </w:p>
        </w:tc>
        <w:tc>
          <w:tcPr>
            <w:tcW w:w="4678" w:type="dxa"/>
            <w:tcBorders>
              <w:top w:val="single" w:sz="4" w:space="0" w:color="auto"/>
              <w:bottom w:val="single" w:sz="4" w:space="0" w:color="auto"/>
            </w:tcBorders>
            <w:shd w:val="clear" w:color="auto" w:fill="auto"/>
            <w:vAlign w:val="center"/>
          </w:tcPr>
          <w:p w14:paraId="756ECEB1" w14:textId="77777777" w:rsidR="0019565A" w:rsidRPr="00FA0A73" w:rsidRDefault="0019565A" w:rsidP="00A55245">
            <w:pPr>
              <w:pStyle w:val="ESTablebody"/>
              <w:rPr>
                <w:rFonts w:ascii="Calibri" w:hAnsi="Calibri" w:cs="Calibri"/>
                <w:sz w:val="18"/>
              </w:rPr>
            </w:pPr>
            <w:r w:rsidRPr="00FA0A73">
              <w:rPr>
                <w:rFonts w:ascii="Calibri" w:hAnsi="Calibri" w:cs="Calibri"/>
                <w:sz w:val="18"/>
              </w:rPr>
              <w:t xml:space="preserve">To develop a strategy </w:t>
            </w:r>
            <w:r>
              <w:rPr>
                <w:rFonts w:ascii="Calibri" w:hAnsi="Calibri" w:cs="Calibri"/>
                <w:sz w:val="18"/>
              </w:rPr>
              <w:t xml:space="preserve">to </w:t>
            </w:r>
            <w:r w:rsidRPr="00FA0A73">
              <w:rPr>
                <w:rFonts w:ascii="Calibri" w:hAnsi="Calibri" w:cs="Calibri"/>
                <w:sz w:val="18"/>
              </w:rPr>
              <w:t>create a robust network-wide view of the TAFE sector to inform systematic and proactive identification of TAFE asset investments, divestments and refurbish and reconfiguration projects.</w:t>
            </w:r>
          </w:p>
        </w:tc>
      </w:tr>
      <w:tr w:rsidR="0019565A" w:rsidRPr="00925213" w14:paraId="6931BA1E"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93F2095"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 xml:space="preserve">Teaching Academies of Professional Practice Research </w:t>
            </w:r>
            <w:r>
              <w:rPr>
                <w:rFonts w:ascii="Calibri" w:hAnsi="Calibri" w:cs="Calibri"/>
                <w:sz w:val="18"/>
              </w:rPr>
              <w:t>E</w:t>
            </w:r>
            <w:r w:rsidRPr="00061F1C" w:rsidDel="00680A4B">
              <w:rPr>
                <w:rFonts w:ascii="Calibri" w:hAnsi="Calibri" w:cs="Calibri"/>
                <w:sz w:val="18"/>
              </w:rPr>
              <w:t xml:space="preserve">xtension </w:t>
            </w:r>
            <w:r>
              <w:rPr>
                <w:rFonts w:ascii="Calibri" w:hAnsi="Calibri" w:cs="Calibri"/>
                <w:sz w:val="18"/>
              </w:rPr>
              <w:t>G</w:t>
            </w:r>
            <w:r w:rsidRPr="00061F1C">
              <w:rPr>
                <w:rFonts w:ascii="Calibri" w:hAnsi="Calibri" w:cs="Calibri"/>
                <w:sz w:val="18"/>
              </w:rPr>
              <w:t>rants</w:t>
            </w:r>
          </w:p>
          <w:p w14:paraId="55D19ED6" w14:textId="77777777" w:rsidR="0019565A" w:rsidRPr="0079001C" w:rsidRDefault="0019565A" w:rsidP="00061F1C">
            <w:pPr>
              <w:pStyle w:val="ESTablebody"/>
              <w:rPr>
                <w:rFonts w:ascii="Calibri" w:hAnsi="Calibri" w:cs="Calibri"/>
                <w:sz w:val="18"/>
              </w:rPr>
            </w:pPr>
          </w:p>
        </w:tc>
        <w:tc>
          <w:tcPr>
            <w:tcW w:w="2126" w:type="dxa"/>
            <w:tcBorders>
              <w:top w:val="single" w:sz="4" w:space="0" w:color="auto"/>
              <w:bottom w:val="single" w:sz="4" w:space="0" w:color="auto"/>
            </w:tcBorders>
            <w:shd w:val="clear" w:color="auto" w:fill="auto"/>
            <w:vAlign w:val="center"/>
          </w:tcPr>
          <w:p w14:paraId="65C7661C" w14:textId="77777777" w:rsidR="0019565A" w:rsidRPr="00061F1C" w:rsidRDefault="0019565A" w:rsidP="00061F1C">
            <w:pPr>
              <w:pStyle w:val="ESTablebody"/>
              <w:rPr>
                <w:rFonts w:ascii="Calibri" w:hAnsi="Calibri" w:cs="Calibri"/>
                <w:sz w:val="18"/>
              </w:rPr>
            </w:pPr>
            <w:r w:rsidRPr="00061F1C">
              <w:rPr>
                <w:rFonts w:ascii="Calibri" w:hAnsi="Calibri" w:cs="Calibri"/>
                <w:sz w:val="18"/>
              </w:rPr>
              <w:t>Federation, ACU and Deakin consortium</w:t>
            </w:r>
          </w:p>
          <w:p w14:paraId="2DA52F5E" w14:textId="77777777" w:rsidR="0019565A" w:rsidRPr="00061F1C" w:rsidRDefault="0019565A" w:rsidP="00061F1C">
            <w:pPr>
              <w:pStyle w:val="ESTablebody"/>
              <w:rPr>
                <w:rFonts w:ascii="Calibri" w:hAnsi="Calibri" w:cs="Calibri"/>
                <w:sz w:val="18"/>
              </w:rPr>
            </w:pPr>
            <w:r w:rsidRPr="00061F1C">
              <w:rPr>
                <w:rFonts w:ascii="Calibri" w:hAnsi="Calibri" w:cs="Calibri"/>
                <w:sz w:val="18"/>
              </w:rPr>
              <w:t>La Trobe and Uni of Melbourne consortium</w:t>
            </w:r>
          </w:p>
          <w:p w14:paraId="3516F1E8" w14:textId="77777777" w:rsidR="0019565A" w:rsidRPr="00061F1C" w:rsidRDefault="0019565A" w:rsidP="00061F1C">
            <w:pPr>
              <w:pStyle w:val="ESTablebody"/>
              <w:rPr>
                <w:rFonts w:ascii="Calibri" w:hAnsi="Calibri" w:cs="Calibri"/>
                <w:sz w:val="18"/>
              </w:rPr>
            </w:pPr>
            <w:r w:rsidRPr="00061F1C">
              <w:rPr>
                <w:rFonts w:ascii="Calibri" w:hAnsi="Calibri" w:cs="Calibri"/>
                <w:sz w:val="18"/>
              </w:rPr>
              <w:t>Monash</w:t>
            </w:r>
          </w:p>
          <w:p w14:paraId="4C4B1311" w14:textId="77777777" w:rsidR="0019565A" w:rsidRPr="0079001C" w:rsidRDefault="0019565A" w:rsidP="00061F1C">
            <w:pPr>
              <w:pStyle w:val="ESTablebody"/>
              <w:rPr>
                <w:rFonts w:ascii="Calibri" w:hAnsi="Calibri" w:cs="Calibri"/>
                <w:sz w:val="18"/>
              </w:rPr>
            </w:pPr>
            <w:r w:rsidRPr="00061F1C">
              <w:rPr>
                <w:rFonts w:ascii="Calibri" w:hAnsi="Calibri" w:cs="Calibri"/>
                <w:sz w:val="18"/>
              </w:rPr>
              <w:t>RMIT</w:t>
            </w:r>
          </w:p>
        </w:tc>
        <w:tc>
          <w:tcPr>
            <w:tcW w:w="4678" w:type="dxa"/>
            <w:tcBorders>
              <w:top w:val="single" w:sz="4" w:space="0" w:color="auto"/>
              <w:bottom w:val="single" w:sz="4" w:space="0" w:color="auto"/>
            </w:tcBorders>
            <w:shd w:val="clear" w:color="auto" w:fill="auto"/>
            <w:vAlign w:val="center"/>
          </w:tcPr>
          <w:p w14:paraId="77275F72" w14:textId="734768E0" w:rsidR="0019565A" w:rsidRPr="009F7FA2" w:rsidRDefault="0019565A" w:rsidP="009F7FA2">
            <w:pPr>
              <w:pStyle w:val="ESTablebody"/>
              <w:rPr>
                <w:rFonts w:ascii="Calibri" w:eastAsia="Times New Roman" w:hAnsi="Calibri" w:cs="Calibri"/>
                <w:sz w:val="18"/>
              </w:rPr>
            </w:pPr>
            <w:r w:rsidRPr="009F7FA2">
              <w:rPr>
                <w:rFonts w:ascii="Calibri" w:eastAsia="Times New Roman" w:hAnsi="Calibri" w:cs="Calibri"/>
                <w:sz w:val="18"/>
              </w:rPr>
              <w:t>To investigate preparation and placement approaches for pre-service teachers placed in rural and regional schools.</w:t>
            </w:r>
          </w:p>
          <w:p w14:paraId="3C858450" w14:textId="77777777" w:rsidR="0019565A" w:rsidRPr="009F7FA2" w:rsidRDefault="0019565A" w:rsidP="009F7FA2">
            <w:pPr>
              <w:pStyle w:val="ESTablebody"/>
              <w:rPr>
                <w:rFonts w:ascii="Calibri" w:eastAsia="Times New Roman" w:hAnsi="Calibri" w:cs="Calibri"/>
                <w:sz w:val="18"/>
              </w:rPr>
            </w:pPr>
          </w:p>
        </w:tc>
      </w:tr>
      <w:tr w:rsidR="0019565A" w:rsidRPr="00925213" w14:paraId="364173A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3BDEE8F"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 xml:space="preserve">Tech </w:t>
            </w:r>
            <w:r>
              <w:rPr>
                <w:rFonts w:ascii="Calibri" w:hAnsi="Calibri" w:cs="Calibri"/>
                <w:sz w:val="18"/>
              </w:rPr>
              <w:t>S</w:t>
            </w:r>
            <w:r w:rsidRPr="00F872A2">
              <w:rPr>
                <w:rFonts w:ascii="Calibri" w:hAnsi="Calibri" w:cs="Calibri"/>
                <w:sz w:val="18"/>
              </w:rPr>
              <w:t xml:space="preserve">chools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1875BFBD"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Deakin University</w:t>
            </w:r>
          </w:p>
        </w:tc>
        <w:tc>
          <w:tcPr>
            <w:tcW w:w="4678" w:type="dxa"/>
            <w:tcBorders>
              <w:top w:val="single" w:sz="4" w:space="0" w:color="auto"/>
              <w:bottom w:val="single" w:sz="4" w:space="0" w:color="auto"/>
            </w:tcBorders>
            <w:shd w:val="clear" w:color="auto" w:fill="auto"/>
            <w:vAlign w:val="center"/>
          </w:tcPr>
          <w:p w14:paraId="78497CB0" w14:textId="6349466B" w:rsidR="0019565A" w:rsidRPr="00FA0A73" w:rsidRDefault="0019565A" w:rsidP="00F872A2">
            <w:pPr>
              <w:pStyle w:val="ESTablebody"/>
              <w:rPr>
                <w:rFonts w:ascii="Calibri" w:hAnsi="Calibri" w:cs="Calibri"/>
                <w:sz w:val="18"/>
              </w:rPr>
            </w:pPr>
            <w:r w:rsidRPr="00F872A2">
              <w:rPr>
                <w:rFonts w:ascii="Calibri" w:hAnsi="Calibri" w:cs="Calibri"/>
                <w:sz w:val="18"/>
              </w:rPr>
              <w:t>To evaluate and inform the ongoing operations and strategic development of the Tech School</w:t>
            </w:r>
            <w:r w:rsidR="00D42FC2">
              <w:rPr>
                <w:rFonts w:ascii="Calibri" w:hAnsi="Calibri" w:cs="Calibri"/>
                <w:sz w:val="18"/>
              </w:rPr>
              <w:t>s</w:t>
            </w:r>
            <w:r w:rsidRPr="00F872A2">
              <w:rPr>
                <w:rFonts w:ascii="Calibri" w:hAnsi="Calibri" w:cs="Calibri"/>
                <w:sz w:val="18"/>
              </w:rPr>
              <w:t xml:space="preserve"> initiative.</w:t>
            </w:r>
          </w:p>
        </w:tc>
      </w:tr>
      <w:tr w:rsidR="0019565A" w:rsidRPr="00925213" w14:paraId="4EE08531"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07FDE5E5"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 xml:space="preserve">Tech </w:t>
            </w:r>
            <w:r>
              <w:rPr>
                <w:rFonts w:ascii="Calibri" w:hAnsi="Calibri" w:cs="Calibri"/>
                <w:sz w:val="18"/>
              </w:rPr>
              <w:t>S</w:t>
            </w:r>
            <w:r w:rsidRPr="00F872A2">
              <w:rPr>
                <w:rFonts w:ascii="Calibri" w:hAnsi="Calibri" w:cs="Calibri"/>
                <w:sz w:val="18"/>
              </w:rPr>
              <w:t xml:space="preserve">chools </w:t>
            </w:r>
            <w:r>
              <w:rPr>
                <w:rFonts w:ascii="Calibri" w:hAnsi="Calibri" w:cs="Calibri"/>
                <w:sz w:val="18"/>
              </w:rPr>
              <w:t>O</w:t>
            </w:r>
            <w:r w:rsidRPr="00F872A2">
              <w:rPr>
                <w:rFonts w:ascii="Calibri" w:hAnsi="Calibri" w:cs="Calibri"/>
                <w:sz w:val="18"/>
              </w:rPr>
              <w:t xml:space="preserve">perating </w:t>
            </w:r>
            <w:r>
              <w:rPr>
                <w:rFonts w:ascii="Calibri" w:hAnsi="Calibri" w:cs="Calibri"/>
                <w:sz w:val="18"/>
              </w:rPr>
              <w:t>F</w:t>
            </w:r>
            <w:r w:rsidRPr="00F872A2">
              <w:rPr>
                <w:rFonts w:ascii="Calibri" w:hAnsi="Calibri" w:cs="Calibri"/>
                <w:sz w:val="18"/>
              </w:rPr>
              <w:t xml:space="preserve">unding </w:t>
            </w:r>
            <w:r>
              <w:rPr>
                <w:rFonts w:ascii="Calibri" w:hAnsi="Calibri" w:cs="Calibri"/>
                <w:sz w:val="18"/>
              </w:rPr>
              <w:t>M</w:t>
            </w:r>
            <w:r w:rsidRPr="00F872A2">
              <w:rPr>
                <w:rFonts w:ascii="Calibri" w:hAnsi="Calibri" w:cs="Calibri"/>
                <w:sz w:val="18"/>
              </w:rPr>
              <w:t xml:space="preserve">odel </w:t>
            </w:r>
            <w:r>
              <w:rPr>
                <w:rFonts w:ascii="Calibri" w:hAnsi="Calibri" w:cs="Calibri"/>
                <w:sz w:val="18"/>
              </w:rPr>
              <w:t>R</w:t>
            </w:r>
            <w:r w:rsidRPr="00F872A2">
              <w:rPr>
                <w:rFonts w:ascii="Calibri" w:hAnsi="Calibri" w:cs="Calibri"/>
                <w:sz w:val="18"/>
              </w:rPr>
              <w:t>eview</w:t>
            </w:r>
          </w:p>
        </w:tc>
        <w:tc>
          <w:tcPr>
            <w:tcW w:w="2126" w:type="dxa"/>
            <w:tcBorders>
              <w:top w:val="single" w:sz="4" w:space="0" w:color="auto"/>
              <w:bottom w:val="single" w:sz="4" w:space="0" w:color="auto"/>
            </w:tcBorders>
            <w:shd w:val="clear" w:color="auto" w:fill="auto"/>
            <w:vAlign w:val="center"/>
          </w:tcPr>
          <w:p w14:paraId="32694614"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KPMG</w:t>
            </w:r>
          </w:p>
        </w:tc>
        <w:tc>
          <w:tcPr>
            <w:tcW w:w="4678" w:type="dxa"/>
            <w:tcBorders>
              <w:top w:val="single" w:sz="4" w:space="0" w:color="auto"/>
              <w:bottom w:val="single" w:sz="4" w:space="0" w:color="auto"/>
            </w:tcBorders>
            <w:shd w:val="clear" w:color="auto" w:fill="auto"/>
            <w:vAlign w:val="center"/>
          </w:tcPr>
          <w:p w14:paraId="0BB23679"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To review the funding model for Tech Schools to support high</w:t>
            </w:r>
            <w:r w:rsidRPr="00F872A2">
              <w:rPr>
                <w:rFonts w:ascii="Calibri" w:hAnsi="Calibri" w:cs="Calibri"/>
                <w:sz w:val="18"/>
              </w:rPr>
              <w:noBreakHyphen/>
              <w:t>quality STEM learning for secondary students.</w:t>
            </w:r>
          </w:p>
        </w:tc>
      </w:tr>
      <w:tr w:rsidR="0019565A" w:rsidRPr="00925213" w14:paraId="044B97C6"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16627C59" w14:textId="77777777" w:rsidR="0019565A" w:rsidRPr="0079001C" w:rsidRDefault="0019565A" w:rsidP="00F872A2">
            <w:pPr>
              <w:pStyle w:val="ESTablebody"/>
              <w:rPr>
                <w:rFonts w:ascii="Calibri" w:hAnsi="Calibri" w:cs="Calibri"/>
                <w:sz w:val="18"/>
              </w:rPr>
            </w:pPr>
            <w:r w:rsidRPr="00F872A2">
              <w:rPr>
                <w:rFonts w:ascii="Calibri" w:hAnsi="Calibri" w:cs="Calibri"/>
                <w:sz w:val="18"/>
              </w:rPr>
              <w:t xml:space="preserve">The Geelong Project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5B492A1D" w14:textId="77777777" w:rsidR="0019565A" w:rsidRPr="0079001C" w:rsidRDefault="0019565A" w:rsidP="00F872A2">
            <w:pPr>
              <w:pStyle w:val="ESTablebody"/>
              <w:rPr>
                <w:rFonts w:ascii="Calibri" w:hAnsi="Calibri" w:cs="Calibri"/>
                <w:sz w:val="18"/>
              </w:rPr>
            </w:pPr>
            <w:proofErr w:type="spellStart"/>
            <w:r w:rsidRPr="00F872A2">
              <w:rPr>
                <w:rFonts w:ascii="Calibri" w:hAnsi="Calibri" w:cs="Calibri"/>
                <w:sz w:val="18"/>
              </w:rPr>
              <w:t>Lirata</w:t>
            </w:r>
            <w:proofErr w:type="spellEnd"/>
            <w:r w:rsidRPr="00F872A2">
              <w:rPr>
                <w:rFonts w:ascii="Calibri" w:hAnsi="Calibri" w:cs="Calibri"/>
                <w:sz w:val="18"/>
              </w:rPr>
              <w:t xml:space="preserve"> Ltd</w:t>
            </w:r>
          </w:p>
        </w:tc>
        <w:tc>
          <w:tcPr>
            <w:tcW w:w="4678" w:type="dxa"/>
            <w:tcBorders>
              <w:top w:val="single" w:sz="4" w:space="0" w:color="auto"/>
              <w:bottom w:val="single" w:sz="4" w:space="0" w:color="auto"/>
            </w:tcBorders>
            <w:shd w:val="clear" w:color="auto" w:fill="auto"/>
            <w:vAlign w:val="center"/>
          </w:tcPr>
          <w:p w14:paraId="20E174D3" w14:textId="21893FD3" w:rsidR="0019565A" w:rsidRPr="0079001C" w:rsidRDefault="0019565A" w:rsidP="00F872A2">
            <w:pPr>
              <w:pStyle w:val="ESTablebody"/>
              <w:rPr>
                <w:rFonts w:ascii="Calibri" w:hAnsi="Calibri" w:cs="Calibri"/>
                <w:sz w:val="18"/>
              </w:rPr>
            </w:pPr>
            <w:r w:rsidRPr="00F872A2">
              <w:rPr>
                <w:rFonts w:ascii="Calibri" w:hAnsi="Calibri" w:cs="Calibri"/>
                <w:sz w:val="18"/>
              </w:rPr>
              <w:t xml:space="preserve">To assess the application of the model in the </w:t>
            </w:r>
            <w:r>
              <w:rPr>
                <w:rFonts w:ascii="Calibri" w:hAnsi="Calibri" w:cs="Calibri"/>
                <w:sz w:val="18"/>
              </w:rPr>
              <w:t>4</w:t>
            </w:r>
            <w:r w:rsidRPr="00F872A2">
              <w:rPr>
                <w:rFonts w:ascii="Calibri" w:hAnsi="Calibri" w:cs="Calibri"/>
                <w:sz w:val="18"/>
              </w:rPr>
              <w:t xml:space="preserve"> new schools, and the changes occurring </w:t>
            </w:r>
            <w:r w:rsidR="00D42FC2">
              <w:rPr>
                <w:rFonts w:ascii="Calibri" w:hAnsi="Calibri" w:cs="Calibri"/>
                <w:sz w:val="18"/>
              </w:rPr>
              <w:t>due to</w:t>
            </w:r>
            <w:r w:rsidRPr="00F872A2">
              <w:rPr>
                <w:rFonts w:ascii="Calibri" w:hAnsi="Calibri" w:cs="Calibri"/>
                <w:sz w:val="18"/>
              </w:rPr>
              <w:t xml:space="preserve"> this implementation. The evaluation also </w:t>
            </w:r>
            <w:r>
              <w:rPr>
                <w:rFonts w:ascii="Calibri" w:hAnsi="Calibri" w:cs="Calibri"/>
                <w:sz w:val="18"/>
              </w:rPr>
              <w:t>considers</w:t>
            </w:r>
            <w:r w:rsidRPr="00F872A2">
              <w:rPr>
                <w:rFonts w:ascii="Calibri" w:hAnsi="Calibri" w:cs="Calibri"/>
                <w:sz w:val="18"/>
              </w:rPr>
              <w:t xml:space="preserve"> the implementation experience and the outcomes that have occurred in the existing 3 schools.</w:t>
            </w:r>
          </w:p>
        </w:tc>
      </w:tr>
      <w:tr w:rsidR="0019565A" w:rsidRPr="00925213" w14:paraId="0B30C352"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30A4797" w14:textId="3103A96D"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Transforming </w:t>
            </w:r>
            <w:r w:rsidR="00D42FC2">
              <w:rPr>
                <w:rFonts w:ascii="Calibri" w:hAnsi="Calibri" w:cs="Calibri"/>
                <w:sz w:val="18"/>
              </w:rPr>
              <w:t>C</w:t>
            </w:r>
            <w:r w:rsidRPr="006B4211">
              <w:rPr>
                <w:rFonts w:ascii="Calibri" w:hAnsi="Calibri" w:cs="Calibri"/>
                <w:sz w:val="18"/>
              </w:rPr>
              <w:t xml:space="preserve">areer </w:t>
            </w:r>
            <w:r w:rsidR="00D42FC2">
              <w:rPr>
                <w:rFonts w:ascii="Calibri" w:hAnsi="Calibri" w:cs="Calibri"/>
                <w:sz w:val="18"/>
              </w:rPr>
              <w:t>E</w:t>
            </w:r>
            <w:r w:rsidRPr="006B4211">
              <w:rPr>
                <w:rFonts w:ascii="Calibri" w:hAnsi="Calibri" w:cs="Calibri"/>
                <w:sz w:val="18"/>
              </w:rPr>
              <w:t xml:space="preserve">ducation in Victorian </w:t>
            </w:r>
            <w:r w:rsidR="00D42FC2">
              <w:rPr>
                <w:rFonts w:ascii="Calibri" w:hAnsi="Calibri" w:cs="Calibri"/>
                <w:sz w:val="18"/>
              </w:rPr>
              <w:t>G</w:t>
            </w:r>
            <w:r w:rsidRPr="006B4211">
              <w:rPr>
                <w:rFonts w:ascii="Calibri" w:hAnsi="Calibri" w:cs="Calibri"/>
                <w:sz w:val="18"/>
              </w:rPr>
              <w:t xml:space="preserve">overnment </w:t>
            </w:r>
            <w:r w:rsidR="00D42FC2">
              <w:rPr>
                <w:rFonts w:ascii="Calibri" w:hAnsi="Calibri" w:cs="Calibri"/>
                <w:sz w:val="18"/>
              </w:rPr>
              <w:t>S</w:t>
            </w:r>
            <w:r w:rsidRPr="006B4211">
              <w:rPr>
                <w:rFonts w:ascii="Calibri" w:hAnsi="Calibri" w:cs="Calibri"/>
                <w:sz w:val="18"/>
              </w:rPr>
              <w:t xml:space="preserve">chools </w:t>
            </w:r>
            <w:r>
              <w:rPr>
                <w:rFonts w:ascii="Calibri" w:hAnsi="Calibri" w:cs="Calibri"/>
                <w:sz w:val="18"/>
              </w:rPr>
              <w:t>E</w:t>
            </w:r>
            <w:r w:rsidRPr="006B4211">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1C6962B2"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Urbis</w:t>
            </w:r>
          </w:p>
        </w:tc>
        <w:tc>
          <w:tcPr>
            <w:tcW w:w="4678" w:type="dxa"/>
            <w:tcBorders>
              <w:top w:val="single" w:sz="4" w:space="0" w:color="auto"/>
              <w:bottom w:val="single" w:sz="4" w:space="0" w:color="auto"/>
            </w:tcBorders>
            <w:shd w:val="clear" w:color="auto" w:fill="auto"/>
            <w:vAlign w:val="center"/>
          </w:tcPr>
          <w:p w14:paraId="11FBFD4A" w14:textId="0BE17955"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To undertake a process and outcome evaluation of the suite of initiatives that make up the </w:t>
            </w:r>
            <w:r w:rsidR="00D42FC2">
              <w:rPr>
                <w:rFonts w:ascii="Calibri" w:hAnsi="Calibri" w:cs="Calibri"/>
                <w:sz w:val="18"/>
              </w:rPr>
              <w:t>T</w:t>
            </w:r>
            <w:r w:rsidRPr="006B4211">
              <w:rPr>
                <w:rFonts w:ascii="Calibri" w:hAnsi="Calibri" w:cs="Calibri"/>
                <w:sz w:val="18"/>
              </w:rPr>
              <w:t xml:space="preserve">ransforming </w:t>
            </w:r>
            <w:r w:rsidR="00D42FC2">
              <w:rPr>
                <w:rFonts w:ascii="Calibri" w:hAnsi="Calibri" w:cs="Calibri"/>
                <w:sz w:val="18"/>
              </w:rPr>
              <w:t>C</w:t>
            </w:r>
            <w:r w:rsidRPr="006B4211">
              <w:rPr>
                <w:rFonts w:ascii="Calibri" w:hAnsi="Calibri" w:cs="Calibri"/>
                <w:sz w:val="18"/>
              </w:rPr>
              <w:t xml:space="preserve">areer </w:t>
            </w:r>
            <w:r w:rsidR="00D42FC2">
              <w:rPr>
                <w:rFonts w:ascii="Calibri" w:hAnsi="Calibri" w:cs="Calibri"/>
                <w:sz w:val="18"/>
              </w:rPr>
              <w:t>E</w:t>
            </w:r>
            <w:r w:rsidRPr="006B4211">
              <w:rPr>
                <w:rFonts w:ascii="Calibri" w:hAnsi="Calibri" w:cs="Calibri"/>
                <w:sz w:val="18"/>
              </w:rPr>
              <w:t xml:space="preserve">ducation in Victorian </w:t>
            </w:r>
            <w:r w:rsidR="00D42FC2">
              <w:rPr>
                <w:rFonts w:ascii="Calibri" w:hAnsi="Calibri" w:cs="Calibri"/>
                <w:sz w:val="18"/>
              </w:rPr>
              <w:t>G</w:t>
            </w:r>
            <w:r w:rsidRPr="006B4211">
              <w:rPr>
                <w:rFonts w:ascii="Calibri" w:hAnsi="Calibri" w:cs="Calibri"/>
                <w:sz w:val="18"/>
              </w:rPr>
              <w:t xml:space="preserve">overnment </w:t>
            </w:r>
            <w:r w:rsidR="00D42FC2">
              <w:rPr>
                <w:rFonts w:ascii="Calibri" w:hAnsi="Calibri" w:cs="Calibri"/>
                <w:sz w:val="18"/>
              </w:rPr>
              <w:t>S</w:t>
            </w:r>
            <w:r w:rsidRPr="006B4211">
              <w:rPr>
                <w:rFonts w:ascii="Calibri" w:hAnsi="Calibri" w:cs="Calibri"/>
                <w:sz w:val="18"/>
              </w:rPr>
              <w:t>chools reforms</w:t>
            </w:r>
            <w:r>
              <w:rPr>
                <w:rFonts w:ascii="Calibri" w:hAnsi="Calibri" w:cs="Calibri"/>
                <w:sz w:val="18"/>
              </w:rPr>
              <w:t>.</w:t>
            </w:r>
          </w:p>
        </w:tc>
      </w:tr>
      <w:tr w:rsidR="0019565A" w:rsidRPr="00925213" w14:paraId="1893F27B"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8C1E68C" w14:textId="77777777" w:rsidR="0019565A" w:rsidRPr="00061F1C" w:rsidRDefault="0019565A" w:rsidP="00061F1C">
            <w:pPr>
              <w:pStyle w:val="ESTablebody"/>
              <w:rPr>
                <w:rFonts w:ascii="Calibri" w:hAnsi="Calibri" w:cs="Calibri"/>
                <w:sz w:val="18"/>
              </w:rPr>
            </w:pPr>
            <w:r w:rsidRPr="00061F1C">
              <w:rPr>
                <w:rFonts w:ascii="Calibri" w:hAnsi="Calibri" w:cs="Calibri"/>
                <w:sz w:val="18"/>
              </w:rPr>
              <w:t>Tutor Learning Initiative 2022 – Continuing to address the impact of the global pandemic on student learning</w:t>
            </w:r>
          </w:p>
        </w:tc>
        <w:tc>
          <w:tcPr>
            <w:tcW w:w="2126" w:type="dxa"/>
            <w:tcBorders>
              <w:top w:val="single" w:sz="4" w:space="0" w:color="auto"/>
              <w:bottom w:val="single" w:sz="4" w:space="0" w:color="auto"/>
            </w:tcBorders>
            <w:shd w:val="clear" w:color="auto" w:fill="auto"/>
            <w:vAlign w:val="center"/>
          </w:tcPr>
          <w:p w14:paraId="71B666D1" w14:textId="77777777" w:rsidR="0019565A" w:rsidRPr="0079001C" w:rsidRDefault="0019565A" w:rsidP="00061F1C">
            <w:pPr>
              <w:pStyle w:val="ESTablebody"/>
              <w:rPr>
                <w:rFonts w:ascii="Calibri" w:hAnsi="Calibri" w:cs="Calibri"/>
                <w:sz w:val="18"/>
              </w:rPr>
            </w:pPr>
            <w:r>
              <w:rPr>
                <w:rFonts w:ascii="Calibri" w:hAnsi="Calibri" w:cs="Calibri"/>
                <w:sz w:val="18"/>
              </w:rPr>
              <w:t>The department</w:t>
            </w:r>
          </w:p>
        </w:tc>
        <w:tc>
          <w:tcPr>
            <w:tcW w:w="4678" w:type="dxa"/>
            <w:tcBorders>
              <w:top w:val="single" w:sz="4" w:space="0" w:color="auto"/>
              <w:bottom w:val="single" w:sz="4" w:space="0" w:color="auto"/>
            </w:tcBorders>
            <w:shd w:val="clear" w:color="auto" w:fill="auto"/>
            <w:vAlign w:val="center"/>
          </w:tcPr>
          <w:p w14:paraId="7D935795" w14:textId="77777777" w:rsidR="0019565A" w:rsidRPr="009F7FA2" w:rsidRDefault="0019565A" w:rsidP="00061F1C">
            <w:pPr>
              <w:pStyle w:val="ESTablebody"/>
              <w:rPr>
                <w:rFonts w:ascii="Calibri" w:eastAsia="Times New Roman" w:hAnsi="Calibri" w:cs="Calibri"/>
                <w:sz w:val="18"/>
              </w:rPr>
            </w:pPr>
            <w:r w:rsidRPr="009F7FA2">
              <w:rPr>
                <w:rFonts w:ascii="Calibri" w:eastAsia="Times New Roman" w:hAnsi="Calibri" w:cs="Calibri"/>
                <w:sz w:val="18"/>
              </w:rPr>
              <w:t>To determine the extent to which the initiative is achieving the intended outcomes on student learning, including fidelity, effectiveness and impact of</w:t>
            </w:r>
            <w:r>
              <w:rPr>
                <w:rFonts w:ascii="Calibri" w:eastAsia="Times New Roman" w:hAnsi="Calibri" w:cs="Calibri"/>
                <w:sz w:val="18"/>
              </w:rPr>
              <w:t xml:space="preserve"> the initiative’s</w:t>
            </w:r>
            <w:r w:rsidRPr="009F7FA2">
              <w:rPr>
                <w:rFonts w:ascii="Calibri" w:eastAsia="Times New Roman" w:hAnsi="Calibri" w:cs="Calibri"/>
                <w:sz w:val="18"/>
              </w:rPr>
              <w:t xml:space="preserve"> implementation and design.</w:t>
            </w:r>
          </w:p>
        </w:tc>
      </w:tr>
      <w:tr w:rsidR="0019565A" w:rsidRPr="00925213" w14:paraId="5D358BCB"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7ECA1C31" w14:textId="77777777"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VET-VCAL </w:t>
            </w:r>
            <w:r>
              <w:rPr>
                <w:rFonts w:ascii="Calibri" w:hAnsi="Calibri" w:cs="Calibri"/>
                <w:sz w:val="18"/>
              </w:rPr>
              <w:t>W</w:t>
            </w:r>
            <w:r w:rsidRPr="006B4211">
              <w:rPr>
                <w:rFonts w:ascii="Calibri" w:hAnsi="Calibri" w:cs="Calibri"/>
                <w:sz w:val="18"/>
              </w:rPr>
              <w:t xml:space="preserve">orkforce </w:t>
            </w:r>
            <w:r>
              <w:rPr>
                <w:rFonts w:ascii="Calibri" w:hAnsi="Calibri" w:cs="Calibri"/>
                <w:sz w:val="18"/>
              </w:rPr>
              <w:t>R</w:t>
            </w:r>
            <w:r w:rsidRPr="006B4211">
              <w:rPr>
                <w:rFonts w:ascii="Calibri" w:hAnsi="Calibri" w:cs="Calibri"/>
                <w:sz w:val="18"/>
              </w:rPr>
              <w:t xml:space="preserve">eform </w:t>
            </w:r>
            <w:r>
              <w:rPr>
                <w:rFonts w:ascii="Calibri" w:hAnsi="Calibri" w:cs="Calibri"/>
                <w:sz w:val="18"/>
              </w:rPr>
              <w:t>P</w:t>
            </w:r>
            <w:r w:rsidRPr="006B4211">
              <w:rPr>
                <w:rFonts w:ascii="Calibri" w:hAnsi="Calibri" w:cs="Calibri"/>
                <w:sz w:val="18"/>
              </w:rPr>
              <w:t>rogram</w:t>
            </w:r>
          </w:p>
        </w:tc>
        <w:tc>
          <w:tcPr>
            <w:tcW w:w="2126" w:type="dxa"/>
            <w:tcBorders>
              <w:top w:val="single" w:sz="4" w:space="0" w:color="auto"/>
              <w:bottom w:val="single" w:sz="4" w:space="0" w:color="auto"/>
            </w:tcBorders>
            <w:shd w:val="clear" w:color="auto" w:fill="auto"/>
            <w:vAlign w:val="center"/>
          </w:tcPr>
          <w:p w14:paraId="2AA876E4" w14:textId="77777777" w:rsidR="0019565A" w:rsidRPr="00D53206" w:rsidRDefault="0019565A" w:rsidP="00482320">
            <w:pPr>
              <w:pStyle w:val="ESTablebody"/>
              <w:rPr>
                <w:rFonts w:ascii="Calibri" w:hAnsi="Calibri" w:cs="Calibri"/>
                <w:sz w:val="18"/>
                <w:highlight w:val="yellow"/>
              </w:rPr>
            </w:pPr>
            <w:r w:rsidRPr="00B60E77">
              <w:rPr>
                <w:rFonts w:ascii="Calibri" w:hAnsi="Calibri" w:cs="Calibri"/>
                <w:sz w:val="18"/>
              </w:rPr>
              <w:t>ACER</w:t>
            </w:r>
          </w:p>
        </w:tc>
        <w:tc>
          <w:tcPr>
            <w:tcW w:w="4678" w:type="dxa"/>
            <w:tcBorders>
              <w:top w:val="single" w:sz="4" w:space="0" w:color="auto"/>
              <w:bottom w:val="single" w:sz="4" w:space="0" w:color="auto"/>
            </w:tcBorders>
            <w:shd w:val="clear" w:color="auto" w:fill="auto"/>
            <w:vAlign w:val="center"/>
          </w:tcPr>
          <w:p w14:paraId="1BE5E2AB" w14:textId="7B50160E" w:rsidR="0019565A" w:rsidRPr="00D53206" w:rsidRDefault="0019565A" w:rsidP="00482320">
            <w:pPr>
              <w:pStyle w:val="ESTablebody"/>
              <w:rPr>
                <w:rFonts w:ascii="Calibri" w:hAnsi="Calibri" w:cs="Calibri"/>
                <w:sz w:val="18"/>
                <w:highlight w:val="yellow"/>
              </w:rPr>
            </w:pPr>
            <w:r w:rsidRPr="006B4211">
              <w:rPr>
                <w:rFonts w:ascii="Calibri" w:hAnsi="Calibri" w:cs="Calibri"/>
                <w:sz w:val="18"/>
              </w:rPr>
              <w:t xml:space="preserve">To undertake a developmental and summative evaluation of the individual initiatives that make up the VET-VCAL </w:t>
            </w:r>
            <w:r w:rsidR="00D42FC2">
              <w:rPr>
                <w:rFonts w:ascii="Calibri" w:hAnsi="Calibri" w:cs="Calibri"/>
                <w:sz w:val="18"/>
              </w:rPr>
              <w:t>W</w:t>
            </w:r>
            <w:r w:rsidRPr="006B4211">
              <w:rPr>
                <w:rFonts w:ascii="Calibri" w:hAnsi="Calibri" w:cs="Calibri"/>
                <w:sz w:val="18"/>
              </w:rPr>
              <w:t xml:space="preserve">orkforce </w:t>
            </w:r>
            <w:r w:rsidR="00D42FC2">
              <w:rPr>
                <w:rFonts w:ascii="Calibri" w:hAnsi="Calibri" w:cs="Calibri"/>
                <w:sz w:val="18"/>
              </w:rPr>
              <w:t>R</w:t>
            </w:r>
            <w:r w:rsidRPr="006B4211">
              <w:rPr>
                <w:rFonts w:ascii="Calibri" w:hAnsi="Calibri" w:cs="Calibri"/>
                <w:sz w:val="18"/>
              </w:rPr>
              <w:t xml:space="preserve">eform </w:t>
            </w:r>
            <w:r w:rsidR="00D42FC2">
              <w:rPr>
                <w:rFonts w:ascii="Calibri" w:hAnsi="Calibri" w:cs="Calibri"/>
                <w:sz w:val="18"/>
              </w:rPr>
              <w:t>P</w:t>
            </w:r>
            <w:r w:rsidRPr="006B4211">
              <w:rPr>
                <w:rFonts w:ascii="Calibri" w:hAnsi="Calibri" w:cs="Calibri"/>
                <w:sz w:val="18"/>
              </w:rPr>
              <w:t xml:space="preserve">rogram, and the </w:t>
            </w:r>
            <w:proofErr w:type="gramStart"/>
            <w:r w:rsidRPr="006B4211">
              <w:rPr>
                <w:rFonts w:ascii="Calibri" w:hAnsi="Calibri" w:cs="Calibri"/>
                <w:sz w:val="18"/>
              </w:rPr>
              <w:t>program as a whole</w:t>
            </w:r>
            <w:proofErr w:type="gramEnd"/>
            <w:r w:rsidRPr="006B4211">
              <w:rPr>
                <w:rFonts w:ascii="Calibri" w:hAnsi="Calibri" w:cs="Calibri"/>
                <w:sz w:val="18"/>
              </w:rPr>
              <w:t>.</w:t>
            </w:r>
          </w:p>
        </w:tc>
      </w:tr>
      <w:tr w:rsidR="0019565A" w:rsidRPr="00925213" w14:paraId="7EDE614F"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6A40C422" w14:textId="77777777" w:rsidR="0019565A" w:rsidRPr="00F872A2" w:rsidRDefault="0019565A" w:rsidP="00693180">
            <w:pPr>
              <w:pStyle w:val="ESTablebody"/>
              <w:rPr>
                <w:rFonts w:ascii="Calibri" w:hAnsi="Calibri" w:cs="Calibri"/>
                <w:sz w:val="18"/>
              </w:rPr>
            </w:pPr>
            <w:r w:rsidRPr="00F872A2">
              <w:rPr>
                <w:rFonts w:ascii="Calibri" w:hAnsi="Calibri" w:cs="Calibri"/>
                <w:sz w:val="18"/>
              </w:rPr>
              <w:t>Victorian Employer Skills Survey</w:t>
            </w:r>
          </w:p>
        </w:tc>
        <w:tc>
          <w:tcPr>
            <w:tcW w:w="2126" w:type="dxa"/>
            <w:tcBorders>
              <w:top w:val="single" w:sz="4" w:space="0" w:color="auto"/>
              <w:bottom w:val="single" w:sz="4" w:space="0" w:color="auto"/>
            </w:tcBorders>
            <w:shd w:val="clear" w:color="auto" w:fill="auto"/>
            <w:vAlign w:val="center"/>
          </w:tcPr>
          <w:p w14:paraId="51B140F0" w14:textId="77777777" w:rsidR="0019565A" w:rsidRPr="00FA0A73" w:rsidRDefault="0019565A" w:rsidP="00693180">
            <w:pPr>
              <w:pStyle w:val="ESTablebody"/>
              <w:rPr>
                <w:rFonts w:ascii="Calibri" w:hAnsi="Calibri" w:cs="Calibri"/>
                <w:sz w:val="18"/>
              </w:rPr>
            </w:pPr>
            <w:r w:rsidRPr="00F872A2">
              <w:rPr>
                <w:rFonts w:ascii="Calibri" w:hAnsi="Calibri" w:cs="Calibri"/>
                <w:sz w:val="18"/>
              </w:rPr>
              <w:t>Wallis Group</w:t>
            </w:r>
          </w:p>
        </w:tc>
        <w:tc>
          <w:tcPr>
            <w:tcW w:w="4678" w:type="dxa"/>
            <w:tcBorders>
              <w:top w:val="single" w:sz="4" w:space="0" w:color="auto"/>
              <w:bottom w:val="single" w:sz="4" w:space="0" w:color="auto"/>
            </w:tcBorders>
            <w:shd w:val="clear" w:color="auto" w:fill="auto"/>
            <w:vAlign w:val="center"/>
          </w:tcPr>
          <w:p w14:paraId="1815294E" w14:textId="688EE943" w:rsidR="0019565A" w:rsidRPr="00FA0A73" w:rsidRDefault="0019565A" w:rsidP="00693180">
            <w:pPr>
              <w:pStyle w:val="ESTablebody"/>
              <w:rPr>
                <w:rFonts w:ascii="Calibri" w:hAnsi="Calibri" w:cs="Calibri"/>
                <w:sz w:val="18"/>
              </w:rPr>
            </w:pPr>
            <w:r w:rsidRPr="00F872A2">
              <w:rPr>
                <w:rFonts w:ascii="Calibri" w:hAnsi="Calibri" w:cs="Calibri"/>
                <w:sz w:val="18"/>
              </w:rPr>
              <w:t xml:space="preserve">To conduct a </w:t>
            </w:r>
            <w:r w:rsidR="00D42FC2">
              <w:rPr>
                <w:rFonts w:ascii="Calibri" w:hAnsi="Calibri" w:cs="Calibri"/>
                <w:sz w:val="18"/>
              </w:rPr>
              <w:t>2-yearly</w:t>
            </w:r>
            <w:r w:rsidRPr="00F872A2">
              <w:rPr>
                <w:rFonts w:ascii="Calibri" w:hAnsi="Calibri" w:cs="Calibri"/>
                <w:sz w:val="18"/>
              </w:rPr>
              <w:t xml:space="preserve"> survey of the views of Victorian employers on their training and skills needs. </w:t>
            </w:r>
          </w:p>
        </w:tc>
      </w:tr>
      <w:tr w:rsidR="0019565A" w:rsidRPr="00925213" w14:paraId="0AD2F411"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34481AF2" w14:textId="77777777" w:rsidR="0019565A" w:rsidRPr="00F872A2" w:rsidRDefault="0019565A" w:rsidP="00F872A2">
            <w:pPr>
              <w:pStyle w:val="ESTablebody"/>
              <w:rPr>
                <w:rFonts w:ascii="Calibri" w:hAnsi="Calibri" w:cs="Calibri"/>
                <w:sz w:val="18"/>
              </w:rPr>
            </w:pPr>
            <w:r w:rsidRPr="00F872A2">
              <w:rPr>
                <w:rFonts w:ascii="Calibri" w:hAnsi="Calibri" w:cs="Calibri"/>
                <w:sz w:val="18"/>
              </w:rPr>
              <w:t xml:space="preserve">Victorian </w:t>
            </w:r>
            <w:r>
              <w:rPr>
                <w:rFonts w:ascii="Calibri" w:hAnsi="Calibri" w:cs="Calibri"/>
                <w:sz w:val="18"/>
              </w:rPr>
              <w:t>G</w:t>
            </w:r>
            <w:r w:rsidRPr="00F872A2">
              <w:rPr>
                <w:rFonts w:ascii="Calibri" w:hAnsi="Calibri" w:cs="Calibri"/>
                <w:sz w:val="18"/>
              </w:rPr>
              <w:t xml:space="preserve">overnment </w:t>
            </w:r>
            <w:r>
              <w:rPr>
                <w:rFonts w:ascii="Calibri" w:hAnsi="Calibri" w:cs="Calibri"/>
                <w:sz w:val="18"/>
              </w:rPr>
              <w:t>S</w:t>
            </w:r>
            <w:r w:rsidRPr="00F872A2">
              <w:rPr>
                <w:rFonts w:ascii="Calibri" w:hAnsi="Calibri" w:cs="Calibri"/>
                <w:sz w:val="18"/>
              </w:rPr>
              <w:t xml:space="preserve">chool </w:t>
            </w:r>
            <w:r>
              <w:rPr>
                <w:rFonts w:ascii="Calibri" w:hAnsi="Calibri" w:cs="Calibri"/>
                <w:sz w:val="18"/>
              </w:rPr>
              <w:t>M</w:t>
            </w:r>
            <w:r w:rsidRPr="00F872A2">
              <w:rPr>
                <w:rFonts w:ascii="Calibri" w:hAnsi="Calibri" w:cs="Calibri"/>
                <w:sz w:val="18"/>
              </w:rPr>
              <w:t xml:space="preserve">usic </w:t>
            </w:r>
            <w:r>
              <w:rPr>
                <w:rFonts w:ascii="Calibri" w:hAnsi="Calibri" w:cs="Calibri"/>
                <w:sz w:val="18"/>
              </w:rPr>
              <w:t>P</w:t>
            </w:r>
            <w:r w:rsidRPr="00F872A2">
              <w:rPr>
                <w:rFonts w:ascii="Calibri" w:hAnsi="Calibri" w:cs="Calibri"/>
                <w:sz w:val="18"/>
              </w:rPr>
              <w:t xml:space="preserve">rograms </w:t>
            </w:r>
            <w:r>
              <w:rPr>
                <w:rFonts w:ascii="Calibri" w:hAnsi="Calibri" w:cs="Calibri"/>
                <w:sz w:val="18"/>
              </w:rPr>
              <w:t>E</w:t>
            </w:r>
            <w:r w:rsidRPr="00F872A2">
              <w:rPr>
                <w:rFonts w:ascii="Calibri" w:hAnsi="Calibri" w:cs="Calibri"/>
                <w:sz w:val="18"/>
              </w:rPr>
              <w:t>valuation</w:t>
            </w:r>
          </w:p>
        </w:tc>
        <w:tc>
          <w:tcPr>
            <w:tcW w:w="2126" w:type="dxa"/>
            <w:tcBorders>
              <w:top w:val="single" w:sz="4" w:space="0" w:color="auto"/>
              <w:bottom w:val="single" w:sz="4" w:space="0" w:color="auto"/>
            </w:tcBorders>
            <w:shd w:val="clear" w:color="auto" w:fill="auto"/>
            <w:vAlign w:val="center"/>
          </w:tcPr>
          <w:p w14:paraId="4D3E8A82" w14:textId="77777777" w:rsidR="0019565A" w:rsidRPr="00FA0A73" w:rsidRDefault="0019565A" w:rsidP="00F872A2">
            <w:pPr>
              <w:pStyle w:val="ESTablebody"/>
              <w:rPr>
                <w:rFonts w:ascii="Calibri" w:hAnsi="Calibri" w:cs="Calibri"/>
                <w:sz w:val="18"/>
              </w:rPr>
            </w:pPr>
            <w:r w:rsidRPr="00FA0A73">
              <w:rPr>
                <w:rFonts w:ascii="Calibri" w:hAnsi="Calibri" w:cs="Calibri"/>
                <w:sz w:val="18"/>
              </w:rPr>
              <w:t>ARTD Consultants</w:t>
            </w:r>
          </w:p>
        </w:tc>
        <w:tc>
          <w:tcPr>
            <w:tcW w:w="4678" w:type="dxa"/>
            <w:tcBorders>
              <w:top w:val="single" w:sz="4" w:space="0" w:color="auto"/>
              <w:bottom w:val="single" w:sz="4" w:space="0" w:color="auto"/>
            </w:tcBorders>
            <w:shd w:val="clear" w:color="auto" w:fill="auto"/>
            <w:vAlign w:val="center"/>
          </w:tcPr>
          <w:p w14:paraId="735479D6" w14:textId="77777777" w:rsidR="0019565A" w:rsidRPr="00FA0A73" w:rsidRDefault="0019565A" w:rsidP="00F872A2">
            <w:pPr>
              <w:pStyle w:val="ESTablebody"/>
              <w:rPr>
                <w:rFonts w:ascii="Calibri" w:hAnsi="Calibri" w:cs="Calibri"/>
                <w:sz w:val="18"/>
              </w:rPr>
            </w:pPr>
            <w:r w:rsidRPr="00F872A2">
              <w:rPr>
                <w:rFonts w:ascii="Calibri" w:hAnsi="Calibri" w:cs="Calibri"/>
                <w:sz w:val="18"/>
              </w:rPr>
              <w:t>To evaluate music programs in Victorian government schools.</w:t>
            </w:r>
          </w:p>
        </w:tc>
      </w:tr>
      <w:tr w:rsidR="0019565A" w:rsidRPr="00925213" w14:paraId="62A0A78F"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59E9E440" w14:textId="77777777" w:rsidR="0019565A" w:rsidRPr="0079001C" w:rsidRDefault="0019565A" w:rsidP="0066712A">
            <w:pPr>
              <w:pStyle w:val="ESTablebody"/>
              <w:rPr>
                <w:rFonts w:ascii="Calibri" w:hAnsi="Calibri" w:cs="Calibri"/>
                <w:sz w:val="18"/>
              </w:rPr>
            </w:pPr>
            <w:r w:rsidRPr="0066712A">
              <w:rPr>
                <w:rFonts w:ascii="Calibri" w:hAnsi="Calibri" w:cs="Calibri"/>
                <w:sz w:val="18"/>
              </w:rPr>
              <w:t xml:space="preserve">Visiting Teacher Service Review </w:t>
            </w:r>
          </w:p>
        </w:tc>
        <w:tc>
          <w:tcPr>
            <w:tcW w:w="2126" w:type="dxa"/>
            <w:tcBorders>
              <w:top w:val="single" w:sz="4" w:space="0" w:color="auto"/>
              <w:bottom w:val="single" w:sz="4" w:space="0" w:color="auto"/>
            </w:tcBorders>
            <w:shd w:val="clear" w:color="auto" w:fill="auto"/>
            <w:vAlign w:val="center"/>
          </w:tcPr>
          <w:p w14:paraId="7CE64E4D" w14:textId="77777777" w:rsidR="0019565A" w:rsidRPr="0079001C" w:rsidRDefault="0019565A" w:rsidP="0066712A">
            <w:pPr>
              <w:pStyle w:val="ESTablebody"/>
              <w:rPr>
                <w:rFonts w:ascii="Calibri" w:hAnsi="Calibri" w:cs="Calibri"/>
                <w:sz w:val="18"/>
              </w:rPr>
            </w:pPr>
            <w:proofErr w:type="spellStart"/>
            <w:r w:rsidRPr="0066712A">
              <w:rPr>
                <w:rFonts w:ascii="Calibri" w:hAnsi="Calibri" w:cs="Calibri"/>
                <w:sz w:val="18"/>
              </w:rPr>
              <w:t>Dandolo</w:t>
            </w:r>
            <w:proofErr w:type="spellEnd"/>
            <w:r>
              <w:rPr>
                <w:rFonts w:ascii="Calibri" w:hAnsi="Calibri" w:cs="Calibri"/>
                <w:sz w:val="18"/>
              </w:rPr>
              <w:t xml:space="preserve"> </w:t>
            </w:r>
            <w:r w:rsidRPr="0066712A">
              <w:rPr>
                <w:rFonts w:ascii="Calibri" w:hAnsi="Calibri" w:cs="Calibri"/>
                <w:sz w:val="18"/>
              </w:rPr>
              <w:t>Partners</w:t>
            </w:r>
          </w:p>
        </w:tc>
        <w:tc>
          <w:tcPr>
            <w:tcW w:w="4678" w:type="dxa"/>
            <w:tcBorders>
              <w:top w:val="single" w:sz="4" w:space="0" w:color="auto"/>
              <w:bottom w:val="single" w:sz="4" w:space="0" w:color="auto"/>
            </w:tcBorders>
            <w:shd w:val="clear" w:color="auto" w:fill="auto"/>
            <w:vAlign w:val="center"/>
          </w:tcPr>
          <w:p w14:paraId="2A56E51F" w14:textId="77777777" w:rsidR="0019565A" w:rsidRPr="0079001C" w:rsidRDefault="0019565A" w:rsidP="0066712A">
            <w:pPr>
              <w:pStyle w:val="ESTablebody"/>
              <w:rPr>
                <w:rFonts w:ascii="Calibri" w:hAnsi="Calibri" w:cs="Calibri"/>
                <w:sz w:val="18"/>
              </w:rPr>
            </w:pPr>
            <w:r w:rsidRPr="0066712A">
              <w:rPr>
                <w:rFonts w:ascii="Calibri" w:hAnsi="Calibri" w:cs="Calibri"/>
                <w:sz w:val="18"/>
              </w:rPr>
              <w:t>To identify needs of</w:t>
            </w:r>
            <w:r>
              <w:rPr>
                <w:rFonts w:ascii="Calibri" w:hAnsi="Calibri" w:cs="Calibri"/>
                <w:sz w:val="18"/>
              </w:rPr>
              <w:t xml:space="preserve"> the</w:t>
            </w:r>
            <w:r w:rsidRPr="0066712A">
              <w:rPr>
                <w:rFonts w:ascii="Calibri" w:hAnsi="Calibri" w:cs="Calibri"/>
                <w:sz w:val="18"/>
              </w:rPr>
              <w:t xml:space="preserve"> </w:t>
            </w:r>
            <w:r>
              <w:rPr>
                <w:rFonts w:ascii="Calibri" w:hAnsi="Calibri" w:cs="Calibri"/>
                <w:sz w:val="18"/>
              </w:rPr>
              <w:t xml:space="preserve">visiting teachers service </w:t>
            </w:r>
            <w:r w:rsidRPr="0066712A">
              <w:rPr>
                <w:rFonts w:ascii="Calibri" w:hAnsi="Calibri" w:cs="Calibri"/>
                <w:sz w:val="18"/>
              </w:rPr>
              <w:t xml:space="preserve">to implement up-to-date, </w:t>
            </w:r>
            <w:proofErr w:type="gramStart"/>
            <w:r w:rsidRPr="0066712A">
              <w:rPr>
                <w:rFonts w:ascii="Calibri" w:hAnsi="Calibri" w:cs="Calibri"/>
                <w:sz w:val="18"/>
              </w:rPr>
              <w:t>inclusive</w:t>
            </w:r>
            <w:proofErr w:type="gramEnd"/>
            <w:r w:rsidRPr="0066712A">
              <w:rPr>
                <w:rFonts w:ascii="Calibri" w:hAnsi="Calibri" w:cs="Calibri"/>
                <w:sz w:val="18"/>
              </w:rPr>
              <w:t xml:space="preserve"> and evidence-based practice and in turn, better support student engagement, wellbeing and learning. </w:t>
            </w:r>
          </w:p>
        </w:tc>
      </w:tr>
      <w:tr w:rsidR="0019565A" w:rsidRPr="00925213" w14:paraId="58FEA1DC" w14:textId="77777777" w:rsidTr="00DD7F0E">
        <w:trPr>
          <w:cantSplit/>
          <w:trHeight w:val="628"/>
        </w:trPr>
        <w:tc>
          <w:tcPr>
            <w:tcW w:w="2547" w:type="dxa"/>
            <w:tcBorders>
              <w:top w:val="single" w:sz="4" w:space="0" w:color="auto"/>
              <w:bottom w:val="single" w:sz="4" w:space="0" w:color="auto"/>
            </w:tcBorders>
            <w:shd w:val="clear" w:color="auto" w:fill="auto"/>
            <w:vAlign w:val="center"/>
          </w:tcPr>
          <w:p w14:paraId="4848F5DC" w14:textId="77777777" w:rsidR="0019565A" w:rsidRPr="00D53206" w:rsidRDefault="0019565A" w:rsidP="00482320">
            <w:pPr>
              <w:pStyle w:val="ESTablebody"/>
              <w:rPr>
                <w:rFonts w:ascii="Calibri" w:hAnsi="Calibri" w:cs="Calibri"/>
                <w:sz w:val="18"/>
                <w:highlight w:val="yellow"/>
              </w:rPr>
            </w:pPr>
            <w:r w:rsidRPr="006E2D0B">
              <w:rPr>
                <w:rFonts w:ascii="Calibri" w:hAnsi="Calibri" w:cs="Calibri"/>
                <w:sz w:val="18"/>
              </w:rPr>
              <w:t>Vocational and Applied Learning Pre-Senior Secondary</w:t>
            </w:r>
          </w:p>
        </w:tc>
        <w:tc>
          <w:tcPr>
            <w:tcW w:w="2126" w:type="dxa"/>
            <w:tcBorders>
              <w:top w:val="single" w:sz="4" w:space="0" w:color="auto"/>
              <w:bottom w:val="single" w:sz="4" w:space="0" w:color="auto"/>
            </w:tcBorders>
            <w:shd w:val="clear" w:color="auto" w:fill="auto"/>
            <w:vAlign w:val="center"/>
          </w:tcPr>
          <w:p w14:paraId="320CDBC1" w14:textId="77777777" w:rsidR="0019565A" w:rsidRPr="00D53206" w:rsidRDefault="0019565A" w:rsidP="00482320">
            <w:pPr>
              <w:pStyle w:val="ESTablebody"/>
              <w:rPr>
                <w:rFonts w:ascii="Calibri" w:hAnsi="Calibri" w:cs="Calibri"/>
                <w:sz w:val="18"/>
                <w:highlight w:val="yellow"/>
              </w:rPr>
            </w:pPr>
            <w:proofErr w:type="spellStart"/>
            <w:r w:rsidRPr="006E2D0B">
              <w:rPr>
                <w:rFonts w:ascii="Calibri" w:hAnsi="Calibri" w:cs="Calibri"/>
                <w:sz w:val="18"/>
              </w:rPr>
              <w:t>Dandolo</w:t>
            </w:r>
            <w:proofErr w:type="spellEnd"/>
            <w:r>
              <w:rPr>
                <w:rFonts w:ascii="Calibri" w:hAnsi="Calibri" w:cs="Calibri"/>
                <w:sz w:val="18"/>
              </w:rPr>
              <w:t xml:space="preserve"> P</w:t>
            </w:r>
            <w:r w:rsidRPr="006E2D0B">
              <w:rPr>
                <w:rFonts w:ascii="Calibri" w:hAnsi="Calibri" w:cs="Calibri"/>
                <w:sz w:val="18"/>
              </w:rPr>
              <w:t>artners</w:t>
            </w:r>
          </w:p>
        </w:tc>
        <w:tc>
          <w:tcPr>
            <w:tcW w:w="4678" w:type="dxa"/>
            <w:tcBorders>
              <w:top w:val="single" w:sz="4" w:space="0" w:color="auto"/>
              <w:bottom w:val="single" w:sz="4" w:space="0" w:color="auto"/>
            </w:tcBorders>
            <w:shd w:val="clear" w:color="auto" w:fill="auto"/>
            <w:vAlign w:val="center"/>
          </w:tcPr>
          <w:p w14:paraId="325744FE" w14:textId="77777777" w:rsidR="0019565A" w:rsidRPr="00D53206" w:rsidRDefault="0019565A" w:rsidP="00482320">
            <w:pPr>
              <w:pStyle w:val="ESTablebody"/>
              <w:rPr>
                <w:rFonts w:ascii="Calibri" w:hAnsi="Calibri" w:cs="Calibri"/>
                <w:sz w:val="18"/>
                <w:highlight w:val="yellow"/>
              </w:rPr>
            </w:pPr>
            <w:r w:rsidRPr="006E2D0B">
              <w:rPr>
                <w:rFonts w:ascii="Calibri" w:hAnsi="Calibri" w:cs="Calibri"/>
                <w:sz w:val="18"/>
              </w:rPr>
              <w:t xml:space="preserve">To undertake mapping of vocational and applied learning offerings across Victoria and an analysis of place-based initiatives that support exposure to </w:t>
            </w:r>
            <w:r>
              <w:rPr>
                <w:rFonts w:ascii="Calibri" w:hAnsi="Calibri" w:cs="Calibri"/>
                <w:sz w:val="18"/>
              </w:rPr>
              <w:t>vocational and applied learning</w:t>
            </w:r>
            <w:r w:rsidRPr="006E2D0B">
              <w:rPr>
                <w:rFonts w:ascii="Calibri" w:hAnsi="Calibri" w:cs="Calibri"/>
                <w:sz w:val="18"/>
              </w:rPr>
              <w:t xml:space="preserve"> in the pre-senior secondary years</w:t>
            </w:r>
            <w:r>
              <w:rPr>
                <w:rFonts w:ascii="Calibri" w:hAnsi="Calibri" w:cs="Calibri"/>
                <w:sz w:val="18"/>
              </w:rPr>
              <w:t xml:space="preserve">. </w:t>
            </w:r>
          </w:p>
        </w:tc>
      </w:tr>
      <w:bookmarkEnd w:id="58"/>
    </w:tbl>
    <w:p w14:paraId="0FD90D51" w14:textId="77777777" w:rsidR="00EF3558" w:rsidRPr="00B85B32" w:rsidRDefault="00EF3558" w:rsidP="00724727">
      <w:pPr>
        <w:rPr>
          <w:rFonts w:ascii="Calibri" w:hAnsi="Calibri" w:cs="Calibri"/>
          <w:b/>
          <w:bCs/>
        </w:rPr>
      </w:pPr>
    </w:p>
    <w:p w14:paraId="726C6DCB" w14:textId="1FFEBDF6" w:rsidR="00350862" w:rsidRPr="00B85B32" w:rsidRDefault="00350862" w:rsidP="00724727">
      <w:pPr>
        <w:rPr>
          <w:rFonts w:ascii="Calibri" w:hAnsi="Calibri" w:cs="Calibri"/>
          <w:b/>
          <w:bCs/>
        </w:rPr>
      </w:pPr>
    </w:p>
    <w:bookmarkEnd w:id="56"/>
    <w:p w14:paraId="621628A7" w14:textId="77777777" w:rsidR="00BE7A69" w:rsidRPr="00B85B32" w:rsidRDefault="00BE7A69" w:rsidP="00724727">
      <w:pPr>
        <w:rPr>
          <w:rFonts w:ascii="Calibri" w:hAnsi="Calibri" w:cs="Calibri"/>
        </w:rPr>
        <w:sectPr w:rsidR="00BE7A69" w:rsidRPr="00B85B32" w:rsidSect="00E031DC">
          <w:pgSz w:w="11900" w:h="16840"/>
          <w:pgMar w:top="1440" w:right="1134" w:bottom="1440" w:left="1276" w:header="709" w:footer="709" w:gutter="0"/>
          <w:cols w:space="708"/>
          <w:docGrid w:linePitch="360"/>
        </w:sectPr>
      </w:pPr>
    </w:p>
    <w:p w14:paraId="3AD88468" w14:textId="116B9076" w:rsidR="00BE7A69" w:rsidRPr="00B85B32" w:rsidRDefault="00BE7A69" w:rsidP="0048665E">
      <w:pPr>
        <w:pStyle w:val="ESHeading1"/>
        <w:rPr>
          <w:rFonts w:ascii="Calibri" w:hAnsi="Calibri" w:cs="Calibri"/>
        </w:rPr>
      </w:pPr>
      <w:bookmarkStart w:id="62" w:name="_Toc8899536"/>
      <w:bookmarkStart w:id="63" w:name="_Toc109806865"/>
      <w:r w:rsidRPr="00B85B32">
        <w:rPr>
          <w:rFonts w:ascii="Calibri" w:hAnsi="Calibri" w:cs="Calibri"/>
        </w:rPr>
        <w:t>Overseas travel</w:t>
      </w:r>
      <w:bookmarkEnd w:id="62"/>
      <w:bookmarkEnd w:id="63"/>
    </w:p>
    <w:p w14:paraId="08697B2C" w14:textId="77777777" w:rsidR="00BE7A69" w:rsidRDefault="006C27C1" w:rsidP="00724727">
      <w:pPr>
        <w:rPr>
          <w:rFonts w:ascii="Calibri" w:hAnsi="Calibri" w:cs="Calibri"/>
        </w:rPr>
      </w:pPr>
      <w:r w:rsidRPr="00B85B32">
        <w:rPr>
          <w:rFonts w:ascii="Calibri" w:hAnsi="Calibri" w:cs="Calibri"/>
          <w:szCs w:val="22"/>
        </w:rPr>
        <w:t xml:space="preserve">In 2020, the </w:t>
      </w:r>
      <w:r w:rsidR="0087169B">
        <w:rPr>
          <w:rFonts w:ascii="Calibri" w:hAnsi="Calibri" w:cs="Calibri"/>
          <w:szCs w:val="22"/>
        </w:rPr>
        <w:t>d</w:t>
      </w:r>
      <w:r w:rsidRPr="00B85B32">
        <w:rPr>
          <w:rFonts w:ascii="Calibri" w:hAnsi="Calibri" w:cs="Calibri"/>
          <w:szCs w:val="22"/>
        </w:rPr>
        <w:t xml:space="preserve">epartment’s </w:t>
      </w:r>
      <w:r w:rsidR="000A737C" w:rsidRPr="00925213">
        <w:rPr>
          <w:rFonts w:ascii="Calibri" w:hAnsi="Calibri" w:cs="Calibri"/>
          <w:szCs w:val="22"/>
        </w:rPr>
        <w:t>t</w:t>
      </w:r>
      <w:r w:rsidRPr="00925213">
        <w:rPr>
          <w:rFonts w:ascii="Calibri" w:hAnsi="Calibri" w:cs="Calibri"/>
          <w:szCs w:val="22"/>
        </w:rPr>
        <w:t xml:space="preserve">ravel </w:t>
      </w:r>
      <w:r w:rsidR="000A737C" w:rsidRPr="00925213">
        <w:rPr>
          <w:rFonts w:ascii="Calibri" w:hAnsi="Calibri" w:cs="Calibri"/>
          <w:szCs w:val="22"/>
        </w:rPr>
        <w:t>p</w:t>
      </w:r>
      <w:r w:rsidRPr="00925213">
        <w:rPr>
          <w:rFonts w:ascii="Calibri" w:hAnsi="Calibri" w:cs="Calibri"/>
          <w:szCs w:val="22"/>
        </w:rPr>
        <w:t>olicy</w:t>
      </w:r>
      <w:r w:rsidRPr="00B85B32">
        <w:rPr>
          <w:rFonts w:ascii="Calibri" w:hAnsi="Calibri" w:cs="Calibri"/>
          <w:szCs w:val="22"/>
        </w:rPr>
        <w:t xml:space="preserve"> was updated to reflect </w:t>
      </w:r>
      <w:r w:rsidR="001F3C88">
        <w:rPr>
          <w:rFonts w:ascii="Calibri" w:hAnsi="Calibri" w:cs="Calibri"/>
          <w:szCs w:val="22"/>
        </w:rPr>
        <w:t xml:space="preserve">the fact </w:t>
      </w:r>
      <w:r w:rsidRPr="00B85B32">
        <w:rPr>
          <w:rFonts w:ascii="Calibri" w:hAnsi="Calibri" w:cs="Calibri"/>
          <w:szCs w:val="22"/>
        </w:rPr>
        <w:t xml:space="preserve">that overseas travel is not permitted due to the COVID-19 pandemic and associated travel restrictions. </w:t>
      </w:r>
      <w:r w:rsidR="0079001C" w:rsidRPr="0079001C">
        <w:rPr>
          <w:rFonts w:ascii="Calibri" w:hAnsi="Calibri" w:cs="Calibri"/>
          <w:szCs w:val="22"/>
        </w:rPr>
        <w:t>The conditions of this policy remained in place until May 2022</w:t>
      </w:r>
      <w:r w:rsidR="0079001C">
        <w:rPr>
          <w:rFonts w:ascii="Calibri" w:hAnsi="Calibri" w:cs="Calibri"/>
          <w:szCs w:val="22"/>
        </w:rPr>
        <w:t>.</w:t>
      </w:r>
      <w:r w:rsidR="0079001C" w:rsidRPr="0079001C">
        <w:rPr>
          <w:rFonts w:ascii="Calibri" w:hAnsi="Calibri" w:cs="Calibri"/>
          <w:szCs w:val="22"/>
        </w:rPr>
        <w:t xml:space="preserve"> </w:t>
      </w:r>
      <w:r w:rsidR="0079001C">
        <w:rPr>
          <w:rFonts w:ascii="Calibri" w:hAnsi="Calibri" w:cs="Calibri"/>
          <w:szCs w:val="22"/>
        </w:rPr>
        <w:t>A</w:t>
      </w:r>
      <w:r w:rsidR="0079001C" w:rsidRPr="0079001C">
        <w:rPr>
          <w:rFonts w:ascii="Calibri" w:hAnsi="Calibri" w:cs="Calibri"/>
          <w:szCs w:val="22"/>
        </w:rPr>
        <w:t xml:space="preserve">s such no overseas trips </w:t>
      </w:r>
      <w:r w:rsidR="0079001C">
        <w:rPr>
          <w:rFonts w:ascii="Calibri" w:hAnsi="Calibri" w:cs="Calibri"/>
          <w:szCs w:val="22"/>
        </w:rPr>
        <w:t xml:space="preserve">were </w:t>
      </w:r>
      <w:r w:rsidR="0079001C" w:rsidRPr="0079001C">
        <w:rPr>
          <w:rFonts w:ascii="Calibri" w:hAnsi="Calibri" w:cs="Calibri"/>
          <w:szCs w:val="22"/>
        </w:rPr>
        <w:t>undertaken by school-based or corporate staff in 2021–22</w:t>
      </w:r>
      <w:r w:rsidRPr="00B85B32">
        <w:rPr>
          <w:rFonts w:ascii="Calibri" w:hAnsi="Calibri" w:cs="Calibri"/>
        </w:rPr>
        <w:t>.</w:t>
      </w:r>
      <w:r w:rsidR="009A32C4">
        <w:rPr>
          <w:rFonts w:ascii="Calibri" w:hAnsi="Calibri" w:cs="Calibri"/>
        </w:rPr>
        <w:t xml:space="preserve"> </w:t>
      </w:r>
    </w:p>
    <w:p w14:paraId="47144B3B" w14:textId="77777777" w:rsidR="009A32C4" w:rsidRDefault="009A32C4" w:rsidP="00724727">
      <w:pPr>
        <w:rPr>
          <w:rFonts w:ascii="Calibri" w:hAnsi="Calibri" w:cs="Calibri"/>
        </w:rPr>
      </w:pPr>
    </w:p>
    <w:p w14:paraId="4C7C3449" w14:textId="7F6475E4" w:rsidR="00343610" w:rsidRPr="00B85B32" w:rsidRDefault="00343610" w:rsidP="0048665E">
      <w:pPr>
        <w:pStyle w:val="ESHeading1"/>
        <w:rPr>
          <w:rFonts w:ascii="Calibri" w:hAnsi="Calibri" w:cs="Calibri"/>
        </w:rPr>
      </w:pPr>
      <w:bookmarkStart w:id="64" w:name="_Toc9432496"/>
      <w:bookmarkStart w:id="65" w:name="_Toc109806866"/>
      <w:r w:rsidRPr="00B85B32">
        <w:rPr>
          <w:rFonts w:ascii="Calibri" w:hAnsi="Calibri" w:cs="Calibri"/>
        </w:rPr>
        <w:t>Major promotional, public relations and marketing activities</w:t>
      </w:r>
      <w:bookmarkEnd w:id="64"/>
      <w:bookmarkEnd w:id="65"/>
    </w:p>
    <w:p w14:paraId="2EC986A7" w14:textId="541F43D0" w:rsidR="00D214AE" w:rsidRPr="00D214AE" w:rsidRDefault="00D214AE" w:rsidP="00343610">
      <w:pPr>
        <w:pStyle w:val="ESTableintroheading"/>
        <w:rPr>
          <w:rFonts w:ascii="Calibri" w:eastAsiaTheme="minorHAnsi" w:hAnsi="Calibri" w:cs="Calibri"/>
          <w:b w:val="0"/>
          <w:color w:val="auto"/>
          <w:sz w:val="22"/>
          <w:szCs w:val="22"/>
          <w:lang w:val="en-GB"/>
        </w:rPr>
      </w:pPr>
      <w:r w:rsidRPr="0038363D">
        <w:rPr>
          <w:rFonts w:ascii="Calibri" w:eastAsiaTheme="minorHAnsi" w:hAnsi="Calibri" w:cs="Calibri"/>
          <w:b w:val="0"/>
          <w:color w:val="auto"/>
          <w:sz w:val="22"/>
          <w:szCs w:val="22"/>
          <w:lang w:val="en-GB"/>
        </w:rPr>
        <w:t xml:space="preserve">The table below details the major promotional, public relations and marketing activities </w:t>
      </w:r>
      <w:r w:rsidR="0049589A">
        <w:rPr>
          <w:rFonts w:ascii="Calibri" w:eastAsiaTheme="minorHAnsi" w:hAnsi="Calibri" w:cs="Calibri"/>
          <w:b w:val="0"/>
          <w:color w:val="auto"/>
          <w:sz w:val="22"/>
          <w:szCs w:val="22"/>
          <w:lang w:val="en-GB"/>
        </w:rPr>
        <w:t xml:space="preserve">undertaken </w:t>
      </w:r>
      <w:r w:rsidRPr="0038363D">
        <w:rPr>
          <w:rFonts w:ascii="Calibri" w:eastAsiaTheme="minorHAnsi" w:hAnsi="Calibri" w:cs="Calibri"/>
          <w:b w:val="0"/>
          <w:color w:val="auto"/>
          <w:sz w:val="22"/>
          <w:szCs w:val="22"/>
          <w:lang w:val="en-GB"/>
        </w:rPr>
        <w:t xml:space="preserve">during 2021–22 to develop community awareness of the department </w:t>
      </w:r>
      <w:r w:rsidR="0049589A">
        <w:rPr>
          <w:rFonts w:ascii="Calibri" w:eastAsiaTheme="minorHAnsi" w:hAnsi="Calibri" w:cs="Calibri"/>
          <w:b w:val="0"/>
          <w:color w:val="auto"/>
          <w:sz w:val="22"/>
          <w:szCs w:val="22"/>
          <w:lang w:val="en-GB"/>
        </w:rPr>
        <w:t xml:space="preserve">(including the </w:t>
      </w:r>
      <w:r w:rsidR="00D42FC2">
        <w:rPr>
          <w:rFonts w:ascii="Calibri" w:eastAsiaTheme="minorHAnsi" w:hAnsi="Calibri" w:cs="Calibri"/>
          <w:b w:val="0"/>
          <w:color w:val="auto"/>
          <w:sz w:val="22"/>
          <w:szCs w:val="22"/>
          <w:lang w:val="en-GB"/>
        </w:rPr>
        <w:t>Victorian Skills Authority (</w:t>
      </w:r>
      <w:r w:rsidR="00530DBC">
        <w:rPr>
          <w:rFonts w:ascii="Calibri" w:eastAsiaTheme="minorHAnsi" w:hAnsi="Calibri" w:cs="Calibri"/>
          <w:b w:val="0"/>
          <w:color w:val="auto"/>
          <w:sz w:val="22"/>
          <w:szCs w:val="22"/>
          <w:lang w:val="en-GB"/>
        </w:rPr>
        <w:t>VSA</w:t>
      </w:r>
      <w:r w:rsidR="0049589A">
        <w:rPr>
          <w:rFonts w:ascii="Calibri" w:eastAsiaTheme="minorHAnsi" w:hAnsi="Calibri" w:cs="Calibri"/>
          <w:b w:val="0"/>
          <w:color w:val="auto"/>
          <w:sz w:val="22"/>
          <w:szCs w:val="22"/>
          <w:lang w:val="en-GB"/>
        </w:rPr>
        <w:t>)</w:t>
      </w:r>
      <w:r w:rsidR="00D42FC2">
        <w:rPr>
          <w:rFonts w:ascii="Calibri" w:eastAsiaTheme="minorHAnsi" w:hAnsi="Calibri" w:cs="Calibri"/>
          <w:b w:val="0"/>
          <w:color w:val="auto"/>
          <w:sz w:val="22"/>
          <w:szCs w:val="22"/>
          <w:lang w:val="en-GB"/>
        </w:rPr>
        <w:t>)</w:t>
      </w:r>
      <w:r w:rsidRPr="0038363D">
        <w:rPr>
          <w:rFonts w:ascii="Calibri" w:eastAsiaTheme="minorHAnsi" w:hAnsi="Calibri" w:cs="Calibri"/>
          <w:b w:val="0"/>
          <w:color w:val="auto"/>
          <w:sz w:val="22"/>
          <w:szCs w:val="22"/>
          <w:lang w:val="en-GB"/>
        </w:rPr>
        <w:t xml:space="preserve"> </w:t>
      </w:r>
      <w:r w:rsidR="0049589A">
        <w:rPr>
          <w:rFonts w:ascii="Calibri" w:eastAsiaTheme="minorHAnsi" w:hAnsi="Calibri" w:cs="Calibri"/>
          <w:b w:val="0"/>
          <w:color w:val="auto"/>
          <w:sz w:val="22"/>
          <w:szCs w:val="22"/>
          <w:lang w:val="en-GB"/>
        </w:rPr>
        <w:t>and its</w:t>
      </w:r>
      <w:r w:rsidRPr="0038363D">
        <w:rPr>
          <w:rFonts w:ascii="Calibri" w:eastAsiaTheme="minorHAnsi" w:hAnsi="Calibri" w:cs="Calibri"/>
          <w:b w:val="0"/>
          <w:color w:val="auto"/>
          <w:sz w:val="22"/>
          <w:szCs w:val="22"/>
          <w:lang w:val="en-GB"/>
        </w:rPr>
        <w:t xml:space="preserve"> services.</w:t>
      </w:r>
    </w:p>
    <w:p w14:paraId="051A02D1" w14:textId="381C3FD4" w:rsidR="00343610" w:rsidRPr="00B85B32" w:rsidRDefault="00343610" w:rsidP="00343610">
      <w:pPr>
        <w:pStyle w:val="ESTableintroheading"/>
        <w:rPr>
          <w:rFonts w:ascii="Calibri" w:hAnsi="Calibri" w:cs="Calibri"/>
        </w:rPr>
      </w:pPr>
      <w:r w:rsidRPr="00B85B32">
        <w:rPr>
          <w:rFonts w:ascii="Calibri" w:hAnsi="Calibri" w:cs="Calibri"/>
        </w:rPr>
        <w:t>Major promotional, public relations and marketing activities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Activity, Purpose, Cost ($ excluding GST)"/>
      </w:tblPr>
      <w:tblGrid>
        <w:gridCol w:w="1853"/>
        <w:gridCol w:w="4521"/>
        <w:gridCol w:w="1397"/>
      </w:tblGrid>
      <w:tr w:rsidR="008B4546" w:rsidRPr="00925213" w14:paraId="24A148AB" w14:textId="77777777" w:rsidTr="00B94DE1">
        <w:trPr>
          <w:cantSplit/>
          <w:trHeight w:val="130"/>
          <w:tblHeader/>
        </w:trPr>
        <w:tc>
          <w:tcPr>
            <w:tcW w:w="1853" w:type="dxa"/>
            <w:tcBorders>
              <w:bottom w:val="single" w:sz="4" w:space="0" w:color="FFFFFF" w:themeColor="background1"/>
            </w:tcBorders>
            <w:shd w:val="clear" w:color="auto" w:fill="AF272F"/>
          </w:tcPr>
          <w:p w14:paraId="6A6943C7" w14:textId="77777777" w:rsidR="008B4546" w:rsidRPr="00925213" w:rsidRDefault="008B4546" w:rsidP="00B94DE1">
            <w:pPr>
              <w:pStyle w:val="ESTableheadingwhite"/>
              <w:rPr>
                <w:rFonts w:ascii="Calibri" w:hAnsi="Calibri" w:cs="Calibri"/>
                <w:sz w:val="18"/>
              </w:rPr>
            </w:pPr>
            <w:r w:rsidRPr="00925213">
              <w:rPr>
                <w:rFonts w:ascii="Calibri" w:hAnsi="Calibri" w:cs="Calibri"/>
                <w:sz w:val="18"/>
              </w:rPr>
              <w:t>Activity</w:t>
            </w:r>
          </w:p>
        </w:tc>
        <w:tc>
          <w:tcPr>
            <w:tcW w:w="4521" w:type="dxa"/>
            <w:tcBorders>
              <w:bottom w:val="single" w:sz="4" w:space="0" w:color="FFFFFF" w:themeColor="background1"/>
            </w:tcBorders>
            <w:shd w:val="clear" w:color="auto" w:fill="AF272F" w:themeFill="accent4"/>
          </w:tcPr>
          <w:p w14:paraId="635A0DFF" w14:textId="77777777" w:rsidR="008B4546" w:rsidRPr="00925213" w:rsidRDefault="008B4546" w:rsidP="00B94DE1">
            <w:pPr>
              <w:pStyle w:val="ESTableheadingwhite"/>
              <w:rPr>
                <w:rFonts w:ascii="Calibri" w:hAnsi="Calibri" w:cs="Calibri"/>
                <w:sz w:val="18"/>
              </w:rPr>
            </w:pPr>
            <w:r w:rsidRPr="00925213">
              <w:rPr>
                <w:rFonts w:ascii="Calibri" w:hAnsi="Calibri" w:cs="Calibri"/>
                <w:sz w:val="18"/>
              </w:rPr>
              <w:t>Purpose</w:t>
            </w:r>
          </w:p>
        </w:tc>
        <w:tc>
          <w:tcPr>
            <w:tcW w:w="1397" w:type="dxa"/>
            <w:tcBorders>
              <w:bottom w:val="single" w:sz="4" w:space="0" w:color="FFFFFF" w:themeColor="background1"/>
            </w:tcBorders>
            <w:shd w:val="clear" w:color="auto" w:fill="AF272F" w:themeFill="accent4"/>
          </w:tcPr>
          <w:p w14:paraId="10D7CE46" w14:textId="77777777" w:rsidR="008B4546" w:rsidRPr="00925213" w:rsidRDefault="008B4546" w:rsidP="00D01DBF">
            <w:pPr>
              <w:pStyle w:val="ESTableheadingwhite"/>
              <w:spacing w:after="0"/>
              <w:jc w:val="right"/>
              <w:rPr>
                <w:rFonts w:ascii="Calibri" w:hAnsi="Calibri" w:cs="Calibri"/>
                <w:sz w:val="18"/>
              </w:rPr>
            </w:pPr>
            <w:r w:rsidRPr="00925213">
              <w:rPr>
                <w:rFonts w:ascii="Calibri" w:hAnsi="Calibri" w:cs="Calibri"/>
                <w:sz w:val="18"/>
              </w:rPr>
              <w:t>Cost</w:t>
            </w:r>
            <w:r>
              <w:rPr>
                <w:rFonts w:ascii="Calibri" w:hAnsi="Calibri" w:cs="Calibri"/>
                <w:sz w:val="18"/>
              </w:rPr>
              <w:t xml:space="preserve"> </w:t>
            </w:r>
          </w:p>
          <w:p w14:paraId="421116B7" w14:textId="77777777" w:rsidR="008B4546" w:rsidRPr="00925213" w:rsidRDefault="008B4546" w:rsidP="00D01DBF">
            <w:pPr>
              <w:pStyle w:val="ESTableheadingwhite"/>
              <w:spacing w:before="0"/>
              <w:jc w:val="right"/>
              <w:rPr>
                <w:rFonts w:ascii="Calibri" w:hAnsi="Calibri" w:cs="Calibri"/>
                <w:sz w:val="18"/>
              </w:rPr>
            </w:pPr>
            <w:r w:rsidRPr="00925213">
              <w:rPr>
                <w:rFonts w:ascii="Calibri" w:hAnsi="Calibri" w:cs="Calibri"/>
                <w:sz w:val="18"/>
              </w:rPr>
              <w:t>($ excl. GST)</w:t>
            </w:r>
          </w:p>
        </w:tc>
      </w:tr>
      <w:tr w:rsidR="008B4546" w:rsidRPr="00925213" w14:paraId="4E2ADF0B"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5A6D87F5" w14:textId="05765511" w:rsidR="008B4546" w:rsidRPr="00925213" w:rsidRDefault="008B4546" w:rsidP="0038363D">
            <w:pPr>
              <w:pStyle w:val="ESTablebody"/>
              <w:rPr>
                <w:rFonts w:ascii="Calibri" w:hAnsi="Calibri" w:cs="Calibri"/>
                <w:sz w:val="18"/>
              </w:rPr>
            </w:pPr>
            <w:r>
              <w:rPr>
                <w:rFonts w:ascii="Calibri" w:hAnsi="Calibri" w:cs="Calibri"/>
                <w:bCs/>
                <w:sz w:val="18"/>
                <w:lang w:val="en-AU"/>
              </w:rPr>
              <w:t>5</w:t>
            </w:r>
            <w:r w:rsidR="00D42FC2">
              <w:rPr>
                <w:rFonts w:ascii="Calibri" w:hAnsi="Calibri" w:cs="Calibri"/>
                <w:bCs/>
                <w:sz w:val="18"/>
                <w:lang w:val="en-AU"/>
              </w:rPr>
              <w:t>–</w:t>
            </w:r>
            <w:r>
              <w:rPr>
                <w:rFonts w:ascii="Calibri" w:hAnsi="Calibri" w:cs="Calibri"/>
                <w:bCs/>
                <w:sz w:val="18"/>
                <w:lang w:val="en-AU"/>
              </w:rPr>
              <w:t xml:space="preserve">11 school vaccination clinic functional advertising </w:t>
            </w:r>
          </w:p>
        </w:tc>
        <w:tc>
          <w:tcPr>
            <w:tcW w:w="4521" w:type="dxa"/>
            <w:tcBorders>
              <w:top w:val="single" w:sz="4" w:space="0" w:color="53565A" w:themeColor="accent5"/>
              <w:bottom w:val="single" w:sz="4" w:space="0" w:color="53565A" w:themeColor="accent5"/>
            </w:tcBorders>
          </w:tcPr>
          <w:p w14:paraId="3705B8EA" w14:textId="1A99DB0E" w:rsidR="008B4546" w:rsidRPr="00925213" w:rsidRDefault="008B4546" w:rsidP="0038363D">
            <w:pPr>
              <w:pStyle w:val="ESTablebody"/>
              <w:rPr>
                <w:rFonts w:ascii="Calibri" w:hAnsi="Calibri" w:cs="Calibri"/>
                <w:sz w:val="18"/>
              </w:rPr>
            </w:pPr>
            <w:r>
              <w:rPr>
                <w:rFonts w:ascii="Calibri" w:hAnsi="Calibri" w:cs="Calibri"/>
                <w:bCs/>
                <w:sz w:val="18"/>
              </w:rPr>
              <w:t>Targeted social media advertising to promote school-based 5</w:t>
            </w:r>
            <w:r w:rsidR="00D42FC2">
              <w:rPr>
                <w:rFonts w:ascii="Calibri" w:hAnsi="Calibri" w:cs="Calibri"/>
                <w:bCs/>
                <w:sz w:val="18"/>
              </w:rPr>
              <w:t>–</w:t>
            </w:r>
            <w:r>
              <w:rPr>
                <w:rFonts w:ascii="Calibri" w:hAnsi="Calibri" w:cs="Calibri"/>
                <w:bCs/>
                <w:sz w:val="18"/>
              </w:rPr>
              <w:t>11 COVID-19 vaccination clinics (</w:t>
            </w:r>
            <w:r w:rsidRPr="005919D7">
              <w:rPr>
                <w:rFonts w:ascii="Calibri" w:hAnsi="Calibri" w:cs="Calibri"/>
                <w:bCs/>
                <w:sz w:val="18"/>
              </w:rPr>
              <w:t>Primary Care Vaccinations in Schools Grants Program)</w:t>
            </w:r>
            <w:r>
              <w:rPr>
                <w:rFonts w:ascii="Calibri" w:hAnsi="Calibri" w:cs="Calibri"/>
                <w:bCs/>
                <w:sz w:val="18"/>
              </w:rPr>
              <w:t xml:space="preserve"> in </w:t>
            </w:r>
            <w:r w:rsidR="00D42FC2">
              <w:rPr>
                <w:rFonts w:ascii="Calibri" w:hAnsi="Calibri" w:cs="Calibri"/>
                <w:bCs/>
                <w:sz w:val="18"/>
              </w:rPr>
              <w:t>local government areas</w:t>
            </w:r>
            <w:r>
              <w:rPr>
                <w:rFonts w:ascii="Calibri" w:hAnsi="Calibri" w:cs="Calibri"/>
                <w:bCs/>
                <w:sz w:val="18"/>
              </w:rPr>
              <w:t xml:space="preserve"> </w:t>
            </w:r>
            <w:r w:rsidR="00D42FC2">
              <w:rPr>
                <w:rFonts w:ascii="Calibri" w:hAnsi="Calibri" w:cs="Calibri"/>
                <w:bCs/>
                <w:sz w:val="18"/>
              </w:rPr>
              <w:t>(</w:t>
            </w:r>
            <w:r>
              <w:rPr>
                <w:rFonts w:ascii="Calibri" w:hAnsi="Calibri" w:cs="Calibri"/>
                <w:bCs/>
                <w:sz w:val="18"/>
              </w:rPr>
              <w:t>LGAs</w:t>
            </w:r>
            <w:r w:rsidR="00D42FC2">
              <w:rPr>
                <w:rFonts w:ascii="Calibri" w:hAnsi="Calibri" w:cs="Calibri"/>
                <w:bCs/>
                <w:sz w:val="18"/>
              </w:rPr>
              <w:t>)</w:t>
            </w:r>
            <w:r>
              <w:rPr>
                <w:rFonts w:ascii="Calibri" w:hAnsi="Calibri" w:cs="Calibri"/>
                <w:bCs/>
                <w:sz w:val="18"/>
              </w:rPr>
              <w:t xml:space="preserve"> holding clinics.</w:t>
            </w:r>
          </w:p>
        </w:tc>
        <w:tc>
          <w:tcPr>
            <w:tcW w:w="1397" w:type="dxa"/>
            <w:tcBorders>
              <w:top w:val="single" w:sz="4" w:space="0" w:color="53565A" w:themeColor="accent5"/>
              <w:bottom w:val="single" w:sz="4" w:space="0" w:color="53565A" w:themeColor="accent5"/>
            </w:tcBorders>
          </w:tcPr>
          <w:p w14:paraId="7193CCF6" w14:textId="77777777" w:rsidR="008B4546" w:rsidRPr="00925213" w:rsidRDefault="008B4546" w:rsidP="0038363D">
            <w:pPr>
              <w:pStyle w:val="ESTablebody"/>
              <w:jc w:val="right"/>
              <w:rPr>
                <w:rFonts w:ascii="Calibri" w:hAnsi="Calibri" w:cs="Calibri"/>
                <w:sz w:val="18"/>
              </w:rPr>
            </w:pPr>
            <w:r>
              <w:rPr>
                <w:rFonts w:ascii="Calibri" w:hAnsi="Calibri" w:cs="Calibri"/>
                <w:sz w:val="18"/>
              </w:rPr>
              <w:t>14,317</w:t>
            </w:r>
          </w:p>
        </w:tc>
      </w:tr>
      <w:tr w:rsidR="008B4546" w:rsidRPr="00925213" w14:paraId="3FF64C79"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5DBB9591" w14:textId="77777777" w:rsidR="008B4546" w:rsidRPr="00925213" w:rsidRDefault="008B4546" w:rsidP="0038363D">
            <w:pPr>
              <w:pStyle w:val="ESTablebody"/>
              <w:rPr>
                <w:rFonts w:ascii="Calibri" w:hAnsi="Calibri" w:cs="Calibri"/>
                <w:sz w:val="18"/>
              </w:rPr>
            </w:pPr>
            <w:proofErr w:type="spellStart"/>
            <w:r>
              <w:rPr>
                <w:rFonts w:ascii="Calibri" w:hAnsi="Calibri" w:cs="Calibri"/>
                <w:bCs/>
                <w:sz w:val="18"/>
                <w:lang w:val="en-AU"/>
              </w:rPr>
              <w:t>Koorie</w:t>
            </w:r>
            <w:proofErr w:type="spellEnd"/>
            <w:r>
              <w:rPr>
                <w:rFonts w:ascii="Calibri" w:hAnsi="Calibri" w:cs="Calibri"/>
                <w:bCs/>
                <w:sz w:val="18"/>
                <w:lang w:val="en-AU"/>
              </w:rPr>
              <w:t xml:space="preserve"> Kids Shine advertising campaign </w:t>
            </w:r>
          </w:p>
        </w:tc>
        <w:tc>
          <w:tcPr>
            <w:tcW w:w="4521" w:type="dxa"/>
            <w:tcBorders>
              <w:top w:val="single" w:sz="4" w:space="0" w:color="53565A" w:themeColor="accent5"/>
              <w:bottom w:val="single" w:sz="4" w:space="0" w:color="53565A" w:themeColor="accent5"/>
            </w:tcBorders>
          </w:tcPr>
          <w:p w14:paraId="0065BD16" w14:textId="7E8E235A" w:rsidR="008B4546" w:rsidRPr="00925213" w:rsidRDefault="008B4546" w:rsidP="0038363D">
            <w:pPr>
              <w:pStyle w:val="ESTablebody"/>
              <w:rPr>
                <w:rFonts w:ascii="Calibri" w:hAnsi="Calibri" w:cs="Calibri"/>
                <w:sz w:val="18"/>
              </w:rPr>
            </w:pPr>
            <w:r>
              <w:rPr>
                <w:rFonts w:ascii="Calibri" w:hAnsi="Calibri" w:cs="Calibri"/>
                <w:bCs/>
                <w:sz w:val="18"/>
              </w:rPr>
              <w:t xml:space="preserve">Targeted advertising to promote and encourage enrolment in </w:t>
            </w:r>
            <w:r w:rsidR="00D42FC2">
              <w:rPr>
                <w:rFonts w:ascii="Calibri" w:hAnsi="Calibri" w:cs="Calibri"/>
                <w:bCs/>
                <w:sz w:val="18"/>
              </w:rPr>
              <w:t>T</w:t>
            </w:r>
            <w:r>
              <w:rPr>
                <w:rFonts w:ascii="Calibri" w:hAnsi="Calibri" w:cs="Calibri"/>
                <w:bCs/>
                <w:sz w:val="18"/>
              </w:rPr>
              <w:t>hree-</w:t>
            </w:r>
            <w:r w:rsidR="00D42FC2">
              <w:rPr>
                <w:rFonts w:ascii="Calibri" w:hAnsi="Calibri" w:cs="Calibri"/>
                <w:bCs/>
                <w:sz w:val="18"/>
              </w:rPr>
              <w:t>Y</w:t>
            </w:r>
            <w:r>
              <w:rPr>
                <w:rFonts w:ascii="Calibri" w:hAnsi="Calibri" w:cs="Calibri"/>
                <w:bCs/>
                <w:sz w:val="18"/>
              </w:rPr>
              <w:t>ear-</w:t>
            </w:r>
            <w:r w:rsidR="00D42FC2">
              <w:rPr>
                <w:rFonts w:ascii="Calibri" w:hAnsi="Calibri" w:cs="Calibri"/>
                <w:bCs/>
                <w:sz w:val="18"/>
              </w:rPr>
              <w:t>O</w:t>
            </w:r>
            <w:r>
              <w:rPr>
                <w:rFonts w:ascii="Calibri" w:hAnsi="Calibri" w:cs="Calibri"/>
                <w:bCs/>
                <w:sz w:val="18"/>
              </w:rPr>
              <w:t xml:space="preserve">ld </w:t>
            </w:r>
            <w:r w:rsidR="00D42FC2">
              <w:rPr>
                <w:rFonts w:ascii="Calibri" w:hAnsi="Calibri" w:cs="Calibri"/>
                <w:bCs/>
                <w:sz w:val="18"/>
              </w:rPr>
              <w:t>K</w:t>
            </w:r>
            <w:r>
              <w:rPr>
                <w:rFonts w:ascii="Calibri" w:hAnsi="Calibri" w:cs="Calibri"/>
                <w:bCs/>
                <w:sz w:val="18"/>
              </w:rPr>
              <w:t xml:space="preserve">indergarten </w:t>
            </w:r>
            <w:r w:rsidR="00D42FC2">
              <w:rPr>
                <w:rFonts w:ascii="Calibri" w:hAnsi="Calibri" w:cs="Calibri"/>
                <w:bCs/>
                <w:sz w:val="18"/>
              </w:rPr>
              <w:t>among</w:t>
            </w:r>
            <w:r>
              <w:rPr>
                <w:rFonts w:ascii="Calibri" w:hAnsi="Calibri" w:cs="Calibri"/>
                <w:bCs/>
                <w:sz w:val="18"/>
              </w:rPr>
              <w:t xml:space="preserve"> </w:t>
            </w:r>
            <w:proofErr w:type="spellStart"/>
            <w:r>
              <w:rPr>
                <w:rFonts w:ascii="Calibri" w:hAnsi="Calibri" w:cs="Calibri"/>
                <w:bCs/>
                <w:sz w:val="18"/>
              </w:rPr>
              <w:t>Koorie</w:t>
            </w:r>
            <w:proofErr w:type="spellEnd"/>
            <w:r>
              <w:rPr>
                <w:rFonts w:ascii="Calibri" w:hAnsi="Calibri" w:cs="Calibri"/>
                <w:bCs/>
                <w:sz w:val="18"/>
              </w:rPr>
              <w:t xml:space="preserve"> families, through the </w:t>
            </w:r>
            <w:proofErr w:type="spellStart"/>
            <w:r>
              <w:rPr>
                <w:rFonts w:ascii="Calibri" w:hAnsi="Calibri" w:cs="Calibri"/>
                <w:bCs/>
                <w:i/>
                <w:iCs/>
                <w:sz w:val="18"/>
              </w:rPr>
              <w:t>Koorie</w:t>
            </w:r>
            <w:proofErr w:type="spellEnd"/>
            <w:r>
              <w:rPr>
                <w:rFonts w:ascii="Calibri" w:hAnsi="Calibri" w:cs="Calibri"/>
                <w:bCs/>
                <w:i/>
                <w:iCs/>
                <w:sz w:val="18"/>
              </w:rPr>
              <w:t xml:space="preserve"> Kids Shine </w:t>
            </w:r>
            <w:r>
              <w:rPr>
                <w:rFonts w:ascii="Calibri" w:hAnsi="Calibri" w:cs="Calibri"/>
                <w:bCs/>
                <w:sz w:val="18"/>
              </w:rPr>
              <w:t xml:space="preserve">brand. </w:t>
            </w:r>
            <w:proofErr w:type="spellStart"/>
            <w:r w:rsidRPr="002F2FB5">
              <w:rPr>
                <w:rFonts w:ascii="Calibri" w:hAnsi="Calibri" w:cs="Calibri"/>
                <w:bCs/>
                <w:sz w:val="18"/>
              </w:rPr>
              <w:t>Koorie</w:t>
            </w:r>
            <w:proofErr w:type="spellEnd"/>
            <w:r w:rsidRPr="002F2FB5">
              <w:rPr>
                <w:rFonts w:ascii="Calibri" w:hAnsi="Calibri" w:cs="Calibri"/>
                <w:bCs/>
                <w:sz w:val="18"/>
              </w:rPr>
              <w:t xml:space="preserve"> Kids Shine promotes participation in kindergarten programs, specifically, ensuring that </w:t>
            </w:r>
            <w:proofErr w:type="spellStart"/>
            <w:r w:rsidRPr="002F2FB5">
              <w:rPr>
                <w:rFonts w:ascii="Calibri" w:hAnsi="Calibri" w:cs="Calibri"/>
                <w:bCs/>
                <w:sz w:val="18"/>
              </w:rPr>
              <w:t>Koorie</w:t>
            </w:r>
            <w:proofErr w:type="spellEnd"/>
            <w:r w:rsidRPr="002F2FB5">
              <w:rPr>
                <w:rFonts w:ascii="Calibri" w:hAnsi="Calibri" w:cs="Calibri"/>
                <w:bCs/>
                <w:sz w:val="18"/>
              </w:rPr>
              <w:t xml:space="preserve"> children are enrolled and attending 15 hours per week, as per their entitlement.</w:t>
            </w:r>
            <w:r>
              <w:rPr>
                <w:rFonts w:ascii="Calibri" w:hAnsi="Calibri" w:cs="Calibri"/>
                <w:bCs/>
                <w:sz w:val="18"/>
              </w:rPr>
              <w:t xml:space="preserve"> </w:t>
            </w:r>
          </w:p>
        </w:tc>
        <w:tc>
          <w:tcPr>
            <w:tcW w:w="1397" w:type="dxa"/>
            <w:tcBorders>
              <w:top w:val="single" w:sz="4" w:space="0" w:color="53565A" w:themeColor="accent5"/>
              <w:bottom w:val="single" w:sz="4" w:space="0" w:color="53565A" w:themeColor="accent5"/>
            </w:tcBorders>
          </w:tcPr>
          <w:p w14:paraId="5A13AD90" w14:textId="77777777" w:rsidR="008B4546" w:rsidRPr="00925213" w:rsidRDefault="008B4546" w:rsidP="0038363D">
            <w:pPr>
              <w:pStyle w:val="ESTablebody"/>
              <w:jc w:val="right"/>
              <w:rPr>
                <w:rFonts w:ascii="Calibri" w:hAnsi="Calibri" w:cs="Calibri"/>
                <w:sz w:val="18"/>
              </w:rPr>
            </w:pPr>
            <w:r w:rsidRPr="001B62BE">
              <w:rPr>
                <w:rFonts w:ascii="Calibri" w:hAnsi="Calibri" w:cs="Calibri"/>
                <w:sz w:val="18"/>
              </w:rPr>
              <w:t>70,700</w:t>
            </w:r>
          </w:p>
        </w:tc>
      </w:tr>
      <w:tr w:rsidR="008B4546" w:rsidRPr="00925213" w14:paraId="7F66240E" w14:textId="77777777" w:rsidTr="005364A5">
        <w:trPr>
          <w:cantSplit/>
          <w:trHeight w:val="850"/>
        </w:trPr>
        <w:tc>
          <w:tcPr>
            <w:tcW w:w="1853" w:type="dxa"/>
            <w:tcBorders>
              <w:top w:val="single" w:sz="4" w:space="0" w:color="53565A" w:themeColor="accent5"/>
              <w:bottom w:val="single" w:sz="4" w:space="0" w:color="53565A" w:themeColor="accent5"/>
            </w:tcBorders>
            <w:shd w:val="clear" w:color="auto" w:fill="auto"/>
          </w:tcPr>
          <w:p w14:paraId="66E09A0B" w14:textId="77777777" w:rsidR="008B4546" w:rsidRPr="00925213" w:rsidRDefault="008B4546" w:rsidP="009972EF">
            <w:pPr>
              <w:pStyle w:val="ESTablebody"/>
              <w:rPr>
                <w:rFonts w:ascii="Calibri" w:hAnsi="Calibri" w:cs="Calibri"/>
                <w:sz w:val="18"/>
              </w:rPr>
            </w:pPr>
            <w:r w:rsidRPr="0038363D">
              <w:rPr>
                <w:rFonts w:ascii="Calibri" w:hAnsi="Calibri" w:cs="Calibri"/>
                <w:sz w:val="18"/>
              </w:rPr>
              <w:t>Play Learn Grow</w:t>
            </w:r>
            <w:r w:rsidRPr="00F92E42">
              <w:rPr>
                <w:rFonts w:ascii="Calibri" w:hAnsi="Calibri" w:cs="Calibri"/>
                <w:b/>
                <w:sz w:val="18"/>
              </w:rPr>
              <w:t xml:space="preserve"> </w:t>
            </w:r>
            <w:r w:rsidRPr="009972EF">
              <w:rPr>
                <w:rFonts w:ascii="Calibri" w:hAnsi="Calibri" w:cs="Calibri"/>
                <w:sz w:val="18"/>
                <w:lang w:val="en-AU"/>
              </w:rPr>
              <w:t>campaign</w:t>
            </w:r>
          </w:p>
        </w:tc>
        <w:tc>
          <w:tcPr>
            <w:tcW w:w="4521" w:type="dxa"/>
            <w:tcBorders>
              <w:top w:val="single" w:sz="4" w:space="0" w:color="53565A" w:themeColor="accent5"/>
              <w:bottom w:val="single" w:sz="4" w:space="0" w:color="53565A" w:themeColor="accent5"/>
            </w:tcBorders>
          </w:tcPr>
          <w:p w14:paraId="51827AE7" w14:textId="77777777" w:rsidR="008B4546" w:rsidRDefault="008B4546" w:rsidP="005364A5">
            <w:pPr>
              <w:pStyle w:val="ESTablebody"/>
              <w:rPr>
                <w:rFonts w:ascii="Calibri" w:hAnsi="Calibri" w:cs="Calibri"/>
                <w:sz w:val="18"/>
              </w:rPr>
            </w:pPr>
            <w:r>
              <w:rPr>
                <w:rFonts w:ascii="Calibri" w:hAnsi="Calibri" w:cs="Calibri"/>
                <w:sz w:val="18"/>
              </w:rPr>
              <w:t>Targeted advertising to encourage subscription to Play Learn Grow t</w:t>
            </w:r>
            <w:r w:rsidRPr="00FD6F6F">
              <w:rPr>
                <w:rFonts w:ascii="Calibri" w:hAnsi="Calibri" w:cs="Calibri"/>
                <w:sz w:val="18"/>
              </w:rPr>
              <w:t>ext message program</w:t>
            </w:r>
            <w:r>
              <w:rPr>
                <w:rFonts w:ascii="Calibri" w:hAnsi="Calibri" w:cs="Calibri"/>
                <w:sz w:val="18"/>
              </w:rPr>
              <w:t xml:space="preserve">. </w:t>
            </w:r>
          </w:p>
          <w:p w14:paraId="5F3CF8AA" w14:textId="2DEF27E9" w:rsidR="008B4546" w:rsidRPr="00925213" w:rsidRDefault="008B4546" w:rsidP="0038363D">
            <w:pPr>
              <w:pStyle w:val="ESTablebody"/>
              <w:rPr>
                <w:rFonts w:ascii="Calibri" w:hAnsi="Calibri" w:cs="Calibri"/>
                <w:sz w:val="18"/>
              </w:rPr>
            </w:pPr>
            <w:r>
              <w:rPr>
                <w:rFonts w:ascii="Calibri" w:hAnsi="Calibri" w:cs="Calibri"/>
                <w:sz w:val="18"/>
              </w:rPr>
              <w:t xml:space="preserve">Play Learn Grow is a </w:t>
            </w:r>
            <w:r w:rsidRPr="00FF1325">
              <w:rPr>
                <w:rFonts w:ascii="Calibri" w:hAnsi="Calibri" w:cs="Calibri"/>
                <w:sz w:val="18"/>
              </w:rPr>
              <w:t>24-week free text message service sharing tips from early childhood experts for</w:t>
            </w:r>
            <w:r>
              <w:rPr>
                <w:rFonts w:ascii="Calibri" w:hAnsi="Calibri" w:cs="Calibri"/>
                <w:sz w:val="18"/>
              </w:rPr>
              <w:t xml:space="preserve"> Victorian</w:t>
            </w:r>
            <w:r w:rsidRPr="00FF1325">
              <w:rPr>
                <w:rFonts w:ascii="Calibri" w:hAnsi="Calibri" w:cs="Calibri"/>
                <w:sz w:val="18"/>
              </w:rPr>
              <w:t xml:space="preserve"> parents of 2- and 3-year-old children, to support learning, development, </w:t>
            </w:r>
            <w:proofErr w:type="gramStart"/>
            <w:r w:rsidRPr="00FF1325">
              <w:rPr>
                <w:rFonts w:ascii="Calibri" w:hAnsi="Calibri" w:cs="Calibri"/>
                <w:sz w:val="18"/>
              </w:rPr>
              <w:t>health</w:t>
            </w:r>
            <w:proofErr w:type="gramEnd"/>
            <w:r w:rsidRPr="00FF1325">
              <w:rPr>
                <w:rFonts w:ascii="Calibri" w:hAnsi="Calibri" w:cs="Calibri"/>
                <w:sz w:val="18"/>
              </w:rPr>
              <w:t xml:space="preserve"> and wellbeing, at home.</w:t>
            </w:r>
          </w:p>
        </w:tc>
        <w:tc>
          <w:tcPr>
            <w:tcW w:w="1397" w:type="dxa"/>
            <w:tcBorders>
              <w:top w:val="single" w:sz="4" w:space="0" w:color="53565A" w:themeColor="accent5"/>
              <w:bottom w:val="single" w:sz="4" w:space="0" w:color="53565A" w:themeColor="accent5"/>
            </w:tcBorders>
          </w:tcPr>
          <w:p w14:paraId="411C8D51" w14:textId="77777777" w:rsidR="008B4546" w:rsidRPr="00925213" w:rsidRDefault="008B4546" w:rsidP="0038363D">
            <w:pPr>
              <w:pStyle w:val="ESTablebody"/>
              <w:jc w:val="right"/>
              <w:rPr>
                <w:rFonts w:ascii="Calibri" w:hAnsi="Calibri" w:cs="Calibri"/>
                <w:sz w:val="18"/>
              </w:rPr>
            </w:pPr>
            <w:r>
              <w:rPr>
                <w:rFonts w:ascii="Calibri" w:hAnsi="Calibri" w:cs="Calibri"/>
                <w:sz w:val="18"/>
              </w:rPr>
              <w:t>20,000</w:t>
            </w:r>
          </w:p>
        </w:tc>
      </w:tr>
      <w:tr w:rsidR="008B4546" w:rsidRPr="00925213" w14:paraId="30B5F397"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0C821FCE" w14:textId="77777777" w:rsidR="008B4546" w:rsidRPr="00925213" w:rsidRDefault="008B4546" w:rsidP="00B94DE1">
            <w:pPr>
              <w:pStyle w:val="ESTablebody"/>
              <w:spacing w:after="0"/>
              <w:rPr>
                <w:rFonts w:ascii="Calibri" w:hAnsi="Calibri" w:cs="Calibri"/>
                <w:sz w:val="18"/>
              </w:rPr>
            </w:pPr>
            <w:r w:rsidRPr="00925213">
              <w:rPr>
                <w:rFonts w:ascii="Calibri" w:hAnsi="Calibri" w:cs="Calibri"/>
                <w:sz w:val="18"/>
                <w:lang w:val="en-AU"/>
              </w:rPr>
              <w:t xml:space="preserve">Premiers’ </w:t>
            </w:r>
            <w:r>
              <w:rPr>
                <w:rFonts w:ascii="Calibri" w:hAnsi="Calibri" w:cs="Calibri"/>
                <w:sz w:val="18"/>
                <w:lang w:val="en-AU"/>
              </w:rPr>
              <w:t>R</w:t>
            </w:r>
            <w:r w:rsidRPr="00925213">
              <w:rPr>
                <w:rFonts w:ascii="Calibri" w:hAnsi="Calibri" w:cs="Calibri"/>
                <w:sz w:val="18"/>
                <w:lang w:val="en-AU"/>
              </w:rPr>
              <w:t xml:space="preserve">eading </w:t>
            </w:r>
            <w:r>
              <w:rPr>
                <w:rFonts w:ascii="Calibri" w:hAnsi="Calibri" w:cs="Calibri"/>
                <w:sz w:val="18"/>
                <w:lang w:val="en-AU"/>
              </w:rPr>
              <w:t>C</w:t>
            </w:r>
            <w:r w:rsidRPr="00925213">
              <w:rPr>
                <w:rFonts w:ascii="Calibri" w:hAnsi="Calibri" w:cs="Calibri"/>
                <w:sz w:val="18"/>
                <w:lang w:val="en-AU"/>
              </w:rPr>
              <w:t>hallenge 202</w:t>
            </w:r>
            <w:r>
              <w:rPr>
                <w:rFonts w:ascii="Calibri" w:hAnsi="Calibri" w:cs="Calibri"/>
                <w:sz w:val="18"/>
                <w:lang w:val="en-AU"/>
              </w:rPr>
              <w:t>1</w:t>
            </w:r>
          </w:p>
        </w:tc>
        <w:tc>
          <w:tcPr>
            <w:tcW w:w="4521" w:type="dxa"/>
            <w:tcBorders>
              <w:top w:val="single" w:sz="4" w:space="0" w:color="53565A" w:themeColor="accent5"/>
              <w:bottom w:val="single" w:sz="4" w:space="0" w:color="53565A" w:themeColor="accent5"/>
            </w:tcBorders>
          </w:tcPr>
          <w:p w14:paraId="770AD8E8" w14:textId="77777777" w:rsidR="008B4546" w:rsidRPr="00925213" w:rsidRDefault="008B4546" w:rsidP="00B94DE1">
            <w:pPr>
              <w:pStyle w:val="ESTablebody"/>
              <w:rPr>
                <w:rFonts w:ascii="Calibri" w:hAnsi="Calibri" w:cs="Calibri"/>
                <w:sz w:val="18"/>
              </w:rPr>
            </w:pPr>
            <w:r w:rsidRPr="00925213">
              <w:rPr>
                <w:rFonts w:ascii="Calibri" w:hAnsi="Calibri" w:cs="Calibri"/>
                <w:bCs/>
                <w:sz w:val="18"/>
                <w:lang w:val="en-AU"/>
              </w:rPr>
              <w:t>The Premiers’ Reading Challenge promotes interest in literacy and reading by encouraging children to read a set number of books and record their efforts online.</w:t>
            </w:r>
          </w:p>
        </w:tc>
        <w:tc>
          <w:tcPr>
            <w:tcW w:w="1397" w:type="dxa"/>
            <w:tcBorders>
              <w:top w:val="single" w:sz="4" w:space="0" w:color="53565A" w:themeColor="accent5"/>
              <w:bottom w:val="single" w:sz="4" w:space="0" w:color="53565A" w:themeColor="accent5"/>
            </w:tcBorders>
          </w:tcPr>
          <w:p w14:paraId="76302986" w14:textId="77777777" w:rsidR="008B4546" w:rsidRPr="00925213" w:rsidRDefault="008B4546" w:rsidP="00B94DE1">
            <w:pPr>
              <w:pStyle w:val="DETTableTextFinancial"/>
              <w:jc w:val="right"/>
              <w:rPr>
                <w:rFonts w:ascii="Calibri" w:hAnsi="Calibri" w:cs="Calibri"/>
                <w:sz w:val="18"/>
              </w:rPr>
            </w:pPr>
            <w:r>
              <w:rPr>
                <w:rFonts w:ascii="Calibri" w:hAnsi="Calibri" w:cs="Calibri"/>
                <w:sz w:val="18"/>
              </w:rPr>
              <w:t>12,000</w:t>
            </w:r>
          </w:p>
        </w:tc>
      </w:tr>
      <w:tr w:rsidR="008B4546" w:rsidRPr="00925213" w14:paraId="5034E369"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4F4EAFB6" w14:textId="77777777" w:rsidR="008B4546" w:rsidRPr="00925213" w:rsidRDefault="008B4546" w:rsidP="00B94DE1">
            <w:pPr>
              <w:pStyle w:val="ESTablebody"/>
              <w:spacing w:after="0"/>
              <w:rPr>
                <w:rFonts w:ascii="Calibri" w:hAnsi="Calibri" w:cs="Calibri"/>
                <w:sz w:val="18"/>
              </w:rPr>
            </w:pPr>
            <w:r w:rsidRPr="00925213">
              <w:rPr>
                <w:rFonts w:ascii="Calibri" w:hAnsi="Calibri" w:cs="Calibri"/>
                <w:sz w:val="18"/>
                <w:lang w:val="en-AU"/>
              </w:rPr>
              <w:t xml:space="preserve">Premiers’ </w:t>
            </w:r>
            <w:r>
              <w:rPr>
                <w:rFonts w:ascii="Calibri" w:hAnsi="Calibri" w:cs="Calibri"/>
                <w:sz w:val="18"/>
                <w:lang w:val="en-AU"/>
              </w:rPr>
              <w:t>R</w:t>
            </w:r>
            <w:r w:rsidRPr="00925213">
              <w:rPr>
                <w:rFonts w:ascii="Calibri" w:hAnsi="Calibri" w:cs="Calibri"/>
                <w:sz w:val="18"/>
                <w:lang w:val="en-AU"/>
              </w:rPr>
              <w:t xml:space="preserve">eading </w:t>
            </w:r>
            <w:r>
              <w:rPr>
                <w:rFonts w:ascii="Calibri" w:hAnsi="Calibri" w:cs="Calibri"/>
                <w:sz w:val="18"/>
                <w:lang w:val="en-AU"/>
              </w:rPr>
              <w:t>C</w:t>
            </w:r>
            <w:r w:rsidRPr="00925213">
              <w:rPr>
                <w:rFonts w:ascii="Calibri" w:hAnsi="Calibri" w:cs="Calibri"/>
                <w:sz w:val="18"/>
                <w:lang w:val="en-AU"/>
              </w:rPr>
              <w:t>hallenge 202</w:t>
            </w:r>
            <w:r>
              <w:rPr>
                <w:rFonts w:ascii="Calibri" w:hAnsi="Calibri" w:cs="Calibri"/>
                <w:sz w:val="18"/>
                <w:lang w:val="en-AU"/>
              </w:rPr>
              <w:t>2</w:t>
            </w:r>
          </w:p>
        </w:tc>
        <w:tc>
          <w:tcPr>
            <w:tcW w:w="4521" w:type="dxa"/>
            <w:tcBorders>
              <w:top w:val="single" w:sz="4" w:space="0" w:color="53565A" w:themeColor="accent5"/>
              <w:bottom w:val="single" w:sz="4" w:space="0" w:color="53565A" w:themeColor="accent5"/>
            </w:tcBorders>
          </w:tcPr>
          <w:p w14:paraId="18B7BA60" w14:textId="77777777" w:rsidR="008B4546" w:rsidRPr="00925213" w:rsidRDefault="008B4546" w:rsidP="00B94DE1">
            <w:pPr>
              <w:pStyle w:val="ESTablebody"/>
              <w:rPr>
                <w:rFonts w:ascii="Calibri" w:hAnsi="Calibri" w:cs="Calibri"/>
                <w:sz w:val="18"/>
              </w:rPr>
            </w:pPr>
            <w:r w:rsidRPr="00925213">
              <w:rPr>
                <w:rFonts w:ascii="Calibri" w:hAnsi="Calibri" w:cs="Calibri"/>
                <w:bCs/>
                <w:sz w:val="18"/>
                <w:lang w:val="en-AU"/>
              </w:rPr>
              <w:t>The Premiers’ Reading Challenge promotes interest in literacy and reading by encouraging children to read a set number of books and record their efforts online.</w:t>
            </w:r>
          </w:p>
        </w:tc>
        <w:tc>
          <w:tcPr>
            <w:tcW w:w="1397" w:type="dxa"/>
            <w:tcBorders>
              <w:top w:val="single" w:sz="4" w:space="0" w:color="53565A" w:themeColor="accent5"/>
              <w:bottom w:val="single" w:sz="4" w:space="0" w:color="53565A" w:themeColor="accent5"/>
            </w:tcBorders>
          </w:tcPr>
          <w:p w14:paraId="5B75C5DF" w14:textId="77777777" w:rsidR="008B4546" w:rsidRPr="00925213" w:rsidRDefault="008B4546" w:rsidP="00B94DE1">
            <w:pPr>
              <w:pStyle w:val="ESTablebody"/>
              <w:jc w:val="right"/>
              <w:rPr>
                <w:rFonts w:ascii="Calibri" w:hAnsi="Calibri" w:cs="Calibri"/>
                <w:sz w:val="18"/>
              </w:rPr>
            </w:pPr>
            <w:r>
              <w:rPr>
                <w:rFonts w:ascii="Calibri" w:hAnsi="Calibri" w:cs="Calibri"/>
                <w:sz w:val="18"/>
              </w:rPr>
              <w:t>36,788</w:t>
            </w:r>
          </w:p>
        </w:tc>
      </w:tr>
      <w:tr w:rsidR="008B4546" w:rsidRPr="00925213" w14:paraId="2579E177"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18052676" w14:textId="77777777" w:rsidR="008B4546" w:rsidRPr="00925213" w:rsidRDefault="008B4546" w:rsidP="0038363D">
            <w:pPr>
              <w:pStyle w:val="ESTablebody"/>
              <w:rPr>
                <w:rFonts w:ascii="Calibri" w:hAnsi="Calibri" w:cs="Calibri"/>
                <w:sz w:val="18"/>
              </w:rPr>
            </w:pPr>
            <w:r w:rsidDel="00350401">
              <w:rPr>
                <w:rFonts w:ascii="Calibri" w:hAnsi="Calibri" w:cs="Calibri"/>
                <w:bCs/>
                <w:sz w:val="18"/>
                <w:lang w:val="en-AU"/>
              </w:rPr>
              <w:t xml:space="preserve">Three-Year-Old Kindergarten: public relations and engagement </w:t>
            </w:r>
          </w:p>
        </w:tc>
        <w:tc>
          <w:tcPr>
            <w:tcW w:w="4521" w:type="dxa"/>
            <w:tcBorders>
              <w:top w:val="single" w:sz="4" w:space="0" w:color="53565A" w:themeColor="accent5"/>
              <w:bottom w:val="single" w:sz="4" w:space="0" w:color="53565A" w:themeColor="accent5"/>
            </w:tcBorders>
          </w:tcPr>
          <w:p w14:paraId="18A14540" w14:textId="26F6A2F4" w:rsidR="008B4546" w:rsidRPr="00925213" w:rsidRDefault="009972EF" w:rsidP="0038363D">
            <w:pPr>
              <w:pStyle w:val="ESTablebody"/>
              <w:rPr>
                <w:rFonts w:ascii="Calibri" w:hAnsi="Calibri" w:cs="Calibri"/>
                <w:sz w:val="18"/>
              </w:rPr>
            </w:pPr>
            <w:r>
              <w:rPr>
                <w:rFonts w:ascii="Calibri" w:hAnsi="Calibri" w:cs="Calibri"/>
                <w:bCs/>
                <w:sz w:val="18"/>
              </w:rPr>
              <w:t>S</w:t>
            </w:r>
            <w:r w:rsidR="008B4546" w:rsidRPr="00BF4267" w:rsidDel="00350401">
              <w:rPr>
                <w:rFonts w:ascii="Calibri" w:hAnsi="Calibri" w:cs="Calibri"/>
                <w:bCs/>
                <w:sz w:val="18"/>
              </w:rPr>
              <w:t xml:space="preserve">upport </w:t>
            </w:r>
            <w:r>
              <w:rPr>
                <w:rFonts w:ascii="Calibri" w:hAnsi="Calibri" w:cs="Calibri"/>
                <w:bCs/>
                <w:sz w:val="18"/>
              </w:rPr>
              <w:t>for</w:t>
            </w:r>
            <w:r w:rsidR="008B4546" w:rsidRPr="00BF4267" w:rsidDel="00350401">
              <w:rPr>
                <w:rFonts w:ascii="Calibri" w:hAnsi="Calibri" w:cs="Calibri"/>
                <w:bCs/>
                <w:sz w:val="18"/>
              </w:rPr>
              <w:t xml:space="preserve"> the Three-Year-Old Kindergarten campaign</w:t>
            </w:r>
            <w:r w:rsidR="008B4546" w:rsidDel="00350401">
              <w:rPr>
                <w:rFonts w:ascii="Calibri" w:hAnsi="Calibri" w:cs="Calibri"/>
                <w:bCs/>
                <w:sz w:val="18"/>
              </w:rPr>
              <w:t xml:space="preserve"> with the aim to </w:t>
            </w:r>
            <w:r w:rsidR="008B4546" w:rsidRPr="00BF4267" w:rsidDel="00350401">
              <w:rPr>
                <w:rFonts w:ascii="Calibri" w:hAnsi="Calibri" w:cs="Calibri"/>
                <w:bCs/>
                <w:sz w:val="18"/>
              </w:rPr>
              <w:t>build on broad</w:t>
            </w:r>
            <w:r w:rsidR="008B4546" w:rsidDel="00350401">
              <w:rPr>
                <w:rFonts w:ascii="Calibri" w:hAnsi="Calibri" w:cs="Calibri"/>
                <w:bCs/>
                <w:sz w:val="18"/>
              </w:rPr>
              <w:t>er</w:t>
            </w:r>
            <w:r w:rsidR="008B4546" w:rsidRPr="00BF4267" w:rsidDel="00350401">
              <w:rPr>
                <w:rFonts w:ascii="Calibri" w:hAnsi="Calibri" w:cs="Calibri"/>
                <w:bCs/>
                <w:sz w:val="18"/>
              </w:rPr>
              <w:t xml:space="preserve"> public and workforce communications to foster value in early childhood education.</w:t>
            </w:r>
            <w:r w:rsidR="008B4546" w:rsidDel="00350401">
              <w:rPr>
                <w:rFonts w:ascii="Calibri" w:hAnsi="Calibri" w:cs="Calibri"/>
                <w:bCs/>
                <w:sz w:val="18"/>
              </w:rPr>
              <w:t xml:space="preserve"> Activity includes, but is not limited to; stakeholder engagement, endorser strategy, content strategy, and events (such as career expos and open days).   </w:t>
            </w:r>
          </w:p>
        </w:tc>
        <w:tc>
          <w:tcPr>
            <w:tcW w:w="1397" w:type="dxa"/>
            <w:tcBorders>
              <w:top w:val="single" w:sz="4" w:space="0" w:color="53565A" w:themeColor="accent5"/>
              <w:bottom w:val="single" w:sz="4" w:space="0" w:color="53565A" w:themeColor="accent5"/>
            </w:tcBorders>
          </w:tcPr>
          <w:p w14:paraId="7DEA6D8E" w14:textId="77777777" w:rsidR="008B4546" w:rsidRPr="00925213" w:rsidRDefault="008B4546" w:rsidP="0038363D">
            <w:pPr>
              <w:pStyle w:val="ESTablebody"/>
              <w:jc w:val="right"/>
              <w:rPr>
                <w:rFonts w:ascii="Calibri" w:hAnsi="Calibri" w:cs="Calibri"/>
                <w:sz w:val="18"/>
              </w:rPr>
            </w:pPr>
            <w:r w:rsidDel="00350401">
              <w:rPr>
                <w:rFonts w:ascii="Calibri" w:hAnsi="Calibri" w:cs="Calibri"/>
                <w:sz w:val="18"/>
              </w:rPr>
              <w:t>418,665</w:t>
            </w:r>
          </w:p>
        </w:tc>
      </w:tr>
      <w:tr w:rsidR="008B4546" w:rsidRPr="00925213" w14:paraId="6C2DABEE"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4FCB55E4" w14:textId="38C876BA" w:rsidR="008B4546" w:rsidRPr="00925213" w:rsidRDefault="00E71643" w:rsidP="00B94DE1">
            <w:pPr>
              <w:pStyle w:val="ESTablebody"/>
              <w:rPr>
                <w:rFonts w:ascii="Calibri" w:hAnsi="Calibri" w:cs="Calibri"/>
                <w:sz w:val="18"/>
              </w:rPr>
            </w:pPr>
            <w:r>
              <w:rPr>
                <w:rFonts w:ascii="Calibri" w:hAnsi="Calibri" w:cs="Calibri"/>
                <w:sz w:val="18"/>
                <w:lang w:val="en-AU"/>
              </w:rPr>
              <w:t>Victorian Certificate of Education (</w:t>
            </w:r>
            <w:r w:rsidR="008B4546">
              <w:rPr>
                <w:rFonts w:ascii="Calibri" w:hAnsi="Calibri" w:cs="Calibri"/>
                <w:sz w:val="18"/>
                <w:lang w:val="en-AU"/>
              </w:rPr>
              <w:t>VCE</w:t>
            </w:r>
            <w:r>
              <w:rPr>
                <w:rFonts w:ascii="Calibri" w:hAnsi="Calibri" w:cs="Calibri"/>
                <w:sz w:val="18"/>
                <w:lang w:val="en-AU"/>
              </w:rPr>
              <w:t>)</w:t>
            </w:r>
            <w:r w:rsidR="008B4546">
              <w:rPr>
                <w:rFonts w:ascii="Calibri" w:hAnsi="Calibri" w:cs="Calibri"/>
                <w:sz w:val="18"/>
                <w:lang w:val="en-AU"/>
              </w:rPr>
              <w:t xml:space="preserve"> Awards </w:t>
            </w:r>
          </w:p>
        </w:tc>
        <w:tc>
          <w:tcPr>
            <w:tcW w:w="4521" w:type="dxa"/>
            <w:tcBorders>
              <w:top w:val="single" w:sz="4" w:space="0" w:color="53565A" w:themeColor="accent5"/>
              <w:bottom w:val="single" w:sz="4" w:space="0" w:color="53565A" w:themeColor="accent5"/>
            </w:tcBorders>
          </w:tcPr>
          <w:p w14:paraId="46AAE67E" w14:textId="77777777" w:rsidR="008B4546" w:rsidRPr="00925213" w:rsidRDefault="008B4546" w:rsidP="00B94DE1">
            <w:pPr>
              <w:pStyle w:val="ESTablebody"/>
              <w:rPr>
                <w:rFonts w:ascii="Calibri" w:hAnsi="Calibri" w:cs="Calibri"/>
                <w:sz w:val="18"/>
              </w:rPr>
            </w:pPr>
            <w:r w:rsidRPr="00D64CF6">
              <w:rPr>
                <w:rFonts w:ascii="Calibri" w:hAnsi="Calibri" w:cs="Calibri"/>
                <w:bCs/>
                <w:sz w:val="18"/>
                <w:lang w:val="en-AU"/>
              </w:rPr>
              <w:t xml:space="preserve">The VCE Awards recognises students who have demonstrated outstanding achievement in the Victorian Certificate of Education (VCE). </w:t>
            </w:r>
          </w:p>
        </w:tc>
        <w:tc>
          <w:tcPr>
            <w:tcW w:w="1397" w:type="dxa"/>
            <w:tcBorders>
              <w:top w:val="single" w:sz="4" w:space="0" w:color="53565A" w:themeColor="accent5"/>
              <w:bottom w:val="single" w:sz="4" w:space="0" w:color="53565A" w:themeColor="accent5"/>
            </w:tcBorders>
          </w:tcPr>
          <w:p w14:paraId="2559415F" w14:textId="77777777" w:rsidR="008B4546" w:rsidRPr="00925213" w:rsidRDefault="008B4546" w:rsidP="00B94DE1">
            <w:pPr>
              <w:pStyle w:val="ESTablebody"/>
              <w:jc w:val="right"/>
              <w:rPr>
                <w:rFonts w:ascii="Calibri" w:hAnsi="Calibri" w:cs="Calibri"/>
                <w:sz w:val="18"/>
              </w:rPr>
            </w:pPr>
            <w:r>
              <w:rPr>
                <w:rFonts w:ascii="Calibri" w:hAnsi="Calibri" w:cs="Calibri"/>
                <w:sz w:val="18"/>
              </w:rPr>
              <w:t>68,000</w:t>
            </w:r>
          </w:p>
        </w:tc>
      </w:tr>
      <w:tr w:rsidR="008B4546" w:rsidRPr="00925213" w14:paraId="213E179B"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2F29C22C" w14:textId="77777777" w:rsidR="008B4546" w:rsidRDefault="008B4546" w:rsidP="0038363D">
            <w:pPr>
              <w:pStyle w:val="ESTablebody"/>
              <w:spacing w:after="0"/>
              <w:rPr>
                <w:rFonts w:ascii="Calibri" w:hAnsi="Calibri" w:cs="Calibri"/>
                <w:sz w:val="18"/>
                <w:lang w:val="en-AU"/>
              </w:rPr>
            </w:pPr>
            <w:r w:rsidRPr="00925213">
              <w:rPr>
                <w:rFonts w:ascii="Calibri" w:hAnsi="Calibri" w:cs="Calibri"/>
                <w:sz w:val="18"/>
                <w:lang w:val="en-AU"/>
              </w:rPr>
              <w:t xml:space="preserve">Victorian </w:t>
            </w:r>
            <w:r>
              <w:rPr>
                <w:rFonts w:ascii="Calibri" w:hAnsi="Calibri" w:cs="Calibri"/>
                <w:sz w:val="18"/>
                <w:lang w:val="en-AU"/>
              </w:rPr>
              <w:t>Early Years Awards</w:t>
            </w:r>
          </w:p>
          <w:p w14:paraId="700ADD6F" w14:textId="77777777" w:rsidR="008B4546" w:rsidRPr="00925213" w:rsidRDefault="008B4546" w:rsidP="00B94DE1">
            <w:pPr>
              <w:pStyle w:val="ESTablebody"/>
              <w:rPr>
                <w:rFonts w:ascii="Calibri" w:hAnsi="Calibri" w:cs="Calibri"/>
                <w:sz w:val="18"/>
              </w:rPr>
            </w:pPr>
          </w:p>
        </w:tc>
        <w:tc>
          <w:tcPr>
            <w:tcW w:w="4521" w:type="dxa"/>
            <w:tcBorders>
              <w:top w:val="single" w:sz="4" w:space="0" w:color="53565A" w:themeColor="accent5"/>
              <w:bottom w:val="single" w:sz="4" w:space="0" w:color="53565A" w:themeColor="accent5"/>
            </w:tcBorders>
          </w:tcPr>
          <w:p w14:paraId="6BDDE827" w14:textId="7515CE4B" w:rsidR="008B4546" w:rsidRDefault="008B4546" w:rsidP="0038363D">
            <w:pPr>
              <w:pStyle w:val="ESTablebody"/>
              <w:rPr>
                <w:rFonts w:ascii="Calibri" w:hAnsi="Calibri" w:cs="Calibri"/>
                <w:sz w:val="18"/>
              </w:rPr>
            </w:pPr>
            <w:r>
              <w:rPr>
                <w:rFonts w:ascii="Calibri" w:hAnsi="Calibri" w:cs="Calibri"/>
                <w:sz w:val="18"/>
              </w:rPr>
              <w:t>T</w:t>
            </w:r>
            <w:r w:rsidRPr="00AB4C17">
              <w:rPr>
                <w:rFonts w:ascii="Calibri" w:hAnsi="Calibri" w:cs="Calibri"/>
                <w:sz w:val="18"/>
              </w:rPr>
              <w:t xml:space="preserve">he Victorian Early Years Awards </w:t>
            </w:r>
            <w:r w:rsidR="00C33E18">
              <w:rPr>
                <w:rFonts w:ascii="Calibri" w:hAnsi="Calibri" w:cs="Calibri"/>
                <w:sz w:val="18"/>
              </w:rPr>
              <w:t xml:space="preserve">(VEYA) </w:t>
            </w:r>
            <w:r w:rsidRPr="00AB4C17">
              <w:rPr>
                <w:rFonts w:ascii="Calibri" w:hAnsi="Calibri" w:cs="Calibri"/>
                <w:sz w:val="18"/>
              </w:rPr>
              <w:t xml:space="preserve">celebrate leadership, outstanding achievement, exceptional </w:t>
            </w:r>
            <w:proofErr w:type="gramStart"/>
            <w:r w:rsidRPr="00AB4C17">
              <w:rPr>
                <w:rFonts w:ascii="Calibri" w:hAnsi="Calibri" w:cs="Calibri"/>
                <w:sz w:val="18"/>
              </w:rPr>
              <w:t>dedication</w:t>
            </w:r>
            <w:proofErr w:type="gramEnd"/>
            <w:r w:rsidRPr="00AB4C17">
              <w:rPr>
                <w:rFonts w:ascii="Calibri" w:hAnsi="Calibri" w:cs="Calibri"/>
                <w:sz w:val="18"/>
              </w:rPr>
              <w:t xml:space="preserve"> and innovation in improving outcomes for children aged birth to eight years and their families.</w:t>
            </w:r>
          </w:p>
          <w:p w14:paraId="3B2011AF" w14:textId="77777777" w:rsidR="008B4546" w:rsidRDefault="008B4546" w:rsidP="0038363D">
            <w:pPr>
              <w:pStyle w:val="ESTablebody"/>
              <w:rPr>
                <w:rFonts w:ascii="Calibri" w:hAnsi="Calibri" w:cs="Calibri"/>
                <w:sz w:val="18"/>
              </w:rPr>
            </w:pPr>
            <w:r w:rsidRPr="00AB4C17">
              <w:rPr>
                <w:rFonts w:ascii="Calibri" w:hAnsi="Calibri" w:cs="Calibri"/>
                <w:sz w:val="18"/>
              </w:rPr>
              <w:t>The 7 award categories focus on improving engagement in learning, supporting parents, building collaborative community partnerships, improving child health and wellbeing, exemplary practice in early childhood education, leadership and significant improvement on learning and teaching practices.</w:t>
            </w:r>
          </w:p>
          <w:p w14:paraId="5853479B" w14:textId="77777777" w:rsidR="008B4546" w:rsidRPr="00925213" w:rsidRDefault="008B4546" w:rsidP="00B94DE1">
            <w:pPr>
              <w:pStyle w:val="ESTablebody"/>
              <w:rPr>
                <w:rFonts w:ascii="Calibri" w:hAnsi="Calibri" w:cs="Calibri"/>
                <w:sz w:val="18"/>
              </w:rPr>
            </w:pPr>
            <w:r>
              <w:rPr>
                <w:rFonts w:ascii="Calibri" w:hAnsi="Calibri" w:cs="Calibri"/>
                <w:sz w:val="18"/>
              </w:rPr>
              <w:t>Targeted advertising campaign to encourage VEYA nominations.</w:t>
            </w:r>
          </w:p>
        </w:tc>
        <w:tc>
          <w:tcPr>
            <w:tcW w:w="1397" w:type="dxa"/>
            <w:tcBorders>
              <w:top w:val="single" w:sz="4" w:space="0" w:color="53565A" w:themeColor="accent5"/>
              <w:bottom w:val="single" w:sz="4" w:space="0" w:color="53565A" w:themeColor="accent5"/>
            </w:tcBorders>
          </w:tcPr>
          <w:p w14:paraId="0DEEE7C5" w14:textId="77777777" w:rsidR="008B4546" w:rsidRPr="00925213" w:rsidRDefault="008B4546" w:rsidP="00B94DE1">
            <w:pPr>
              <w:pStyle w:val="ESTablebody"/>
              <w:jc w:val="right"/>
              <w:rPr>
                <w:rFonts w:ascii="Calibri" w:hAnsi="Calibri" w:cs="Calibri"/>
                <w:sz w:val="18"/>
              </w:rPr>
            </w:pPr>
            <w:r w:rsidRPr="00CD6CDA">
              <w:rPr>
                <w:rFonts w:ascii="Calibri" w:hAnsi="Calibri" w:cs="Calibri"/>
                <w:sz w:val="18"/>
              </w:rPr>
              <w:t>60,718</w:t>
            </w:r>
          </w:p>
        </w:tc>
      </w:tr>
      <w:tr w:rsidR="008B4546" w:rsidRPr="00925213" w14:paraId="1E8604B9"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661C6122" w14:textId="77777777" w:rsidR="008B4546" w:rsidRPr="00925213" w:rsidRDefault="008B4546" w:rsidP="00B94DE1">
            <w:pPr>
              <w:pStyle w:val="ESTablebody"/>
              <w:rPr>
                <w:rFonts w:ascii="Calibri" w:hAnsi="Calibri" w:cs="Calibri"/>
                <w:sz w:val="18"/>
              </w:rPr>
            </w:pPr>
            <w:r w:rsidRPr="00925213">
              <w:rPr>
                <w:rFonts w:ascii="Calibri" w:hAnsi="Calibri" w:cs="Calibri"/>
                <w:sz w:val="18"/>
                <w:lang w:val="en-AU"/>
              </w:rPr>
              <w:t xml:space="preserve">Victorian </w:t>
            </w:r>
            <w:r>
              <w:rPr>
                <w:rFonts w:ascii="Calibri" w:hAnsi="Calibri" w:cs="Calibri"/>
                <w:sz w:val="18"/>
                <w:lang w:val="en-AU"/>
              </w:rPr>
              <w:t>E</w:t>
            </w:r>
            <w:r w:rsidRPr="00925213">
              <w:rPr>
                <w:rFonts w:ascii="Calibri" w:hAnsi="Calibri" w:cs="Calibri"/>
                <w:sz w:val="18"/>
                <w:lang w:val="en-AU"/>
              </w:rPr>
              <w:t xml:space="preserve">ducation </w:t>
            </w:r>
            <w:r>
              <w:rPr>
                <w:rFonts w:ascii="Calibri" w:hAnsi="Calibri" w:cs="Calibri"/>
                <w:sz w:val="18"/>
                <w:lang w:val="en-AU"/>
              </w:rPr>
              <w:t>E</w:t>
            </w:r>
            <w:r w:rsidRPr="00925213">
              <w:rPr>
                <w:rFonts w:ascii="Calibri" w:hAnsi="Calibri" w:cs="Calibri"/>
                <w:sz w:val="18"/>
                <w:lang w:val="en-AU"/>
              </w:rPr>
              <w:t xml:space="preserve">xcellence </w:t>
            </w:r>
            <w:r>
              <w:rPr>
                <w:rFonts w:ascii="Calibri" w:hAnsi="Calibri" w:cs="Calibri"/>
                <w:sz w:val="18"/>
                <w:lang w:val="en-AU"/>
              </w:rPr>
              <w:t>A</w:t>
            </w:r>
            <w:r w:rsidRPr="00925213">
              <w:rPr>
                <w:rFonts w:ascii="Calibri" w:hAnsi="Calibri" w:cs="Calibri"/>
                <w:sz w:val="18"/>
                <w:lang w:val="en-AU"/>
              </w:rPr>
              <w:t xml:space="preserve">wards </w:t>
            </w:r>
          </w:p>
        </w:tc>
        <w:tc>
          <w:tcPr>
            <w:tcW w:w="4521" w:type="dxa"/>
            <w:tcBorders>
              <w:top w:val="single" w:sz="4" w:space="0" w:color="53565A" w:themeColor="accent5"/>
              <w:bottom w:val="single" w:sz="4" w:space="0" w:color="53565A" w:themeColor="accent5"/>
            </w:tcBorders>
          </w:tcPr>
          <w:p w14:paraId="69C74EA9" w14:textId="27E9854D" w:rsidR="008B4546" w:rsidRPr="00925213" w:rsidRDefault="008B4546" w:rsidP="0038363D">
            <w:pPr>
              <w:pStyle w:val="ESTableintroheading"/>
              <w:rPr>
                <w:rFonts w:ascii="Calibri" w:hAnsi="Calibri" w:cs="Calibri"/>
                <w:b w:val="0"/>
                <w:bCs/>
                <w:color w:val="auto"/>
                <w:sz w:val="18"/>
                <w:lang w:val="en-AU"/>
              </w:rPr>
            </w:pPr>
            <w:r w:rsidRPr="00925213">
              <w:rPr>
                <w:rFonts w:ascii="Calibri" w:hAnsi="Calibri" w:cs="Calibri"/>
                <w:b w:val="0"/>
                <w:bCs/>
                <w:color w:val="auto"/>
                <w:sz w:val="18"/>
                <w:lang w:val="en-AU"/>
              </w:rPr>
              <w:t xml:space="preserve">The Victorian </w:t>
            </w:r>
            <w:r w:rsidR="00530DBC">
              <w:rPr>
                <w:rFonts w:ascii="Calibri" w:hAnsi="Calibri" w:cs="Calibri"/>
                <w:b w:val="0"/>
                <w:bCs/>
                <w:color w:val="auto"/>
                <w:sz w:val="18"/>
                <w:lang w:val="en-AU"/>
              </w:rPr>
              <w:t>E</w:t>
            </w:r>
            <w:r w:rsidRPr="00925213">
              <w:rPr>
                <w:rFonts w:ascii="Calibri" w:hAnsi="Calibri" w:cs="Calibri"/>
                <w:b w:val="0"/>
                <w:bCs/>
                <w:color w:val="auto"/>
                <w:sz w:val="18"/>
                <w:lang w:val="en-AU"/>
              </w:rPr>
              <w:t xml:space="preserve">ducation </w:t>
            </w:r>
            <w:r w:rsidR="00530DBC">
              <w:rPr>
                <w:rFonts w:ascii="Calibri" w:hAnsi="Calibri" w:cs="Calibri"/>
                <w:b w:val="0"/>
                <w:bCs/>
                <w:color w:val="auto"/>
                <w:sz w:val="18"/>
                <w:lang w:val="en-AU"/>
              </w:rPr>
              <w:t>E</w:t>
            </w:r>
            <w:r w:rsidRPr="00925213">
              <w:rPr>
                <w:rFonts w:ascii="Calibri" w:hAnsi="Calibri" w:cs="Calibri"/>
                <w:b w:val="0"/>
                <w:bCs/>
                <w:color w:val="auto"/>
                <w:sz w:val="18"/>
                <w:lang w:val="en-AU"/>
              </w:rPr>
              <w:t xml:space="preserve">xcellence </w:t>
            </w:r>
            <w:r w:rsidR="00530DBC">
              <w:rPr>
                <w:rFonts w:ascii="Calibri" w:hAnsi="Calibri" w:cs="Calibri"/>
                <w:b w:val="0"/>
                <w:bCs/>
                <w:color w:val="auto"/>
                <w:sz w:val="18"/>
                <w:lang w:val="en-AU"/>
              </w:rPr>
              <w:t>A</w:t>
            </w:r>
            <w:r w:rsidRPr="00925213">
              <w:rPr>
                <w:rFonts w:ascii="Calibri" w:hAnsi="Calibri" w:cs="Calibri"/>
                <w:b w:val="0"/>
                <w:bCs/>
                <w:color w:val="auto"/>
                <w:sz w:val="18"/>
                <w:lang w:val="en-AU"/>
              </w:rPr>
              <w:t xml:space="preserve">wards recognise and celebrate the outstanding contributions to school and student outcomes made by teachers, </w:t>
            </w:r>
            <w:proofErr w:type="gramStart"/>
            <w:r w:rsidRPr="00925213">
              <w:rPr>
                <w:rFonts w:ascii="Calibri" w:hAnsi="Calibri" w:cs="Calibri"/>
                <w:b w:val="0"/>
                <w:bCs/>
                <w:color w:val="auto"/>
                <w:sz w:val="18"/>
                <w:lang w:val="en-AU"/>
              </w:rPr>
              <w:t>principals</w:t>
            </w:r>
            <w:proofErr w:type="gramEnd"/>
            <w:r w:rsidRPr="00925213">
              <w:rPr>
                <w:rFonts w:ascii="Calibri" w:hAnsi="Calibri" w:cs="Calibri"/>
                <w:b w:val="0"/>
                <w:bCs/>
                <w:color w:val="auto"/>
                <w:sz w:val="18"/>
                <w:lang w:val="en-AU"/>
              </w:rPr>
              <w:t xml:space="preserve"> and support staff in government schools.</w:t>
            </w:r>
          </w:p>
          <w:p w14:paraId="1E218628" w14:textId="77777777" w:rsidR="008B4546" w:rsidRPr="00925213" w:rsidRDefault="008B4546" w:rsidP="00B94DE1">
            <w:pPr>
              <w:pStyle w:val="ESTablebody"/>
              <w:rPr>
                <w:rFonts w:ascii="Calibri" w:hAnsi="Calibri" w:cs="Calibri"/>
                <w:sz w:val="18"/>
              </w:rPr>
            </w:pPr>
            <w:r w:rsidRPr="00925213">
              <w:rPr>
                <w:rFonts w:ascii="Calibri" w:hAnsi="Calibri" w:cs="Calibri"/>
                <w:bCs/>
                <w:sz w:val="18"/>
                <w:lang w:val="en-AU"/>
              </w:rPr>
              <w:t>Presented across 10 categories, the awards promote the reputation of government schools as centres of excellence by recognising outstanding practice in areas of leadership, classroom teaching, student engagement and curriculum development.</w:t>
            </w:r>
          </w:p>
        </w:tc>
        <w:tc>
          <w:tcPr>
            <w:tcW w:w="1397" w:type="dxa"/>
            <w:tcBorders>
              <w:top w:val="single" w:sz="4" w:space="0" w:color="53565A" w:themeColor="accent5"/>
              <w:bottom w:val="single" w:sz="4" w:space="0" w:color="53565A" w:themeColor="accent5"/>
            </w:tcBorders>
          </w:tcPr>
          <w:p w14:paraId="0724816E" w14:textId="77777777" w:rsidR="008B4546" w:rsidRPr="00925213" w:rsidRDefault="008B4546" w:rsidP="00B94DE1">
            <w:pPr>
              <w:pStyle w:val="ESTablebody"/>
              <w:jc w:val="right"/>
              <w:rPr>
                <w:rFonts w:ascii="Calibri" w:hAnsi="Calibri" w:cs="Calibri"/>
                <w:sz w:val="18"/>
              </w:rPr>
            </w:pPr>
            <w:r>
              <w:rPr>
                <w:rFonts w:ascii="Calibri" w:hAnsi="Calibri" w:cs="Calibri"/>
                <w:sz w:val="18"/>
              </w:rPr>
              <w:t>50,477</w:t>
            </w:r>
          </w:p>
        </w:tc>
      </w:tr>
      <w:tr w:rsidR="008B4546" w:rsidRPr="00925213" w14:paraId="160EDF22"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166FE3AF" w14:textId="77777777" w:rsidR="008B4546" w:rsidRPr="00925213" w:rsidRDefault="008B4546" w:rsidP="0038363D">
            <w:pPr>
              <w:pStyle w:val="ESTablebody"/>
              <w:rPr>
                <w:rFonts w:ascii="Calibri" w:hAnsi="Calibri" w:cs="Calibri"/>
                <w:sz w:val="18"/>
              </w:rPr>
            </w:pPr>
            <w:r w:rsidRPr="006521DB">
              <w:rPr>
                <w:rFonts w:ascii="Calibri" w:hAnsi="Calibri" w:cs="Calibri"/>
                <w:bCs/>
                <w:sz w:val="18"/>
                <w:lang w:val="en-AU"/>
              </w:rPr>
              <w:t>Victorian State Schools Spectacular</w:t>
            </w:r>
          </w:p>
        </w:tc>
        <w:tc>
          <w:tcPr>
            <w:tcW w:w="4521" w:type="dxa"/>
            <w:tcBorders>
              <w:top w:val="single" w:sz="4" w:space="0" w:color="53565A" w:themeColor="accent5"/>
              <w:bottom w:val="single" w:sz="4" w:space="0" w:color="53565A" w:themeColor="accent5"/>
            </w:tcBorders>
          </w:tcPr>
          <w:p w14:paraId="5D7E6612" w14:textId="6098031D" w:rsidR="008B4546" w:rsidRPr="00925213" w:rsidRDefault="008B4546" w:rsidP="0038363D">
            <w:pPr>
              <w:pStyle w:val="ESTablebody"/>
              <w:rPr>
                <w:rFonts w:ascii="Calibri" w:hAnsi="Calibri" w:cs="Calibri"/>
                <w:sz w:val="18"/>
              </w:rPr>
            </w:pPr>
            <w:r w:rsidRPr="00193B12">
              <w:rPr>
                <w:rFonts w:ascii="Calibri" w:hAnsi="Calibri" w:cs="Calibri"/>
                <w:bCs/>
                <w:sz w:val="18"/>
              </w:rPr>
              <w:t>The Victorian State Schools Spectacular</w:t>
            </w:r>
            <w:r>
              <w:rPr>
                <w:rFonts w:ascii="Calibri" w:hAnsi="Calibri" w:cs="Calibri"/>
                <w:bCs/>
                <w:sz w:val="18"/>
              </w:rPr>
              <w:t xml:space="preserve"> </w:t>
            </w:r>
            <w:r w:rsidRPr="00193B12">
              <w:rPr>
                <w:rFonts w:ascii="Calibri" w:hAnsi="Calibri" w:cs="Calibri"/>
                <w:bCs/>
                <w:sz w:val="18"/>
              </w:rPr>
              <w:t>includes a cast of 3</w:t>
            </w:r>
            <w:r w:rsidR="00C33E18">
              <w:rPr>
                <w:rFonts w:ascii="Calibri" w:hAnsi="Calibri" w:cs="Calibri"/>
                <w:bCs/>
                <w:sz w:val="18"/>
              </w:rPr>
              <w:t>,</w:t>
            </w:r>
            <w:r w:rsidRPr="00193B12">
              <w:rPr>
                <w:rFonts w:ascii="Calibri" w:hAnsi="Calibri" w:cs="Calibri"/>
                <w:bCs/>
                <w:sz w:val="18"/>
              </w:rPr>
              <w:t>000 Victorian government school students, working towards a common goal in a collaborative, competition-free environment. Its dual aim is to provide an invaluable performing arts opportunity to Victoria's government school students and to showcase the enormous talent that exists in our schools.</w:t>
            </w:r>
          </w:p>
        </w:tc>
        <w:tc>
          <w:tcPr>
            <w:tcW w:w="1397" w:type="dxa"/>
            <w:tcBorders>
              <w:top w:val="single" w:sz="4" w:space="0" w:color="53565A" w:themeColor="accent5"/>
              <w:bottom w:val="single" w:sz="4" w:space="0" w:color="53565A" w:themeColor="accent5"/>
            </w:tcBorders>
          </w:tcPr>
          <w:p w14:paraId="551EB4E7" w14:textId="77777777" w:rsidR="008B4546" w:rsidRPr="00925213" w:rsidRDefault="008B4546" w:rsidP="0038363D">
            <w:pPr>
              <w:pStyle w:val="ESTablebody"/>
              <w:jc w:val="right"/>
              <w:rPr>
                <w:rFonts w:ascii="Calibri" w:hAnsi="Calibri" w:cs="Calibri"/>
                <w:sz w:val="18"/>
              </w:rPr>
            </w:pPr>
            <w:r w:rsidRPr="00AB4C17">
              <w:rPr>
                <w:rFonts w:ascii="Calibri" w:hAnsi="Calibri" w:cs="Calibri"/>
                <w:sz w:val="18"/>
              </w:rPr>
              <w:t>13,095</w:t>
            </w:r>
          </w:p>
        </w:tc>
      </w:tr>
      <w:tr w:rsidR="00530DBC" w:rsidRPr="00925213" w14:paraId="0049DD00" w14:textId="77777777" w:rsidTr="00D214AE">
        <w:trPr>
          <w:cantSplit/>
          <w:trHeight w:val="629"/>
        </w:trPr>
        <w:tc>
          <w:tcPr>
            <w:tcW w:w="1853" w:type="dxa"/>
            <w:tcBorders>
              <w:top w:val="single" w:sz="4" w:space="0" w:color="53565A" w:themeColor="accent5"/>
              <w:bottom w:val="single" w:sz="4" w:space="0" w:color="53565A" w:themeColor="accent5"/>
            </w:tcBorders>
            <w:shd w:val="clear" w:color="auto" w:fill="auto"/>
          </w:tcPr>
          <w:p w14:paraId="63DB8D5E" w14:textId="6380C1D5" w:rsidR="00530DBC" w:rsidRPr="006521DB" w:rsidRDefault="00530DBC" w:rsidP="00530DBC">
            <w:pPr>
              <w:pStyle w:val="ESTablebody"/>
              <w:rPr>
                <w:rFonts w:ascii="Calibri" w:hAnsi="Calibri" w:cs="Calibri"/>
                <w:bCs/>
                <w:sz w:val="18"/>
                <w:lang w:val="en-AU"/>
              </w:rPr>
            </w:pPr>
            <w:r>
              <w:rPr>
                <w:rFonts w:ascii="Calibri" w:hAnsi="Calibri" w:cs="Calibri"/>
                <w:sz w:val="18"/>
                <w:lang w:val="en-AU"/>
              </w:rPr>
              <w:t>Victorian Training Awards</w:t>
            </w:r>
          </w:p>
        </w:tc>
        <w:tc>
          <w:tcPr>
            <w:tcW w:w="4521" w:type="dxa"/>
            <w:tcBorders>
              <w:top w:val="single" w:sz="4" w:space="0" w:color="53565A" w:themeColor="accent5"/>
              <w:bottom w:val="single" w:sz="4" w:space="0" w:color="53565A" w:themeColor="accent5"/>
            </w:tcBorders>
          </w:tcPr>
          <w:p w14:paraId="78CB49A7" w14:textId="17D74249" w:rsidR="00530DBC" w:rsidRPr="005364A5" w:rsidRDefault="00530DBC" w:rsidP="005364A5">
            <w:pPr>
              <w:rPr>
                <w:rFonts w:ascii="Calibri" w:eastAsiaTheme="minorEastAsia" w:hAnsi="Calibri" w:cs="Calibri"/>
                <w:sz w:val="18"/>
                <w:szCs w:val="18"/>
                <w:lang w:val="en-AU"/>
              </w:rPr>
            </w:pPr>
            <w:r w:rsidRPr="00AF7849">
              <w:rPr>
                <w:rFonts w:ascii="Calibri" w:eastAsiaTheme="minorEastAsia" w:hAnsi="Calibri" w:cs="Calibri"/>
                <w:bCs/>
                <w:sz w:val="18"/>
                <w:szCs w:val="18"/>
                <w:lang w:val="en-AU"/>
              </w:rPr>
              <w:t xml:space="preserve">The Victorian </w:t>
            </w:r>
            <w:r>
              <w:rPr>
                <w:rFonts w:ascii="Calibri" w:eastAsiaTheme="minorEastAsia" w:hAnsi="Calibri" w:cs="Calibri"/>
                <w:bCs/>
                <w:sz w:val="18"/>
                <w:szCs w:val="18"/>
                <w:lang w:val="en-AU"/>
              </w:rPr>
              <w:t>T</w:t>
            </w:r>
            <w:r w:rsidRPr="00AF7849">
              <w:rPr>
                <w:rFonts w:ascii="Calibri" w:eastAsiaTheme="minorEastAsia" w:hAnsi="Calibri" w:cs="Calibri"/>
                <w:bCs/>
                <w:sz w:val="18"/>
                <w:szCs w:val="18"/>
                <w:lang w:val="en-AU"/>
              </w:rPr>
              <w:t xml:space="preserve">raining </w:t>
            </w:r>
            <w:r>
              <w:rPr>
                <w:rFonts w:ascii="Calibri" w:eastAsiaTheme="minorEastAsia" w:hAnsi="Calibri" w:cs="Calibri"/>
                <w:bCs/>
                <w:sz w:val="18"/>
                <w:szCs w:val="18"/>
                <w:lang w:val="en-AU"/>
              </w:rPr>
              <w:t>A</w:t>
            </w:r>
            <w:r w:rsidRPr="00AF7849">
              <w:rPr>
                <w:rFonts w:ascii="Calibri" w:eastAsiaTheme="minorEastAsia" w:hAnsi="Calibri" w:cs="Calibri"/>
                <w:bCs/>
                <w:sz w:val="18"/>
                <w:szCs w:val="18"/>
                <w:lang w:val="en-AU"/>
              </w:rPr>
              <w:t>wards recognise and honour the outstanding achievements of individuals and organisations in the Victorian TAFE and training sector.</w:t>
            </w:r>
          </w:p>
        </w:tc>
        <w:tc>
          <w:tcPr>
            <w:tcW w:w="1397" w:type="dxa"/>
            <w:tcBorders>
              <w:top w:val="single" w:sz="4" w:space="0" w:color="53565A" w:themeColor="accent5"/>
              <w:bottom w:val="single" w:sz="4" w:space="0" w:color="53565A" w:themeColor="accent5"/>
            </w:tcBorders>
          </w:tcPr>
          <w:p w14:paraId="29D58B33" w14:textId="407B64F5" w:rsidR="00530DBC" w:rsidRPr="00AB4C17" w:rsidRDefault="00530DBC" w:rsidP="00530DBC">
            <w:pPr>
              <w:pStyle w:val="ESTablebody"/>
              <w:jc w:val="right"/>
              <w:rPr>
                <w:rFonts w:ascii="Calibri" w:hAnsi="Calibri" w:cs="Calibri"/>
                <w:sz w:val="18"/>
              </w:rPr>
            </w:pPr>
            <w:r>
              <w:rPr>
                <w:rFonts w:ascii="Calibri" w:hAnsi="Calibri" w:cs="Calibri"/>
                <w:sz w:val="18"/>
              </w:rPr>
              <w:t>18,31</w:t>
            </w:r>
            <w:r w:rsidR="00A5794C">
              <w:rPr>
                <w:rFonts w:ascii="Calibri" w:hAnsi="Calibri" w:cs="Calibri"/>
                <w:sz w:val="18"/>
              </w:rPr>
              <w:t>3</w:t>
            </w:r>
          </w:p>
        </w:tc>
      </w:tr>
    </w:tbl>
    <w:p w14:paraId="0C5A38A0" w14:textId="77777777" w:rsidR="003F72B6" w:rsidRPr="00B85B32" w:rsidRDefault="003F72B6" w:rsidP="00343610">
      <w:pPr>
        <w:pStyle w:val="ESTableintroheading"/>
        <w:rPr>
          <w:rFonts w:ascii="Calibri" w:hAnsi="Calibri" w:cs="Calibri"/>
        </w:rPr>
        <w:sectPr w:rsidR="003F72B6" w:rsidRPr="00B85B32" w:rsidSect="003B3A5C">
          <w:pgSz w:w="11900" w:h="16840"/>
          <w:pgMar w:top="1440" w:right="1134" w:bottom="1440" w:left="2835" w:header="708" w:footer="708" w:gutter="0"/>
          <w:cols w:space="708"/>
          <w:docGrid w:linePitch="360"/>
        </w:sectPr>
      </w:pPr>
    </w:p>
    <w:p w14:paraId="49CD876E" w14:textId="77777777" w:rsidR="00457F78" w:rsidRPr="00337FF2" w:rsidRDefault="00457F78" w:rsidP="00457F78">
      <w:pPr>
        <w:pStyle w:val="ESHeading1"/>
        <w:rPr>
          <w:rFonts w:ascii="Calibri" w:hAnsi="Calibri" w:cs="Calibri"/>
        </w:rPr>
      </w:pPr>
      <w:bookmarkStart w:id="66" w:name="_Toc71037323"/>
      <w:bookmarkStart w:id="67" w:name="_Toc106874043"/>
      <w:bookmarkStart w:id="68" w:name="_Toc109806867"/>
      <w:bookmarkStart w:id="69" w:name="_Toc11158237"/>
      <w:bookmarkStart w:id="70" w:name="_Toc11336244"/>
      <w:bookmarkStart w:id="71" w:name="_Toc13656684"/>
      <w:bookmarkStart w:id="72" w:name="_Toc14965470"/>
      <w:bookmarkStart w:id="73" w:name="_Toc15985270"/>
      <w:bookmarkStart w:id="74" w:name="_Toc19272048"/>
      <w:bookmarkStart w:id="75" w:name="_Toc19272414"/>
      <w:bookmarkStart w:id="76" w:name="_Toc19273749"/>
      <w:bookmarkStart w:id="77" w:name="_Toc48402790"/>
      <w:bookmarkStart w:id="78" w:name="_Toc48403027"/>
      <w:bookmarkStart w:id="79" w:name="_Toc51332770"/>
      <w:bookmarkStart w:id="80" w:name="_Toc8812156"/>
      <w:r w:rsidRPr="00337FF2">
        <w:rPr>
          <w:rFonts w:ascii="Calibri" w:hAnsi="Calibri" w:cs="Calibri"/>
        </w:rPr>
        <w:t>Industrial relations</w:t>
      </w:r>
      <w:bookmarkEnd w:id="66"/>
      <w:bookmarkEnd w:id="67"/>
      <w:bookmarkEnd w:id="68"/>
    </w:p>
    <w:p w14:paraId="18D740EB" w14:textId="77777777" w:rsidR="00C56FC9" w:rsidRPr="002F0740" w:rsidRDefault="00C56FC9" w:rsidP="00C56FC9">
      <w:pPr>
        <w:rPr>
          <w:rFonts w:ascii="Calibri" w:hAnsi="Calibri" w:cs="Calibri"/>
        </w:rPr>
      </w:pPr>
      <w:r w:rsidRPr="002F0740">
        <w:rPr>
          <w:rFonts w:ascii="Calibri" w:hAnsi="Calibri" w:cs="Calibri"/>
        </w:rPr>
        <w:t>Department employees, other than executive officers, are covered by industrial agreements. Industrial action is not permitted on specified matters in industrial agreements prior to their nominal expiry dates.</w:t>
      </w:r>
    </w:p>
    <w:p w14:paraId="14E23258" w14:textId="77777777" w:rsidR="00C56FC9" w:rsidRPr="002F0740" w:rsidRDefault="00C56FC9" w:rsidP="00C56FC9">
      <w:pPr>
        <w:rPr>
          <w:rFonts w:ascii="Calibri" w:hAnsi="Calibri" w:cs="Calibri"/>
        </w:rPr>
      </w:pPr>
    </w:p>
    <w:p w14:paraId="44B20B92" w14:textId="77777777" w:rsidR="00C56FC9" w:rsidRPr="002F0740" w:rsidRDefault="00C56FC9" w:rsidP="00C56FC9">
      <w:pPr>
        <w:rPr>
          <w:rFonts w:ascii="Calibri" w:hAnsi="Calibri" w:cs="Calibri"/>
        </w:rPr>
      </w:pPr>
      <w:r w:rsidRPr="002F0740">
        <w:rPr>
          <w:rFonts w:ascii="Calibri" w:hAnsi="Calibri" w:cs="Calibri"/>
        </w:rPr>
        <w:t xml:space="preserve">The Victorian Government Schools Agreement 2017 commenced on 22 August 2017 with a nominal expiry date of 30 April 2021. This agreement applies to the government teaching service, including executives, principals, teachers, </w:t>
      </w:r>
      <w:proofErr w:type="gramStart"/>
      <w:r w:rsidRPr="002F0740">
        <w:rPr>
          <w:rFonts w:ascii="Calibri" w:hAnsi="Calibri" w:cs="Calibri"/>
        </w:rPr>
        <w:t>paraprofessionals</w:t>
      </w:r>
      <w:proofErr w:type="gramEnd"/>
      <w:r w:rsidRPr="002F0740">
        <w:rPr>
          <w:rFonts w:ascii="Calibri" w:hAnsi="Calibri" w:cs="Calibri"/>
        </w:rPr>
        <w:t xml:space="preserve"> and education support staff. A replacement agreement </w:t>
      </w:r>
      <w:r>
        <w:rPr>
          <w:rFonts w:ascii="Calibri" w:hAnsi="Calibri" w:cs="Calibri"/>
        </w:rPr>
        <w:t>has been lodged with the Fair Work Commission.</w:t>
      </w:r>
    </w:p>
    <w:p w14:paraId="7D72C351" w14:textId="77777777" w:rsidR="00C56FC9" w:rsidRPr="002F0740" w:rsidRDefault="00C56FC9" w:rsidP="00C56FC9">
      <w:pPr>
        <w:rPr>
          <w:rFonts w:ascii="Calibri" w:hAnsi="Calibri" w:cs="Calibri"/>
        </w:rPr>
      </w:pPr>
    </w:p>
    <w:p w14:paraId="36BBEE1E" w14:textId="5BA44560" w:rsidR="00C56FC9" w:rsidRPr="002F0740" w:rsidRDefault="00C56FC9" w:rsidP="00C56FC9">
      <w:pPr>
        <w:rPr>
          <w:rFonts w:ascii="Calibri" w:hAnsi="Calibri" w:cs="Calibri"/>
        </w:rPr>
      </w:pPr>
      <w:r w:rsidRPr="002F0740">
        <w:rPr>
          <w:rFonts w:ascii="Calibri" w:hAnsi="Calibri" w:cs="Calibri"/>
        </w:rPr>
        <w:t xml:space="preserve">The </w:t>
      </w:r>
      <w:r w:rsidR="00D42FC2">
        <w:rPr>
          <w:rFonts w:ascii="Calibri" w:hAnsi="Calibri" w:cs="Calibri"/>
        </w:rPr>
        <w:t>Victorian Public Sector (</w:t>
      </w:r>
      <w:r w:rsidRPr="002F0740">
        <w:rPr>
          <w:rFonts w:ascii="Calibri" w:hAnsi="Calibri" w:cs="Calibri"/>
        </w:rPr>
        <w:t>VPS</w:t>
      </w:r>
      <w:r w:rsidR="00D42FC2">
        <w:rPr>
          <w:rFonts w:ascii="Calibri" w:hAnsi="Calibri" w:cs="Calibri"/>
        </w:rPr>
        <w:t>)</w:t>
      </w:r>
      <w:r w:rsidRPr="002F0740">
        <w:rPr>
          <w:rFonts w:ascii="Calibri" w:hAnsi="Calibri" w:cs="Calibri"/>
        </w:rPr>
        <w:t xml:space="preserve"> Agreement 2020 came into effect on 9 October 2020 and expires on 20 March 2024. The Nurses (Department) Agreement came into effect on 18 December 2006 and </w:t>
      </w:r>
      <w:r>
        <w:rPr>
          <w:rFonts w:ascii="Calibri" w:hAnsi="Calibri" w:cs="Calibri"/>
        </w:rPr>
        <w:t xml:space="preserve">nominally </w:t>
      </w:r>
      <w:r w:rsidRPr="002F0740">
        <w:rPr>
          <w:rFonts w:ascii="Calibri" w:hAnsi="Calibri" w:cs="Calibri"/>
        </w:rPr>
        <w:t>expired on 31 December 2020.</w:t>
      </w:r>
    </w:p>
    <w:p w14:paraId="62AAB9C1" w14:textId="77777777" w:rsidR="00C56FC9" w:rsidRPr="002F0740" w:rsidRDefault="00C56FC9" w:rsidP="00C56FC9">
      <w:pPr>
        <w:rPr>
          <w:rFonts w:ascii="Calibri" w:hAnsi="Calibri" w:cs="Calibri"/>
        </w:rPr>
      </w:pPr>
    </w:p>
    <w:p w14:paraId="0FB5B42C" w14:textId="21C2BB5B" w:rsidR="009A32C4" w:rsidRPr="00337FF2" w:rsidRDefault="00C56FC9" w:rsidP="00457F78">
      <w:pPr>
        <w:rPr>
          <w:rFonts w:ascii="Calibri" w:hAnsi="Calibri" w:cs="Calibri"/>
        </w:rPr>
      </w:pPr>
      <w:r w:rsidRPr="002F0740">
        <w:rPr>
          <w:rFonts w:ascii="Calibri" w:hAnsi="Calibri" w:cs="Calibri"/>
        </w:rPr>
        <w:t>No time was lost due to industrial action during 202</w:t>
      </w:r>
      <w:r>
        <w:rPr>
          <w:rFonts w:ascii="Calibri" w:hAnsi="Calibri" w:cs="Calibri"/>
        </w:rPr>
        <w:t>1</w:t>
      </w:r>
      <w:r w:rsidRPr="002F0740">
        <w:rPr>
          <w:rFonts w:ascii="Calibri" w:hAnsi="Calibri" w:cs="Calibri"/>
        </w:rPr>
        <w:t>–2</w:t>
      </w:r>
      <w:r>
        <w:rPr>
          <w:rFonts w:ascii="Calibri" w:hAnsi="Calibri" w:cs="Calibri"/>
        </w:rPr>
        <w:t>2</w:t>
      </w:r>
      <w:r w:rsidR="00457F78" w:rsidRPr="00466E32">
        <w:rPr>
          <w:rFonts w:ascii="Calibri" w:hAnsi="Calibri" w:cs="Calibri"/>
        </w:rPr>
        <w:t>.</w:t>
      </w:r>
    </w:p>
    <w:bookmarkEnd w:id="69"/>
    <w:bookmarkEnd w:id="70"/>
    <w:bookmarkEnd w:id="71"/>
    <w:bookmarkEnd w:id="72"/>
    <w:bookmarkEnd w:id="73"/>
    <w:bookmarkEnd w:id="74"/>
    <w:bookmarkEnd w:id="75"/>
    <w:bookmarkEnd w:id="76"/>
    <w:bookmarkEnd w:id="77"/>
    <w:bookmarkEnd w:id="78"/>
    <w:bookmarkEnd w:id="79"/>
    <w:p w14:paraId="45A161C4" w14:textId="77777777" w:rsidR="009A32C4" w:rsidRDefault="009A32C4">
      <w:pPr>
        <w:rPr>
          <w:rFonts w:ascii="Calibri" w:eastAsiaTheme="majorEastAsia" w:hAnsi="Calibri" w:cs="Calibri"/>
          <w:b/>
          <w:color w:val="AF272F" w:themeColor="accent4"/>
          <w:spacing w:val="5"/>
          <w:kern w:val="28"/>
          <w:sz w:val="44"/>
          <w:szCs w:val="52"/>
          <w:lang w:val="en-US"/>
        </w:rPr>
      </w:pPr>
      <w:r>
        <w:rPr>
          <w:rFonts w:ascii="Calibri" w:hAnsi="Calibri" w:cs="Calibri"/>
        </w:rPr>
        <w:br w:type="page"/>
      </w:r>
    </w:p>
    <w:p w14:paraId="3B2B92A9" w14:textId="352ACA58" w:rsidR="00343610" w:rsidRPr="00B85B32" w:rsidRDefault="00343610" w:rsidP="0048665E">
      <w:pPr>
        <w:pStyle w:val="ESHeading1"/>
        <w:rPr>
          <w:rFonts w:ascii="Calibri" w:hAnsi="Calibri" w:cs="Calibri"/>
        </w:rPr>
      </w:pPr>
      <w:bookmarkStart w:id="81" w:name="_Toc109806868"/>
      <w:r w:rsidRPr="00B85B32">
        <w:rPr>
          <w:rFonts w:ascii="Calibri" w:hAnsi="Calibri" w:cs="Calibri"/>
        </w:rPr>
        <w:t>Major committees</w:t>
      </w:r>
      <w:bookmarkEnd w:id="80"/>
      <w:bookmarkEnd w:id="81"/>
    </w:p>
    <w:p w14:paraId="4BCBE683" w14:textId="48065FD9" w:rsidR="004A0F51" w:rsidRPr="00996792" w:rsidRDefault="004A0F51" w:rsidP="004A0F51">
      <w:pPr>
        <w:rPr>
          <w:rFonts w:ascii="Calibri" w:hAnsi="Calibri" w:cs="Calibri"/>
        </w:rPr>
      </w:pPr>
      <w:r w:rsidRPr="009470A5">
        <w:rPr>
          <w:rFonts w:ascii="Calibri" w:hAnsi="Calibri" w:cs="Calibri"/>
        </w:rPr>
        <w:t>The following 2 tables list the department-sponsored major governance committees and major project/operational committees. The tables detail each committee’s purpose and the extent to which they achieved their purpose.</w:t>
      </w:r>
    </w:p>
    <w:p w14:paraId="04B57F0C" w14:textId="73EECF94" w:rsidR="00F02ECF" w:rsidRPr="00B85B32" w:rsidRDefault="00F02ECF" w:rsidP="00F02ECF">
      <w:pPr>
        <w:pStyle w:val="ESTableintroheading"/>
        <w:rPr>
          <w:rFonts w:ascii="Calibri" w:hAnsi="Calibri" w:cs="Calibri"/>
        </w:rPr>
      </w:pPr>
      <w:r w:rsidRPr="00B85B32">
        <w:rPr>
          <w:rFonts w:ascii="Calibri" w:hAnsi="Calibri" w:cs="Calibri"/>
        </w:rPr>
        <w:t xml:space="preserve">Major </w:t>
      </w:r>
      <w:r w:rsidR="00895C8B" w:rsidRPr="00B85B32">
        <w:rPr>
          <w:rFonts w:ascii="Calibri" w:hAnsi="Calibri" w:cs="Calibri"/>
        </w:rPr>
        <w:t xml:space="preserve">departmental </w:t>
      </w:r>
      <w:r w:rsidRPr="00B85B32">
        <w:rPr>
          <w:rFonts w:ascii="Calibri" w:hAnsi="Calibri" w:cs="Calibri"/>
        </w:rPr>
        <w:t>governance committees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Committee, Purpose, Extent of purpose achieved"/>
      </w:tblPr>
      <w:tblGrid>
        <w:gridCol w:w="1851"/>
        <w:gridCol w:w="3422"/>
        <w:gridCol w:w="3566"/>
      </w:tblGrid>
      <w:tr w:rsidR="00F02ECF" w:rsidRPr="00B85B32" w14:paraId="3F12F4CA" w14:textId="77777777" w:rsidTr="009470A5">
        <w:trPr>
          <w:cantSplit/>
          <w:trHeight w:val="130"/>
          <w:tblHeader/>
        </w:trPr>
        <w:tc>
          <w:tcPr>
            <w:tcW w:w="1851" w:type="dxa"/>
            <w:tcBorders>
              <w:bottom w:val="single" w:sz="4" w:space="0" w:color="FFFFFF" w:themeColor="background1"/>
            </w:tcBorders>
            <w:shd w:val="clear" w:color="auto" w:fill="AF272F"/>
          </w:tcPr>
          <w:p w14:paraId="6B95B773" w14:textId="4FA546EB" w:rsidR="00F02ECF" w:rsidRPr="00B85B32" w:rsidRDefault="00F02ECF" w:rsidP="00F02ECF">
            <w:pPr>
              <w:pStyle w:val="ESTableheadingwhite"/>
              <w:rPr>
                <w:rFonts w:ascii="Calibri" w:hAnsi="Calibri" w:cs="Calibri"/>
                <w:sz w:val="18"/>
              </w:rPr>
            </w:pPr>
            <w:r w:rsidRPr="00B85B32">
              <w:rPr>
                <w:rFonts w:ascii="Calibri" w:hAnsi="Calibri" w:cs="Calibri"/>
                <w:sz w:val="18"/>
              </w:rPr>
              <w:t>Major Committee</w:t>
            </w:r>
          </w:p>
        </w:tc>
        <w:tc>
          <w:tcPr>
            <w:tcW w:w="3422" w:type="dxa"/>
            <w:tcBorders>
              <w:bottom w:val="single" w:sz="4" w:space="0" w:color="FFFFFF" w:themeColor="background1"/>
            </w:tcBorders>
            <w:shd w:val="clear" w:color="auto" w:fill="AF272F" w:themeFill="accent4"/>
          </w:tcPr>
          <w:p w14:paraId="69ABB5A1" w14:textId="77777777" w:rsidR="00F02ECF" w:rsidRPr="00B85B32" w:rsidRDefault="00F02ECF" w:rsidP="00F02ECF">
            <w:pPr>
              <w:pStyle w:val="ESTableheadingwhite"/>
              <w:rPr>
                <w:rFonts w:ascii="Calibri" w:hAnsi="Calibri" w:cs="Calibri"/>
                <w:sz w:val="18"/>
              </w:rPr>
            </w:pPr>
            <w:r w:rsidRPr="00B85B32">
              <w:rPr>
                <w:rFonts w:ascii="Calibri" w:hAnsi="Calibri" w:cs="Calibri"/>
                <w:sz w:val="18"/>
              </w:rPr>
              <w:t>Purpose</w:t>
            </w:r>
          </w:p>
        </w:tc>
        <w:tc>
          <w:tcPr>
            <w:tcW w:w="3566" w:type="dxa"/>
            <w:tcBorders>
              <w:bottom w:val="single" w:sz="4" w:space="0" w:color="FFFFFF" w:themeColor="background1"/>
            </w:tcBorders>
            <w:shd w:val="clear" w:color="auto" w:fill="AF272F" w:themeFill="accent4"/>
          </w:tcPr>
          <w:p w14:paraId="7B63CF41" w14:textId="77777777" w:rsidR="00F02ECF" w:rsidRPr="00B85B32" w:rsidRDefault="00F02ECF" w:rsidP="00F02ECF">
            <w:pPr>
              <w:pStyle w:val="ESTableheadingwhite"/>
              <w:rPr>
                <w:rFonts w:ascii="Calibri" w:hAnsi="Calibri" w:cs="Calibri"/>
                <w:sz w:val="18"/>
              </w:rPr>
            </w:pPr>
            <w:r w:rsidRPr="00B85B32">
              <w:rPr>
                <w:rFonts w:ascii="Calibri" w:hAnsi="Calibri" w:cs="Calibri"/>
                <w:sz w:val="18"/>
              </w:rPr>
              <w:t>Extent of purpose achieved</w:t>
            </w:r>
          </w:p>
        </w:tc>
      </w:tr>
      <w:tr w:rsidR="009470A5" w:rsidRPr="00B85B32" w14:paraId="66FB1C67" w14:textId="77777777" w:rsidTr="009470A5">
        <w:trPr>
          <w:cantSplit/>
          <w:trHeight w:val="227"/>
        </w:trPr>
        <w:tc>
          <w:tcPr>
            <w:tcW w:w="1851" w:type="dxa"/>
            <w:tcBorders>
              <w:top w:val="single" w:sz="4" w:space="0" w:color="FFFFFF" w:themeColor="background1"/>
              <w:bottom w:val="single" w:sz="4" w:space="0" w:color="53565A" w:themeColor="accent5"/>
            </w:tcBorders>
            <w:shd w:val="clear" w:color="auto" w:fill="auto"/>
          </w:tcPr>
          <w:p w14:paraId="5D315516" w14:textId="77777777" w:rsidR="009470A5" w:rsidRPr="009470A5" w:rsidRDefault="009470A5" w:rsidP="009470A5">
            <w:pPr>
              <w:pStyle w:val="ESTablebody"/>
              <w:rPr>
                <w:rFonts w:ascii="Calibri" w:hAnsi="Calibri" w:cs="Calibri"/>
                <w:sz w:val="18"/>
              </w:rPr>
            </w:pPr>
            <w:r w:rsidRPr="009470A5">
              <w:rPr>
                <w:rFonts w:ascii="Calibri" w:hAnsi="Calibri" w:cs="Calibri"/>
                <w:sz w:val="18"/>
              </w:rPr>
              <w:t xml:space="preserve">Audit and Risk Committee (ARC) </w:t>
            </w:r>
          </w:p>
          <w:p w14:paraId="6D00DA2D" w14:textId="77777777" w:rsidR="009470A5" w:rsidRPr="009470A5" w:rsidRDefault="009470A5" w:rsidP="009470A5">
            <w:pPr>
              <w:pStyle w:val="ESTablebody"/>
              <w:rPr>
                <w:rFonts w:ascii="Calibri" w:hAnsi="Calibri" w:cs="Calibri"/>
                <w:sz w:val="18"/>
              </w:rPr>
            </w:pPr>
          </w:p>
        </w:tc>
        <w:tc>
          <w:tcPr>
            <w:tcW w:w="3422" w:type="dxa"/>
            <w:tcBorders>
              <w:top w:val="single" w:sz="4" w:space="0" w:color="FFFFFF" w:themeColor="background1"/>
              <w:bottom w:val="single" w:sz="4" w:space="0" w:color="53565A" w:themeColor="accent5"/>
            </w:tcBorders>
          </w:tcPr>
          <w:p w14:paraId="54BED26E" w14:textId="17046AD7" w:rsidR="009470A5" w:rsidRPr="009470A5" w:rsidRDefault="009470A5" w:rsidP="009470A5">
            <w:pPr>
              <w:pStyle w:val="ESTablebody"/>
              <w:rPr>
                <w:rFonts w:ascii="Calibri" w:hAnsi="Calibri" w:cs="Calibri"/>
                <w:sz w:val="18"/>
                <w:lang w:val="en-AU"/>
              </w:rPr>
            </w:pPr>
            <w:r w:rsidRPr="009470A5">
              <w:rPr>
                <w:rFonts w:ascii="Calibri" w:hAnsi="Calibri" w:cs="Calibri"/>
                <w:sz w:val="18"/>
              </w:rPr>
              <w:t xml:space="preserve">ARC assists the Secretary to fulfil governance responsibilities and obligations under the </w:t>
            </w:r>
            <w:r w:rsidRPr="009470A5">
              <w:rPr>
                <w:rFonts w:ascii="Calibri" w:hAnsi="Calibri" w:cs="Calibri"/>
                <w:i/>
                <w:sz w:val="18"/>
              </w:rPr>
              <w:t>Financial Management Act 1994</w:t>
            </w:r>
            <w:r w:rsidRPr="009470A5">
              <w:rPr>
                <w:rFonts w:ascii="Calibri" w:hAnsi="Calibri" w:cs="Calibri"/>
                <w:sz w:val="18"/>
              </w:rPr>
              <w:t>. ARC was established in August 2003 to comply with Standing Directions under the F</w:t>
            </w:r>
            <w:r>
              <w:rPr>
                <w:rFonts w:ascii="Calibri" w:hAnsi="Calibri" w:cs="Calibri"/>
                <w:sz w:val="18"/>
              </w:rPr>
              <w:t xml:space="preserve">inancial </w:t>
            </w:r>
            <w:r w:rsidRPr="009470A5">
              <w:rPr>
                <w:rFonts w:ascii="Calibri" w:hAnsi="Calibri" w:cs="Calibri"/>
                <w:sz w:val="18"/>
              </w:rPr>
              <w:t>M</w:t>
            </w:r>
            <w:r>
              <w:rPr>
                <w:rFonts w:ascii="Calibri" w:hAnsi="Calibri" w:cs="Calibri"/>
                <w:sz w:val="18"/>
              </w:rPr>
              <w:t>anagement</w:t>
            </w:r>
            <w:r w:rsidRPr="009470A5">
              <w:rPr>
                <w:rFonts w:ascii="Calibri" w:hAnsi="Calibri" w:cs="Calibri"/>
                <w:sz w:val="18"/>
              </w:rPr>
              <w:t xml:space="preserve"> Act, which requires an audit committee to oversee and advise on matters of accountability and internal control affecting the department’s operations. ARC provides direct advice to the Secretary on governance, risk management, </w:t>
            </w:r>
            <w:proofErr w:type="gramStart"/>
            <w:r w:rsidRPr="009470A5">
              <w:rPr>
                <w:rFonts w:ascii="Calibri" w:hAnsi="Calibri" w:cs="Calibri"/>
                <w:sz w:val="18"/>
              </w:rPr>
              <w:t>audit</w:t>
            </w:r>
            <w:proofErr w:type="gramEnd"/>
            <w:r w:rsidRPr="009470A5">
              <w:rPr>
                <w:rFonts w:ascii="Calibri" w:hAnsi="Calibri" w:cs="Calibri"/>
                <w:sz w:val="18"/>
              </w:rPr>
              <w:t xml:space="preserve"> and control assurance activities.</w:t>
            </w:r>
          </w:p>
        </w:tc>
        <w:tc>
          <w:tcPr>
            <w:tcW w:w="3566" w:type="dxa"/>
            <w:tcBorders>
              <w:top w:val="single" w:sz="4" w:space="0" w:color="FFFFFF" w:themeColor="background1"/>
              <w:bottom w:val="single" w:sz="4" w:space="0" w:color="53565A" w:themeColor="accent5"/>
            </w:tcBorders>
          </w:tcPr>
          <w:p w14:paraId="58978474" w14:textId="77777777" w:rsidR="009470A5" w:rsidRPr="009470A5" w:rsidRDefault="009470A5" w:rsidP="009470A5">
            <w:pPr>
              <w:pStyle w:val="ESTablebody"/>
              <w:rPr>
                <w:rFonts w:ascii="Calibri" w:hAnsi="Calibri" w:cs="Calibri"/>
                <w:sz w:val="18"/>
              </w:rPr>
            </w:pPr>
            <w:r w:rsidRPr="009470A5">
              <w:rPr>
                <w:rFonts w:ascii="Calibri" w:hAnsi="Calibri" w:cs="Calibri"/>
                <w:sz w:val="18"/>
                <w:lang w:val="en-GB"/>
              </w:rPr>
              <w:t>ARC met 7 times, including 2 special meetings in August and September 2021. The special meetings were held to perform the year-end attestation processes, including endorsement of the 2020–21 annual financial statements and to provide input to the development of the 2022–25 internal audit plan.</w:t>
            </w:r>
          </w:p>
          <w:p w14:paraId="379B96F6" w14:textId="47C14389" w:rsidR="009470A5" w:rsidRPr="009470A5" w:rsidRDefault="009470A5" w:rsidP="009470A5">
            <w:pPr>
              <w:pStyle w:val="ESTablebody"/>
              <w:rPr>
                <w:rFonts w:ascii="Calibri" w:hAnsi="Calibri" w:cs="Calibri"/>
                <w:sz w:val="18"/>
                <w:lang w:val="en-AU"/>
              </w:rPr>
            </w:pPr>
            <w:r w:rsidRPr="009470A5">
              <w:rPr>
                <w:rFonts w:ascii="Calibri" w:hAnsi="Calibri" w:cs="Calibri"/>
                <w:sz w:val="18"/>
              </w:rPr>
              <w:t>ARC also oversaw governance, financial, risk management, audit and control assurance activities and advised the Secretary on matters of accountability and internal controls affecting the department’s operations.</w:t>
            </w:r>
          </w:p>
        </w:tc>
      </w:tr>
      <w:tr w:rsidR="009470A5" w:rsidRPr="00B85B32" w14:paraId="3DBE8BC1" w14:textId="77777777" w:rsidTr="009470A5">
        <w:trPr>
          <w:cantSplit/>
          <w:trHeight w:val="227"/>
        </w:trPr>
        <w:tc>
          <w:tcPr>
            <w:tcW w:w="1851" w:type="dxa"/>
            <w:tcBorders>
              <w:top w:val="single" w:sz="4" w:space="0" w:color="FFFFFF" w:themeColor="background1"/>
              <w:bottom w:val="single" w:sz="4" w:space="0" w:color="53565A" w:themeColor="accent5"/>
            </w:tcBorders>
            <w:shd w:val="clear" w:color="auto" w:fill="auto"/>
          </w:tcPr>
          <w:p w14:paraId="5C48C01A" w14:textId="77777777" w:rsidR="009470A5" w:rsidRPr="009470A5" w:rsidRDefault="009470A5" w:rsidP="009470A5">
            <w:pPr>
              <w:pStyle w:val="ESTablebody"/>
              <w:rPr>
                <w:rFonts w:ascii="Calibri" w:hAnsi="Calibri" w:cs="Calibri"/>
                <w:sz w:val="18"/>
              </w:rPr>
            </w:pPr>
            <w:r w:rsidRPr="009470A5">
              <w:rPr>
                <w:rFonts w:ascii="Calibri" w:hAnsi="Calibri" w:cs="Calibri"/>
                <w:sz w:val="18"/>
              </w:rPr>
              <w:t>Budget and Financial Management Committee (BFMC)</w:t>
            </w:r>
          </w:p>
          <w:p w14:paraId="616CE7DA" w14:textId="77777777" w:rsidR="009470A5" w:rsidRPr="009470A5" w:rsidRDefault="009470A5" w:rsidP="009470A5">
            <w:pPr>
              <w:pStyle w:val="ESTablebody"/>
              <w:rPr>
                <w:rFonts w:ascii="Calibri" w:hAnsi="Calibri" w:cs="Calibri"/>
                <w:sz w:val="18"/>
              </w:rPr>
            </w:pPr>
          </w:p>
        </w:tc>
        <w:tc>
          <w:tcPr>
            <w:tcW w:w="3422" w:type="dxa"/>
            <w:tcBorders>
              <w:top w:val="single" w:sz="4" w:space="0" w:color="FFFFFF" w:themeColor="background1"/>
              <w:bottom w:val="single" w:sz="4" w:space="0" w:color="53565A" w:themeColor="accent5"/>
            </w:tcBorders>
          </w:tcPr>
          <w:p w14:paraId="2A078DA2" w14:textId="28BF3E44" w:rsidR="009470A5" w:rsidRPr="009470A5" w:rsidRDefault="009470A5" w:rsidP="009470A5">
            <w:pPr>
              <w:pStyle w:val="ESTablebody"/>
              <w:rPr>
                <w:rFonts w:ascii="Calibri" w:hAnsi="Calibri" w:cs="Calibri"/>
                <w:sz w:val="18"/>
                <w:lang w:val="en-AU"/>
              </w:rPr>
            </w:pPr>
            <w:r w:rsidRPr="009470A5">
              <w:rPr>
                <w:rFonts w:ascii="Calibri" w:hAnsi="Calibri" w:cs="Calibri"/>
                <w:sz w:val="18"/>
              </w:rPr>
              <w:t xml:space="preserve">BFMC advises the Executive Board (EB) on priorities for budget and finance matters, provides oversight of the department’s budget and finances, and acts as decision-maker for EB on budget and finance matters in accordance with its terms of reference. The BFMC’s scope includes the </w:t>
            </w:r>
            <w:r w:rsidR="00506148">
              <w:rPr>
                <w:rFonts w:ascii="Calibri" w:hAnsi="Calibri" w:cs="Calibri"/>
                <w:sz w:val="18"/>
              </w:rPr>
              <w:t>Victorian Curriculum and Assessment Authority (</w:t>
            </w:r>
            <w:r w:rsidRPr="009470A5">
              <w:rPr>
                <w:rFonts w:ascii="Calibri" w:hAnsi="Calibri" w:cs="Calibri"/>
                <w:sz w:val="18"/>
              </w:rPr>
              <w:t>VCAA</w:t>
            </w:r>
            <w:r w:rsidR="00506148">
              <w:rPr>
                <w:rFonts w:ascii="Calibri" w:hAnsi="Calibri" w:cs="Calibri"/>
                <w:sz w:val="18"/>
              </w:rPr>
              <w:t>)</w:t>
            </w:r>
            <w:r w:rsidRPr="009470A5">
              <w:rPr>
                <w:rFonts w:ascii="Calibri" w:hAnsi="Calibri" w:cs="Calibri"/>
                <w:sz w:val="18"/>
              </w:rPr>
              <w:t xml:space="preserve"> and the </w:t>
            </w:r>
            <w:r w:rsidR="00506148">
              <w:rPr>
                <w:rFonts w:ascii="Calibri" w:hAnsi="Calibri" w:cs="Calibri"/>
                <w:sz w:val="18"/>
              </w:rPr>
              <w:t>Victorian Registration and Qualifications Authority</w:t>
            </w:r>
            <w:r w:rsidRPr="009470A5">
              <w:rPr>
                <w:rFonts w:ascii="Calibri" w:hAnsi="Calibri" w:cs="Calibri"/>
                <w:sz w:val="18"/>
              </w:rPr>
              <w:t xml:space="preserve"> </w:t>
            </w:r>
            <w:r w:rsidR="00506148">
              <w:rPr>
                <w:rFonts w:ascii="Calibri" w:hAnsi="Calibri" w:cs="Calibri"/>
                <w:sz w:val="18"/>
              </w:rPr>
              <w:t>(</w:t>
            </w:r>
            <w:r w:rsidRPr="009470A5">
              <w:rPr>
                <w:rFonts w:ascii="Calibri" w:hAnsi="Calibri" w:cs="Calibri"/>
                <w:sz w:val="18"/>
              </w:rPr>
              <w:t>VRQA</w:t>
            </w:r>
            <w:r w:rsidR="00506148">
              <w:rPr>
                <w:rFonts w:ascii="Calibri" w:hAnsi="Calibri" w:cs="Calibri"/>
                <w:sz w:val="18"/>
              </w:rPr>
              <w:t>)</w:t>
            </w:r>
            <w:r w:rsidRPr="009470A5">
              <w:rPr>
                <w:rFonts w:ascii="Calibri" w:hAnsi="Calibri" w:cs="Calibri"/>
                <w:sz w:val="18"/>
              </w:rPr>
              <w:t>, both of which are primarily funded through the department.</w:t>
            </w:r>
          </w:p>
        </w:tc>
        <w:tc>
          <w:tcPr>
            <w:tcW w:w="3566" w:type="dxa"/>
            <w:tcBorders>
              <w:top w:val="single" w:sz="4" w:space="0" w:color="FFFFFF" w:themeColor="background1"/>
              <w:bottom w:val="single" w:sz="4" w:space="0" w:color="53565A" w:themeColor="accent5"/>
            </w:tcBorders>
          </w:tcPr>
          <w:p w14:paraId="571E086C" w14:textId="77777777" w:rsidR="009470A5" w:rsidRPr="009470A5" w:rsidRDefault="009470A5" w:rsidP="009470A5">
            <w:pPr>
              <w:pStyle w:val="ESTablebody"/>
              <w:rPr>
                <w:rFonts w:ascii="Calibri" w:hAnsi="Calibri" w:cs="Calibri"/>
                <w:sz w:val="18"/>
              </w:rPr>
            </w:pPr>
            <w:r w:rsidRPr="009470A5">
              <w:rPr>
                <w:rFonts w:ascii="Calibri" w:hAnsi="Calibri" w:cs="Calibri"/>
                <w:sz w:val="18"/>
              </w:rPr>
              <w:t xml:space="preserve">BFMC met monthly and monitored the financial position of the department, including the impact of the COVID-19 pandemic, by considering the Budget Management Report, Student Resource Package Report, Quarterly State Treasury Trust </w:t>
            </w:r>
            <w:proofErr w:type="gramStart"/>
            <w:r w:rsidRPr="009470A5">
              <w:rPr>
                <w:rFonts w:ascii="Calibri" w:hAnsi="Calibri" w:cs="Calibri"/>
                <w:sz w:val="18"/>
              </w:rPr>
              <w:t>Balances</w:t>
            </w:r>
            <w:proofErr w:type="gramEnd"/>
            <w:r w:rsidRPr="009470A5">
              <w:rPr>
                <w:rFonts w:ascii="Calibri" w:hAnsi="Calibri" w:cs="Calibri"/>
                <w:sz w:val="18"/>
              </w:rPr>
              <w:t xml:space="preserve"> and International Education Division Quarterly updates. The BFMC managed the allocation of financial resources in alignment with the department’s service delivery, planning objectives and government priorities.</w:t>
            </w:r>
          </w:p>
          <w:p w14:paraId="7ED147DB" w14:textId="36360B00" w:rsidR="009470A5" w:rsidRPr="009470A5" w:rsidRDefault="009470A5" w:rsidP="009470A5">
            <w:pPr>
              <w:pStyle w:val="ESTablebody"/>
              <w:rPr>
                <w:rFonts w:ascii="Calibri" w:hAnsi="Calibri" w:cs="Calibri"/>
                <w:sz w:val="18"/>
                <w:lang w:val="en-AU"/>
              </w:rPr>
            </w:pPr>
            <w:r w:rsidRPr="009470A5">
              <w:rPr>
                <w:rFonts w:ascii="Calibri" w:hAnsi="Calibri" w:cs="Calibri"/>
                <w:sz w:val="18"/>
              </w:rPr>
              <w:t>BFMC’s key activities included oversight and management of the Student Resource Package and the department’s budget including the annual internal budget and midyear budget review processes.</w:t>
            </w:r>
          </w:p>
        </w:tc>
      </w:tr>
      <w:tr w:rsidR="009470A5" w:rsidRPr="00B85B32" w14:paraId="124AD760"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4DD98AAD" w14:textId="5250CAD4" w:rsidR="009470A5" w:rsidRPr="009470A5" w:rsidRDefault="009470A5" w:rsidP="009470A5">
            <w:pPr>
              <w:pStyle w:val="ESTablebody"/>
              <w:rPr>
                <w:rFonts w:ascii="Calibri" w:hAnsi="Calibri" w:cs="Calibri"/>
                <w:sz w:val="18"/>
              </w:rPr>
            </w:pPr>
            <w:r w:rsidRPr="009470A5">
              <w:rPr>
                <w:rFonts w:ascii="Calibri" w:hAnsi="Calibri" w:cs="Calibri"/>
                <w:sz w:val="18"/>
              </w:rPr>
              <w:t xml:space="preserve">Culture, </w:t>
            </w:r>
            <w:proofErr w:type="gramStart"/>
            <w:r w:rsidRPr="009470A5">
              <w:rPr>
                <w:rFonts w:ascii="Calibri" w:hAnsi="Calibri" w:cs="Calibri"/>
                <w:sz w:val="18"/>
              </w:rPr>
              <w:t>People</w:t>
            </w:r>
            <w:proofErr w:type="gramEnd"/>
            <w:r w:rsidRPr="009470A5">
              <w:rPr>
                <w:rFonts w:ascii="Calibri" w:hAnsi="Calibri" w:cs="Calibri"/>
                <w:sz w:val="18"/>
              </w:rPr>
              <w:t xml:space="preserve"> and Integrity Committee (CPIC)</w:t>
            </w:r>
          </w:p>
        </w:tc>
        <w:tc>
          <w:tcPr>
            <w:tcW w:w="3422" w:type="dxa"/>
            <w:tcBorders>
              <w:top w:val="single" w:sz="4" w:space="0" w:color="53565A" w:themeColor="accent5"/>
              <w:bottom w:val="single" w:sz="4" w:space="0" w:color="53565A" w:themeColor="accent5"/>
            </w:tcBorders>
          </w:tcPr>
          <w:p w14:paraId="2DA9FA85" w14:textId="0081F9F7"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GB"/>
              </w:rPr>
              <w:t xml:space="preserve">CPIC advises EB on significant and strategic culture and capability matters related to the department’s VPS workforce. CPIC also oversees and provides assurance on strategies that promote integrity, diversity and inclusion, and occupational health and safety across the department’s VPS and Teaching Services workforces. The VPS workforce in the department includes central and regional corporate staff, </w:t>
            </w:r>
            <w:proofErr w:type="gramStart"/>
            <w:r w:rsidRPr="009470A5">
              <w:rPr>
                <w:rFonts w:ascii="Calibri" w:hAnsi="Calibri" w:cs="Calibri"/>
                <w:sz w:val="18"/>
                <w:lang w:val="en-GB"/>
              </w:rPr>
              <w:t>nurses</w:t>
            </w:r>
            <w:proofErr w:type="gramEnd"/>
            <w:r w:rsidRPr="009470A5">
              <w:rPr>
                <w:rFonts w:ascii="Calibri" w:hAnsi="Calibri" w:cs="Calibri"/>
                <w:sz w:val="18"/>
                <w:lang w:val="en-GB"/>
              </w:rPr>
              <w:t xml:space="preserve"> and allied health professionals.</w:t>
            </w:r>
          </w:p>
        </w:tc>
        <w:tc>
          <w:tcPr>
            <w:tcW w:w="3566" w:type="dxa"/>
            <w:tcBorders>
              <w:top w:val="single" w:sz="4" w:space="0" w:color="53565A" w:themeColor="accent5"/>
              <w:bottom w:val="single" w:sz="4" w:space="0" w:color="53565A" w:themeColor="accent5"/>
            </w:tcBorders>
          </w:tcPr>
          <w:p w14:paraId="155F2F22" w14:textId="77777777" w:rsidR="009470A5" w:rsidRPr="009470A5" w:rsidRDefault="009470A5" w:rsidP="009470A5">
            <w:pPr>
              <w:pStyle w:val="ESTablebody"/>
              <w:rPr>
                <w:rFonts w:ascii="Calibri" w:hAnsi="Calibri" w:cs="Calibri"/>
                <w:sz w:val="18"/>
              </w:rPr>
            </w:pPr>
            <w:r w:rsidRPr="009470A5">
              <w:rPr>
                <w:rFonts w:ascii="Calibri" w:hAnsi="Calibri" w:cs="Calibri"/>
                <w:sz w:val="18"/>
                <w:lang w:val="en-GB"/>
              </w:rPr>
              <w:t xml:space="preserve">CPIC met quarterly throughout 2021 and monthly in 2022 providing strategic oversight of relevant policies, strategies, and initiatives, including the gender equality and hybrid working and the DET VPS People Strategy 2021–24. It also discussed workforce planning and </w:t>
            </w:r>
            <w:r w:rsidRPr="009470A5">
              <w:rPr>
                <w:rFonts w:ascii="Calibri" w:hAnsi="Calibri" w:cs="Calibri"/>
                <w:sz w:val="18"/>
              </w:rPr>
              <w:t xml:space="preserve">development, diversity and inclusion, and employee health, </w:t>
            </w:r>
            <w:proofErr w:type="gramStart"/>
            <w:r w:rsidRPr="009470A5">
              <w:rPr>
                <w:rFonts w:ascii="Calibri" w:hAnsi="Calibri" w:cs="Calibri"/>
                <w:sz w:val="18"/>
              </w:rPr>
              <w:t>safety</w:t>
            </w:r>
            <w:proofErr w:type="gramEnd"/>
            <w:r w:rsidRPr="009470A5">
              <w:rPr>
                <w:rFonts w:ascii="Calibri" w:hAnsi="Calibri" w:cs="Calibri"/>
                <w:sz w:val="18"/>
              </w:rPr>
              <w:t xml:space="preserve"> and wellbeing matters.</w:t>
            </w:r>
          </w:p>
          <w:p w14:paraId="31CCA10A" w14:textId="7F9FD9E1"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In March 2022, the EB approved changes to the Culture and People Committee Terms of Reference to reflect an enhanced role in overseeing integrity across the department. This included changing the name to CPIC.</w:t>
            </w:r>
          </w:p>
        </w:tc>
      </w:tr>
      <w:tr w:rsidR="009470A5" w:rsidRPr="00B85B32" w14:paraId="262E81E7"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5C353013" w14:textId="327690BA" w:rsidR="009470A5" w:rsidRPr="009470A5" w:rsidRDefault="009470A5" w:rsidP="009470A5">
            <w:pPr>
              <w:pStyle w:val="ESTablebody"/>
              <w:rPr>
                <w:rFonts w:ascii="Calibri" w:hAnsi="Calibri" w:cs="Calibri"/>
                <w:sz w:val="18"/>
              </w:rPr>
            </w:pPr>
            <w:r w:rsidRPr="009470A5">
              <w:rPr>
                <w:rFonts w:ascii="Calibri" w:hAnsi="Calibri" w:cs="Calibri"/>
                <w:sz w:val="18"/>
              </w:rPr>
              <w:t>Education State Board (ESB)</w:t>
            </w:r>
          </w:p>
        </w:tc>
        <w:tc>
          <w:tcPr>
            <w:tcW w:w="3422" w:type="dxa"/>
            <w:tcBorders>
              <w:top w:val="single" w:sz="4" w:space="0" w:color="53565A" w:themeColor="accent5"/>
              <w:bottom w:val="single" w:sz="4" w:space="0" w:color="53565A" w:themeColor="accent5"/>
            </w:tcBorders>
          </w:tcPr>
          <w:p w14:paraId="7F823D90" w14:textId="099AF4BC" w:rsidR="009470A5" w:rsidRPr="009470A5" w:rsidRDefault="009470A5" w:rsidP="009470A5">
            <w:pPr>
              <w:pStyle w:val="ESTablebody"/>
              <w:rPr>
                <w:rFonts w:ascii="Calibri" w:hAnsi="Calibri" w:cs="Calibri"/>
                <w:sz w:val="18"/>
                <w:lang w:val="en-AU"/>
              </w:rPr>
            </w:pPr>
            <w:r w:rsidRPr="009470A5">
              <w:rPr>
                <w:rFonts w:ascii="Calibri" w:hAnsi="Calibri" w:cs="Calibri"/>
                <w:sz w:val="18"/>
              </w:rPr>
              <w:t>ESB is an advisory body to EB for the department’s strategic policy thinking. On referral from EB, ESB considers and provides advice on major policies or reforms to progress the Education State agenda.</w:t>
            </w:r>
          </w:p>
        </w:tc>
        <w:tc>
          <w:tcPr>
            <w:tcW w:w="3566" w:type="dxa"/>
            <w:tcBorders>
              <w:top w:val="single" w:sz="4" w:space="0" w:color="53565A" w:themeColor="accent5"/>
              <w:bottom w:val="single" w:sz="4" w:space="0" w:color="53565A" w:themeColor="accent5"/>
            </w:tcBorders>
          </w:tcPr>
          <w:p w14:paraId="5EE22EE9" w14:textId="72D015D5" w:rsidR="009470A5" w:rsidRPr="00AF7B53" w:rsidRDefault="009470A5" w:rsidP="009470A5">
            <w:pPr>
              <w:pStyle w:val="ESTablebody"/>
              <w:rPr>
                <w:rFonts w:ascii="Calibri" w:hAnsi="Calibri" w:cs="Calibri"/>
                <w:sz w:val="18"/>
              </w:rPr>
            </w:pPr>
            <w:r w:rsidRPr="009470A5">
              <w:rPr>
                <w:rFonts w:ascii="Calibri" w:hAnsi="Calibri" w:cs="Calibri"/>
                <w:sz w:val="18"/>
              </w:rPr>
              <w:t xml:space="preserve">ESB met quarterly providing direction on strategic cross-portfolio issues and reforms across early childhood, </w:t>
            </w:r>
            <w:proofErr w:type="gramStart"/>
            <w:r w:rsidRPr="009470A5">
              <w:rPr>
                <w:rFonts w:ascii="Calibri" w:hAnsi="Calibri" w:cs="Calibri"/>
                <w:sz w:val="18"/>
              </w:rPr>
              <w:t>schools</w:t>
            </w:r>
            <w:proofErr w:type="gramEnd"/>
            <w:r w:rsidRPr="009470A5">
              <w:rPr>
                <w:rFonts w:ascii="Calibri" w:hAnsi="Calibri" w:cs="Calibri"/>
                <w:sz w:val="18"/>
              </w:rPr>
              <w:t xml:space="preserve"> and higher education. It maintained a focus on the design and implementation of Education State reforms and fostered cross-portfolio collaboration.</w:t>
            </w:r>
          </w:p>
        </w:tc>
      </w:tr>
      <w:tr w:rsidR="009470A5" w:rsidRPr="00B85B32" w14:paraId="5D249382"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5241C717" w14:textId="64995F04" w:rsidR="009470A5" w:rsidRPr="009470A5" w:rsidRDefault="009470A5" w:rsidP="009470A5">
            <w:pPr>
              <w:pStyle w:val="ESTablebody"/>
              <w:rPr>
                <w:rFonts w:ascii="Calibri" w:hAnsi="Calibri" w:cs="Calibri"/>
                <w:sz w:val="18"/>
              </w:rPr>
            </w:pPr>
            <w:r w:rsidRPr="009470A5">
              <w:rPr>
                <w:rFonts w:ascii="Calibri" w:hAnsi="Calibri" w:cs="Calibri"/>
                <w:sz w:val="18"/>
              </w:rPr>
              <w:t>Executive Board</w:t>
            </w:r>
            <w:r w:rsidR="00E71643">
              <w:rPr>
                <w:rFonts w:ascii="Calibri" w:hAnsi="Calibri" w:cs="Calibri"/>
                <w:sz w:val="18"/>
              </w:rPr>
              <w:t xml:space="preserve"> (EB)</w:t>
            </w:r>
          </w:p>
        </w:tc>
        <w:tc>
          <w:tcPr>
            <w:tcW w:w="3422" w:type="dxa"/>
            <w:tcBorders>
              <w:top w:val="single" w:sz="4" w:space="0" w:color="53565A" w:themeColor="accent5"/>
              <w:bottom w:val="single" w:sz="4" w:space="0" w:color="53565A" w:themeColor="accent5"/>
            </w:tcBorders>
          </w:tcPr>
          <w:p w14:paraId="6CE80A93" w14:textId="0B2A786A" w:rsidR="009470A5" w:rsidRPr="009470A5" w:rsidRDefault="009470A5" w:rsidP="009470A5">
            <w:pPr>
              <w:pStyle w:val="ESTablebody"/>
              <w:rPr>
                <w:rFonts w:ascii="Calibri" w:hAnsi="Calibri" w:cs="Calibri"/>
                <w:sz w:val="18"/>
              </w:rPr>
            </w:pPr>
            <w:r w:rsidRPr="009470A5">
              <w:rPr>
                <w:rFonts w:ascii="Calibri" w:hAnsi="Calibri" w:cs="Calibri"/>
                <w:sz w:val="18"/>
              </w:rPr>
              <w:t>EB provides stewardship by giving a whole</w:t>
            </w:r>
            <w:r w:rsidRPr="009470A5">
              <w:rPr>
                <w:rFonts w:ascii="Calibri" w:hAnsi="Calibri" w:cs="Calibri"/>
                <w:sz w:val="18"/>
              </w:rPr>
              <w:noBreakHyphen/>
              <w:t>of</w:t>
            </w:r>
            <w:r w:rsidRPr="009470A5">
              <w:rPr>
                <w:rFonts w:ascii="Calibri" w:hAnsi="Calibri" w:cs="Calibri"/>
                <w:sz w:val="18"/>
              </w:rPr>
              <w:noBreakHyphen/>
              <w:t xml:space="preserve">department perspective to advise the Secretary. </w:t>
            </w:r>
          </w:p>
          <w:p w14:paraId="407F9DCA" w14:textId="1CEAA509" w:rsidR="009470A5" w:rsidRPr="009470A5" w:rsidRDefault="009470A5" w:rsidP="009470A5">
            <w:pPr>
              <w:pStyle w:val="ESTablebody"/>
              <w:rPr>
                <w:rFonts w:ascii="Calibri" w:hAnsi="Calibri" w:cs="Calibri"/>
                <w:sz w:val="18"/>
                <w:lang w:val="en-AU"/>
              </w:rPr>
            </w:pPr>
            <w:r w:rsidRPr="009470A5">
              <w:rPr>
                <w:rFonts w:ascii="Calibri" w:hAnsi="Calibri" w:cs="Calibri"/>
                <w:sz w:val="18"/>
              </w:rPr>
              <w:t xml:space="preserve">EB assists the Secretary with strategic leadership of the department, its </w:t>
            </w:r>
            <w:proofErr w:type="gramStart"/>
            <w:r w:rsidRPr="009470A5">
              <w:rPr>
                <w:rFonts w:ascii="Calibri" w:hAnsi="Calibri" w:cs="Calibri"/>
                <w:sz w:val="18"/>
              </w:rPr>
              <w:t>entities</w:t>
            </w:r>
            <w:proofErr w:type="gramEnd"/>
            <w:r w:rsidRPr="009470A5">
              <w:rPr>
                <w:rFonts w:ascii="Calibri" w:hAnsi="Calibri" w:cs="Calibri"/>
                <w:sz w:val="18"/>
              </w:rPr>
              <w:t xml:space="preserve"> and the department’s portfolios as a whole, including vision, purpose, strategic direction and objectives.</w:t>
            </w:r>
          </w:p>
        </w:tc>
        <w:tc>
          <w:tcPr>
            <w:tcW w:w="3566" w:type="dxa"/>
            <w:tcBorders>
              <w:top w:val="single" w:sz="4" w:space="0" w:color="53565A" w:themeColor="accent5"/>
              <w:bottom w:val="single" w:sz="4" w:space="0" w:color="53565A" w:themeColor="accent5"/>
            </w:tcBorders>
          </w:tcPr>
          <w:p w14:paraId="70CA1904" w14:textId="2CA1DA6E" w:rsidR="009470A5" w:rsidRPr="009470A5" w:rsidRDefault="009470A5" w:rsidP="009470A5">
            <w:pPr>
              <w:pStyle w:val="ESTablebody"/>
              <w:rPr>
                <w:rFonts w:ascii="Calibri" w:hAnsi="Calibri" w:cs="Calibri"/>
                <w:sz w:val="18"/>
              </w:rPr>
            </w:pPr>
            <w:r w:rsidRPr="009470A5">
              <w:rPr>
                <w:rFonts w:ascii="Calibri" w:hAnsi="Calibri" w:cs="Calibri"/>
                <w:sz w:val="18"/>
              </w:rPr>
              <w:t>EB met weekly to set the department’s strategic direction and performance targets, managed the financial and operational performance of the department</w:t>
            </w:r>
            <w:r w:rsidR="00506148">
              <w:rPr>
                <w:rFonts w:ascii="Calibri" w:hAnsi="Calibri" w:cs="Calibri"/>
                <w:sz w:val="18"/>
              </w:rPr>
              <w:t xml:space="preserve"> and</w:t>
            </w:r>
            <w:r w:rsidRPr="009470A5">
              <w:rPr>
                <w:rFonts w:ascii="Calibri" w:hAnsi="Calibri" w:cs="Calibri"/>
                <w:sz w:val="18"/>
              </w:rPr>
              <w:t xml:space="preserve"> monitored the delivery of key priorities. This included ensuring integration and alignment across groups and entities and supporting senior leadership to drive a high</w:t>
            </w:r>
            <w:r w:rsidRPr="009470A5">
              <w:rPr>
                <w:rFonts w:ascii="Calibri" w:hAnsi="Calibri" w:cs="Calibri"/>
                <w:sz w:val="18"/>
              </w:rPr>
              <w:noBreakHyphen/>
              <w:t>performing culture. It also oversaw the department’s ongoing response to the COVID</w:t>
            </w:r>
            <w:r w:rsidRPr="009470A5">
              <w:rPr>
                <w:rFonts w:ascii="Calibri" w:hAnsi="Calibri" w:cs="Calibri"/>
                <w:sz w:val="18"/>
              </w:rPr>
              <w:noBreakHyphen/>
              <w:t>19 pandemic.</w:t>
            </w:r>
          </w:p>
          <w:p w14:paraId="7AD51F74" w14:textId="58458540"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In 2022, EB’s Terms of Reference were updated to reflect an enhanced role in leading and supporting the department’s integrity culture by mitigate significant organisational integrity risks.</w:t>
            </w:r>
          </w:p>
        </w:tc>
      </w:tr>
      <w:tr w:rsidR="009470A5" w:rsidRPr="00B85B32" w14:paraId="3D417B77"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613A4BEA" w14:textId="5D625B30" w:rsidR="009470A5" w:rsidRPr="009470A5" w:rsidRDefault="009470A5" w:rsidP="009470A5">
            <w:pPr>
              <w:pStyle w:val="ESTablebody"/>
              <w:rPr>
                <w:rFonts w:ascii="Calibri" w:hAnsi="Calibri" w:cs="Calibri"/>
                <w:sz w:val="18"/>
              </w:rPr>
            </w:pPr>
            <w:r w:rsidRPr="009470A5">
              <w:rPr>
                <w:rFonts w:ascii="Calibri" w:hAnsi="Calibri" w:cs="Calibri"/>
                <w:sz w:val="18"/>
              </w:rPr>
              <w:t>Executive Remuneration Committee (ERC)</w:t>
            </w:r>
          </w:p>
        </w:tc>
        <w:tc>
          <w:tcPr>
            <w:tcW w:w="3422" w:type="dxa"/>
            <w:tcBorders>
              <w:top w:val="single" w:sz="4" w:space="0" w:color="53565A" w:themeColor="accent5"/>
              <w:bottom w:val="single" w:sz="4" w:space="0" w:color="53565A" w:themeColor="accent5"/>
            </w:tcBorders>
          </w:tcPr>
          <w:p w14:paraId="147F3769" w14:textId="431DD6EF" w:rsidR="009470A5" w:rsidRPr="009470A5" w:rsidRDefault="009470A5" w:rsidP="009470A5">
            <w:pPr>
              <w:pStyle w:val="ESTablebody"/>
              <w:rPr>
                <w:rFonts w:ascii="Calibri" w:hAnsi="Calibri" w:cs="Calibri"/>
                <w:sz w:val="18"/>
                <w:lang w:val="en-AU"/>
              </w:rPr>
            </w:pPr>
            <w:r w:rsidRPr="009470A5">
              <w:rPr>
                <w:rFonts w:ascii="Calibri" w:hAnsi="Calibri" w:cs="Calibri"/>
                <w:sz w:val="18"/>
              </w:rPr>
              <w:t xml:space="preserve">ERC ensures that a consistent and rigorous approach is taken to setting and adjusting remuneration for senior executive service within the department and its statutory authorities. The approach to setting and adjusting remuneration is required to comply with the </w:t>
            </w:r>
            <w:r w:rsidR="00506148">
              <w:rPr>
                <w:rFonts w:ascii="Calibri" w:hAnsi="Calibri" w:cs="Calibri"/>
                <w:sz w:val="18"/>
              </w:rPr>
              <w:t>VPSC</w:t>
            </w:r>
            <w:r w:rsidRPr="009470A5">
              <w:rPr>
                <w:rFonts w:ascii="Calibri" w:hAnsi="Calibri" w:cs="Calibri"/>
                <w:sz w:val="18"/>
              </w:rPr>
              <w:t xml:space="preserve">’s Victorian Public </w:t>
            </w:r>
            <w:r w:rsidR="00506148">
              <w:rPr>
                <w:rFonts w:ascii="Calibri" w:hAnsi="Calibri" w:cs="Calibri"/>
                <w:sz w:val="18"/>
              </w:rPr>
              <w:t>S</w:t>
            </w:r>
            <w:r w:rsidRPr="009470A5">
              <w:rPr>
                <w:rFonts w:ascii="Calibri" w:hAnsi="Calibri" w:cs="Calibri"/>
                <w:sz w:val="18"/>
              </w:rPr>
              <w:t xml:space="preserve">ervice </w:t>
            </w:r>
            <w:r w:rsidR="00506148">
              <w:rPr>
                <w:rFonts w:ascii="Calibri" w:hAnsi="Calibri" w:cs="Calibri"/>
                <w:sz w:val="18"/>
              </w:rPr>
              <w:t>E</w:t>
            </w:r>
            <w:r w:rsidRPr="009470A5">
              <w:rPr>
                <w:rFonts w:ascii="Calibri" w:hAnsi="Calibri" w:cs="Calibri"/>
                <w:sz w:val="18"/>
              </w:rPr>
              <w:t xml:space="preserve">xecutive </w:t>
            </w:r>
            <w:r w:rsidR="00506148">
              <w:rPr>
                <w:rFonts w:ascii="Calibri" w:hAnsi="Calibri" w:cs="Calibri"/>
                <w:sz w:val="18"/>
              </w:rPr>
              <w:t>E</w:t>
            </w:r>
            <w:r w:rsidRPr="009470A5">
              <w:rPr>
                <w:rFonts w:ascii="Calibri" w:hAnsi="Calibri" w:cs="Calibri"/>
                <w:sz w:val="18"/>
              </w:rPr>
              <w:t xml:space="preserve">mployment </w:t>
            </w:r>
            <w:r w:rsidR="00506148">
              <w:rPr>
                <w:rFonts w:ascii="Calibri" w:hAnsi="Calibri" w:cs="Calibri"/>
                <w:sz w:val="18"/>
              </w:rPr>
              <w:t>H</w:t>
            </w:r>
            <w:r w:rsidRPr="009470A5">
              <w:rPr>
                <w:rFonts w:ascii="Calibri" w:hAnsi="Calibri" w:cs="Calibri"/>
                <w:sz w:val="18"/>
              </w:rPr>
              <w:t xml:space="preserve">andbook (2019). </w:t>
            </w:r>
          </w:p>
        </w:tc>
        <w:tc>
          <w:tcPr>
            <w:tcW w:w="3566" w:type="dxa"/>
            <w:tcBorders>
              <w:top w:val="single" w:sz="4" w:space="0" w:color="53565A" w:themeColor="accent5"/>
              <w:bottom w:val="single" w:sz="4" w:space="0" w:color="53565A" w:themeColor="accent5"/>
            </w:tcBorders>
          </w:tcPr>
          <w:p w14:paraId="6F7D8418" w14:textId="42F35EBA" w:rsidR="009470A5" w:rsidRPr="009470A5" w:rsidRDefault="009470A5" w:rsidP="009470A5">
            <w:pPr>
              <w:pStyle w:val="ESTablebody"/>
              <w:rPr>
                <w:rFonts w:ascii="Calibri" w:hAnsi="Calibri" w:cs="Calibri"/>
                <w:sz w:val="18"/>
                <w:lang w:val="en-AU"/>
              </w:rPr>
            </w:pPr>
            <w:r w:rsidRPr="009470A5">
              <w:rPr>
                <w:rFonts w:ascii="Calibri" w:hAnsi="Calibri" w:cs="Calibri"/>
                <w:sz w:val="18"/>
              </w:rPr>
              <w:t>ERC met four times in 2021–22 to consider and approve executive remuneration outcomes following the application of the annual executive remuneration review and ad hoc reviews. It provided a budget forecast of expenditure on executive salaries and forecast changes to the executive profile in the department. ERC also monitored the executive rotation program and contract renewals.</w:t>
            </w:r>
          </w:p>
        </w:tc>
      </w:tr>
      <w:tr w:rsidR="009470A5" w:rsidRPr="00B85B32" w14:paraId="33C1F3EF"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0E9F4D05" w14:textId="0D85E52F" w:rsidR="009470A5" w:rsidRPr="009470A5" w:rsidRDefault="009470A5" w:rsidP="009470A5">
            <w:pPr>
              <w:pStyle w:val="ESTablebody"/>
              <w:rPr>
                <w:rFonts w:ascii="Calibri" w:hAnsi="Calibri" w:cs="Calibri"/>
                <w:sz w:val="18"/>
              </w:rPr>
            </w:pPr>
            <w:r w:rsidRPr="009470A5">
              <w:rPr>
                <w:rFonts w:ascii="Calibri" w:hAnsi="Calibri" w:cs="Calibri"/>
                <w:sz w:val="18"/>
              </w:rPr>
              <w:t>Government Schools Reform Committee (GSRC)</w:t>
            </w:r>
          </w:p>
        </w:tc>
        <w:tc>
          <w:tcPr>
            <w:tcW w:w="3422" w:type="dxa"/>
            <w:tcBorders>
              <w:top w:val="single" w:sz="4" w:space="0" w:color="53565A" w:themeColor="accent5"/>
              <w:bottom w:val="single" w:sz="4" w:space="0" w:color="53565A" w:themeColor="accent5"/>
            </w:tcBorders>
          </w:tcPr>
          <w:p w14:paraId="105A6A1F" w14:textId="6ACB6B95" w:rsidR="009470A5" w:rsidRPr="009470A5" w:rsidRDefault="009470A5" w:rsidP="009470A5">
            <w:pPr>
              <w:pStyle w:val="ESTablebody"/>
              <w:rPr>
                <w:rFonts w:ascii="Calibri" w:hAnsi="Calibri" w:cs="Calibri"/>
                <w:sz w:val="18"/>
                <w:lang w:val="en-AU"/>
              </w:rPr>
            </w:pPr>
            <w:r w:rsidRPr="009470A5">
              <w:rPr>
                <w:rFonts w:ascii="Calibri" w:hAnsi="Calibri" w:cs="Calibri"/>
                <w:sz w:val="18"/>
              </w:rPr>
              <w:t xml:space="preserve">GSRC advises EB on government schools reform from policy design to implementation and evaluation. It also provides strategic oversight of significant reform activities. </w:t>
            </w:r>
          </w:p>
        </w:tc>
        <w:tc>
          <w:tcPr>
            <w:tcW w:w="3566" w:type="dxa"/>
            <w:tcBorders>
              <w:top w:val="single" w:sz="4" w:space="0" w:color="53565A" w:themeColor="accent5"/>
              <w:bottom w:val="single" w:sz="4" w:space="0" w:color="53565A" w:themeColor="accent5"/>
            </w:tcBorders>
          </w:tcPr>
          <w:p w14:paraId="77A5EEAA" w14:textId="18EB2E63" w:rsidR="009470A5" w:rsidRPr="009470A5" w:rsidRDefault="009470A5" w:rsidP="009470A5">
            <w:pPr>
              <w:pStyle w:val="ESTablebody"/>
              <w:rPr>
                <w:rFonts w:ascii="Calibri" w:hAnsi="Calibri" w:cs="Calibri"/>
                <w:sz w:val="18"/>
                <w:lang w:val="en-AU"/>
              </w:rPr>
            </w:pPr>
            <w:r w:rsidRPr="009470A5">
              <w:rPr>
                <w:rFonts w:ascii="Calibri" w:hAnsi="Calibri" w:cs="Calibri"/>
                <w:sz w:val="18"/>
              </w:rPr>
              <w:t xml:space="preserve">GSRC met weekly in 2021 and fortnightly in 2022 and provided strategic oversight of significant government school reform activities occurring across the department. Key areas of consideration were policy reform, program and project oversight, and data monitoring and evaluations to inform system improvement. GSRC supported progress on priority areas for reform, including mental health and wellbeing, school improvement, workforce, the needs of diverse student cohorts and emerging risks and opportunities in schools. </w:t>
            </w:r>
          </w:p>
        </w:tc>
      </w:tr>
      <w:tr w:rsidR="009470A5" w:rsidRPr="00B85B32" w14:paraId="131F8508"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142A49B1" w14:textId="3DD3C044" w:rsidR="009470A5" w:rsidRPr="009470A5" w:rsidRDefault="009470A5" w:rsidP="009470A5">
            <w:pPr>
              <w:pStyle w:val="ESTablebody"/>
              <w:rPr>
                <w:rFonts w:ascii="Calibri" w:hAnsi="Calibri" w:cs="Calibri"/>
                <w:sz w:val="18"/>
                <w:lang w:val="en-AU"/>
              </w:rPr>
            </w:pPr>
            <w:r w:rsidRPr="009470A5">
              <w:rPr>
                <w:rFonts w:ascii="Calibri" w:hAnsi="Calibri" w:cs="Calibri"/>
                <w:sz w:val="18"/>
              </w:rPr>
              <w:t>Information Management and Technology Committee (IMTC)</w:t>
            </w:r>
          </w:p>
        </w:tc>
        <w:tc>
          <w:tcPr>
            <w:tcW w:w="3422" w:type="dxa"/>
            <w:tcBorders>
              <w:top w:val="single" w:sz="4" w:space="0" w:color="53565A" w:themeColor="accent5"/>
              <w:bottom w:val="single" w:sz="4" w:space="0" w:color="53565A" w:themeColor="accent5"/>
            </w:tcBorders>
          </w:tcPr>
          <w:p w14:paraId="3559CD63" w14:textId="7F83B9D4" w:rsidR="009470A5" w:rsidRPr="009470A5" w:rsidRDefault="009470A5" w:rsidP="009470A5">
            <w:pPr>
              <w:pStyle w:val="ESTablebody"/>
              <w:rPr>
                <w:rFonts w:ascii="Calibri" w:hAnsi="Calibri" w:cs="Calibri"/>
                <w:sz w:val="18"/>
                <w:lang w:val="en-AU" w:eastAsia="en-AU"/>
              </w:rPr>
            </w:pPr>
            <w:r w:rsidRPr="009470A5">
              <w:rPr>
                <w:rFonts w:ascii="Calibri" w:hAnsi="Calibri" w:cs="Calibri"/>
                <w:sz w:val="18"/>
                <w:lang w:val="en-AU"/>
              </w:rPr>
              <w:t>IMTC advises EB on priorities relating to information management and technology (IMT) matters and provides oversight and decision-making authority on the department’s IMT business objectives. IMTC ensures that departmental information systems are compliant with relevant legislation and standards, including the Victorian Government Information and Communication Technology Governance Framework.</w:t>
            </w:r>
          </w:p>
        </w:tc>
        <w:tc>
          <w:tcPr>
            <w:tcW w:w="3566" w:type="dxa"/>
            <w:tcBorders>
              <w:top w:val="single" w:sz="4" w:space="0" w:color="53565A" w:themeColor="accent5"/>
              <w:bottom w:val="single" w:sz="4" w:space="0" w:color="53565A" w:themeColor="accent5"/>
            </w:tcBorders>
          </w:tcPr>
          <w:p w14:paraId="7B7D0501" w14:textId="77777777"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IMTC met monthly and provided strategic oversight of the department’s IMT priorities. This oversight included monitoring the implementation of all major IMT projects to ensure that risks were managed appropriately and in accordance with the directions of the department and the Victorian Government.</w:t>
            </w:r>
          </w:p>
          <w:p w14:paraId="343FEACD" w14:textId="0635F579"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 xml:space="preserve">Its key activities included overseeing the corporate ICT platforms, monitoring cyber security policies, programs, </w:t>
            </w:r>
            <w:proofErr w:type="gramStart"/>
            <w:r w:rsidRPr="009470A5">
              <w:rPr>
                <w:rFonts w:ascii="Calibri" w:hAnsi="Calibri" w:cs="Calibri"/>
                <w:sz w:val="18"/>
                <w:lang w:val="en-AU"/>
              </w:rPr>
              <w:t>standards</w:t>
            </w:r>
            <w:proofErr w:type="gramEnd"/>
            <w:r w:rsidRPr="009470A5">
              <w:rPr>
                <w:rFonts w:ascii="Calibri" w:hAnsi="Calibri" w:cs="Calibri"/>
                <w:sz w:val="18"/>
                <w:lang w:val="en-AU"/>
              </w:rPr>
              <w:t xml:space="preserve"> and incidents, and considering strategies and policies in relation to information management, digital integration and digital in schools.</w:t>
            </w:r>
          </w:p>
        </w:tc>
      </w:tr>
      <w:tr w:rsidR="009470A5" w:rsidRPr="00B85B32" w14:paraId="2F65C928"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3B3F2D1E" w14:textId="5F16CB0B" w:rsidR="009470A5" w:rsidRPr="009470A5" w:rsidRDefault="009470A5" w:rsidP="009470A5">
            <w:pPr>
              <w:pStyle w:val="ESTablebody"/>
              <w:rPr>
                <w:rFonts w:ascii="Calibri" w:hAnsi="Calibri" w:cs="Calibri"/>
                <w:sz w:val="18"/>
                <w:lang w:val="en-AU"/>
              </w:rPr>
            </w:pPr>
            <w:r w:rsidRPr="009470A5">
              <w:rPr>
                <w:rFonts w:ascii="Calibri" w:hAnsi="Calibri" w:cs="Calibri"/>
                <w:sz w:val="18"/>
              </w:rPr>
              <w:t>Infrastructure Planning and Delivery Committee (IPDC)</w:t>
            </w:r>
          </w:p>
        </w:tc>
        <w:tc>
          <w:tcPr>
            <w:tcW w:w="3422" w:type="dxa"/>
            <w:tcBorders>
              <w:top w:val="single" w:sz="4" w:space="0" w:color="53565A" w:themeColor="accent5"/>
              <w:bottom w:val="single" w:sz="4" w:space="0" w:color="53565A" w:themeColor="accent5"/>
            </w:tcBorders>
          </w:tcPr>
          <w:p w14:paraId="087845A8" w14:textId="77777777" w:rsidR="009470A5" w:rsidRPr="009470A5" w:rsidRDefault="009470A5" w:rsidP="009470A5">
            <w:pPr>
              <w:pStyle w:val="ESTablebody"/>
              <w:rPr>
                <w:rFonts w:ascii="Calibri" w:eastAsiaTheme="minorHAnsi" w:hAnsi="Calibri" w:cs="Calibri"/>
                <w:color w:val="000000"/>
                <w:sz w:val="18"/>
                <w:lang w:val="en-AU"/>
              </w:rPr>
            </w:pPr>
            <w:r w:rsidRPr="009470A5">
              <w:rPr>
                <w:rFonts w:ascii="Calibri" w:eastAsiaTheme="minorHAnsi" w:hAnsi="Calibri" w:cs="Calibri"/>
                <w:color w:val="000000"/>
                <w:sz w:val="18"/>
                <w:lang w:val="en-AU"/>
              </w:rPr>
              <w:t xml:space="preserve">IPDC provides assurance to EB that the department has a robust framework for developing and implementing infrastructure delivery, and managing strategic development, </w:t>
            </w:r>
            <w:proofErr w:type="gramStart"/>
            <w:r w:rsidRPr="009470A5">
              <w:rPr>
                <w:rFonts w:ascii="Calibri" w:eastAsiaTheme="minorHAnsi" w:hAnsi="Calibri" w:cs="Calibri"/>
                <w:color w:val="000000"/>
                <w:sz w:val="18"/>
                <w:lang w:val="en-AU"/>
              </w:rPr>
              <w:t>implementation</w:t>
            </w:r>
            <w:proofErr w:type="gramEnd"/>
            <w:r w:rsidRPr="009470A5">
              <w:rPr>
                <w:rFonts w:ascii="Calibri" w:eastAsiaTheme="minorHAnsi" w:hAnsi="Calibri" w:cs="Calibri"/>
                <w:color w:val="000000"/>
                <w:sz w:val="18"/>
                <w:lang w:val="en-AU"/>
              </w:rPr>
              <w:t xml:space="preserve"> and delivery of departmental physical assets. </w:t>
            </w:r>
          </w:p>
          <w:p w14:paraId="01B2ADFF" w14:textId="0914FDA6" w:rsidR="009470A5" w:rsidRPr="009470A5" w:rsidRDefault="009470A5" w:rsidP="009470A5">
            <w:pPr>
              <w:pStyle w:val="ESTablebody"/>
              <w:rPr>
                <w:rFonts w:ascii="Calibri" w:hAnsi="Calibri" w:cs="Calibri"/>
                <w:sz w:val="18"/>
                <w:lang w:val="en-AU"/>
              </w:rPr>
            </w:pPr>
            <w:r w:rsidRPr="009470A5">
              <w:rPr>
                <w:rFonts w:ascii="Calibri" w:eastAsiaTheme="minorHAnsi" w:hAnsi="Calibri" w:cs="Calibri"/>
                <w:color w:val="000000"/>
                <w:sz w:val="18"/>
                <w:lang w:val="en-AU"/>
              </w:rPr>
              <w:t>IPDC fulfils this role by approving and overseeing the infrastructure planning and implementation components of the Education State reform agenda.</w:t>
            </w:r>
          </w:p>
        </w:tc>
        <w:tc>
          <w:tcPr>
            <w:tcW w:w="3566" w:type="dxa"/>
            <w:tcBorders>
              <w:top w:val="single" w:sz="4" w:space="0" w:color="53565A" w:themeColor="accent5"/>
              <w:bottom w:val="single" w:sz="4" w:space="0" w:color="53565A" w:themeColor="accent5"/>
            </w:tcBorders>
          </w:tcPr>
          <w:p w14:paraId="055384F4" w14:textId="74F533F0"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 xml:space="preserve">IPDC met monthly and provided strategic oversight of the development and implementation of the department’s infrastructure and planning strategies across all education portfolios. It focused on the impacts of COVID-19 on </w:t>
            </w:r>
            <w:r w:rsidR="00506148">
              <w:rPr>
                <w:rFonts w:ascii="Calibri" w:hAnsi="Calibri" w:cs="Calibri"/>
                <w:sz w:val="18"/>
                <w:lang w:val="en-AU"/>
              </w:rPr>
              <w:t>g</w:t>
            </w:r>
            <w:r w:rsidRPr="009470A5">
              <w:rPr>
                <w:rFonts w:ascii="Calibri" w:hAnsi="Calibri" w:cs="Calibri"/>
                <w:sz w:val="18"/>
                <w:lang w:val="en-AU"/>
              </w:rPr>
              <w:t xml:space="preserve">overnment </w:t>
            </w:r>
            <w:r w:rsidR="00506148">
              <w:rPr>
                <w:rFonts w:ascii="Calibri" w:hAnsi="Calibri" w:cs="Calibri"/>
                <w:sz w:val="18"/>
                <w:lang w:val="en-AU"/>
              </w:rPr>
              <w:t>s</w:t>
            </w:r>
            <w:r w:rsidRPr="009470A5">
              <w:rPr>
                <w:rFonts w:ascii="Calibri" w:hAnsi="Calibri" w:cs="Calibri"/>
                <w:sz w:val="18"/>
                <w:lang w:val="en-AU"/>
              </w:rPr>
              <w:t>chool enrolments, corporate office workforce priorities, an opt-in centralised model of Essential Safety Measures and on the Climate Change Adaptation Action Plan.</w:t>
            </w:r>
          </w:p>
          <w:p w14:paraId="5B9CF4BC" w14:textId="7020283B"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Its key activities included improving the approval process for school reorganisation proposals, updating the capital investment strategy, overseeing specialist school operations and provision reform, and monitoring key actions and deliverables under the Asset Strategy.</w:t>
            </w:r>
          </w:p>
        </w:tc>
      </w:tr>
      <w:tr w:rsidR="009470A5" w:rsidRPr="00B85B32" w14:paraId="16552FA5"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6EE2DCD8" w14:textId="1CB443FD" w:rsidR="009470A5" w:rsidRPr="009470A5" w:rsidRDefault="009470A5" w:rsidP="009470A5">
            <w:pPr>
              <w:pStyle w:val="ESTablebody"/>
              <w:rPr>
                <w:rFonts w:ascii="Calibri" w:hAnsi="Calibri" w:cs="Calibri"/>
                <w:iCs/>
                <w:sz w:val="18"/>
              </w:rPr>
            </w:pPr>
            <w:r w:rsidRPr="009470A5">
              <w:rPr>
                <w:rFonts w:ascii="Calibri" w:hAnsi="Calibri" w:cs="Calibri"/>
                <w:sz w:val="18"/>
              </w:rPr>
              <w:t>Integrity Committee (IC)</w:t>
            </w:r>
          </w:p>
        </w:tc>
        <w:tc>
          <w:tcPr>
            <w:tcW w:w="3422" w:type="dxa"/>
            <w:tcBorders>
              <w:top w:val="single" w:sz="4" w:space="0" w:color="53565A" w:themeColor="accent5"/>
              <w:bottom w:val="single" w:sz="4" w:space="0" w:color="53565A" w:themeColor="accent5"/>
            </w:tcBorders>
          </w:tcPr>
          <w:p w14:paraId="4AA111C2" w14:textId="77777777" w:rsidR="009470A5" w:rsidRPr="009470A5" w:rsidRDefault="009470A5" w:rsidP="009470A5">
            <w:pPr>
              <w:pStyle w:val="ESTablebody"/>
              <w:rPr>
                <w:rFonts w:ascii="Calibri" w:hAnsi="Calibri" w:cs="Calibri"/>
                <w:sz w:val="18"/>
              </w:rPr>
            </w:pPr>
            <w:r w:rsidRPr="009470A5">
              <w:rPr>
                <w:rFonts w:ascii="Calibri" w:hAnsi="Calibri" w:cs="Calibri"/>
                <w:sz w:val="18"/>
              </w:rPr>
              <w:t xml:space="preserve">IC provided assurance to the Secretary that the department has a robust framework for managing integrity risks and lifting integrity performance. IC fulfilled this role by approving and overseeing the development and delivery of integrity reforms which strengthen the department’s 3 lines of </w:t>
            </w:r>
            <w:proofErr w:type="spellStart"/>
            <w:r w:rsidRPr="009470A5">
              <w:rPr>
                <w:rFonts w:ascii="Calibri" w:hAnsi="Calibri" w:cs="Calibri"/>
                <w:sz w:val="18"/>
              </w:rPr>
              <w:t>defence</w:t>
            </w:r>
            <w:proofErr w:type="spellEnd"/>
            <w:r w:rsidRPr="009470A5">
              <w:rPr>
                <w:rFonts w:ascii="Calibri" w:hAnsi="Calibri" w:cs="Calibri"/>
                <w:sz w:val="18"/>
              </w:rPr>
              <w:t xml:space="preserve"> for risk management.</w:t>
            </w:r>
          </w:p>
          <w:p w14:paraId="203318F1" w14:textId="470CF14E" w:rsidR="009470A5" w:rsidRPr="009470A5" w:rsidRDefault="009470A5" w:rsidP="009470A5">
            <w:pPr>
              <w:pStyle w:val="ESTablebody"/>
              <w:rPr>
                <w:rFonts w:ascii="Calibri" w:hAnsi="Calibri" w:cs="Calibri"/>
                <w:sz w:val="18"/>
              </w:rPr>
            </w:pPr>
            <w:r w:rsidRPr="009470A5">
              <w:rPr>
                <w:rFonts w:ascii="Calibri" w:hAnsi="Calibri" w:cs="Calibri"/>
                <w:sz w:val="18"/>
              </w:rPr>
              <w:t>The role of IC included lead</w:t>
            </w:r>
            <w:r w:rsidR="00506148">
              <w:rPr>
                <w:rFonts w:ascii="Calibri" w:hAnsi="Calibri" w:cs="Calibri"/>
                <w:sz w:val="18"/>
              </w:rPr>
              <w:t>ing</w:t>
            </w:r>
            <w:r w:rsidRPr="009470A5">
              <w:rPr>
                <w:rFonts w:ascii="Calibri" w:hAnsi="Calibri" w:cs="Calibri"/>
                <w:sz w:val="18"/>
              </w:rPr>
              <w:t xml:space="preserve"> the department’s efforts to strive for the highest standards of integrity and public trust.</w:t>
            </w:r>
          </w:p>
          <w:p w14:paraId="0FC774E9" w14:textId="6350AABE" w:rsidR="009470A5" w:rsidRPr="009470A5" w:rsidRDefault="009470A5" w:rsidP="009470A5">
            <w:pPr>
              <w:pStyle w:val="ESTablebody"/>
              <w:rPr>
                <w:rFonts w:ascii="Calibri" w:hAnsi="Calibri" w:cs="Calibri"/>
                <w:sz w:val="18"/>
              </w:rPr>
            </w:pPr>
            <w:r w:rsidRPr="009470A5">
              <w:rPr>
                <w:rFonts w:ascii="Calibri" w:hAnsi="Calibri" w:cs="Calibri"/>
                <w:sz w:val="18"/>
                <w:lang w:val="en-AU"/>
              </w:rPr>
              <w:t>In relation to the department’s portfolio entities, the TAFE sector, and funded services, IC undertook a stewardship role that reflected the department’s governance responsibilities and operational relationships with these bodies.</w:t>
            </w:r>
          </w:p>
        </w:tc>
        <w:tc>
          <w:tcPr>
            <w:tcW w:w="3566" w:type="dxa"/>
            <w:tcBorders>
              <w:top w:val="single" w:sz="4" w:space="0" w:color="53565A" w:themeColor="accent5"/>
              <w:bottom w:val="single" w:sz="4" w:space="0" w:color="53565A" w:themeColor="accent5"/>
            </w:tcBorders>
          </w:tcPr>
          <w:p w14:paraId="28B32905" w14:textId="77777777"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IC met quarterly until December 2021. It oversaw the implementation of the department’s three</w:t>
            </w:r>
            <w:r w:rsidRPr="009470A5">
              <w:rPr>
                <w:rFonts w:ascii="Calibri" w:hAnsi="Calibri" w:cs="Calibri"/>
                <w:sz w:val="18"/>
                <w:lang w:val="en-AU"/>
              </w:rPr>
              <w:noBreakHyphen/>
              <w:t xml:space="preserve">year Integrity Strategy, ensuring ongoing strategic focus on integrity reform. </w:t>
            </w:r>
          </w:p>
          <w:p w14:paraId="7C39712A" w14:textId="77777777"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IC continued to oversee integrity risk management and drive improvement in integrity performance.</w:t>
            </w:r>
          </w:p>
          <w:p w14:paraId="42B75BFB" w14:textId="77777777" w:rsidR="009470A5" w:rsidRPr="009470A5" w:rsidRDefault="009470A5" w:rsidP="009470A5">
            <w:pPr>
              <w:pStyle w:val="ESTablebody"/>
              <w:rPr>
                <w:rFonts w:ascii="Calibri" w:hAnsi="Calibri" w:cs="Calibri"/>
                <w:sz w:val="18"/>
                <w:lang w:val="en-AU"/>
              </w:rPr>
            </w:pPr>
            <w:r w:rsidRPr="009470A5">
              <w:rPr>
                <w:rFonts w:ascii="Calibri" w:hAnsi="Calibri" w:cs="Calibri"/>
                <w:sz w:val="18"/>
                <w:lang w:val="en-AU"/>
              </w:rPr>
              <w:t>In December 2021, IC was disbanded in recognition of the department’s mature approach to managing integrity risk. Its main functions were transferred to other departmental governance committees, including:</w:t>
            </w:r>
          </w:p>
          <w:p w14:paraId="0F50929D" w14:textId="407E2944" w:rsidR="009470A5" w:rsidRPr="009470A5" w:rsidRDefault="00506148" w:rsidP="009470A5">
            <w:pPr>
              <w:pStyle w:val="ListParagraph"/>
              <w:numPr>
                <w:ilvl w:val="0"/>
                <w:numId w:val="34"/>
              </w:numPr>
              <w:rPr>
                <w:rFonts w:ascii="Calibri" w:hAnsi="Calibri" w:cs="Calibri"/>
                <w:sz w:val="18"/>
                <w:szCs w:val="18"/>
                <w:lang w:val="en-AU"/>
              </w:rPr>
            </w:pPr>
            <w:r>
              <w:rPr>
                <w:rFonts w:ascii="Calibri" w:hAnsi="Calibri" w:cs="Calibri"/>
                <w:sz w:val="18"/>
                <w:szCs w:val="18"/>
                <w:lang w:val="en-AU"/>
              </w:rPr>
              <w:t>k</w:t>
            </w:r>
            <w:r w:rsidR="009470A5" w:rsidRPr="009470A5">
              <w:rPr>
                <w:rFonts w:ascii="Calibri" w:hAnsi="Calibri" w:cs="Calibri"/>
                <w:sz w:val="18"/>
                <w:szCs w:val="18"/>
                <w:lang w:val="en-AU"/>
              </w:rPr>
              <w:t xml:space="preserve">ey integrity risk functions moving to EB </w:t>
            </w:r>
          </w:p>
          <w:p w14:paraId="33426CD0" w14:textId="3C079C67" w:rsidR="009470A5" w:rsidRPr="005364A5" w:rsidRDefault="00506148" w:rsidP="005364A5">
            <w:pPr>
              <w:pStyle w:val="ListParagraph"/>
              <w:numPr>
                <w:ilvl w:val="0"/>
                <w:numId w:val="34"/>
              </w:numPr>
              <w:spacing w:after="120"/>
              <w:ind w:left="357" w:hanging="357"/>
              <w:contextualSpacing w:val="0"/>
              <w:rPr>
                <w:rFonts w:ascii="Calibri" w:hAnsi="Calibri" w:cs="Calibri"/>
                <w:sz w:val="18"/>
                <w:szCs w:val="18"/>
                <w:lang w:val="en-AU"/>
              </w:rPr>
            </w:pPr>
            <w:r>
              <w:rPr>
                <w:rFonts w:ascii="Calibri" w:hAnsi="Calibri" w:cs="Calibri"/>
                <w:sz w:val="18"/>
                <w:szCs w:val="18"/>
                <w:lang w:val="en-AU"/>
              </w:rPr>
              <w:t>k</w:t>
            </w:r>
            <w:r w:rsidR="009470A5" w:rsidRPr="009470A5">
              <w:rPr>
                <w:rFonts w:ascii="Calibri" w:hAnsi="Calibri" w:cs="Calibri"/>
                <w:sz w:val="18"/>
                <w:szCs w:val="18"/>
                <w:lang w:val="en-AU"/>
              </w:rPr>
              <w:t>ey integrity policy functions moving to the Culture and People Committee, which became CPIC.</w:t>
            </w:r>
          </w:p>
        </w:tc>
      </w:tr>
      <w:tr w:rsidR="009470A5" w:rsidRPr="00B85B32" w14:paraId="3B9736B3" w14:textId="77777777" w:rsidTr="009470A5">
        <w:trPr>
          <w:cantSplit/>
          <w:trHeight w:val="227"/>
        </w:trPr>
        <w:tc>
          <w:tcPr>
            <w:tcW w:w="1851" w:type="dxa"/>
            <w:tcBorders>
              <w:top w:val="single" w:sz="4" w:space="0" w:color="53565A" w:themeColor="accent5"/>
              <w:bottom w:val="single" w:sz="4" w:space="0" w:color="53565A" w:themeColor="accent5"/>
            </w:tcBorders>
            <w:shd w:val="clear" w:color="auto" w:fill="auto"/>
          </w:tcPr>
          <w:p w14:paraId="5D119CBD" w14:textId="49AFB337" w:rsidR="009470A5" w:rsidRPr="009470A5" w:rsidRDefault="009470A5" w:rsidP="009470A5">
            <w:pPr>
              <w:pStyle w:val="ESTablebody"/>
              <w:rPr>
                <w:rFonts w:ascii="Calibri" w:hAnsi="Calibri" w:cs="Calibri"/>
                <w:iCs/>
                <w:sz w:val="18"/>
              </w:rPr>
            </w:pPr>
            <w:r w:rsidRPr="009470A5">
              <w:rPr>
                <w:rFonts w:ascii="Calibri" w:hAnsi="Calibri" w:cs="Calibri"/>
                <w:sz w:val="18"/>
              </w:rPr>
              <w:t>Procurement and Probity Committee (PPC)</w:t>
            </w:r>
          </w:p>
        </w:tc>
        <w:tc>
          <w:tcPr>
            <w:tcW w:w="3422" w:type="dxa"/>
            <w:tcBorders>
              <w:top w:val="single" w:sz="4" w:space="0" w:color="53565A" w:themeColor="accent5"/>
              <w:bottom w:val="single" w:sz="4" w:space="0" w:color="53565A" w:themeColor="accent5"/>
            </w:tcBorders>
          </w:tcPr>
          <w:p w14:paraId="747B2BC7" w14:textId="16E5F288" w:rsidR="009470A5" w:rsidRPr="009470A5" w:rsidRDefault="009470A5" w:rsidP="009470A5">
            <w:pPr>
              <w:pStyle w:val="ESTablebody"/>
              <w:rPr>
                <w:rFonts w:ascii="Calibri" w:hAnsi="Calibri" w:cs="Calibri"/>
                <w:sz w:val="18"/>
              </w:rPr>
            </w:pPr>
            <w:r w:rsidRPr="009470A5">
              <w:rPr>
                <w:rFonts w:ascii="Calibri" w:hAnsi="Calibri" w:cs="Calibri"/>
                <w:sz w:val="18"/>
              </w:rPr>
              <w:t xml:space="preserve">PPC provides strategic oversight of the department’s procurement activities to ensure appropriate </w:t>
            </w:r>
            <w:r w:rsidRPr="009470A5">
              <w:rPr>
                <w:rFonts w:ascii="Calibri" w:hAnsi="Calibri" w:cs="Calibri"/>
                <w:sz w:val="18"/>
                <w:lang w:val="en-AU"/>
              </w:rPr>
              <w:t>rigour</w:t>
            </w:r>
            <w:r w:rsidRPr="009470A5">
              <w:rPr>
                <w:rFonts w:ascii="Calibri" w:hAnsi="Calibri" w:cs="Calibri"/>
                <w:sz w:val="18"/>
              </w:rPr>
              <w:t xml:space="preserve"> is exercised in accordance with the department’s procurement policy. In doing so, the PPC supports the Secretary’s obligations under the Victorian Government Purchasing Board </w:t>
            </w:r>
            <w:r w:rsidR="00506148">
              <w:rPr>
                <w:rFonts w:ascii="Calibri" w:hAnsi="Calibri" w:cs="Calibri"/>
                <w:sz w:val="18"/>
              </w:rPr>
              <w:t xml:space="preserve">(VGPB) </w:t>
            </w:r>
            <w:r w:rsidRPr="009470A5">
              <w:rPr>
                <w:rFonts w:ascii="Calibri" w:hAnsi="Calibri" w:cs="Calibri"/>
                <w:sz w:val="18"/>
              </w:rPr>
              <w:t xml:space="preserve">supply policies and the </w:t>
            </w:r>
            <w:r w:rsidR="00506148">
              <w:rPr>
                <w:rFonts w:ascii="Calibri" w:hAnsi="Calibri" w:cs="Calibri"/>
                <w:sz w:val="18"/>
              </w:rPr>
              <w:t>FM</w:t>
            </w:r>
            <w:r w:rsidRPr="009470A5">
              <w:rPr>
                <w:rFonts w:ascii="Calibri" w:hAnsi="Calibri" w:cs="Calibri"/>
                <w:sz w:val="18"/>
              </w:rPr>
              <w:t xml:space="preserve"> Act. </w:t>
            </w:r>
          </w:p>
          <w:p w14:paraId="0F2EBA8F" w14:textId="0AA3065E" w:rsidR="009470A5" w:rsidRPr="009470A5" w:rsidRDefault="009470A5" w:rsidP="009470A5">
            <w:pPr>
              <w:pStyle w:val="ESTablebody"/>
              <w:rPr>
                <w:rFonts w:ascii="Calibri" w:hAnsi="Calibri" w:cs="Calibri"/>
                <w:sz w:val="18"/>
              </w:rPr>
            </w:pPr>
            <w:r w:rsidRPr="009470A5">
              <w:rPr>
                <w:rFonts w:ascii="Calibri" w:hAnsi="Calibri" w:cs="Calibri"/>
                <w:sz w:val="18"/>
              </w:rPr>
              <w:t xml:space="preserve">PPC also considers procurement activities of portfolio entities that have adopted the department’s procurement framework.  This includes the VCAA, VRQA, Victorian Skills Authority, Victorian Academy of Teaching and Learning, the </w:t>
            </w:r>
            <w:r w:rsidR="00506148">
              <w:rPr>
                <w:rFonts w:ascii="Calibri" w:hAnsi="Calibri" w:cs="Calibri"/>
                <w:sz w:val="18"/>
              </w:rPr>
              <w:t>Adult Community and Further Education (</w:t>
            </w:r>
            <w:r w:rsidRPr="009470A5">
              <w:rPr>
                <w:rFonts w:ascii="Calibri" w:hAnsi="Calibri" w:cs="Calibri"/>
                <w:sz w:val="18"/>
              </w:rPr>
              <w:t>ACFE</w:t>
            </w:r>
            <w:r w:rsidR="00506148">
              <w:rPr>
                <w:rFonts w:ascii="Calibri" w:hAnsi="Calibri" w:cs="Calibri"/>
                <w:sz w:val="18"/>
              </w:rPr>
              <w:t>)</w:t>
            </w:r>
            <w:r w:rsidRPr="009470A5">
              <w:rPr>
                <w:rFonts w:ascii="Calibri" w:hAnsi="Calibri" w:cs="Calibri"/>
                <w:sz w:val="18"/>
              </w:rPr>
              <w:t xml:space="preserve"> Board and the Merit Protection Boards. PPC does not consider procurement related to construction or property.</w:t>
            </w:r>
          </w:p>
        </w:tc>
        <w:tc>
          <w:tcPr>
            <w:tcW w:w="3566" w:type="dxa"/>
            <w:tcBorders>
              <w:top w:val="single" w:sz="4" w:space="0" w:color="53565A" w:themeColor="accent5"/>
              <w:bottom w:val="single" w:sz="4" w:space="0" w:color="53565A" w:themeColor="accent5"/>
            </w:tcBorders>
          </w:tcPr>
          <w:p w14:paraId="4E8458EA" w14:textId="77777777" w:rsidR="009470A5" w:rsidRPr="009470A5" w:rsidRDefault="009470A5" w:rsidP="009470A5">
            <w:pPr>
              <w:pStyle w:val="ESTablebody"/>
              <w:keepLines/>
              <w:rPr>
                <w:rFonts w:ascii="Calibri" w:hAnsi="Calibri" w:cs="Calibri"/>
                <w:sz w:val="18"/>
              </w:rPr>
            </w:pPr>
            <w:r w:rsidRPr="009470A5">
              <w:rPr>
                <w:rFonts w:ascii="Calibri" w:hAnsi="Calibri" w:cs="Calibri"/>
                <w:sz w:val="18"/>
              </w:rPr>
              <w:t>PPC met monthly. It considered 81 requests for approval, either to approach the market or to engage a recommended supplier, relating to high-value procurement activities in 2021–22.</w:t>
            </w:r>
          </w:p>
          <w:p w14:paraId="3AA73489" w14:textId="77D23CFE" w:rsidR="009470A5" w:rsidRPr="009470A5" w:rsidRDefault="009470A5" w:rsidP="009470A5">
            <w:pPr>
              <w:pStyle w:val="ESTablebody"/>
              <w:rPr>
                <w:rFonts w:ascii="Calibri" w:hAnsi="Calibri" w:cs="Calibri"/>
                <w:sz w:val="18"/>
              </w:rPr>
            </w:pPr>
            <w:r w:rsidRPr="009470A5">
              <w:rPr>
                <w:rFonts w:ascii="Calibri" w:hAnsi="Calibri" w:cs="Calibri"/>
                <w:sz w:val="18"/>
                <w:lang w:val="en-GB"/>
              </w:rPr>
              <w:t>PPC hosted a VGPB member at its March 2022 meeting, who provided an overview of the VGPB’s current strategic priorities and activities. This included discussing the VGPB policy framework expansion to more portfolio entities, the importance of centralisation, stakeholder engagement and the enhancing of data systems.</w:t>
            </w:r>
          </w:p>
        </w:tc>
      </w:tr>
    </w:tbl>
    <w:p w14:paraId="581025CF" w14:textId="5B308733" w:rsidR="008D52F6" w:rsidRPr="00B85B32" w:rsidRDefault="008D52F6" w:rsidP="00343610">
      <w:pPr>
        <w:rPr>
          <w:rFonts w:ascii="Calibri" w:hAnsi="Calibri" w:cs="Calibri"/>
        </w:rPr>
      </w:pPr>
    </w:p>
    <w:p w14:paraId="3E77DE9A" w14:textId="5FA0C356" w:rsidR="00343610" w:rsidRPr="00B85B32" w:rsidRDefault="00343610" w:rsidP="00343610">
      <w:pPr>
        <w:pStyle w:val="ESTableintroheading"/>
        <w:rPr>
          <w:rFonts w:ascii="Calibri" w:hAnsi="Calibri" w:cs="Calibri"/>
        </w:rPr>
      </w:pPr>
      <w:r w:rsidRPr="00B85B32">
        <w:rPr>
          <w:rFonts w:ascii="Calibri" w:hAnsi="Calibri" w:cs="Calibri"/>
        </w:rPr>
        <w:t xml:space="preserve">Major </w:t>
      </w:r>
      <w:r w:rsidR="00895C8B" w:rsidRPr="00B85B32">
        <w:rPr>
          <w:rFonts w:ascii="Calibri" w:hAnsi="Calibri" w:cs="Calibri"/>
        </w:rPr>
        <w:t xml:space="preserve">departmental </w:t>
      </w:r>
      <w:r w:rsidRPr="00B85B32">
        <w:rPr>
          <w:rFonts w:ascii="Calibri" w:hAnsi="Calibri" w:cs="Calibri"/>
        </w:rPr>
        <w:t>project</w:t>
      </w:r>
      <w:r w:rsidR="001F4896">
        <w:rPr>
          <w:rFonts w:ascii="Calibri" w:hAnsi="Calibri" w:cs="Calibri"/>
        </w:rPr>
        <w:t xml:space="preserve"> and </w:t>
      </w:r>
      <w:r w:rsidRPr="00B85B32">
        <w:rPr>
          <w:rFonts w:ascii="Calibri" w:hAnsi="Calibri" w:cs="Calibri"/>
        </w:rPr>
        <w:t>operational committees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Committee, Purpose, Extent of purpose achieved"/>
      </w:tblPr>
      <w:tblGrid>
        <w:gridCol w:w="2250"/>
        <w:gridCol w:w="3321"/>
        <w:gridCol w:w="3268"/>
      </w:tblGrid>
      <w:tr w:rsidR="00402E2C" w:rsidRPr="00925213" w14:paraId="28171A34" w14:textId="77777777" w:rsidTr="00CB69AB">
        <w:trPr>
          <w:cantSplit/>
          <w:trHeight w:val="130"/>
          <w:tblHeader/>
        </w:trPr>
        <w:tc>
          <w:tcPr>
            <w:tcW w:w="2250" w:type="dxa"/>
            <w:tcBorders>
              <w:bottom w:val="single" w:sz="4" w:space="0" w:color="FFFFFF" w:themeColor="background1"/>
            </w:tcBorders>
            <w:shd w:val="clear" w:color="auto" w:fill="AF272F"/>
          </w:tcPr>
          <w:p w14:paraId="2FB95EAD" w14:textId="77777777" w:rsidR="00402E2C" w:rsidRPr="00925213" w:rsidRDefault="00402E2C" w:rsidP="004A0D72">
            <w:pPr>
              <w:pStyle w:val="ESTableheadingwhite"/>
              <w:rPr>
                <w:rFonts w:ascii="Calibri" w:hAnsi="Calibri" w:cs="Calibri"/>
                <w:sz w:val="18"/>
              </w:rPr>
            </w:pPr>
            <w:bookmarkStart w:id="82" w:name="_Hlk109389553"/>
            <w:r w:rsidRPr="00925213">
              <w:rPr>
                <w:rFonts w:ascii="Calibri" w:hAnsi="Calibri" w:cs="Calibri"/>
                <w:sz w:val="18"/>
              </w:rPr>
              <w:t>Major Committee</w:t>
            </w:r>
          </w:p>
        </w:tc>
        <w:tc>
          <w:tcPr>
            <w:tcW w:w="3321" w:type="dxa"/>
            <w:tcBorders>
              <w:bottom w:val="single" w:sz="4" w:space="0" w:color="FFFFFF" w:themeColor="background1"/>
            </w:tcBorders>
            <w:shd w:val="clear" w:color="auto" w:fill="AF272F" w:themeFill="accent4"/>
          </w:tcPr>
          <w:p w14:paraId="7571D348" w14:textId="77777777" w:rsidR="00402E2C" w:rsidRPr="00925213" w:rsidRDefault="00402E2C" w:rsidP="004A0D72">
            <w:pPr>
              <w:pStyle w:val="ESTableheadingwhite"/>
              <w:rPr>
                <w:rFonts w:ascii="Calibri" w:hAnsi="Calibri" w:cs="Calibri"/>
                <w:sz w:val="18"/>
              </w:rPr>
            </w:pPr>
            <w:r w:rsidRPr="00925213">
              <w:rPr>
                <w:rFonts w:ascii="Calibri" w:hAnsi="Calibri" w:cs="Calibri"/>
                <w:sz w:val="18"/>
              </w:rPr>
              <w:t>Purpose</w:t>
            </w:r>
          </w:p>
        </w:tc>
        <w:tc>
          <w:tcPr>
            <w:tcW w:w="3268" w:type="dxa"/>
            <w:tcBorders>
              <w:bottom w:val="single" w:sz="4" w:space="0" w:color="FFFFFF" w:themeColor="background1"/>
            </w:tcBorders>
            <w:shd w:val="clear" w:color="auto" w:fill="AF272F" w:themeFill="accent4"/>
          </w:tcPr>
          <w:p w14:paraId="2AC37974" w14:textId="77777777" w:rsidR="00402E2C" w:rsidRPr="00925213" w:rsidRDefault="00402E2C" w:rsidP="004A0D72">
            <w:pPr>
              <w:pStyle w:val="ESTableheadingwhite"/>
              <w:rPr>
                <w:rFonts w:ascii="Calibri" w:hAnsi="Calibri" w:cs="Calibri"/>
                <w:sz w:val="18"/>
              </w:rPr>
            </w:pPr>
            <w:r w:rsidRPr="00925213">
              <w:rPr>
                <w:rFonts w:ascii="Calibri" w:hAnsi="Calibri" w:cs="Calibri"/>
                <w:sz w:val="18"/>
              </w:rPr>
              <w:t>Extent of purpose achieved</w:t>
            </w:r>
          </w:p>
        </w:tc>
      </w:tr>
      <w:tr w:rsidR="00402E2C" w:rsidRPr="00925213" w14:paraId="75D88870" w14:textId="77777777" w:rsidTr="00FD14DE">
        <w:trPr>
          <w:cantSplit/>
          <w:trHeight w:val="227"/>
        </w:trPr>
        <w:tc>
          <w:tcPr>
            <w:tcW w:w="2250" w:type="dxa"/>
            <w:tcBorders>
              <w:top w:val="single" w:sz="4" w:space="0" w:color="auto"/>
              <w:bottom w:val="single" w:sz="4" w:space="0" w:color="auto"/>
            </w:tcBorders>
            <w:shd w:val="clear" w:color="auto" w:fill="auto"/>
          </w:tcPr>
          <w:p w14:paraId="1955062C" w14:textId="77777777" w:rsidR="00402E2C" w:rsidRPr="00946824" w:rsidRDefault="00402E2C" w:rsidP="0079001C">
            <w:pPr>
              <w:pStyle w:val="ESTablebody"/>
              <w:rPr>
                <w:rFonts w:ascii="Calibri" w:hAnsi="Calibri" w:cs="Calibri"/>
                <w:sz w:val="18"/>
              </w:rPr>
            </w:pPr>
            <w:r>
              <w:rPr>
                <w:rFonts w:ascii="Calibri" w:hAnsi="Calibri" w:cs="Calibri"/>
                <w:sz w:val="18"/>
              </w:rPr>
              <w:t xml:space="preserve">Base Review Steering Group </w:t>
            </w:r>
          </w:p>
        </w:tc>
        <w:tc>
          <w:tcPr>
            <w:tcW w:w="3321" w:type="dxa"/>
            <w:tcBorders>
              <w:top w:val="single" w:sz="4" w:space="0" w:color="auto"/>
              <w:bottom w:val="single" w:sz="4" w:space="0" w:color="auto"/>
            </w:tcBorders>
          </w:tcPr>
          <w:p w14:paraId="6DDA922F" w14:textId="77777777" w:rsidR="00402E2C" w:rsidRPr="00946824" w:rsidRDefault="00402E2C" w:rsidP="0079001C">
            <w:pPr>
              <w:pStyle w:val="ESTablebody"/>
              <w:rPr>
                <w:rFonts w:ascii="Calibri" w:hAnsi="Calibri" w:cs="Calibri"/>
                <w:sz w:val="18"/>
              </w:rPr>
            </w:pPr>
            <w:r w:rsidRPr="00E37645">
              <w:rPr>
                <w:rFonts w:ascii="Calibri" w:hAnsi="Calibri" w:cs="Calibri"/>
                <w:sz w:val="18"/>
              </w:rPr>
              <w:t xml:space="preserve">The </w:t>
            </w:r>
            <w:r>
              <w:rPr>
                <w:rFonts w:ascii="Calibri" w:hAnsi="Calibri" w:cs="Calibri"/>
                <w:sz w:val="18"/>
              </w:rPr>
              <w:t>s</w:t>
            </w:r>
            <w:r w:rsidRPr="00E37645">
              <w:rPr>
                <w:rFonts w:ascii="Calibri" w:hAnsi="Calibri" w:cs="Calibri"/>
                <w:sz w:val="18"/>
              </w:rPr>
              <w:t xml:space="preserve">teering </w:t>
            </w:r>
            <w:r>
              <w:rPr>
                <w:rFonts w:ascii="Calibri" w:hAnsi="Calibri" w:cs="Calibri"/>
                <w:sz w:val="18"/>
              </w:rPr>
              <w:t>group was</w:t>
            </w:r>
            <w:r w:rsidRPr="00E37645">
              <w:rPr>
                <w:rFonts w:ascii="Calibri" w:hAnsi="Calibri" w:cs="Calibri"/>
                <w:sz w:val="18"/>
              </w:rPr>
              <w:t xml:space="preserve"> a </w:t>
            </w:r>
            <w:r>
              <w:rPr>
                <w:rFonts w:ascii="Calibri" w:hAnsi="Calibri" w:cs="Calibri"/>
                <w:sz w:val="18"/>
              </w:rPr>
              <w:t>s</w:t>
            </w:r>
            <w:r w:rsidRPr="00380664">
              <w:rPr>
                <w:rFonts w:ascii="Calibri" w:hAnsi="Calibri" w:cs="Calibri"/>
                <w:sz w:val="18"/>
              </w:rPr>
              <w:t>ubsidiary</w:t>
            </w:r>
            <w:r>
              <w:rPr>
                <w:rFonts w:ascii="Calibri" w:hAnsi="Calibri" w:cs="Calibri"/>
                <w:sz w:val="18"/>
              </w:rPr>
              <w:t xml:space="preserve"> of the broader department’s</w:t>
            </w:r>
            <w:r w:rsidRPr="00380664">
              <w:rPr>
                <w:rFonts w:ascii="Calibri" w:hAnsi="Calibri" w:cs="Calibri"/>
                <w:sz w:val="18"/>
              </w:rPr>
              <w:t xml:space="preserve"> Base Review Steering Committee</w:t>
            </w:r>
            <w:r>
              <w:rPr>
                <w:rFonts w:ascii="Calibri" w:hAnsi="Calibri" w:cs="Calibri"/>
                <w:sz w:val="18"/>
              </w:rPr>
              <w:t xml:space="preserve">. The steering group was </w:t>
            </w:r>
            <w:r w:rsidRPr="00E37645">
              <w:rPr>
                <w:rFonts w:ascii="Calibri" w:hAnsi="Calibri" w:cs="Calibri"/>
                <w:sz w:val="18"/>
              </w:rPr>
              <w:t>responsible for the day-to-day management and</w:t>
            </w:r>
            <w:r>
              <w:rPr>
                <w:rFonts w:ascii="Calibri" w:hAnsi="Calibri" w:cs="Calibri"/>
                <w:sz w:val="18"/>
              </w:rPr>
              <w:t xml:space="preserve"> implementation </w:t>
            </w:r>
            <w:r w:rsidRPr="00E37645">
              <w:rPr>
                <w:rFonts w:ascii="Calibri" w:hAnsi="Calibri" w:cs="Calibri"/>
                <w:sz w:val="18"/>
              </w:rPr>
              <w:t xml:space="preserve">of the </w:t>
            </w:r>
            <w:r>
              <w:rPr>
                <w:rFonts w:ascii="Calibri" w:hAnsi="Calibri" w:cs="Calibri"/>
                <w:sz w:val="18"/>
              </w:rPr>
              <w:t xml:space="preserve">Base </w:t>
            </w:r>
            <w:r w:rsidRPr="00E37645">
              <w:rPr>
                <w:rFonts w:ascii="Calibri" w:hAnsi="Calibri" w:cs="Calibri"/>
                <w:sz w:val="18"/>
              </w:rPr>
              <w:t>Review</w:t>
            </w:r>
            <w:r>
              <w:rPr>
                <w:rFonts w:ascii="Calibri" w:hAnsi="Calibri" w:cs="Calibri"/>
                <w:sz w:val="18"/>
              </w:rPr>
              <w:t>.</w:t>
            </w:r>
          </w:p>
        </w:tc>
        <w:tc>
          <w:tcPr>
            <w:tcW w:w="3268" w:type="dxa"/>
            <w:tcBorders>
              <w:top w:val="single" w:sz="4" w:space="0" w:color="auto"/>
              <w:bottom w:val="single" w:sz="4" w:space="0" w:color="auto"/>
            </w:tcBorders>
          </w:tcPr>
          <w:p w14:paraId="75270ADC" w14:textId="77777777" w:rsidR="00402E2C" w:rsidRPr="00946824" w:rsidRDefault="00402E2C" w:rsidP="0079001C">
            <w:pPr>
              <w:pStyle w:val="ESTablebody"/>
              <w:rPr>
                <w:rFonts w:ascii="Calibri" w:hAnsi="Calibri" w:cs="Calibri"/>
                <w:sz w:val="18"/>
              </w:rPr>
            </w:pPr>
            <w:r>
              <w:rPr>
                <w:rFonts w:ascii="Calibri" w:hAnsi="Calibri" w:cs="Calibri"/>
                <w:sz w:val="18"/>
              </w:rPr>
              <w:t>The steering group oversaw the implementation of the Base Review which was completed during 2021–22.</w:t>
            </w:r>
          </w:p>
        </w:tc>
      </w:tr>
      <w:tr w:rsidR="00402E2C" w:rsidRPr="00925213" w14:paraId="257931D6" w14:textId="77777777" w:rsidTr="003A768E">
        <w:trPr>
          <w:cantSplit/>
          <w:trHeight w:val="227"/>
        </w:trPr>
        <w:tc>
          <w:tcPr>
            <w:tcW w:w="2250" w:type="dxa"/>
            <w:tcBorders>
              <w:top w:val="single" w:sz="4" w:space="0" w:color="53565A" w:themeColor="accent5"/>
              <w:bottom w:val="single" w:sz="4" w:space="0" w:color="53565A" w:themeColor="accent5"/>
            </w:tcBorders>
            <w:shd w:val="clear" w:color="auto" w:fill="auto"/>
          </w:tcPr>
          <w:p w14:paraId="0EF72DE5" w14:textId="070A7F7C" w:rsidR="00402E2C" w:rsidRPr="0019565A" w:rsidRDefault="00402E2C" w:rsidP="00EB7E2B">
            <w:pPr>
              <w:pStyle w:val="ESTablebody"/>
              <w:rPr>
                <w:rFonts w:ascii="Calibri" w:hAnsi="Calibri" w:cs="Calibri"/>
                <w:sz w:val="18"/>
              </w:rPr>
            </w:pPr>
            <w:r w:rsidRPr="0019565A">
              <w:rPr>
                <w:rFonts w:ascii="Calibri" w:hAnsi="Calibri" w:cs="Calibri"/>
                <w:sz w:val="18"/>
              </w:rPr>
              <w:t>Child Information Sharing Scheme Steering Committee</w:t>
            </w:r>
          </w:p>
        </w:tc>
        <w:tc>
          <w:tcPr>
            <w:tcW w:w="3321" w:type="dxa"/>
            <w:tcBorders>
              <w:top w:val="single" w:sz="4" w:space="0" w:color="53565A" w:themeColor="accent5"/>
              <w:bottom w:val="single" w:sz="4" w:space="0" w:color="53565A" w:themeColor="accent5"/>
            </w:tcBorders>
          </w:tcPr>
          <w:p w14:paraId="3BA871C0" w14:textId="77777777" w:rsidR="00402E2C" w:rsidRPr="0019565A" w:rsidRDefault="00402E2C" w:rsidP="00EB7E2B">
            <w:pPr>
              <w:pStyle w:val="ESTablebody"/>
              <w:rPr>
                <w:rFonts w:ascii="Calibri" w:hAnsi="Calibri" w:cs="Calibri"/>
                <w:sz w:val="18"/>
                <w:lang w:val="en-AU"/>
              </w:rPr>
            </w:pPr>
            <w:r w:rsidRPr="0019565A">
              <w:rPr>
                <w:rFonts w:ascii="Calibri" w:hAnsi="Calibri" w:cs="Calibri"/>
                <w:sz w:val="18"/>
                <w:lang w:val="en-AU"/>
              </w:rPr>
              <w:t xml:space="preserve">The steering committee monitors the use and impact of scheme and evaluates reform outcomes. It oversees a whole-of-government workplan and contributes to strategic direction on critical policy elements, actions and plans to support the operation of the scheme. </w:t>
            </w:r>
          </w:p>
        </w:tc>
        <w:tc>
          <w:tcPr>
            <w:tcW w:w="3268" w:type="dxa"/>
            <w:tcBorders>
              <w:top w:val="single" w:sz="4" w:space="0" w:color="53565A" w:themeColor="accent5"/>
              <w:bottom w:val="single" w:sz="4" w:space="0" w:color="53565A" w:themeColor="accent5"/>
            </w:tcBorders>
          </w:tcPr>
          <w:p w14:paraId="48209822" w14:textId="77777777" w:rsidR="00402E2C" w:rsidRPr="0019565A" w:rsidRDefault="00402E2C" w:rsidP="003A768E">
            <w:pPr>
              <w:pStyle w:val="ESTablebody"/>
              <w:rPr>
                <w:rFonts w:ascii="Calibri" w:hAnsi="Calibri" w:cs="Calibri"/>
                <w:sz w:val="18"/>
                <w:lang w:val="en-AU"/>
              </w:rPr>
            </w:pPr>
            <w:r w:rsidRPr="0019565A">
              <w:rPr>
                <w:rFonts w:ascii="Calibri" w:hAnsi="Calibri" w:cs="Calibri"/>
                <w:sz w:val="18"/>
                <w:lang w:val="en-AU"/>
              </w:rPr>
              <w:t xml:space="preserve">The steering committee met quarterly in 2021–22. It monitored the use and impact of the scheme and provided oversight of a range of projects supporting the scheme’s operation. </w:t>
            </w:r>
          </w:p>
        </w:tc>
      </w:tr>
      <w:bookmarkEnd w:id="82"/>
      <w:tr w:rsidR="00402E2C" w:rsidRPr="00925213" w14:paraId="12EF4758"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35799E48" w14:textId="77777777" w:rsidR="00402E2C" w:rsidRPr="0019565A" w:rsidRDefault="00402E2C" w:rsidP="00EB7E2B">
            <w:pPr>
              <w:pStyle w:val="ESTablebody"/>
              <w:rPr>
                <w:rFonts w:ascii="Calibri" w:hAnsi="Calibri" w:cs="Calibri"/>
                <w:sz w:val="18"/>
              </w:rPr>
            </w:pPr>
            <w:r w:rsidRPr="0019565A">
              <w:rPr>
                <w:rFonts w:ascii="Calibri" w:hAnsi="Calibri" w:cs="Calibri"/>
                <w:sz w:val="18"/>
              </w:rPr>
              <w:t>Child Link Board</w:t>
            </w:r>
          </w:p>
        </w:tc>
        <w:tc>
          <w:tcPr>
            <w:tcW w:w="3321" w:type="dxa"/>
            <w:tcBorders>
              <w:top w:val="single" w:sz="4" w:space="0" w:color="53565A" w:themeColor="accent5"/>
              <w:bottom w:val="single" w:sz="4" w:space="0" w:color="53565A" w:themeColor="accent5"/>
            </w:tcBorders>
          </w:tcPr>
          <w:p w14:paraId="15BA0B32" w14:textId="7444E2E0" w:rsidR="00402E2C" w:rsidRPr="0019565A" w:rsidRDefault="00402E2C" w:rsidP="00EB7E2B">
            <w:pPr>
              <w:pStyle w:val="ESTablebody"/>
              <w:rPr>
                <w:rFonts w:ascii="Calibri" w:hAnsi="Calibri" w:cs="Calibri"/>
                <w:sz w:val="18"/>
                <w:lang w:val="en-AU"/>
              </w:rPr>
            </w:pPr>
            <w:r w:rsidRPr="0019565A">
              <w:rPr>
                <w:rFonts w:ascii="Calibri" w:hAnsi="Calibri" w:cs="Calibri"/>
                <w:sz w:val="18"/>
                <w:lang w:val="en-AU"/>
              </w:rPr>
              <w:t xml:space="preserve">The board provides project oversight and decision-making to ensure that the Child Link program is designed and delivered to meet legislative and business requirements </w:t>
            </w:r>
            <w:r w:rsidR="00506148">
              <w:rPr>
                <w:rFonts w:ascii="Calibri" w:hAnsi="Calibri" w:cs="Calibri"/>
                <w:sz w:val="18"/>
                <w:lang w:val="en-AU"/>
              </w:rPr>
              <w:t>as well as</w:t>
            </w:r>
            <w:r w:rsidRPr="0019565A">
              <w:rPr>
                <w:rFonts w:ascii="Calibri" w:hAnsi="Calibri" w:cs="Calibri"/>
                <w:sz w:val="18"/>
                <w:lang w:val="en-AU"/>
              </w:rPr>
              <w:t xml:space="preserve"> reform outcomes. Membership comprises senior stakeholders across the Victorian</w:t>
            </w:r>
            <w:r w:rsidR="00506148">
              <w:rPr>
                <w:rFonts w:ascii="Calibri" w:hAnsi="Calibri" w:cs="Calibri"/>
                <w:sz w:val="18"/>
                <w:lang w:val="en-AU"/>
              </w:rPr>
              <w:t xml:space="preserve"> </w:t>
            </w:r>
            <w:r w:rsidRPr="0019565A">
              <w:rPr>
                <w:rFonts w:ascii="Calibri" w:hAnsi="Calibri" w:cs="Calibri"/>
                <w:sz w:val="18"/>
                <w:lang w:val="en-AU"/>
              </w:rPr>
              <w:t>Government.</w:t>
            </w:r>
          </w:p>
        </w:tc>
        <w:tc>
          <w:tcPr>
            <w:tcW w:w="3268" w:type="dxa"/>
            <w:tcBorders>
              <w:top w:val="single" w:sz="4" w:space="0" w:color="53565A" w:themeColor="accent5"/>
              <w:bottom w:val="single" w:sz="4" w:space="0" w:color="53565A" w:themeColor="accent5"/>
            </w:tcBorders>
          </w:tcPr>
          <w:p w14:paraId="1D4C4B3E" w14:textId="1BDAA51F" w:rsidR="00402E2C" w:rsidRPr="0019565A" w:rsidRDefault="00402E2C" w:rsidP="00EB7E2B">
            <w:pPr>
              <w:pStyle w:val="ESTablebody"/>
              <w:rPr>
                <w:rFonts w:ascii="Calibri" w:hAnsi="Calibri" w:cs="Calibri"/>
                <w:sz w:val="18"/>
                <w:lang w:val="en-AU"/>
              </w:rPr>
            </w:pPr>
            <w:r w:rsidRPr="0019565A">
              <w:rPr>
                <w:rFonts w:ascii="Calibri" w:hAnsi="Calibri" w:cs="Calibri"/>
                <w:sz w:val="18"/>
                <w:lang w:val="en-AU"/>
              </w:rPr>
              <w:t xml:space="preserve">The board met monthly in 2021–22 and provided direction and authorisation for activities in the Child Link program during this time. The board continues </w:t>
            </w:r>
            <w:r w:rsidR="00506148">
              <w:rPr>
                <w:rFonts w:ascii="Calibri" w:hAnsi="Calibri" w:cs="Calibri"/>
                <w:sz w:val="18"/>
                <w:lang w:val="en-AU"/>
              </w:rPr>
              <w:t>to oversee</w:t>
            </w:r>
            <w:r w:rsidRPr="0019565A">
              <w:rPr>
                <w:rFonts w:ascii="Calibri" w:hAnsi="Calibri" w:cs="Calibri"/>
                <w:sz w:val="18"/>
                <w:lang w:val="en-AU"/>
              </w:rPr>
              <w:t xml:space="preserve"> </w:t>
            </w:r>
            <w:r w:rsidR="005764B3" w:rsidRPr="0019565A">
              <w:rPr>
                <w:rFonts w:ascii="Calibri" w:hAnsi="Calibri" w:cs="Calibri"/>
                <w:sz w:val="18"/>
                <w:lang w:val="en-AU"/>
              </w:rPr>
              <w:t>the program</w:t>
            </w:r>
            <w:r w:rsidR="005764B3">
              <w:rPr>
                <w:rFonts w:ascii="Calibri" w:hAnsi="Calibri" w:cs="Calibri"/>
                <w:sz w:val="18"/>
                <w:lang w:val="en-AU"/>
              </w:rPr>
              <w:t>’s</w:t>
            </w:r>
            <w:r w:rsidRPr="0019565A">
              <w:rPr>
                <w:rFonts w:ascii="Calibri" w:hAnsi="Calibri" w:cs="Calibri"/>
                <w:sz w:val="18"/>
                <w:lang w:val="en-AU"/>
              </w:rPr>
              <w:t xml:space="preserve"> governance.</w:t>
            </w:r>
          </w:p>
        </w:tc>
      </w:tr>
      <w:tr w:rsidR="00402E2C" w:rsidRPr="00925213" w14:paraId="09E44016" w14:textId="77777777" w:rsidTr="00FD14DE">
        <w:trPr>
          <w:cantSplit/>
          <w:trHeight w:val="227"/>
        </w:trPr>
        <w:tc>
          <w:tcPr>
            <w:tcW w:w="2250" w:type="dxa"/>
            <w:tcBorders>
              <w:top w:val="single" w:sz="4" w:space="0" w:color="auto"/>
              <w:bottom w:val="single" w:sz="4" w:space="0" w:color="auto"/>
            </w:tcBorders>
            <w:shd w:val="clear" w:color="auto" w:fill="auto"/>
          </w:tcPr>
          <w:p w14:paraId="0090A8D4" w14:textId="295BE02A" w:rsidR="00402E2C" w:rsidRPr="00946824" w:rsidRDefault="00402E2C" w:rsidP="0060557F">
            <w:pPr>
              <w:pStyle w:val="ESTablebody"/>
              <w:rPr>
                <w:rFonts w:ascii="Calibri" w:hAnsi="Calibri" w:cs="Calibri"/>
                <w:sz w:val="18"/>
              </w:rPr>
            </w:pPr>
            <w:r w:rsidRPr="00B5691E">
              <w:rPr>
                <w:rFonts w:ascii="Calibri" w:hAnsi="Calibri" w:cs="Calibri"/>
                <w:color w:val="000000" w:themeColor="text2"/>
                <w:sz w:val="18"/>
              </w:rPr>
              <w:t xml:space="preserve">Children’s </w:t>
            </w:r>
            <w:r>
              <w:rPr>
                <w:rFonts w:ascii="Calibri" w:hAnsi="Calibri" w:cs="Calibri"/>
                <w:color w:val="000000" w:themeColor="text2"/>
                <w:sz w:val="18"/>
              </w:rPr>
              <w:t>S</w:t>
            </w:r>
            <w:r w:rsidRPr="00B5691E">
              <w:rPr>
                <w:rFonts w:ascii="Calibri" w:hAnsi="Calibri" w:cs="Calibri"/>
                <w:color w:val="000000" w:themeColor="text2"/>
                <w:sz w:val="18"/>
              </w:rPr>
              <w:t xml:space="preserve">ervices </w:t>
            </w:r>
            <w:r>
              <w:rPr>
                <w:rFonts w:ascii="Calibri" w:hAnsi="Calibri" w:cs="Calibri"/>
                <w:color w:val="000000" w:themeColor="text2"/>
                <w:sz w:val="18"/>
              </w:rPr>
              <w:t>C</w:t>
            </w:r>
            <w:r w:rsidRPr="00B5691E">
              <w:rPr>
                <w:rFonts w:ascii="Calibri" w:hAnsi="Calibri" w:cs="Calibri"/>
                <w:color w:val="000000" w:themeColor="text2"/>
                <w:sz w:val="18"/>
              </w:rPr>
              <w:t xml:space="preserve">oordination </w:t>
            </w:r>
            <w:r>
              <w:rPr>
                <w:rFonts w:ascii="Calibri" w:hAnsi="Calibri" w:cs="Calibri"/>
                <w:color w:val="000000" w:themeColor="text2"/>
                <w:sz w:val="18"/>
              </w:rPr>
              <w:t>B</w:t>
            </w:r>
            <w:r w:rsidRPr="00B5691E">
              <w:rPr>
                <w:rFonts w:ascii="Calibri" w:hAnsi="Calibri" w:cs="Calibri"/>
                <w:color w:val="000000" w:themeColor="text2"/>
                <w:sz w:val="18"/>
              </w:rPr>
              <w:t xml:space="preserve">oard (CSCB) </w:t>
            </w:r>
            <w:r w:rsidR="005764B3">
              <w:rPr>
                <w:rFonts w:ascii="Calibri" w:hAnsi="Calibri" w:cs="Calibri"/>
                <w:color w:val="000000" w:themeColor="text2"/>
                <w:sz w:val="18"/>
              </w:rPr>
              <w:t>O</w:t>
            </w:r>
            <w:r w:rsidRPr="00B5691E">
              <w:rPr>
                <w:rFonts w:ascii="Calibri" w:hAnsi="Calibri" w:cs="Calibri"/>
                <w:color w:val="000000" w:themeColor="text2"/>
                <w:sz w:val="18"/>
              </w:rPr>
              <w:t xml:space="preserve">riginal </w:t>
            </w:r>
            <w:r w:rsidR="005764B3">
              <w:rPr>
                <w:rFonts w:ascii="Calibri" w:hAnsi="Calibri" w:cs="Calibri"/>
                <w:color w:val="000000" w:themeColor="text2"/>
                <w:sz w:val="18"/>
              </w:rPr>
              <w:t>F</w:t>
            </w:r>
            <w:r w:rsidRPr="00B5691E">
              <w:rPr>
                <w:rFonts w:ascii="Calibri" w:hAnsi="Calibri" w:cs="Calibri"/>
                <w:color w:val="000000" w:themeColor="text2"/>
                <w:sz w:val="18"/>
              </w:rPr>
              <w:t xml:space="preserve">amilies and </w:t>
            </w:r>
            <w:r w:rsidR="005764B3">
              <w:rPr>
                <w:rFonts w:ascii="Calibri" w:hAnsi="Calibri" w:cs="Calibri"/>
                <w:color w:val="000000" w:themeColor="text2"/>
                <w:sz w:val="18"/>
              </w:rPr>
              <w:t>C</w:t>
            </w:r>
            <w:r w:rsidRPr="00B5691E">
              <w:rPr>
                <w:rFonts w:ascii="Calibri" w:hAnsi="Calibri" w:cs="Calibri"/>
                <w:color w:val="000000" w:themeColor="text2"/>
                <w:sz w:val="18"/>
              </w:rPr>
              <w:t xml:space="preserve">hildren </w:t>
            </w:r>
            <w:r w:rsidR="005764B3">
              <w:rPr>
                <w:rFonts w:ascii="Calibri" w:hAnsi="Calibri" w:cs="Calibri"/>
                <w:color w:val="000000" w:themeColor="text2"/>
                <w:sz w:val="18"/>
              </w:rPr>
              <w:t>W</w:t>
            </w:r>
            <w:r w:rsidRPr="00B5691E">
              <w:rPr>
                <w:rFonts w:ascii="Calibri" w:hAnsi="Calibri" w:cs="Calibri"/>
                <w:color w:val="000000" w:themeColor="text2"/>
                <w:sz w:val="18"/>
              </w:rPr>
              <w:t xml:space="preserve">orking </w:t>
            </w:r>
            <w:r w:rsidR="005764B3">
              <w:rPr>
                <w:rFonts w:ascii="Calibri" w:hAnsi="Calibri" w:cs="Calibri"/>
                <w:color w:val="000000" w:themeColor="text2"/>
                <w:sz w:val="18"/>
              </w:rPr>
              <w:t>G</w:t>
            </w:r>
            <w:r w:rsidRPr="00B5691E">
              <w:rPr>
                <w:rFonts w:ascii="Calibri" w:hAnsi="Calibri" w:cs="Calibri"/>
                <w:color w:val="000000" w:themeColor="text2"/>
                <w:sz w:val="18"/>
              </w:rPr>
              <w:t>roup</w:t>
            </w:r>
          </w:p>
        </w:tc>
        <w:tc>
          <w:tcPr>
            <w:tcW w:w="3321" w:type="dxa"/>
            <w:tcBorders>
              <w:top w:val="single" w:sz="4" w:space="0" w:color="auto"/>
              <w:bottom w:val="single" w:sz="4" w:space="0" w:color="auto"/>
            </w:tcBorders>
          </w:tcPr>
          <w:p w14:paraId="48A986C9" w14:textId="77777777" w:rsidR="00402E2C" w:rsidRPr="00946824" w:rsidRDefault="00402E2C" w:rsidP="0060557F">
            <w:pPr>
              <w:pStyle w:val="ESTablebody"/>
              <w:rPr>
                <w:rFonts w:ascii="Calibri" w:hAnsi="Calibri" w:cs="Calibri"/>
                <w:sz w:val="18"/>
              </w:rPr>
            </w:pPr>
            <w:r w:rsidRPr="00FF0355">
              <w:rPr>
                <w:rFonts w:ascii="Calibri" w:hAnsi="Calibri" w:cs="Calibri"/>
                <w:sz w:val="18"/>
              </w:rPr>
              <w:t>The working group meets quarterly and brings together executives from peak Victorian Aboriginal community</w:t>
            </w:r>
            <w:r>
              <w:rPr>
                <w:rFonts w:ascii="Calibri" w:hAnsi="Calibri" w:cs="Calibri"/>
                <w:sz w:val="18"/>
              </w:rPr>
              <w:t>-</w:t>
            </w:r>
            <w:r w:rsidRPr="00FF0355">
              <w:rPr>
                <w:rFonts w:ascii="Calibri" w:hAnsi="Calibri" w:cs="Calibri"/>
                <w:sz w:val="18"/>
              </w:rPr>
              <w:t xml:space="preserve">controlled </w:t>
            </w:r>
            <w:proofErr w:type="spellStart"/>
            <w:r w:rsidRPr="00FF0355">
              <w:rPr>
                <w:rFonts w:ascii="Calibri" w:hAnsi="Calibri" w:cs="Calibri"/>
                <w:sz w:val="18"/>
              </w:rPr>
              <w:t>organisations</w:t>
            </w:r>
            <w:proofErr w:type="spellEnd"/>
            <w:r w:rsidRPr="00FF0355">
              <w:rPr>
                <w:rFonts w:ascii="Calibri" w:hAnsi="Calibri" w:cs="Calibri"/>
                <w:sz w:val="18"/>
              </w:rPr>
              <w:t xml:space="preserve"> and relevant Victorian government departments to share information and coordinate a strategic approach to improving outcomes for Aboriginal families and children, particularly those vulnerable to harm, </w:t>
            </w:r>
            <w:proofErr w:type="gramStart"/>
            <w:r w:rsidRPr="00FF0355">
              <w:rPr>
                <w:rFonts w:ascii="Calibri" w:hAnsi="Calibri" w:cs="Calibri"/>
                <w:sz w:val="18"/>
              </w:rPr>
              <w:t>disadvantage</w:t>
            </w:r>
            <w:proofErr w:type="gramEnd"/>
            <w:r w:rsidRPr="00FF0355">
              <w:rPr>
                <w:rFonts w:ascii="Calibri" w:hAnsi="Calibri" w:cs="Calibri"/>
                <w:sz w:val="18"/>
              </w:rPr>
              <w:t xml:space="preserve"> or social exclusion.</w:t>
            </w:r>
          </w:p>
        </w:tc>
        <w:tc>
          <w:tcPr>
            <w:tcW w:w="3268" w:type="dxa"/>
            <w:tcBorders>
              <w:top w:val="single" w:sz="4" w:space="0" w:color="auto"/>
              <w:bottom w:val="single" w:sz="4" w:space="0" w:color="auto"/>
            </w:tcBorders>
          </w:tcPr>
          <w:p w14:paraId="2AA4A896" w14:textId="77777777" w:rsidR="00402E2C" w:rsidRPr="00946824" w:rsidRDefault="00402E2C" w:rsidP="0060557F">
            <w:pPr>
              <w:pStyle w:val="ESTablebody"/>
              <w:rPr>
                <w:rFonts w:ascii="Calibri" w:hAnsi="Calibri" w:cs="Calibri"/>
                <w:sz w:val="18"/>
              </w:rPr>
            </w:pPr>
            <w:r w:rsidRPr="00FF0355">
              <w:rPr>
                <w:rFonts w:ascii="Calibri" w:hAnsi="Calibri" w:cs="Calibri"/>
                <w:sz w:val="18"/>
              </w:rPr>
              <w:t xml:space="preserve">The working group met 4 times </w:t>
            </w:r>
            <w:r>
              <w:rPr>
                <w:rFonts w:ascii="Calibri" w:hAnsi="Calibri" w:cs="Calibri"/>
                <w:sz w:val="18"/>
              </w:rPr>
              <w:t>during 2021–22</w:t>
            </w:r>
            <w:r w:rsidRPr="00FF0355">
              <w:rPr>
                <w:rFonts w:ascii="Calibri" w:hAnsi="Calibri" w:cs="Calibri"/>
                <w:sz w:val="18"/>
              </w:rPr>
              <w:t xml:space="preserve">. The working group considered new approaches and emerging issues for </w:t>
            </w:r>
            <w:proofErr w:type="spellStart"/>
            <w:r w:rsidRPr="00FF0355">
              <w:rPr>
                <w:rFonts w:ascii="Calibri" w:hAnsi="Calibri" w:cs="Calibri"/>
                <w:sz w:val="18"/>
              </w:rPr>
              <w:t>Koorie</w:t>
            </w:r>
            <w:proofErr w:type="spellEnd"/>
            <w:r w:rsidRPr="00FF0355">
              <w:rPr>
                <w:rFonts w:ascii="Calibri" w:hAnsi="Calibri" w:cs="Calibri"/>
                <w:sz w:val="18"/>
              </w:rPr>
              <w:t xml:space="preserve"> children and young people including the COVID-19 pandemic, education and out of home care, mental health, youth justice and child protection.</w:t>
            </w:r>
          </w:p>
        </w:tc>
      </w:tr>
      <w:tr w:rsidR="00402E2C" w:rsidRPr="00925213" w14:paraId="7F2CB8FA"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147B4B4F" w14:textId="308D3480" w:rsidR="00402E2C" w:rsidRPr="00946824" w:rsidRDefault="00402E2C" w:rsidP="00D63B54">
            <w:pPr>
              <w:pStyle w:val="ESTablebody"/>
              <w:rPr>
                <w:rFonts w:ascii="Calibri" w:hAnsi="Calibri" w:cs="Calibri"/>
                <w:sz w:val="18"/>
              </w:rPr>
            </w:pPr>
            <w:r w:rsidRPr="00B5691E">
              <w:rPr>
                <w:rFonts w:ascii="Calibri" w:hAnsi="Calibri" w:cs="Calibri"/>
                <w:sz w:val="18"/>
              </w:rPr>
              <w:t xml:space="preserve">Disability </w:t>
            </w:r>
            <w:r>
              <w:rPr>
                <w:rFonts w:ascii="Calibri" w:hAnsi="Calibri" w:cs="Calibri"/>
                <w:sz w:val="18"/>
              </w:rPr>
              <w:t>I</w:t>
            </w:r>
            <w:r w:rsidRPr="00B5691E">
              <w:rPr>
                <w:rFonts w:ascii="Calibri" w:hAnsi="Calibri" w:cs="Calibri"/>
                <w:sz w:val="18"/>
              </w:rPr>
              <w:t xml:space="preserve">nclusion </w:t>
            </w:r>
            <w:r w:rsidR="005764B3">
              <w:rPr>
                <w:rFonts w:ascii="Calibri" w:hAnsi="Calibri" w:cs="Calibri"/>
                <w:sz w:val="18"/>
              </w:rPr>
              <w:t>A</w:t>
            </w:r>
            <w:r w:rsidRPr="00B5691E">
              <w:rPr>
                <w:rFonts w:ascii="Calibri" w:hAnsi="Calibri" w:cs="Calibri"/>
                <w:sz w:val="18"/>
              </w:rPr>
              <w:t xml:space="preserve">dvisory </w:t>
            </w:r>
            <w:r w:rsidR="005764B3">
              <w:rPr>
                <w:rFonts w:ascii="Calibri" w:hAnsi="Calibri" w:cs="Calibri"/>
                <w:sz w:val="18"/>
              </w:rPr>
              <w:t>G</w:t>
            </w:r>
            <w:r w:rsidRPr="00B5691E">
              <w:rPr>
                <w:rFonts w:ascii="Calibri" w:hAnsi="Calibri" w:cs="Calibri"/>
                <w:sz w:val="18"/>
              </w:rPr>
              <w:t xml:space="preserve">roup </w:t>
            </w:r>
          </w:p>
        </w:tc>
        <w:tc>
          <w:tcPr>
            <w:tcW w:w="3321" w:type="dxa"/>
            <w:tcBorders>
              <w:top w:val="single" w:sz="4" w:space="0" w:color="53565A" w:themeColor="accent5"/>
              <w:bottom w:val="single" w:sz="4" w:space="0" w:color="53565A" w:themeColor="accent5"/>
            </w:tcBorders>
          </w:tcPr>
          <w:p w14:paraId="5904DBD5" w14:textId="77777777" w:rsidR="00402E2C" w:rsidRPr="00946824" w:rsidRDefault="00402E2C" w:rsidP="00D63B54">
            <w:pPr>
              <w:pStyle w:val="ESTablebody"/>
              <w:rPr>
                <w:rFonts w:ascii="Calibri" w:hAnsi="Calibri" w:cs="Calibri"/>
                <w:sz w:val="18"/>
              </w:rPr>
            </w:pPr>
            <w:r w:rsidRPr="00FF0355">
              <w:rPr>
                <w:rFonts w:ascii="Calibri" w:hAnsi="Calibri" w:cs="Calibri"/>
                <w:sz w:val="18"/>
              </w:rPr>
              <w:t xml:space="preserve">The </w:t>
            </w:r>
            <w:r>
              <w:rPr>
                <w:rFonts w:ascii="Calibri" w:hAnsi="Calibri" w:cs="Calibri"/>
                <w:sz w:val="18"/>
              </w:rPr>
              <w:t>advisory g</w:t>
            </w:r>
            <w:r w:rsidRPr="00FF0355">
              <w:rPr>
                <w:rFonts w:ascii="Calibri" w:hAnsi="Calibri" w:cs="Calibri"/>
                <w:sz w:val="18"/>
              </w:rPr>
              <w:t xml:space="preserve">roup is chaired by the </w:t>
            </w:r>
            <w:r>
              <w:rPr>
                <w:rFonts w:ascii="Calibri" w:hAnsi="Calibri" w:cs="Calibri"/>
                <w:sz w:val="18"/>
              </w:rPr>
              <w:t>d</w:t>
            </w:r>
            <w:r w:rsidRPr="00FF0355">
              <w:rPr>
                <w:rFonts w:ascii="Calibri" w:hAnsi="Calibri" w:cs="Calibri"/>
                <w:sz w:val="18"/>
              </w:rPr>
              <w:t xml:space="preserve">epartment and comprises peak bodies in the disability sector. It ensures that the voices of families and students with disability are represented and amplified in the governance and implementation of </w:t>
            </w:r>
            <w:r>
              <w:rPr>
                <w:rFonts w:ascii="Calibri" w:hAnsi="Calibri" w:cs="Calibri"/>
                <w:sz w:val="18"/>
              </w:rPr>
              <w:t>d</w:t>
            </w:r>
            <w:r w:rsidRPr="00FF0355">
              <w:rPr>
                <w:rFonts w:ascii="Calibri" w:hAnsi="Calibri" w:cs="Calibri"/>
                <w:sz w:val="18"/>
              </w:rPr>
              <w:t xml:space="preserve">isability </w:t>
            </w:r>
            <w:r>
              <w:rPr>
                <w:rFonts w:ascii="Calibri" w:hAnsi="Calibri" w:cs="Calibri"/>
                <w:sz w:val="18"/>
              </w:rPr>
              <w:t>i</w:t>
            </w:r>
            <w:r w:rsidRPr="00FF0355">
              <w:rPr>
                <w:rFonts w:ascii="Calibri" w:hAnsi="Calibri" w:cs="Calibri"/>
                <w:sz w:val="18"/>
              </w:rPr>
              <w:t>nclusion programs.</w:t>
            </w:r>
          </w:p>
        </w:tc>
        <w:tc>
          <w:tcPr>
            <w:tcW w:w="3268" w:type="dxa"/>
            <w:tcBorders>
              <w:top w:val="single" w:sz="4" w:space="0" w:color="53565A" w:themeColor="accent5"/>
              <w:bottom w:val="single" w:sz="4" w:space="0" w:color="53565A" w:themeColor="accent5"/>
            </w:tcBorders>
          </w:tcPr>
          <w:p w14:paraId="2A7254D2" w14:textId="77777777" w:rsidR="00402E2C" w:rsidRPr="00946824" w:rsidRDefault="00402E2C" w:rsidP="00D63B54">
            <w:pPr>
              <w:pStyle w:val="ESTablebody"/>
              <w:rPr>
                <w:rFonts w:ascii="Calibri" w:hAnsi="Calibri" w:cs="Calibri"/>
                <w:sz w:val="18"/>
              </w:rPr>
            </w:pPr>
            <w:r>
              <w:rPr>
                <w:rFonts w:ascii="Calibri" w:hAnsi="Calibri" w:cs="Calibri"/>
                <w:sz w:val="18"/>
              </w:rPr>
              <w:t xml:space="preserve">The advisory group met every second month to provide </w:t>
            </w:r>
            <w:r w:rsidRPr="00C22910">
              <w:rPr>
                <w:rFonts w:ascii="Calibri" w:hAnsi="Calibri" w:cs="Calibri"/>
                <w:sz w:val="18"/>
              </w:rPr>
              <w:t xml:space="preserve">strategic advice and feedback to the </w:t>
            </w:r>
            <w:r>
              <w:rPr>
                <w:rFonts w:ascii="Calibri" w:hAnsi="Calibri" w:cs="Calibri"/>
                <w:sz w:val="18"/>
              </w:rPr>
              <w:t>d</w:t>
            </w:r>
            <w:r w:rsidRPr="00C22910">
              <w:rPr>
                <w:rFonts w:ascii="Calibri" w:hAnsi="Calibri" w:cs="Calibri"/>
                <w:sz w:val="18"/>
              </w:rPr>
              <w:t xml:space="preserve">epartment </w:t>
            </w:r>
            <w:r>
              <w:rPr>
                <w:rFonts w:ascii="Calibri" w:hAnsi="Calibri" w:cs="Calibri"/>
                <w:sz w:val="18"/>
              </w:rPr>
              <w:t>to support the implementation of disability inclusion.</w:t>
            </w:r>
          </w:p>
        </w:tc>
      </w:tr>
      <w:tr w:rsidR="00402E2C" w:rsidRPr="00925213" w14:paraId="46986DDC"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71C153F7" w14:textId="77777777" w:rsidR="00402E2C" w:rsidRPr="0019565A" w:rsidRDefault="00402E2C" w:rsidP="00FB52A9">
            <w:pPr>
              <w:pStyle w:val="ESTablebody"/>
              <w:rPr>
                <w:rFonts w:ascii="Calibri" w:hAnsi="Calibri" w:cs="Calibri"/>
                <w:sz w:val="18"/>
              </w:rPr>
            </w:pPr>
            <w:r w:rsidRPr="0019565A">
              <w:rPr>
                <w:rFonts w:ascii="Calibri" w:hAnsi="Calibri" w:cs="Calibri"/>
                <w:sz w:val="18"/>
              </w:rPr>
              <w:t>Early Childhood Education Reform Stakeholder Group</w:t>
            </w:r>
          </w:p>
        </w:tc>
        <w:tc>
          <w:tcPr>
            <w:tcW w:w="3321" w:type="dxa"/>
            <w:tcBorders>
              <w:top w:val="single" w:sz="4" w:space="0" w:color="53565A" w:themeColor="accent5"/>
              <w:bottom w:val="single" w:sz="4" w:space="0" w:color="53565A" w:themeColor="accent5"/>
            </w:tcBorders>
          </w:tcPr>
          <w:p w14:paraId="20BF2265" w14:textId="77777777" w:rsidR="00402E2C" w:rsidRPr="0019565A" w:rsidRDefault="00402E2C" w:rsidP="00FB52A9">
            <w:pPr>
              <w:pStyle w:val="ESTablebody"/>
              <w:rPr>
                <w:rFonts w:ascii="Calibri" w:hAnsi="Calibri" w:cs="Calibri"/>
                <w:sz w:val="18"/>
              </w:rPr>
            </w:pPr>
            <w:r w:rsidRPr="0019565A">
              <w:rPr>
                <w:rFonts w:ascii="Calibri" w:hAnsi="Calibri" w:cs="Calibri"/>
                <w:sz w:val="18"/>
                <w:lang w:val="en-AU"/>
              </w:rPr>
              <w:t xml:space="preserve">The stakeholder group explores evidence-based and place-based approaches in delivering </w:t>
            </w:r>
            <w:proofErr w:type="spellStart"/>
            <w:r w:rsidRPr="0019565A">
              <w:rPr>
                <w:rFonts w:ascii="Calibri" w:hAnsi="Calibri" w:cs="Calibri"/>
                <w:sz w:val="18"/>
                <w:lang w:val="en-AU"/>
              </w:rPr>
              <w:t>statewide</w:t>
            </w:r>
            <w:proofErr w:type="spellEnd"/>
            <w:r w:rsidRPr="0019565A">
              <w:rPr>
                <w:rFonts w:ascii="Calibri" w:hAnsi="Calibri" w:cs="Calibri"/>
                <w:sz w:val="18"/>
                <w:lang w:val="en-AU"/>
              </w:rPr>
              <w:t>, high-quality, play based early childhood education to improve outcomes and ensure equity for children and their families.</w:t>
            </w:r>
          </w:p>
        </w:tc>
        <w:tc>
          <w:tcPr>
            <w:tcW w:w="3268" w:type="dxa"/>
            <w:tcBorders>
              <w:top w:val="single" w:sz="4" w:space="0" w:color="53565A" w:themeColor="accent5"/>
              <w:bottom w:val="single" w:sz="4" w:space="0" w:color="53565A" w:themeColor="accent5"/>
            </w:tcBorders>
          </w:tcPr>
          <w:p w14:paraId="5F973350" w14:textId="77777777" w:rsidR="00402E2C" w:rsidRPr="0019565A" w:rsidRDefault="00402E2C" w:rsidP="001C6E54">
            <w:pPr>
              <w:pStyle w:val="ESTablebody"/>
              <w:rPr>
                <w:rFonts w:ascii="Calibri" w:hAnsi="Calibri" w:cs="Calibri"/>
                <w:sz w:val="18"/>
                <w:lang w:val="en-AU"/>
              </w:rPr>
            </w:pPr>
            <w:r w:rsidRPr="0019565A">
              <w:rPr>
                <w:rFonts w:ascii="Calibri" w:hAnsi="Calibri" w:cs="Calibri"/>
                <w:sz w:val="18"/>
                <w:lang w:val="en-AU"/>
              </w:rPr>
              <w:t>The stakeholder group met in October 2021. It has been developing a systemwide perspective to provide a guiding vision for the early childhood sector over the next five to ten years. A core sub-group of members met regularly to focus on the ongoing impact of the COVID-19 pandemic.</w:t>
            </w:r>
          </w:p>
        </w:tc>
      </w:tr>
      <w:tr w:rsidR="00402E2C" w:rsidRPr="00925213" w14:paraId="547832EE"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60BB7D0B" w14:textId="77777777" w:rsidR="00402E2C" w:rsidRDefault="00402E2C" w:rsidP="004040DD">
            <w:pPr>
              <w:pStyle w:val="ESTablebody"/>
              <w:rPr>
                <w:rFonts w:ascii="Calibri" w:hAnsi="Calibri" w:cs="Calibri"/>
                <w:sz w:val="18"/>
              </w:rPr>
            </w:pPr>
            <w:r>
              <w:rPr>
                <w:rFonts w:ascii="Calibri" w:hAnsi="Calibri" w:cs="Calibri"/>
                <w:sz w:val="18"/>
              </w:rPr>
              <w:t>Environment and Climate Change Working Group</w:t>
            </w:r>
          </w:p>
          <w:p w14:paraId="13B8ECF6" w14:textId="77777777" w:rsidR="00402E2C" w:rsidRPr="00B5691E" w:rsidRDefault="00402E2C" w:rsidP="004040DD">
            <w:pPr>
              <w:pStyle w:val="ESTablebody"/>
              <w:rPr>
                <w:rFonts w:ascii="Calibri" w:hAnsi="Calibri" w:cs="Calibri"/>
                <w:sz w:val="18"/>
              </w:rPr>
            </w:pPr>
          </w:p>
        </w:tc>
        <w:tc>
          <w:tcPr>
            <w:tcW w:w="3321" w:type="dxa"/>
            <w:tcBorders>
              <w:top w:val="single" w:sz="4" w:space="0" w:color="53565A" w:themeColor="accent5"/>
              <w:bottom w:val="single" w:sz="4" w:space="0" w:color="53565A" w:themeColor="accent5"/>
            </w:tcBorders>
          </w:tcPr>
          <w:p w14:paraId="3867444D" w14:textId="6F0BCCD6" w:rsidR="00402E2C" w:rsidRPr="00FF0355" w:rsidRDefault="00402E2C" w:rsidP="004040DD">
            <w:pPr>
              <w:pStyle w:val="ESTablebody"/>
              <w:rPr>
                <w:rFonts w:ascii="Calibri" w:hAnsi="Calibri" w:cs="Calibri"/>
                <w:sz w:val="18"/>
              </w:rPr>
            </w:pPr>
            <w:r>
              <w:rPr>
                <w:rFonts w:ascii="Calibri" w:hAnsi="Calibri" w:cs="Calibri"/>
                <w:sz w:val="18"/>
              </w:rPr>
              <w:t>The working group</w:t>
            </w:r>
            <w:r w:rsidRPr="00071243">
              <w:rPr>
                <w:rFonts w:ascii="Calibri" w:hAnsi="Calibri" w:cs="Calibri"/>
                <w:sz w:val="18"/>
              </w:rPr>
              <w:t xml:space="preserve"> provide</w:t>
            </w:r>
            <w:r>
              <w:rPr>
                <w:rFonts w:ascii="Calibri" w:hAnsi="Calibri" w:cs="Calibri"/>
                <w:sz w:val="18"/>
              </w:rPr>
              <w:t>s</w:t>
            </w:r>
            <w:r w:rsidRPr="00071243">
              <w:rPr>
                <w:rFonts w:ascii="Calibri" w:hAnsi="Calibri" w:cs="Calibri"/>
                <w:sz w:val="18"/>
              </w:rPr>
              <w:t xml:space="preserve"> assurance to </w:t>
            </w:r>
            <w:r>
              <w:rPr>
                <w:rFonts w:ascii="Calibri" w:hAnsi="Calibri" w:cs="Calibri"/>
                <w:sz w:val="18"/>
              </w:rPr>
              <w:t xml:space="preserve">the department’s </w:t>
            </w:r>
            <w:r w:rsidR="005F6A7E">
              <w:rPr>
                <w:rFonts w:ascii="Calibri" w:hAnsi="Calibri" w:cs="Calibri"/>
                <w:sz w:val="18"/>
              </w:rPr>
              <w:t>EB</w:t>
            </w:r>
            <w:r w:rsidRPr="00071243">
              <w:rPr>
                <w:rFonts w:ascii="Calibri" w:hAnsi="Calibri" w:cs="Calibri"/>
                <w:sz w:val="18"/>
              </w:rPr>
              <w:t xml:space="preserve"> that the </w:t>
            </w:r>
            <w:r>
              <w:rPr>
                <w:rFonts w:ascii="Calibri" w:hAnsi="Calibri" w:cs="Calibri"/>
                <w:sz w:val="18"/>
              </w:rPr>
              <w:t>d</w:t>
            </w:r>
            <w:r w:rsidRPr="00071243">
              <w:rPr>
                <w:rFonts w:ascii="Calibri" w:hAnsi="Calibri" w:cs="Calibri"/>
                <w:sz w:val="18"/>
              </w:rPr>
              <w:t>epartment is meeting its environmental obligations.</w:t>
            </w:r>
            <w:r>
              <w:rPr>
                <w:rFonts w:ascii="Calibri" w:hAnsi="Calibri" w:cs="Calibri"/>
                <w:sz w:val="18"/>
              </w:rPr>
              <w:t xml:space="preserve"> </w:t>
            </w:r>
            <w:r w:rsidRPr="00071243">
              <w:rPr>
                <w:rFonts w:ascii="Calibri" w:hAnsi="Calibri" w:cs="Calibri"/>
                <w:sz w:val="18"/>
              </w:rPr>
              <w:t xml:space="preserve">It </w:t>
            </w:r>
            <w:r>
              <w:rPr>
                <w:rFonts w:ascii="Calibri" w:hAnsi="Calibri" w:cs="Calibri"/>
                <w:sz w:val="18"/>
              </w:rPr>
              <w:t>does</w:t>
            </w:r>
            <w:r w:rsidRPr="00071243">
              <w:rPr>
                <w:rFonts w:ascii="Calibri" w:hAnsi="Calibri" w:cs="Calibri"/>
                <w:sz w:val="18"/>
              </w:rPr>
              <w:t xml:space="preserve"> this by engaging across the </w:t>
            </w:r>
            <w:r>
              <w:rPr>
                <w:rFonts w:ascii="Calibri" w:hAnsi="Calibri" w:cs="Calibri"/>
                <w:sz w:val="18"/>
              </w:rPr>
              <w:t>department</w:t>
            </w:r>
            <w:r w:rsidRPr="00071243">
              <w:rPr>
                <w:rFonts w:ascii="Calibri" w:hAnsi="Calibri" w:cs="Calibri"/>
                <w:sz w:val="18"/>
              </w:rPr>
              <w:t xml:space="preserve"> to inform strategic actions and to support the delivery of actions to meet environmental sustainability obligations.</w:t>
            </w:r>
          </w:p>
        </w:tc>
        <w:tc>
          <w:tcPr>
            <w:tcW w:w="3268" w:type="dxa"/>
            <w:tcBorders>
              <w:top w:val="single" w:sz="4" w:space="0" w:color="53565A" w:themeColor="accent5"/>
              <w:bottom w:val="single" w:sz="4" w:space="0" w:color="53565A" w:themeColor="accent5"/>
            </w:tcBorders>
          </w:tcPr>
          <w:p w14:paraId="6CB41AE2" w14:textId="77777777" w:rsidR="00402E2C" w:rsidRDefault="00402E2C" w:rsidP="004040DD">
            <w:pPr>
              <w:pStyle w:val="ESTablebody"/>
              <w:rPr>
                <w:rFonts w:ascii="Calibri" w:hAnsi="Calibri" w:cs="Calibri"/>
                <w:sz w:val="18"/>
              </w:rPr>
            </w:pPr>
            <w:r>
              <w:rPr>
                <w:rFonts w:ascii="Calibri" w:hAnsi="Calibri" w:cs="Calibri"/>
                <w:sz w:val="18"/>
              </w:rPr>
              <w:t xml:space="preserve">The working group met 7 times, </w:t>
            </w:r>
            <w:r w:rsidRPr="00071243">
              <w:rPr>
                <w:rFonts w:ascii="Calibri" w:hAnsi="Calibri" w:cs="Calibri"/>
                <w:sz w:val="18"/>
              </w:rPr>
              <w:t>consider</w:t>
            </w:r>
            <w:r>
              <w:rPr>
                <w:rFonts w:ascii="Calibri" w:hAnsi="Calibri" w:cs="Calibri"/>
                <w:sz w:val="18"/>
              </w:rPr>
              <w:t>ing</w:t>
            </w:r>
            <w:r w:rsidRPr="00071243">
              <w:rPr>
                <w:rFonts w:ascii="Calibri" w:hAnsi="Calibri" w:cs="Calibri"/>
                <w:sz w:val="18"/>
              </w:rPr>
              <w:t xml:space="preserve"> </w:t>
            </w:r>
            <w:proofErr w:type="gramStart"/>
            <w:r w:rsidRPr="00071243">
              <w:rPr>
                <w:rFonts w:ascii="Calibri" w:hAnsi="Calibri" w:cs="Calibri"/>
                <w:sz w:val="18"/>
              </w:rPr>
              <w:t>topics</w:t>
            </w:r>
            <w:proofErr w:type="gramEnd"/>
            <w:r w:rsidRPr="00071243">
              <w:rPr>
                <w:rFonts w:ascii="Calibri" w:hAnsi="Calibri" w:cs="Calibri"/>
                <w:sz w:val="18"/>
              </w:rPr>
              <w:t xml:space="preserve"> and mak</w:t>
            </w:r>
            <w:r>
              <w:rPr>
                <w:rFonts w:ascii="Calibri" w:hAnsi="Calibri" w:cs="Calibri"/>
                <w:sz w:val="18"/>
              </w:rPr>
              <w:t>ing</w:t>
            </w:r>
            <w:r w:rsidRPr="00071243">
              <w:rPr>
                <w:rFonts w:ascii="Calibri" w:hAnsi="Calibri" w:cs="Calibri"/>
                <w:sz w:val="18"/>
              </w:rPr>
              <w:t xml:space="preserve"> decisions under 4 broad streams of work:</w:t>
            </w:r>
            <w:r>
              <w:rPr>
                <w:rFonts w:ascii="Calibri" w:hAnsi="Calibri" w:cs="Calibri"/>
                <w:sz w:val="18"/>
              </w:rPr>
              <w:t xml:space="preserve"> c</w:t>
            </w:r>
            <w:r w:rsidRPr="00071243">
              <w:rPr>
                <w:rFonts w:ascii="Calibri" w:hAnsi="Calibri" w:cs="Calibri"/>
                <w:sz w:val="18"/>
              </w:rPr>
              <w:t>limate change adaptation</w:t>
            </w:r>
            <w:r>
              <w:rPr>
                <w:rFonts w:ascii="Calibri" w:hAnsi="Calibri" w:cs="Calibri"/>
                <w:sz w:val="18"/>
              </w:rPr>
              <w:t>, g</w:t>
            </w:r>
            <w:r w:rsidRPr="00071243">
              <w:rPr>
                <w:rFonts w:ascii="Calibri" w:hAnsi="Calibri" w:cs="Calibri"/>
                <w:sz w:val="18"/>
              </w:rPr>
              <w:t>reenhouse gas emissions reduction</w:t>
            </w:r>
            <w:r>
              <w:rPr>
                <w:rFonts w:ascii="Calibri" w:hAnsi="Calibri" w:cs="Calibri"/>
                <w:sz w:val="18"/>
              </w:rPr>
              <w:t>, e</w:t>
            </w:r>
            <w:r w:rsidRPr="00071243">
              <w:rPr>
                <w:rFonts w:ascii="Calibri" w:hAnsi="Calibri" w:cs="Calibri"/>
                <w:sz w:val="18"/>
              </w:rPr>
              <w:t xml:space="preserve">nvironmental </w:t>
            </w:r>
            <w:r>
              <w:rPr>
                <w:rFonts w:ascii="Calibri" w:hAnsi="Calibri" w:cs="Calibri"/>
                <w:sz w:val="18"/>
              </w:rPr>
              <w:t>m</w:t>
            </w:r>
            <w:r w:rsidRPr="00071243">
              <w:rPr>
                <w:rFonts w:ascii="Calibri" w:hAnsi="Calibri" w:cs="Calibri"/>
                <w:sz w:val="18"/>
              </w:rPr>
              <w:t xml:space="preserve">anagement </w:t>
            </w:r>
            <w:r>
              <w:rPr>
                <w:rFonts w:ascii="Calibri" w:hAnsi="Calibri" w:cs="Calibri"/>
                <w:sz w:val="18"/>
              </w:rPr>
              <w:t>s</w:t>
            </w:r>
            <w:r w:rsidRPr="00071243">
              <w:rPr>
                <w:rFonts w:ascii="Calibri" w:hAnsi="Calibri" w:cs="Calibri"/>
                <w:sz w:val="18"/>
              </w:rPr>
              <w:t>ystem</w:t>
            </w:r>
            <w:r>
              <w:rPr>
                <w:rFonts w:ascii="Calibri" w:hAnsi="Calibri" w:cs="Calibri"/>
                <w:sz w:val="18"/>
              </w:rPr>
              <w:t xml:space="preserve"> and the department’s e</w:t>
            </w:r>
            <w:r w:rsidRPr="00071243">
              <w:rPr>
                <w:rFonts w:ascii="Calibri" w:hAnsi="Calibri" w:cs="Calibri"/>
                <w:sz w:val="18"/>
              </w:rPr>
              <w:t>co-champions networks.</w:t>
            </w:r>
          </w:p>
        </w:tc>
      </w:tr>
      <w:tr w:rsidR="00402E2C" w:rsidRPr="00925213" w14:paraId="5C9FC7EF"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2246C4C8"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Guiding Coalition</w:t>
            </w:r>
          </w:p>
        </w:tc>
        <w:tc>
          <w:tcPr>
            <w:tcW w:w="3321" w:type="dxa"/>
            <w:tcBorders>
              <w:top w:val="single" w:sz="4" w:space="0" w:color="53565A" w:themeColor="accent5"/>
              <w:bottom w:val="single" w:sz="4" w:space="0" w:color="53565A" w:themeColor="accent5"/>
            </w:tcBorders>
          </w:tcPr>
          <w:p w14:paraId="0FF7EADA" w14:textId="05A804C4" w:rsidR="00402E2C" w:rsidRPr="001E1715" w:rsidRDefault="00402E2C" w:rsidP="001E1715">
            <w:pPr>
              <w:pStyle w:val="ESTablebody"/>
              <w:rPr>
                <w:rFonts w:ascii="Calibri" w:hAnsi="Calibri" w:cs="Calibri"/>
                <w:sz w:val="18"/>
              </w:rPr>
            </w:pPr>
            <w:r w:rsidRPr="001E1715">
              <w:rPr>
                <w:rFonts w:ascii="Calibri" w:hAnsi="Calibri" w:cs="Calibri"/>
                <w:sz w:val="18"/>
              </w:rPr>
              <w:t xml:space="preserve">The </w:t>
            </w:r>
            <w:r w:rsidR="00777850">
              <w:rPr>
                <w:rFonts w:ascii="Calibri" w:hAnsi="Calibri" w:cs="Calibri"/>
                <w:sz w:val="18"/>
              </w:rPr>
              <w:t>c</w:t>
            </w:r>
            <w:r w:rsidRPr="001E1715">
              <w:rPr>
                <w:rFonts w:ascii="Calibri" w:hAnsi="Calibri" w:cs="Calibri"/>
                <w:sz w:val="18"/>
              </w:rPr>
              <w:t xml:space="preserve">oalition aims to facilitate productive and meaningful engagement to progress the shared goal of improving student outcomes across the government school education system. Membership consists of key partners from across the school system, including parent, student, teacher, principal, </w:t>
            </w:r>
            <w:proofErr w:type="gramStart"/>
            <w:r w:rsidRPr="001E1715">
              <w:rPr>
                <w:rFonts w:ascii="Calibri" w:hAnsi="Calibri" w:cs="Calibri"/>
                <w:sz w:val="18"/>
              </w:rPr>
              <w:t>industry</w:t>
            </w:r>
            <w:proofErr w:type="gramEnd"/>
            <w:r w:rsidRPr="001E1715">
              <w:rPr>
                <w:rFonts w:ascii="Calibri" w:hAnsi="Calibri" w:cs="Calibri"/>
                <w:sz w:val="18"/>
              </w:rPr>
              <w:t xml:space="preserve"> and community sector peak bodies.</w:t>
            </w:r>
          </w:p>
        </w:tc>
        <w:tc>
          <w:tcPr>
            <w:tcW w:w="3268" w:type="dxa"/>
            <w:tcBorders>
              <w:top w:val="single" w:sz="4" w:space="0" w:color="53565A" w:themeColor="accent5"/>
              <w:bottom w:val="single" w:sz="4" w:space="0" w:color="53565A" w:themeColor="accent5"/>
            </w:tcBorders>
          </w:tcPr>
          <w:p w14:paraId="34F95788" w14:textId="231627DF" w:rsidR="00402E2C" w:rsidRPr="001E1715" w:rsidRDefault="00402E2C" w:rsidP="001E1715">
            <w:pPr>
              <w:pStyle w:val="ESTablebody"/>
              <w:rPr>
                <w:rFonts w:ascii="Calibri" w:hAnsi="Calibri" w:cs="Calibri"/>
                <w:sz w:val="18"/>
              </w:rPr>
            </w:pPr>
            <w:r w:rsidRPr="001E1715">
              <w:rPr>
                <w:rFonts w:ascii="Calibri" w:hAnsi="Calibri" w:cs="Calibri"/>
                <w:sz w:val="18"/>
              </w:rPr>
              <w:t xml:space="preserve">The </w:t>
            </w:r>
            <w:r w:rsidR="00777850">
              <w:rPr>
                <w:rFonts w:ascii="Calibri" w:hAnsi="Calibri" w:cs="Calibri"/>
                <w:sz w:val="18"/>
              </w:rPr>
              <w:t>c</w:t>
            </w:r>
            <w:r w:rsidRPr="001E1715">
              <w:rPr>
                <w:rFonts w:ascii="Calibri" w:hAnsi="Calibri" w:cs="Calibri"/>
                <w:sz w:val="18"/>
              </w:rPr>
              <w:t xml:space="preserve">oalition met </w:t>
            </w:r>
            <w:r>
              <w:rPr>
                <w:rFonts w:ascii="Calibri" w:hAnsi="Calibri" w:cs="Calibri"/>
                <w:sz w:val="18"/>
              </w:rPr>
              <w:t xml:space="preserve">3 times during 2021–22 and </w:t>
            </w:r>
            <w:r w:rsidRPr="001E1715">
              <w:rPr>
                <w:rFonts w:ascii="Calibri" w:hAnsi="Calibri" w:cs="Calibri"/>
                <w:sz w:val="18"/>
              </w:rPr>
              <w:t>shared perspectives and provided guidance to the department on the priority areas of mental health and wellbeing, senior secondary reforms and teaching and learning.</w:t>
            </w:r>
          </w:p>
        </w:tc>
      </w:tr>
      <w:tr w:rsidR="00402E2C" w:rsidRPr="00925213" w14:paraId="6B6AA164" w14:textId="77777777" w:rsidTr="00FD14DE">
        <w:trPr>
          <w:cantSplit/>
          <w:trHeight w:val="227"/>
        </w:trPr>
        <w:tc>
          <w:tcPr>
            <w:tcW w:w="2250" w:type="dxa"/>
            <w:tcBorders>
              <w:top w:val="single" w:sz="4" w:space="0" w:color="auto"/>
              <w:bottom w:val="single" w:sz="4" w:space="0" w:color="auto"/>
            </w:tcBorders>
            <w:shd w:val="clear" w:color="auto" w:fill="auto"/>
          </w:tcPr>
          <w:p w14:paraId="78C5F942" w14:textId="251A4611" w:rsidR="00402E2C" w:rsidRPr="00D63B54" w:rsidRDefault="00402E2C" w:rsidP="00D63B54">
            <w:pPr>
              <w:pStyle w:val="ESTablebody"/>
              <w:rPr>
                <w:rFonts w:ascii="Calibri" w:hAnsi="Calibri" w:cs="Calibri"/>
                <w:sz w:val="18"/>
              </w:rPr>
            </w:pPr>
            <w:r w:rsidRPr="00D63B54">
              <w:rPr>
                <w:rFonts w:ascii="Calibri" w:hAnsi="Calibri" w:cs="Calibri"/>
                <w:sz w:val="18"/>
              </w:rPr>
              <w:t xml:space="preserve">Inclusive </w:t>
            </w:r>
            <w:r w:rsidR="00777850">
              <w:rPr>
                <w:rFonts w:ascii="Calibri" w:hAnsi="Calibri" w:cs="Calibri"/>
                <w:sz w:val="18"/>
              </w:rPr>
              <w:t>E</w:t>
            </w:r>
            <w:r w:rsidRPr="00D63B54">
              <w:rPr>
                <w:rFonts w:ascii="Calibri" w:hAnsi="Calibri" w:cs="Calibri"/>
                <w:sz w:val="18"/>
              </w:rPr>
              <w:t xml:space="preserve">ducation </w:t>
            </w:r>
            <w:r w:rsidR="00777850">
              <w:rPr>
                <w:rFonts w:ascii="Calibri" w:hAnsi="Calibri" w:cs="Calibri"/>
                <w:sz w:val="18"/>
              </w:rPr>
              <w:t>E</w:t>
            </w:r>
            <w:r w:rsidRPr="00D63B54">
              <w:rPr>
                <w:rFonts w:ascii="Calibri" w:hAnsi="Calibri" w:cs="Calibri"/>
                <w:sz w:val="18"/>
              </w:rPr>
              <w:t xml:space="preserve">xpert </w:t>
            </w:r>
            <w:r w:rsidR="00777850">
              <w:rPr>
                <w:rFonts w:ascii="Calibri" w:hAnsi="Calibri" w:cs="Calibri"/>
                <w:sz w:val="18"/>
              </w:rPr>
              <w:t>P</w:t>
            </w:r>
            <w:r w:rsidRPr="00D63B54">
              <w:rPr>
                <w:rFonts w:ascii="Calibri" w:hAnsi="Calibri" w:cs="Calibri"/>
                <w:sz w:val="18"/>
              </w:rPr>
              <w:t xml:space="preserve">anel </w:t>
            </w:r>
          </w:p>
        </w:tc>
        <w:tc>
          <w:tcPr>
            <w:tcW w:w="3321" w:type="dxa"/>
            <w:tcBorders>
              <w:top w:val="single" w:sz="4" w:space="0" w:color="auto"/>
              <w:bottom w:val="single" w:sz="4" w:space="0" w:color="auto"/>
            </w:tcBorders>
          </w:tcPr>
          <w:p w14:paraId="5DF84638" w14:textId="77777777" w:rsidR="00402E2C" w:rsidRPr="00D63B54" w:rsidRDefault="00402E2C" w:rsidP="00D63B54">
            <w:pPr>
              <w:pStyle w:val="ESTablebody"/>
              <w:rPr>
                <w:rFonts w:ascii="Calibri" w:hAnsi="Calibri" w:cs="Calibri"/>
                <w:sz w:val="18"/>
              </w:rPr>
            </w:pPr>
            <w:r w:rsidRPr="00D63B54">
              <w:rPr>
                <w:rFonts w:ascii="Calibri" w:hAnsi="Calibri" w:cs="Calibri"/>
                <w:sz w:val="18"/>
              </w:rPr>
              <w:t>The panel is chaired by the department and comprises experts in the disability and education sectors. It provides advice to the department on the inclusive education agenda for students with disability.</w:t>
            </w:r>
          </w:p>
        </w:tc>
        <w:tc>
          <w:tcPr>
            <w:tcW w:w="3268" w:type="dxa"/>
            <w:tcBorders>
              <w:top w:val="single" w:sz="4" w:space="0" w:color="auto"/>
              <w:bottom w:val="single" w:sz="4" w:space="0" w:color="auto"/>
            </w:tcBorders>
          </w:tcPr>
          <w:p w14:paraId="18AACC41" w14:textId="77777777" w:rsidR="00402E2C" w:rsidRPr="00D63B54" w:rsidRDefault="00402E2C" w:rsidP="00D63B54">
            <w:pPr>
              <w:pStyle w:val="ESTablebody"/>
              <w:rPr>
                <w:rFonts w:ascii="Calibri" w:hAnsi="Calibri" w:cs="Calibri"/>
                <w:sz w:val="18"/>
              </w:rPr>
            </w:pPr>
            <w:r w:rsidRPr="00D63B54">
              <w:rPr>
                <w:rFonts w:ascii="Calibri" w:hAnsi="Calibri" w:cs="Calibri"/>
                <w:sz w:val="18"/>
              </w:rPr>
              <w:t xml:space="preserve">The panel met </w:t>
            </w:r>
            <w:r>
              <w:rPr>
                <w:rFonts w:ascii="Calibri" w:hAnsi="Calibri" w:cs="Calibri"/>
                <w:sz w:val="18"/>
              </w:rPr>
              <w:t>3</w:t>
            </w:r>
            <w:r w:rsidRPr="00D63B54">
              <w:rPr>
                <w:rFonts w:ascii="Calibri" w:hAnsi="Calibri" w:cs="Calibri"/>
                <w:sz w:val="18"/>
              </w:rPr>
              <w:t xml:space="preserve"> times</w:t>
            </w:r>
            <w:r>
              <w:rPr>
                <w:rFonts w:ascii="Calibri" w:hAnsi="Calibri" w:cs="Calibri"/>
                <w:sz w:val="18"/>
              </w:rPr>
              <w:t xml:space="preserve"> during 2021–22 </w:t>
            </w:r>
            <w:r w:rsidRPr="00D63B54">
              <w:rPr>
                <w:rFonts w:ascii="Calibri" w:hAnsi="Calibri" w:cs="Calibri"/>
                <w:sz w:val="18"/>
              </w:rPr>
              <w:t xml:space="preserve">and provided </w:t>
            </w:r>
            <w:r>
              <w:rPr>
                <w:rFonts w:ascii="Calibri" w:hAnsi="Calibri" w:cs="Calibri"/>
                <w:sz w:val="18"/>
              </w:rPr>
              <w:t>a</w:t>
            </w:r>
            <w:r w:rsidRPr="00D63B54">
              <w:rPr>
                <w:rFonts w:ascii="Calibri" w:hAnsi="Calibri" w:cs="Calibri"/>
                <w:sz w:val="18"/>
              </w:rPr>
              <w:t xml:space="preserve">dvice on the </w:t>
            </w:r>
            <w:r>
              <w:rPr>
                <w:rFonts w:ascii="Calibri" w:hAnsi="Calibri" w:cs="Calibri"/>
                <w:sz w:val="18"/>
              </w:rPr>
              <w:t>d</w:t>
            </w:r>
            <w:r w:rsidRPr="00D63B54">
              <w:rPr>
                <w:rFonts w:ascii="Calibri" w:hAnsi="Calibri" w:cs="Calibri"/>
                <w:sz w:val="18"/>
              </w:rPr>
              <w:t>epartment’s inclusive education agenda for students with disability.</w:t>
            </w:r>
          </w:p>
        </w:tc>
      </w:tr>
      <w:tr w:rsidR="00402E2C" w:rsidRPr="00925213" w14:paraId="7A03063B"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74BE79FA" w14:textId="77777777" w:rsidR="00402E2C" w:rsidRPr="0019565A" w:rsidRDefault="00402E2C" w:rsidP="00444A90">
            <w:pPr>
              <w:pStyle w:val="ESTablebody"/>
              <w:rPr>
                <w:rFonts w:ascii="Calibri" w:hAnsi="Calibri" w:cs="Calibri"/>
                <w:sz w:val="18"/>
              </w:rPr>
            </w:pPr>
            <w:r w:rsidRPr="0019565A">
              <w:rPr>
                <w:rFonts w:ascii="Calibri" w:hAnsi="Calibri" w:cs="Calibri"/>
                <w:sz w:val="18"/>
              </w:rPr>
              <w:t>Kindergarten Expansion Consultative Committee</w:t>
            </w:r>
          </w:p>
        </w:tc>
        <w:tc>
          <w:tcPr>
            <w:tcW w:w="3321" w:type="dxa"/>
            <w:tcBorders>
              <w:top w:val="single" w:sz="4" w:space="0" w:color="53565A" w:themeColor="accent5"/>
              <w:bottom w:val="single" w:sz="4" w:space="0" w:color="53565A" w:themeColor="accent5"/>
            </w:tcBorders>
          </w:tcPr>
          <w:p w14:paraId="4A5A6760" w14:textId="7C1D7665" w:rsidR="00402E2C" w:rsidRPr="0019565A" w:rsidRDefault="00402E2C" w:rsidP="00444A90">
            <w:pPr>
              <w:pStyle w:val="ESTablebody"/>
              <w:rPr>
                <w:rFonts w:ascii="Calibri" w:hAnsi="Calibri" w:cs="Calibri"/>
                <w:sz w:val="18"/>
              </w:rPr>
            </w:pPr>
            <w:r w:rsidRPr="0019565A">
              <w:rPr>
                <w:rFonts w:ascii="Calibri" w:hAnsi="Calibri" w:cs="Calibri"/>
                <w:sz w:val="18"/>
              </w:rPr>
              <w:t xml:space="preserve">The committee brings together senior representatives from Victoria’s early childhood sector, including local government, peak </w:t>
            </w:r>
            <w:proofErr w:type="gramStart"/>
            <w:r w:rsidRPr="0019565A">
              <w:rPr>
                <w:rFonts w:ascii="Calibri" w:hAnsi="Calibri" w:cs="Calibri"/>
                <w:sz w:val="18"/>
              </w:rPr>
              <w:t>bodies</w:t>
            </w:r>
            <w:proofErr w:type="gramEnd"/>
            <w:r w:rsidRPr="0019565A">
              <w:rPr>
                <w:rFonts w:ascii="Calibri" w:hAnsi="Calibri" w:cs="Calibri"/>
                <w:sz w:val="18"/>
              </w:rPr>
              <w:t xml:space="preserve"> and unions, to shape the future of the early learning sector in Victoria by supporting the implementation of Three-</w:t>
            </w:r>
            <w:r w:rsidR="00777850">
              <w:rPr>
                <w:rFonts w:ascii="Calibri" w:hAnsi="Calibri" w:cs="Calibri"/>
                <w:sz w:val="18"/>
              </w:rPr>
              <w:t>Y</w:t>
            </w:r>
            <w:r w:rsidRPr="0019565A">
              <w:rPr>
                <w:rFonts w:ascii="Calibri" w:hAnsi="Calibri" w:cs="Calibri"/>
                <w:sz w:val="18"/>
              </w:rPr>
              <w:t>ear-</w:t>
            </w:r>
            <w:r w:rsidR="00777850">
              <w:rPr>
                <w:rFonts w:ascii="Calibri" w:hAnsi="Calibri" w:cs="Calibri"/>
                <w:sz w:val="18"/>
              </w:rPr>
              <w:t>O</w:t>
            </w:r>
            <w:r w:rsidRPr="0019565A">
              <w:rPr>
                <w:rFonts w:ascii="Calibri" w:hAnsi="Calibri" w:cs="Calibri"/>
                <w:sz w:val="18"/>
              </w:rPr>
              <w:t xml:space="preserve">ld </w:t>
            </w:r>
            <w:r w:rsidR="00777850">
              <w:rPr>
                <w:rFonts w:ascii="Calibri" w:hAnsi="Calibri" w:cs="Calibri"/>
                <w:sz w:val="18"/>
              </w:rPr>
              <w:t>K</w:t>
            </w:r>
            <w:r w:rsidRPr="0019565A">
              <w:rPr>
                <w:rFonts w:ascii="Calibri" w:hAnsi="Calibri" w:cs="Calibri"/>
                <w:sz w:val="18"/>
              </w:rPr>
              <w:t>indergarten. It provides advice on policy and system issues and helps ensure that implementation is in the best interests of Victorian children and families.</w:t>
            </w:r>
          </w:p>
        </w:tc>
        <w:tc>
          <w:tcPr>
            <w:tcW w:w="3268" w:type="dxa"/>
            <w:tcBorders>
              <w:top w:val="single" w:sz="4" w:space="0" w:color="53565A" w:themeColor="accent5"/>
              <w:bottom w:val="single" w:sz="4" w:space="0" w:color="53565A" w:themeColor="accent5"/>
            </w:tcBorders>
          </w:tcPr>
          <w:p w14:paraId="093CBBF3" w14:textId="77777777" w:rsidR="00402E2C" w:rsidRPr="0019565A" w:rsidRDefault="00402E2C" w:rsidP="00444A90">
            <w:pPr>
              <w:pStyle w:val="ESTablebody"/>
              <w:rPr>
                <w:rFonts w:ascii="Calibri" w:hAnsi="Calibri" w:cs="Calibri"/>
                <w:sz w:val="18"/>
              </w:rPr>
            </w:pPr>
            <w:r w:rsidRPr="0019565A">
              <w:rPr>
                <w:rFonts w:ascii="Calibri" w:hAnsi="Calibri" w:cs="Calibri"/>
                <w:sz w:val="18"/>
              </w:rPr>
              <w:t>The committee met 4 times in 2021–22. It provided advice to the Minister and the department on key implementation and design decisions.</w:t>
            </w:r>
          </w:p>
        </w:tc>
      </w:tr>
      <w:tr w:rsidR="00402E2C" w:rsidRPr="00925213" w14:paraId="3530980E"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61130509" w14:textId="77777777" w:rsidR="00402E2C" w:rsidRPr="0019565A" w:rsidRDefault="00402E2C" w:rsidP="001C6E54">
            <w:pPr>
              <w:pStyle w:val="ESTablebody"/>
              <w:rPr>
                <w:rFonts w:ascii="Calibri" w:hAnsi="Calibri" w:cs="Calibri"/>
                <w:sz w:val="18"/>
              </w:rPr>
            </w:pPr>
            <w:r w:rsidRPr="0019565A">
              <w:rPr>
                <w:rFonts w:ascii="Calibri" w:hAnsi="Calibri" w:cs="Calibri"/>
                <w:sz w:val="18"/>
              </w:rPr>
              <w:t>Kindergarten Information Management System Reform Project Control Board</w:t>
            </w:r>
          </w:p>
        </w:tc>
        <w:tc>
          <w:tcPr>
            <w:tcW w:w="3321" w:type="dxa"/>
            <w:tcBorders>
              <w:top w:val="single" w:sz="4" w:space="0" w:color="53565A" w:themeColor="accent5"/>
              <w:bottom w:val="single" w:sz="4" w:space="0" w:color="53565A" w:themeColor="accent5"/>
            </w:tcBorders>
          </w:tcPr>
          <w:p w14:paraId="31B510FF" w14:textId="5B26CBCE" w:rsidR="00402E2C" w:rsidRPr="0019565A" w:rsidRDefault="00402E2C" w:rsidP="00EB7E2B">
            <w:pPr>
              <w:pStyle w:val="ESTablebody"/>
              <w:rPr>
                <w:rFonts w:ascii="Calibri" w:hAnsi="Calibri" w:cs="Calibri"/>
                <w:sz w:val="18"/>
                <w:lang w:val="en-AU"/>
              </w:rPr>
            </w:pPr>
            <w:r w:rsidRPr="0019565A">
              <w:rPr>
                <w:rFonts w:ascii="Calibri" w:hAnsi="Calibri" w:cs="Calibri"/>
                <w:sz w:val="18"/>
                <w:lang w:val="en-AU"/>
              </w:rPr>
              <w:t>The project control board has been created by the department’s E</w:t>
            </w:r>
            <w:r w:rsidR="005F6A7E">
              <w:rPr>
                <w:rFonts w:ascii="Calibri" w:hAnsi="Calibri" w:cs="Calibri"/>
                <w:sz w:val="18"/>
                <w:lang w:val="en-AU"/>
              </w:rPr>
              <w:t>B</w:t>
            </w:r>
            <w:r w:rsidRPr="0019565A">
              <w:rPr>
                <w:rFonts w:ascii="Calibri" w:hAnsi="Calibri" w:cs="Calibri"/>
                <w:sz w:val="18"/>
                <w:lang w:val="en-AU"/>
              </w:rPr>
              <w:t xml:space="preserve"> as a time</w:t>
            </w:r>
            <w:r w:rsidR="00777850">
              <w:rPr>
                <w:rFonts w:ascii="Calibri" w:hAnsi="Calibri" w:cs="Calibri"/>
                <w:sz w:val="18"/>
                <w:lang w:val="en-AU"/>
              </w:rPr>
              <w:noBreakHyphen/>
            </w:r>
            <w:r w:rsidRPr="0019565A">
              <w:rPr>
                <w:rFonts w:ascii="Calibri" w:hAnsi="Calibri" w:cs="Calibri"/>
                <w:sz w:val="18"/>
                <w:lang w:val="en-AU"/>
              </w:rPr>
              <w:t>bound, decision-making body responsible for the whole program lifecycle and management of the implementation of the new Kindergarten Information Management System.</w:t>
            </w:r>
          </w:p>
        </w:tc>
        <w:tc>
          <w:tcPr>
            <w:tcW w:w="3268" w:type="dxa"/>
            <w:tcBorders>
              <w:top w:val="single" w:sz="4" w:space="0" w:color="53565A" w:themeColor="accent5"/>
              <w:bottom w:val="single" w:sz="4" w:space="0" w:color="53565A" w:themeColor="accent5"/>
            </w:tcBorders>
          </w:tcPr>
          <w:p w14:paraId="0A59E19A" w14:textId="5870AAFB" w:rsidR="00402E2C" w:rsidRPr="0019565A" w:rsidRDefault="00402E2C" w:rsidP="00EB7E2B">
            <w:pPr>
              <w:pStyle w:val="ESTablebody"/>
              <w:rPr>
                <w:rFonts w:ascii="Calibri" w:hAnsi="Calibri" w:cs="Calibri"/>
                <w:sz w:val="18"/>
                <w:lang w:val="en-AU"/>
              </w:rPr>
            </w:pPr>
            <w:r w:rsidRPr="0019565A">
              <w:rPr>
                <w:rFonts w:ascii="Calibri" w:hAnsi="Calibri" w:cs="Calibri"/>
                <w:sz w:val="18"/>
                <w:lang w:val="en-AU"/>
              </w:rPr>
              <w:t>The project control board met monthly and provided program/project governance. It monitored performance against objectives, planned and budgeted</w:t>
            </w:r>
            <w:r w:rsidR="00777850">
              <w:rPr>
                <w:rFonts w:ascii="Calibri" w:hAnsi="Calibri" w:cs="Calibri"/>
                <w:sz w:val="18"/>
                <w:lang w:val="en-AU"/>
              </w:rPr>
              <w:t>. It</w:t>
            </w:r>
            <w:r w:rsidRPr="0019565A">
              <w:rPr>
                <w:rFonts w:ascii="Calibri" w:hAnsi="Calibri" w:cs="Calibri"/>
                <w:sz w:val="18"/>
                <w:lang w:val="en-AU"/>
              </w:rPr>
              <w:t xml:space="preserve"> advised on risk, </w:t>
            </w:r>
            <w:proofErr w:type="gramStart"/>
            <w:r w:rsidRPr="0019565A">
              <w:rPr>
                <w:rFonts w:ascii="Calibri" w:hAnsi="Calibri" w:cs="Calibri"/>
                <w:sz w:val="18"/>
                <w:lang w:val="en-AU"/>
              </w:rPr>
              <w:t>issues</w:t>
            </w:r>
            <w:proofErr w:type="gramEnd"/>
            <w:r w:rsidRPr="0019565A">
              <w:rPr>
                <w:rFonts w:ascii="Calibri" w:hAnsi="Calibri" w:cs="Calibri"/>
                <w:sz w:val="18"/>
                <w:lang w:val="en-AU"/>
              </w:rPr>
              <w:t xml:space="preserve"> and changes</w:t>
            </w:r>
            <w:r w:rsidR="00777850">
              <w:rPr>
                <w:rFonts w:ascii="Calibri" w:hAnsi="Calibri" w:cs="Calibri"/>
                <w:sz w:val="18"/>
                <w:lang w:val="en-AU"/>
              </w:rPr>
              <w:t>.</w:t>
            </w:r>
            <w:r w:rsidRPr="0019565A">
              <w:rPr>
                <w:rFonts w:ascii="Calibri" w:hAnsi="Calibri" w:cs="Calibri"/>
                <w:sz w:val="18"/>
                <w:lang w:val="en-AU"/>
              </w:rPr>
              <w:t xml:space="preserve"> </w:t>
            </w:r>
            <w:r w:rsidR="00777850">
              <w:rPr>
                <w:rFonts w:ascii="Calibri" w:hAnsi="Calibri" w:cs="Calibri"/>
                <w:sz w:val="18"/>
                <w:lang w:val="en-AU"/>
              </w:rPr>
              <w:t>It also</w:t>
            </w:r>
            <w:r w:rsidRPr="0019565A">
              <w:rPr>
                <w:rFonts w:ascii="Calibri" w:hAnsi="Calibri" w:cs="Calibri"/>
                <w:sz w:val="18"/>
                <w:lang w:val="en-AU"/>
              </w:rPr>
              <w:t xml:space="preserve"> assessed progress and used its influence and authority to assist in achieving outcomes. </w:t>
            </w:r>
          </w:p>
        </w:tc>
      </w:tr>
      <w:tr w:rsidR="00402E2C" w:rsidRPr="00925213" w14:paraId="3E54498C"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24461306" w14:textId="77777777" w:rsidR="00402E2C" w:rsidRPr="0019565A" w:rsidRDefault="00402E2C" w:rsidP="00444A90">
            <w:pPr>
              <w:pStyle w:val="ESTablebody"/>
              <w:rPr>
                <w:rFonts w:ascii="Calibri" w:hAnsi="Calibri" w:cs="Calibri"/>
                <w:sz w:val="18"/>
              </w:rPr>
            </w:pPr>
            <w:r w:rsidRPr="0019565A">
              <w:rPr>
                <w:rFonts w:ascii="Calibri" w:hAnsi="Calibri" w:cs="Calibri"/>
                <w:sz w:val="18"/>
              </w:rPr>
              <w:t>Kindergarten Reform Implementation Board</w:t>
            </w:r>
          </w:p>
        </w:tc>
        <w:tc>
          <w:tcPr>
            <w:tcW w:w="3321" w:type="dxa"/>
            <w:tcBorders>
              <w:top w:val="single" w:sz="4" w:space="0" w:color="53565A" w:themeColor="accent5"/>
              <w:bottom w:val="single" w:sz="4" w:space="0" w:color="53565A" w:themeColor="accent5"/>
            </w:tcBorders>
          </w:tcPr>
          <w:p w14:paraId="2F54A107" w14:textId="77777777" w:rsidR="00402E2C" w:rsidRPr="0019565A" w:rsidRDefault="00402E2C" w:rsidP="00444A90">
            <w:pPr>
              <w:pStyle w:val="ESTablebody"/>
              <w:rPr>
                <w:rFonts w:ascii="Calibri" w:hAnsi="Calibri" w:cs="Calibri"/>
                <w:sz w:val="18"/>
              </w:rPr>
            </w:pPr>
            <w:r w:rsidRPr="0019565A">
              <w:rPr>
                <w:rFonts w:ascii="Calibri" w:hAnsi="Calibri" w:cs="Calibri"/>
                <w:sz w:val="18"/>
              </w:rPr>
              <w:t>The implementation board was created as a time-bound, decision-making body responsible for the whole project lifecycle and management of the Three-Year-Old Kindergarten commitment.</w:t>
            </w:r>
          </w:p>
        </w:tc>
        <w:tc>
          <w:tcPr>
            <w:tcW w:w="3268" w:type="dxa"/>
            <w:tcBorders>
              <w:top w:val="single" w:sz="4" w:space="0" w:color="53565A" w:themeColor="accent5"/>
              <w:bottom w:val="single" w:sz="4" w:space="0" w:color="53565A" w:themeColor="accent5"/>
            </w:tcBorders>
          </w:tcPr>
          <w:p w14:paraId="5CB246D5" w14:textId="4E934FD7" w:rsidR="00402E2C" w:rsidRPr="0019565A" w:rsidRDefault="00402E2C" w:rsidP="00444A90">
            <w:pPr>
              <w:pStyle w:val="ESTablebody"/>
              <w:rPr>
                <w:rFonts w:ascii="Calibri" w:hAnsi="Calibri" w:cs="Calibri"/>
                <w:sz w:val="18"/>
              </w:rPr>
            </w:pPr>
            <w:r w:rsidRPr="0019565A">
              <w:rPr>
                <w:rFonts w:ascii="Calibri" w:hAnsi="Calibri" w:cs="Calibri"/>
                <w:sz w:val="18"/>
              </w:rPr>
              <w:t>The implementation board met monthly and provided program/project governance</w:t>
            </w:r>
            <w:r w:rsidR="00777850">
              <w:rPr>
                <w:rFonts w:ascii="Calibri" w:hAnsi="Calibri" w:cs="Calibri"/>
                <w:sz w:val="18"/>
              </w:rPr>
              <w:t>. It</w:t>
            </w:r>
            <w:r w:rsidRPr="0019565A">
              <w:rPr>
                <w:rFonts w:ascii="Calibri" w:hAnsi="Calibri" w:cs="Calibri"/>
                <w:sz w:val="18"/>
              </w:rPr>
              <w:t xml:space="preserve"> monitored performance against objectives, planned and budgeted</w:t>
            </w:r>
            <w:r w:rsidR="00777850">
              <w:rPr>
                <w:rFonts w:ascii="Calibri" w:hAnsi="Calibri" w:cs="Calibri"/>
                <w:sz w:val="18"/>
              </w:rPr>
              <w:t>. It</w:t>
            </w:r>
            <w:r w:rsidRPr="0019565A">
              <w:rPr>
                <w:rFonts w:ascii="Calibri" w:hAnsi="Calibri" w:cs="Calibri"/>
                <w:sz w:val="18"/>
              </w:rPr>
              <w:t xml:space="preserve"> advised on risk, </w:t>
            </w:r>
            <w:proofErr w:type="gramStart"/>
            <w:r w:rsidRPr="0019565A">
              <w:rPr>
                <w:rFonts w:ascii="Calibri" w:hAnsi="Calibri" w:cs="Calibri"/>
                <w:sz w:val="18"/>
              </w:rPr>
              <w:t>issues</w:t>
            </w:r>
            <w:proofErr w:type="gramEnd"/>
            <w:r w:rsidRPr="0019565A">
              <w:rPr>
                <w:rFonts w:ascii="Calibri" w:hAnsi="Calibri" w:cs="Calibri"/>
                <w:sz w:val="18"/>
              </w:rPr>
              <w:t xml:space="preserve"> and changes</w:t>
            </w:r>
            <w:r w:rsidR="00777850">
              <w:rPr>
                <w:rFonts w:ascii="Calibri" w:hAnsi="Calibri" w:cs="Calibri"/>
                <w:sz w:val="18"/>
              </w:rPr>
              <w:t>. It also</w:t>
            </w:r>
            <w:r w:rsidRPr="0019565A">
              <w:rPr>
                <w:rFonts w:ascii="Calibri" w:hAnsi="Calibri" w:cs="Calibri"/>
                <w:sz w:val="18"/>
              </w:rPr>
              <w:t xml:space="preserve"> assessed progress and benefits and used its influence and authority to assist in achieving outcomes.</w:t>
            </w:r>
          </w:p>
        </w:tc>
      </w:tr>
      <w:tr w:rsidR="00402E2C" w:rsidRPr="00925213" w14:paraId="5DE85B60" w14:textId="77777777" w:rsidTr="0078554D">
        <w:trPr>
          <w:cantSplit/>
          <w:trHeight w:val="2379"/>
        </w:trPr>
        <w:tc>
          <w:tcPr>
            <w:tcW w:w="2250" w:type="dxa"/>
            <w:tcBorders>
              <w:top w:val="single" w:sz="4" w:space="0" w:color="auto"/>
              <w:bottom w:val="single" w:sz="4" w:space="0" w:color="auto"/>
            </w:tcBorders>
            <w:shd w:val="clear" w:color="auto" w:fill="auto"/>
          </w:tcPr>
          <w:p w14:paraId="4296567A" w14:textId="77777777" w:rsidR="00402E2C" w:rsidRPr="00946824" w:rsidRDefault="00402E2C" w:rsidP="0060557F">
            <w:pPr>
              <w:pStyle w:val="ESTablebody"/>
              <w:rPr>
                <w:rFonts w:ascii="Calibri" w:hAnsi="Calibri" w:cs="Calibri"/>
                <w:sz w:val="18"/>
              </w:rPr>
            </w:pPr>
            <w:proofErr w:type="spellStart"/>
            <w:r w:rsidRPr="00B5691E">
              <w:rPr>
                <w:rFonts w:ascii="Calibri" w:hAnsi="Calibri" w:cs="Calibri"/>
                <w:sz w:val="18"/>
              </w:rPr>
              <w:t>Koorie</w:t>
            </w:r>
            <w:proofErr w:type="spellEnd"/>
            <w:r w:rsidRPr="00B5691E">
              <w:rPr>
                <w:rFonts w:ascii="Calibri" w:hAnsi="Calibri" w:cs="Calibri"/>
                <w:sz w:val="18"/>
              </w:rPr>
              <w:t xml:space="preserve"> Vocational Education &amp; Training (VET) Advisory Group</w:t>
            </w:r>
          </w:p>
        </w:tc>
        <w:tc>
          <w:tcPr>
            <w:tcW w:w="3321" w:type="dxa"/>
            <w:tcBorders>
              <w:top w:val="single" w:sz="4" w:space="0" w:color="auto"/>
              <w:bottom w:val="single" w:sz="4" w:space="0" w:color="auto"/>
            </w:tcBorders>
          </w:tcPr>
          <w:p w14:paraId="1C805F43" w14:textId="77777777" w:rsidR="00402E2C" w:rsidRPr="0078554D" w:rsidRDefault="00402E2C" w:rsidP="00952C15">
            <w:pPr>
              <w:pStyle w:val="ESTablebody"/>
              <w:rPr>
                <w:rFonts w:ascii="Calibri" w:hAnsi="Calibri" w:cs="Calibri"/>
                <w:sz w:val="18"/>
              </w:rPr>
            </w:pPr>
            <w:r w:rsidRPr="00E63B5B">
              <w:rPr>
                <w:rFonts w:ascii="Calibri" w:hAnsi="Calibri" w:cs="Calibri"/>
                <w:sz w:val="18"/>
              </w:rPr>
              <w:t xml:space="preserve">The advisory group is co-chaired by the </w:t>
            </w:r>
            <w:r>
              <w:rPr>
                <w:rFonts w:ascii="Calibri" w:hAnsi="Calibri" w:cs="Calibri"/>
                <w:sz w:val="18"/>
              </w:rPr>
              <w:t>d</w:t>
            </w:r>
            <w:r w:rsidRPr="00E63B5B">
              <w:rPr>
                <w:rFonts w:ascii="Calibri" w:hAnsi="Calibri" w:cs="Calibri"/>
                <w:sz w:val="18"/>
              </w:rPr>
              <w:t xml:space="preserve">epartment and the General Manager of the Victorian Aboriginal Education Association Incorporated (VAEAI). It monitors and advises on the implementation of the </w:t>
            </w:r>
            <w:proofErr w:type="spellStart"/>
            <w:r w:rsidRPr="00E63B5B">
              <w:rPr>
                <w:rFonts w:ascii="Calibri" w:hAnsi="Calibri" w:cs="Calibri"/>
                <w:sz w:val="18"/>
              </w:rPr>
              <w:t>Marrung</w:t>
            </w:r>
            <w:proofErr w:type="spellEnd"/>
            <w:r w:rsidRPr="00E63B5B">
              <w:rPr>
                <w:rFonts w:ascii="Calibri" w:hAnsi="Calibri" w:cs="Calibri"/>
                <w:sz w:val="18"/>
              </w:rPr>
              <w:t xml:space="preserve"> action to implement the recommendations from the consultation report into promoting successful participation and engagement for </w:t>
            </w:r>
            <w:proofErr w:type="spellStart"/>
            <w:r w:rsidRPr="00E63B5B">
              <w:rPr>
                <w:rFonts w:ascii="Calibri" w:hAnsi="Calibri" w:cs="Calibri"/>
                <w:sz w:val="18"/>
              </w:rPr>
              <w:t>Koorie</w:t>
            </w:r>
            <w:proofErr w:type="spellEnd"/>
            <w:r w:rsidRPr="00E63B5B">
              <w:rPr>
                <w:rFonts w:ascii="Calibri" w:hAnsi="Calibri" w:cs="Calibri"/>
                <w:sz w:val="18"/>
              </w:rPr>
              <w:t xml:space="preserve"> learners in VET.</w:t>
            </w:r>
          </w:p>
        </w:tc>
        <w:tc>
          <w:tcPr>
            <w:tcW w:w="3268" w:type="dxa"/>
            <w:tcBorders>
              <w:top w:val="single" w:sz="4" w:space="0" w:color="auto"/>
              <w:bottom w:val="single" w:sz="4" w:space="0" w:color="auto"/>
            </w:tcBorders>
          </w:tcPr>
          <w:p w14:paraId="03D3581F" w14:textId="77777777" w:rsidR="00402E2C" w:rsidRPr="00946824" w:rsidRDefault="00402E2C" w:rsidP="0060557F">
            <w:pPr>
              <w:pStyle w:val="ESTablebody"/>
              <w:rPr>
                <w:rFonts w:ascii="Calibri" w:hAnsi="Calibri" w:cs="Calibri"/>
                <w:sz w:val="18"/>
              </w:rPr>
            </w:pPr>
            <w:r w:rsidRPr="00AD1677">
              <w:rPr>
                <w:rFonts w:ascii="Calibri" w:hAnsi="Calibri" w:cs="Calibri"/>
                <w:sz w:val="18"/>
              </w:rPr>
              <w:t>The working group meets quarterly.</w:t>
            </w:r>
            <w:r>
              <w:rPr>
                <w:rFonts w:ascii="Calibri" w:hAnsi="Calibri" w:cs="Calibri"/>
                <w:sz w:val="18"/>
              </w:rPr>
              <w:t xml:space="preserve"> It</w:t>
            </w:r>
            <w:r w:rsidRPr="00AD1677">
              <w:rPr>
                <w:rFonts w:ascii="Calibri" w:hAnsi="Calibri" w:cs="Calibri"/>
                <w:sz w:val="18"/>
              </w:rPr>
              <w:t xml:space="preserve"> overs</w:t>
            </w:r>
            <w:r>
              <w:rPr>
                <w:rFonts w:ascii="Calibri" w:hAnsi="Calibri" w:cs="Calibri"/>
                <w:sz w:val="18"/>
              </w:rPr>
              <w:t>aw</w:t>
            </w:r>
            <w:r w:rsidRPr="00AD1677">
              <w:rPr>
                <w:rFonts w:ascii="Calibri" w:hAnsi="Calibri" w:cs="Calibri"/>
                <w:sz w:val="18"/>
              </w:rPr>
              <w:t xml:space="preserve"> the implementation of the </w:t>
            </w:r>
            <w:proofErr w:type="spellStart"/>
            <w:r w:rsidRPr="00AD1677">
              <w:rPr>
                <w:rFonts w:ascii="Calibri" w:hAnsi="Calibri" w:cs="Calibri"/>
                <w:sz w:val="18"/>
              </w:rPr>
              <w:t>Marrung</w:t>
            </w:r>
            <w:proofErr w:type="spellEnd"/>
            <w:r w:rsidRPr="00AD1677">
              <w:rPr>
                <w:rFonts w:ascii="Calibri" w:hAnsi="Calibri" w:cs="Calibri"/>
                <w:sz w:val="18"/>
              </w:rPr>
              <w:t xml:space="preserve"> action to implement the recommendations from the consultation report and identified new and emerging issues and actions, drawing on advice from TAFE and dual</w:t>
            </w:r>
            <w:r>
              <w:rPr>
                <w:rFonts w:ascii="Calibri" w:hAnsi="Calibri" w:cs="Calibri"/>
                <w:sz w:val="18"/>
              </w:rPr>
              <w:noBreakHyphen/>
            </w:r>
            <w:r w:rsidRPr="00AD1677">
              <w:rPr>
                <w:rFonts w:ascii="Calibri" w:hAnsi="Calibri" w:cs="Calibri"/>
                <w:sz w:val="18"/>
              </w:rPr>
              <w:t xml:space="preserve">sector </w:t>
            </w:r>
            <w:proofErr w:type="spellStart"/>
            <w:r w:rsidRPr="00AD1677">
              <w:rPr>
                <w:rFonts w:ascii="Calibri" w:hAnsi="Calibri" w:cs="Calibri"/>
                <w:sz w:val="18"/>
              </w:rPr>
              <w:t>Koorie</w:t>
            </w:r>
            <w:proofErr w:type="spellEnd"/>
            <w:r w:rsidRPr="00AD1677">
              <w:rPr>
                <w:rFonts w:ascii="Calibri" w:hAnsi="Calibri" w:cs="Calibri"/>
                <w:sz w:val="18"/>
              </w:rPr>
              <w:t xml:space="preserve"> unit staff, VAEAI’s </w:t>
            </w:r>
            <w:proofErr w:type="spellStart"/>
            <w:r w:rsidRPr="00AD1677">
              <w:rPr>
                <w:rFonts w:ascii="Calibri" w:hAnsi="Calibri" w:cs="Calibri"/>
                <w:sz w:val="18"/>
              </w:rPr>
              <w:t>Wurreker</w:t>
            </w:r>
            <w:proofErr w:type="spellEnd"/>
            <w:r w:rsidRPr="00AD1677">
              <w:rPr>
                <w:rFonts w:ascii="Calibri" w:hAnsi="Calibri" w:cs="Calibri"/>
                <w:sz w:val="18"/>
              </w:rPr>
              <w:t xml:space="preserve"> Brokers and local Aboriginal education consultative groups.</w:t>
            </w:r>
          </w:p>
        </w:tc>
      </w:tr>
      <w:tr w:rsidR="00402E2C" w:rsidRPr="00925213" w14:paraId="6CD010A2" w14:textId="77777777" w:rsidTr="00FD14DE">
        <w:trPr>
          <w:cantSplit/>
          <w:trHeight w:val="227"/>
        </w:trPr>
        <w:tc>
          <w:tcPr>
            <w:tcW w:w="2250" w:type="dxa"/>
            <w:tcBorders>
              <w:top w:val="single" w:sz="4" w:space="0" w:color="auto"/>
              <w:bottom w:val="single" w:sz="4" w:space="0" w:color="auto"/>
            </w:tcBorders>
            <w:shd w:val="clear" w:color="auto" w:fill="auto"/>
          </w:tcPr>
          <w:p w14:paraId="360661F8" w14:textId="77777777" w:rsidR="00402E2C" w:rsidRPr="00B5691E" w:rsidRDefault="00402E2C" w:rsidP="0060557F">
            <w:pPr>
              <w:pStyle w:val="ESTablebody"/>
              <w:rPr>
                <w:rFonts w:ascii="Calibri" w:hAnsi="Calibri" w:cs="Calibri"/>
                <w:color w:val="000000" w:themeColor="text2"/>
                <w:sz w:val="18"/>
              </w:rPr>
            </w:pPr>
            <w:proofErr w:type="spellStart"/>
            <w:r w:rsidRPr="00B5691E">
              <w:rPr>
                <w:rFonts w:ascii="Calibri" w:hAnsi="Calibri" w:cs="Calibri"/>
                <w:iCs/>
                <w:color w:val="000000" w:themeColor="text2"/>
                <w:sz w:val="18"/>
              </w:rPr>
              <w:t>Marrung</w:t>
            </w:r>
            <w:proofErr w:type="spellEnd"/>
            <w:r w:rsidRPr="00B5691E">
              <w:rPr>
                <w:rFonts w:ascii="Calibri" w:hAnsi="Calibri" w:cs="Calibri"/>
                <w:iCs/>
                <w:color w:val="000000" w:themeColor="text2"/>
                <w:sz w:val="18"/>
              </w:rPr>
              <w:t xml:space="preserve"> </w:t>
            </w:r>
            <w:r>
              <w:rPr>
                <w:rFonts w:ascii="Calibri" w:hAnsi="Calibri" w:cs="Calibri"/>
                <w:iCs/>
                <w:color w:val="000000" w:themeColor="text2"/>
                <w:sz w:val="18"/>
              </w:rPr>
              <w:t>c</w:t>
            </w:r>
            <w:r w:rsidRPr="00B5691E">
              <w:rPr>
                <w:rFonts w:ascii="Calibri" w:hAnsi="Calibri" w:cs="Calibri"/>
                <w:iCs/>
                <w:color w:val="000000" w:themeColor="text2"/>
                <w:sz w:val="18"/>
              </w:rPr>
              <w:t xml:space="preserve">entral </w:t>
            </w:r>
            <w:r>
              <w:rPr>
                <w:rFonts w:ascii="Calibri" w:hAnsi="Calibri" w:cs="Calibri"/>
                <w:iCs/>
                <w:color w:val="000000" w:themeColor="text2"/>
                <w:sz w:val="18"/>
              </w:rPr>
              <w:t>g</w:t>
            </w:r>
            <w:r w:rsidRPr="00B5691E">
              <w:rPr>
                <w:rFonts w:ascii="Calibri" w:hAnsi="Calibri" w:cs="Calibri"/>
                <w:iCs/>
                <w:color w:val="000000" w:themeColor="text2"/>
                <w:sz w:val="18"/>
              </w:rPr>
              <w:t>overnance</w:t>
            </w:r>
            <w:r w:rsidRPr="00B5691E">
              <w:rPr>
                <w:rFonts w:ascii="Calibri" w:hAnsi="Calibri" w:cs="Calibri"/>
                <w:color w:val="000000" w:themeColor="text2"/>
                <w:sz w:val="18"/>
              </w:rPr>
              <w:t xml:space="preserve"> </w:t>
            </w:r>
            <w:r>
              <w:rPr>
                <w:rFonts w:ascii="Calibri" w:hAnsi="Calibri" w:cs="Calibri"/>
                <w:color w:val="000000" w:themeColor="text2"/>
                <w:sz w:val="18"/>
              </w:rPr>
              <w:t>c</w:t>
            </w:r>
            <w:r w:rsidRPr="00B5691E">
              <w:rPr>
                <w:rFonts w:ascii="Calibri" w:hAnsi="Calibri" w:cs="Calibri"/>
                <w:color w:val="000000" w:themeColor="text2"/>
                <w:sz w:val="18"/>
              </w:rPr>
              <w:t>ommittee</w:t>
            </w:r>
          </w:p>
          <w:p w14:paraId="2DE936BE" w14:textId="77777777" w:rsidR="00402E2C" w:rsidRPr="00946824" w:rsidRDefault="00402E2C" w:rsidP="0060557F">
            <w:pPr>
              <w:pStyle w:val="ESTablebody"/>
              <w:rPr>
                <w:rFonts w:ascii="Calibri" w:hAnsi="Calibri" w:cs="Calibri"/>
                <w:sz w:val="18"/>
              </w:rPr>
            </w:pPr>
          </w:p>
        </w:tc>
        <w:tc>
          <w:tcPr>
            <w:tcW w:w="3321" w:type="dxa"/>
            <w:tcBorders>
              <w:top w:val="single" w:sz="4" w:space="0" w:color="auto"/>
              <w:bottom w:val="single" w:sz="4" w:space="0" w:color="auto"/>
            </w:tcBorders>
          </w:tcPr>
          <w:p w14:paraId="66E5F415" w14:textId="7AD85509" w:rsidR="00402E2C" w:rsidRPr="00946824" w:rsidRDefault="00402E2C" w:rsidP="0060557F">
            <w:pPr>
              <w:pStyle w:val="ESTablebody"/>
              <w:rPr>
                <w:rFonts w:ascii="Calibri" w:hAnsi="Calibri" w:cs="Calibri"/>
                <w:sz w:val="18"/>
              </w:rPr>
            </w:pPr>
            <w:r w:rsidRPr="00B5691E">
              <w:rPr>
                <w:rFonts w:ascii="Calibri" w:hAnsi="Calibri" w:cs="Calibri"/>
                <w:color w:val="000000" w:themeColor="text2"/>
                <w:sz w:val="18"/>
              </w:rPr>
              <w:t xml:space="preserve">The </w:t>
            </w:r>
            <w:r>
              <w:rPr>
                <w:rFonts w:ascii="Calibri" w:hAnsi="Calibri" w:cs="Calibri"/>
                <w:color w:val="000000" w:themeColor="text2"/>
                <w:sz w:val="18"/>
              </w:rPr>
              <w:t>c</w:t>
            </w:r>
            <w:r w:rsidRPr="00B5691E">
              <w:rPr>
                <w:rFonts w:ascii="Calibri" w:hAnsi="Calibri" w:cs="Calibri"/>
                <w:color w:val="000000" w:themeColor="text2"/>
                <w:sz w:val="18"/>
              </w:rPr>
              <w:t xml:space="preserve">ommittee is co-chaired by the Secretary and President of the VAEAI. The </w:t>
            </w:r>
            <w:r>
              <w:rPr>
                <w:rFonts w:ascii="Calibri" w:hAnsi="Calibri" w:cs="Calibri"/>
                <w:color w:val="000000" w:themeColor="text2"/>
                <w:sz w:val="18"/>
              </w:rPr>
              <w:t>c</w:t>
            </w:r>
            <w:r w:rsidRPr="00B5691E">
              <w:rPr>
                <w:rFonts w:ascii="Calibri" w:hAnsi="Calibri" w:cs="Calibri"/>
                <w:color w:val="000000" w:themeColor="text2"/>
                <w:sz w:val="18"/>
              </w:rPr>
              <w:t>ommittee</w:t>
            </w:r>
            <w:r w:rsidRPr="00B5691E">
              <w:rPr>
                <w:rFonts w:ascii="Calibri" w:hAnsi="Calibri" w:cs="Calibri"/>
                <w:i/>
                <w:iCs/>
                <w:color w:val="000000" w:themeColor="text2"/>
                <w:sz w:val="18"/>
              </w:rPr>
              <w:t xml:space="preserve"> </w:t>
            </w:r>
            <w:r w:rsidRPr="00B5691E">
              <w:rPr>
                <w:rFonts w:ascii="Calibri" w:hAnsi="Calibri" w:cs="Calibri"/>
                <w:color w:val="000000" w:themeColor="text2"/>
                <w:sz w:val="18"/>
              </w:rPr>
              <w:t xml:space="preserve">monitors and advises on the implementation of </w:t>
            </w:r>
            <w:proofErr w:type="spellStart"/>
            <w:r w:rsidRPr="00B5691E">
              <w:rPr>
                <w:rFonts w:ascii="Calibri" w:hAnsi="Calibri" w:cs="Calibri"/>
                <w:color w:val="000000" w:themeColor="text2"/>
                <w:sz w:val="18"/>
              </w:rPr>
              <w:t>Marrung</w:t>
            </w:r>
            <w:proofErr w:type="spellEnd"/>
            <w:r w:rsidRPr="00B5691E">
              <w:rPr>
                <w:rFonts w:ascii="Calibri" w:hAnsi="Calibri" w:cs="Calibri"/>
                <w:color w:val="000000" w:themeColor="text2"/>
                <w:sz w:val="18"/>
              </w:rPr>
              <w:t>: Aboriginal Education Plan 2016–2026</w:t>
            </w:r>
            <w:r>
              <w:rPr>
                <w:rFonts w:ascii="Calibri" w:hAnsi="Calibri" w:cs="Calibri"/>
                <w:color w:val="000000" w:themeColor="text2"/>
                <w:sz w:val="18"/>
              </w:rPr>
              <w:t xml:space="preserve"> and </w:t>
            </w:r>
            <w:r w:rsidRPr="00B5691E">
              <w:rPr>
                <w:rFonts w:ascii="Calibri" w:hAnsi="Calibri" w:cs="Calibri"/>
                <w:color w:val="000000" w:themeColor="text2"/>
                <w:sz w:val="18"/>
              </w:rPr>
              <w:t xml:space="preserve">is part of a broader governance mechanism that ensures accountability for </w:t>
            </w:r>
            <w:proofErr w:type="spellStart"/>
            <w:r w:rsidRPr="00B5691E">
              <w:rPr>
                <w:rFonts w:ascii="Calibri" w:hAnsi="Calibri" w:cs="Calibri"/>
                <w:color w:val="000000" w:themeColor="text2"/>
                <w:sz w:val="18"/>
              </w:rPr>
              <w:t>Marrung</w:t>
            </w:r>
            <w:proofErr w:type="spellEnd"/>
            <w:r w:rsidRPr="00B5691E">
              <w:rPr>
                <w:rFonts w:ascii="Calibri" w:hAnsi="Calibri" w:cs="Calibri"/>
                <w:color w:val="000000" w:themeColor="text2"/>
                <w:sz w:val="18"/>
              </w:rPr>
              <w:t xml:space="preserve">, including at </w:t>
            </w:r>
            <w:r>
              <w:rPr>
                <w:rFonts w:ascii="Calibri" w:hAnsi="Calibri" w:cs="Calibri"/>
                <w:color w:val="000000" w:themeColor="text2"/>
                <w:sz w:val="18"/>
              </w:rPr>
              <w:t>r</w:t>
            </w:r>
            <w:r w:rsidRPr="00B5691E">
              <w:rPr>
                <w:rFonts w:ascii="Calibri" w:hAnsi="Calibri" w:cs="Calibri"/>
                <w:color w:val="000000" w:themeColor="text2"/>
                <w:sz w:val="18"/>
              </w:rPr>
              <w:t xml:space="preserve">egional </w:t>
            </w:r>
            <w:r>
              <w:rPr>
                <w:rFonts w:ascii="Calibri" w:hAnsi="Calibri" w:cs="Calibri"/>
                <w:color w:val="000000" w:themeColor="text2"/>
                <w:sz w:val="18"/>
              </w:rPr>
              <w:t>p</w:t>
            </w:r>
            <w:r w:rsidRPr="00B5691E">
              <w:rPr>
                <w:rFonts w:ascii="Calibri" w:hAnsi="Calibri" w:cs="Calibri"/>
                <w:color w:val="000000" w:themeColor="text2"/>
                <w:sz w:val="18"/>
              </w:rPr>
              <w:t xml:space="preserve">artnership </w:t>
            </w:r>
            <w:r>
              <w:rPr>
                <w:rFonts w:ascii="Calibri" w:hAnsi="Calibri" w:cs="Calibri"/>
                <w:color w:val="000000" w:themeColor="text2"/>
                <w:sz w:val="18"/>
              </w:rPr>
              <w:t>f</w:t>
            </w:r>
            <w:r w:rsidRPr="00B5691E">
              <w:rPr>
                <w:rFonts w:ascii="Calibri" w:hAnsi="Calibri" w:cs="Calibri"/>
                <w:color w:val="000000" w:themeColor="text2"/>
                <w:sz w:val="18"/>
              </w:rPr>
              <w:t xml:space="preserve">orums and VAEAI’s </w:t>
            </w:r>
            <w:proofErr w:type="spellStart"/>
            <w:r w:rsidRPr="00B5691E">
              <w:rPr>
                <w:rFonts w:ascii="Calibri" w:hAnsi="Calibri" w:cs="Calibri"/>
                <w:color w:val="000000" w:themeColor="text2"/>
                <w:sz w:val="18"/>
              </w:rPr>
              <w:t>Koorie</w:t>
            </w:r>
            <w:proofErr w:type="spellEnd"/>
            <w:r w:rsidRPr="00B5691E">
              <w:rPr>
                <w:rFonts w:ascii="Calibri" w:hAnsi="Calibri" w:cs="Calibri"/>
                <w:color w:val="000000" w:themeColor="text2"/>
                <w:sz w:val="18"/>
              </w:rPr>
              <w:t xml:space="preserve"> </w:t>
            </w:r>
            <w:r>
              <w:rPr>
                <w:rFonts w:ascii="Calibri" w:hAnsi="Calibri" w:cs="Calibri"/>
                <w:color w:val="000000" w:themeColor="text2"/>
                <w:sz w:val="18"/>
              </w:rPr>
              <w:t>e</w:t>
            </w:r>
            <w:r w:rsidRPr="00B5691E">
              <w:rPr>
                <w:rFonts w:ascii="Calibri" w:hAnsi="Calibri" w:cs="Calibri"/>
                <w:color w:val="000000" w:themeColor="text2"/>
                <w:sz w:val="18"/>
              </w:rPr>
              <w:t xml:space="preserve">ducation </w:t>
            </w:r>
            <w:r>
              <w:rPr>
                <w:rFonts w:ascii="Calibri" w:hAnsi="Calibri" w:cs="Calibri"/>
                <w:color w:val="000000" w:themeColor="text2"/>
                <w:sz w:val="18"/>
              </w:rPr>
              <w:t>r</w:t>
            </w:r>
            <w:r w:rsidRPr="00B5691E">
              <w:rPr>
                <w:rFonts w:ascii="Calibri" w:hAnsi="Calibri" w:cs="Calibri"/>
                <w:color w:val="000000" w:themeColor="text2"/>
                <w:sz w:val="18"/>
              </w:rPr>
              <w:t>oundtables.</w:t>
            </w:r>
          </w:p>
        </w:tc>
        <w:tc>
          <w:tcPr>
            <w:tcW w:w="3268" w:type="dxa"/>
            <w:tcBorders>
              <w:top w:val="single" w:sz="4" w:space="0" w:color="auto"/>
              <w:bottom w:val="single" w:sz="4" w:space="0" w:color="auto"/>
            </w:tcBorders>
          </w:tcPr>
          <w:p w14:paraId="1ED1BA66" w14:textId="32C68C70" w:rsidR="00402E2C" w:rsidRPr="00B5691E" w:rsidRDefault="00402E2C" w:rsidP="00952C15">
            <w:pPr>
              <w:pStyle w:val="ESTablebody"/>
              <w:rPr>
                <w:rFonts w:ascii="Calibri" w:hAnsi="Calibri" w:cs="Calibri"/>
                <w:color w:val="000000" w:themeColor="text2"/>
                <w:sz w:val="18"/>
              </w:rPr>
            </w:pPr>
            <w:r w:rsidRPr="00B5691E">
              <w:rPr>
                <w:rFonts w:ascii="Calibri" w:hAnsi="Calibri" w:cs="Calibri"/>
                <w:color w:val="000000" w:themeColor="text2"/>
                <w:sz w:val="18"/>
              </w:rPr>
              <w:t xml:space="preserve">The </w:t>
            </w:r>
            <w:r>
              <w:rPr>
                <w:rFonts w:ascii="Calibri" w:hAnsi="Calibri" w:cs="Calibri"/>
                <w:color w:val="000000" w:themeColor="text2"/>
                <w:sz w:val="18"/>
              </w:rPr>
              <w:t>c</w:t>
            </w:r>
            <w:r w:rsidRPr="00B5691E">
              <w:rPr>
                <w:rFonts w:ascii="Calibri" w:hAnsi="Calibri" w:cs="Calibri"/>
                <w:color w:val="000000" w:themeColor="text2"/>
                <w:sz w:val="18"/>
              </w:rPr>
              <w:t xml:space="preserve">ommittee met </w:t>
            </w:r>
            <w:r>
              <w:rPr>
                <w:rFonts w:ascii="Calibri" w:hAnsi="Calibri" w:cs="Calibri"/>
                <w:color w:val="000000" w:themeColor="text2"/>
                <w:sz w:val="18"/>
              </w:rPr>
              <w:t>4</w:t>
            </w:r>
            <w:r w:rsidRPr="00B5691E">
              <w:rPr>
                <w:rFonts w:ascii="Calibri" w:hAnsi="Calibri" w:cs="Calibri"/>
                <w:color w:val="000000" w:themeColor="text2"/>
                <w:sz w:val="18"/>
              </w:rPr>
              <w:t xml:space="preserve"> times </w:t>
            </w:r>
            <w:r>
              <w:rPr>
                <w:rFonts w:ascii="Calibri" w:hAnsi="Calibri" w:cs="Calibri"/>
                <w:color w:val="000000" w:themeColor="text2"/>
                <w:sz w:val="18"/>
              </w:rPr>
              <w:t>during 2021</w:t>
            </w:r>
            <w:r w:rsidR="005F6A7E" w:rsidRPr="008B4546">
              <w:rPr>
                <w:rFonts w:ascii="Calibri" w:hAnsi="Calibri" w:cs="Calibri"/>
                <w:sz w:val="18"/>
              </w:rPr>
              <w:t>–</w:t>
            </w:r>
            <w:r>
              <w:rPr>
                <w:rFonts w:ascii="Calibri" w:hAnsi="Calibri" w:cs="Calibri"/>
                <w:color w:val="000000" w:themeColor="text2"/>
                <w:sz w:val="18"/>
              </w:rPr>
              <w:t xml:space="preserve">22 </w:t>
            </w:r>
            <w:r w:rsidRPr="00B5691E">
              <w:rPr>
                <w:rFonts w:ascii="Calibri" w:hAnsi="Calibri" w:cs="Calibri"/>
                <w:color w:val="000000" w:themeColor="text2"/>
                <w:sz w:val="18"/>
              </w:rPr>
              <w:t xml:space="preserve">and </w:t>
            </w:r>
            <w:r w:rsidRPr="00952C15">
              <w:rPr>
                <w:rFonts w:ascii="Calibri" w:hAnsi="Calibri" w:cs="Calibri"/>
                <w:sz w:val="18"/>
              </w:rPr>
              <w:t>brought</w:t>
            </w:r>
            <w:r w:rsidRPr="00B5691E">
              <w:rPr>
                <w:rFonts w:ascii="Calibri" w:hAnsi="Calibri" w:cs="Calibri"/>
                <w:color w:val="000000" w:themeColor="text2"/>
                <w:sz w:val="18"/>
              </w:rPr>
              <w:t xml:space="preserve"> together over 45</w:t>
            </w:r>
            <w:r>
              <w:rPr>
                <w:rFonts w:ascii="Calibri" w:hAnsi="Calibri" w:cs="Calibri"/>
                <w:color w:val="000000" w:themeColor="text2"/>
                <w:sz w:val="18"/>
              </w:rPr>
              <w:t> </w:t>
            </w:r>
            <w:r w:rsidRPr="00B5691E">
              <w:rPr>
                <w:rFonts w:ascii="Calibri" w:hAnsi="Calibri" w:cs="Calibri"/>
                <w:color w:val="000000" w:themeColor="text2"/>
                <w:sz w:val="18"/>
              </w:rPr>
              <w:t>key stakeholders including Aboriginal community</w:t>
            </w:r>
            <w:r>
              <w:rPr>
                <w:rFonts w:ascii="Calibri" w:hAnsi="Calibri" w:cs="Calibri"/>
                <w:color w:val="000000" w:themeColor="text2"/>
                <w:sz w:val="18"/>
              </w:rPr>
              <w:t>-</w:t>
            </w:r>
            <w:r w:rsidRPr="00B5691E">
              <w:rPr>
                <w:rFonts w:ascii="Calibri" w:hAnsi="Calibri" w:cs="Calibri"/>
                <w:color w:val="000000" w:themeColor="text2"/>
                <w:sz w:val="18"/>
              </w:rPr>
              <w:t xml:space="preserve">controlled </w:t>
            </w:r>
            <w:proofErr w:type="spellStart"/>
            <w:r w:rsidRPr="00B5691E">
              <w:rPr>
                <w:rFonts w:ascii="Calibri" w:hAnsi="Calibri" w:cs="Calibri"/>
                <w:color w:val="000000" w:themeColor="text2"/>
                <w:sz w:val="18"/>
              </w:rPr>
              <w:t>organisations</w:t>
            </w:r>
            <w:proofErr w:type="spellEnd"/>
            <w:r w:rsidRPr="00B5691E">
              <w:rPr>
                <w:rFonts w:ascii="Calibri" w:hAnsi="Calibri" w:cs="Calibri"/>
                <w:color w:val="000000" w:themeColor="text2"/>
                <w:sz w:val="18"/>
              </w:rPr>
              <w:t xml:space="preserve">, education sector representatives and associations, departments and central agencies, the Victorian Skills Commissioner and Commissioner for Aboriginal Children and Young People. </w:t>
            </w:r>
          </w:p>
          <w:p w14:paraId="6EE89CB0" w14:textId="25FBE792" w:rsidR="00402E2C" w:rsidRPr="00946824" w:rsidRDefault="00402E2C" w:rsidP="0060557F">
            <w:pPr>
              <w:pStyle w:val="ESTablebody"/>
              <w:rPr>
                <w:rFonts w:ascii="Calibri" w:hAnsi="Calibri" w:cs="Calibri"/>
                <w:sz w:val="18"/>
              </w:rPr>
            </w:pPr>
            <w:r w:rsidRPr="00B5691E">
              <w:rPr>
                <w:rFonts w:ascii="Calibri" w:hAnsi="Calibri" w:cs="Calibri"/>
                <w:color w:val="000000" w:themeColor="text2"/>
                <w:sz w:val="18"/>
              </w:rPr>
              <w:t xml:space="preserve">The </w:t>
            </w:r>
            <w:r w:rsidR="00777850">
              <w:rPr>
                <w:rFonts w:ascii="Calibri" w:hAnsi="Calibri" w:cs="Calibri"/>
                <w:color w:val="000000" w:themeColor="text2"/>
                <w:sz w:val="18"/>
              </w:rPr>
              <w:t>c</w:t>
            </w:r>
            <w:r w:rsidRPr="00B5691E">
              <w:rPr>
                <w:rFonts w:ascii="Calibri" w:hAnsi="Calibri" w:cs="Calibri"/>
                <w:color w:val="000000" w:themeColor="text2"/>
                <w:sz w:val="18"/>
              </w:rPr>
              <w:t xml:space="preserve">ommittee oversaw the implementation of </w:t>
            </w:r>
            <w:proofErr w:type="spellStart"/>
            <w:r w:rsidRPr="00B5691E">
              <w:rPr>
                <w:rFonts w:ascii="Calibri" w:hAnsi="Calibri" w:cs="Calibri"/>
                <w:color w:val="000000" w:themeColor="text2"/>
                <w:sz w:val="18"/>
              </w:rPr>
              <w:t>Marrung</w:t>
            </w:r>
            <w:proofErr w:type="spellEnd"/>
            <w:r w:rsidRPr="00B5691E">
              <w:rPr>
                <w:rFonts w:ascii="Calibri" w:hAnsi="Calibri" w:cs="Calibri"/>
                <w:color w:val="000000" w:themeColor="text2"/>
                <w:sz w:val="18"/>
              </w:rPr>
              <w:t xml:space="preserve"> and identified new and emerging issues and actions, drawing on advice from the </w:t>
            </w:r>
            <w:r>
              <w:rPr>
                <w:rFonts w:ascii="Calibri" w:hAnsi="Calibri" w:cs="Calibri"/>
                <w:color w:val="000000" w:themeColor="text2"/>
                <w:sz w:val="18"/>
              </w:rPr>
              <w:t>r</w:t>
            </w:r>
            <w:r w:rsidRPr="00B5691E">
              <w:rPr>
                <w:rFonts w:ascii="Calibri" w:hAnsi="Calibri" w:cs="Calibri"/>
                <w:color w:val="000000" w:themeColor="text2"/>
                <w:sz w:val="18"/>
              </w:rPr>
              <w:t xml:space="preserve">egional </w:t>
            </w:r>
            <w:r>
              <w:rPr>
                <w:rFonts w:ascii="Calibri" w:hAnsi="Calibri" w:cs="Calibri"/>
                <w:color w:val="000000" w:themeColor="text2"/>
                <w:sz w:val="18"/>
              </w:rPr>
              <w:t>p</w:t>
            </w:r>
            <w:r w:rsidRPr="00B5691E">
              <w:rPr>
                <w:rFonts w:ascii="Calibri" w:hAnsi="Calibri" w:cs="Calibri"/>
                <w:color w:val="000000" w:themeColor="text2"/>
                <w:sz w:val="18"/>
              </w:rPr>
              <w:t xml:space="preserve">artnership </w:t>
            </w:r>
            <w:r>
              <w:rPr>
                <w:rFonts w:ascii="Calibri" w:hAnsi="Calibri" w:cs="Calibri"/>
                <w:color w:val="000000" w:themeColor="text2"/>
                <w:sz w:val="18"/>
              </w:rPr>
              <w:t>f</w:t>
            </w:r>
            <w:r w:rsidRPr="00B5691E">
              <w:rPr>
                <w:rFonts w:ascii="Calibri" w:hAnsi="Calibri" w:cs="Calibri"/>
                <w:color w:val="000000" w:themeColor="text2"/>
                <w:sz w:val="18"/>
              </w:rPr>
              <w:t xml:space="preserve">orums and </w:t>
            </w:r>
            <w:proofErr w:type="spellStart"/>
            <w:r w:rsidRPr="00B5691E">
              <w:rPr>
                <w:rFonts w:ascii="Calibri" w:hAnsi="Calibri" w:cs="Calibri"/>
                <w:color w:val="000000" w:themeColor="text2"/>
                <w:sz w:val="18"/>
              </w:rPr>
              <w:t>Koorie</w:t>
            </w:r>
            <w:proofErr w:type="spellEnd"/>
            <w:r w:rsidRPr="00B5691E">
              <w:rPr>
                <w:rFonts w:ascii="Calibri" w:hAnsi="Calibri" w:cs="Calibri"/>
                <w:color w:val="000000" w:themeColor="text2"/>
                <w:sz w:val="18"/>
              </w:rPr>
              <w:t xml:space="preserve"> </w:t>
            </w:r>
            <w:r>
              <w:rPr>
                <w:rFonts w:ascii="Calibri" w:hAnsi="Calibri" w:cs="Calibri"/>
                <w:color w:val="000000" w:themeColor="text2"/>
                <w:sz w:val="18"/>
              </w:rPr>
              <w:t>e</w:t>
            </w:r>
            <w:r w:rsidRPr="00B5691E">
              <w:rPr>
                <w:rFonts w:ascii="Calibri" w:hAnsi="Calibri" w:cs="Calibri"/>
                <w:color w:val="000000" w:themeColor="text2"/>
                <w:sz w:val="18"/>
              </w:rPr>
              <w:t xml:space="preserve">ducation </w:t>
            </w:r>
            <w:r>
              <w:rPr>
                <w:rFonts w:ascii="Calibri" w:hAnsi="Calibri" w:cs="Calibri"/>
                <w:color w:val="000000" w:themeColor="text2"/>
                <w:sz w:val="18"/>
              </w:rPr>
              <w:t>r</w:t>
            </w:r>
            <w:r w:rsidRPr="00B5691E">
              <w:rPr>
                <w:rFonts w:ascii="Calibri" w:hAnsi="Calibri" w:cs="Calibri"/>
                <w:color w:val="000000" w:themeColor="text2"/>
                <w:sz w:val="18"/>
              </w:rPr>
              <w:t xml:space="preserve">oundtables. </w:t>
            </w:r>
          </w:p>
        </w:tc>
      </w:tr>
      <w:tr w:rsidR="00402E2C" w:rsidRPr="00925213" w14:paraId="20D5E879" w14:textId="77777777" w:rsidTr="00FD14DE">
        <w:trPr>
          <w:cantSplit/>
          <w:trHeight w:val="227"/>
        </w:trPr>
        <w:tc>
          <w:tcPr>
            <w:tcW w:w="2250" w:type="dxa"/>
            <w:tcBorders>
              <w:top w:val="single" w:sz="4" w:space="0" w:color="auto"/>
              <w:bottom w:val="single" w:sz="4" w:space="0" w:color="auto"/>
            </w:tcBorders>
            <w:shd w:val="clear" w:color="auto" w:fill="auto"/>
          </w:tcPr>
          <w:p w14:paraId="051B0B12" w14:textId="77777777" w:rsidR="00402E2C" w:rsidRPr="00946824" w:rsidRDefault="00402E2C" w:rsidP="00D426DA">
            <w:pPr>
              <w:pStyle w:val="ESTablebody"/>
              <w:rPr>
                <w:rFonts w:ascii="Calibri" w:hAnsi="Calibri" w:cs="Calibri"/>
                <w:sz w:val="18"/>
              </w:rPr>
            </w:pPr>
            <w:r w:rsidRPr="00D426DA">
              <w:rPr>
                <w:rFonts w:ascii="Calibri" w:hAnsi="Calibri" w:cs="Calibri"/>
                <w:sz w:val="18"/>
              </w:rPr>
              <w:t>Minister–DET-Victorian Vice-Chancellors Forum</w:t>
            </w:r>
          </w:p>
        </w:tc>
        <w:tc>
          <w:tcPr>
            <w:tcW w:w="3321" w:type="dxa"/>
            <w:tcBorders>
              <w:top w:val="single" w:sz="4" w:space="0" w:color="auto"/>
              <w:bottom w:val="single" w:sz="4" w:space="0" w:color="auto"/>
            </w:tcBorders>
          </w:tcPr>
          <w:p w14:paraId="79845A86" w14:textId="77777777" w:rsidR="00402E2C" w:rsidRPr="008B4546" w:rsidRDefault="00402E2C" w:rsidP="00D426DA">
            <w:pPr>
              <w:pStyle w:val="ESTablebody"/>
              <w:rPr>
                <w:rFonts w:ascii="Calibri" w:hAnsi="Calibri" w:cs="Calibri"/>
                <w:sz w:val="18"/>
              </w:rPr>
            </w:pPr>
            <w:r w:rsidRPr="008B4546">
              <w:rPr>
                <w:rFonts w:ascii="Calibri" w:hAnsi="Calibri" w:cs="Calibri"/>
                <w:sz w:val="18"/>
              </w:rPr>
              <w:t xml:space="preserve">The </w:t>
            </w:r>
            <w:r>
              <w:rPr>
                <w:rFonts w:ascii="Calibri" w:hAnsi="Calibri" w:cs="Calibri"/>
                <w:sz w:val="18"/>
              </w:rPr>
              <w:t>f</w:t>
            </w:r>
            <w:r w:rsidRPr="008B4546">
              <w:rPr>
                <w:rFonts w:ascii="Calibri" w:hAnsi="Calibri" w:cs="Calibri"/>
                <w:sz w:val="18"/>
              </w:rPr>
              <w:t>orum allows the Minister for Higher Education to meet with the Vice Chancellors of Victoria’s universities and discuss issues of mutual concern, advance shared priorities, and develop and enhance Victoria’s reputation as a global leader in higher education.</w:t>
            </w:r>
          </w:p>
        </w:tc>
        <w:tc>
          <w:tcPr>
            <w:tcW w:w="3268" w:type="dxa"/>
            <w:tcBorders>
              <w:top w:val="single" w:sz="4" w:space="0" w:color="auto"/>
              <w:bottom w:val="single" w:sz="4" w:space="0" w:color="auto"/>
            </w:tcBorders>
          </w:tcPr>
          <w:p w14:paraId="6591AE3B" w14:textId="77777777" w:rsidR="00402E2C" w:rsidRPr="008B4546" w:rsidRDefault="00402E2C" w:rsidP="00D426DA">
            <w:pPr>
              <w:pStyle w:val="ESTablebody"/>
              <w:rPr>
                <w:rFonts w:ascii="Calibri" w:hAnsi="Calibri" w:cs="Calibri"/>
                <w:sz w:val="18"/>
              </w:rPr>
            </w:pPr>
            <w:r w:rsidRPr="008B4546">
              <w:rPr>
                <w:rFonts w:ascii="Calibri" w:hAnsi="Calibri" w:cs="Calibri"/>
                <w:sz w:val="18"/>
              </w:rPr>
              <w:t xml:space="preserve">The </w:t>
            </w:r>
            <w:r>
              <w:rPr>
                <w:rFonts w:ascii="Calibri" w:hAnsi="Calibri" w:cs="Calibri"/>
                <w:sz w:val="18"/>
              </w:rPr>
              <w:t>f</w:t>
            </w:r>
            <w:r w:rsidRPr="008B4546">
              <w:rPr>
                <w:rFonts w:ascii="Calibri" w:hAnsi="Calibri" w:cs="Calibri"/>
                <w:sz w:val="18"/>
              </w:rPr>
              <w:t>orum met 3 times in 2021–22. It discussed issues of key strategic importance for the Victorian higher education sector. Understanding and responding to the impacts of the COVID</w:t>
            </w:r>
            <w:r>
              <w:rPr>
                <w:rFonts w:ascii="Calibri" w:hAnsi="Calibri" w:cs="Calibri"/>
                <w:sz w:val="18"/>
              </w:rPr>
              <w:noBreakHyphen/>
            </w:r>
            <w:r w:rsidRPr="008B4546">
              <w:rPr>
                <w:rFonts w:ascii="Calibri" w:hAnsi="Calibri" w:cs="Calibri"/>
                <w:sz w:val="18"/>
              </w:rPr>
              <w:t xml:space="preserve">19 pandemic on Victorian universities was a focus, particularly international education issues and the mental health and wellbeing of university staff and students. </w:t>
            </w:r>
          </w:p>
        </w:tc>
      </w:tr>
      <w:tr w:rsidR="00402E2C" w:rsidRPr="00925213" w14:paraId="04D0BEC1" w14:textId="77777777" w:rsidTr="00FD14DE">
        <w:trPr>
          <w:cantSplit/>
          <w:trHeight w:val="227"/>
        </w:trPr>
        <w:tc>
          <w:tcPr>
            <w:tcW w:w="2250" w:type="dxa"/>
            <w:tcBorders>
              <w:top w:val="single" w:sz="4" w:space="0" w:color="auto"/>
              <w:bottom w:val="single" w:sz="4" w:space="0" w:color="auto"/>
            </w:tcBorders>
            <w:shd w:val="clear" w:color="auto" w:fill="auto"/>
          </w:tcPr>
          <w:p w14:paraId="49443808" w14:textId="77777777" w:rsidR="00402E2C" w:rsidRPr="00925213" w:rsidRDefault="00402E2C" w:rsidP="0079001C">
            <w:pPr>
              <w:pStyle w:val="ESTablebody"/>
              <w:rPr>
                <w:rFonts w:ascii="Calibri" w:hAnsi="Calibri" w:cs="Calibri"/>
                <w:sz w:val="18"/>
              </w:rPr>
            </w:pPr>
            <w:r w:rsidRPr="00934330">
              <w:rPr>
                <w:rFonts w:ascii="Calibri" w:hAnsi="Calibri" w:cs="Calibri"/>
                <w:sz w:val="18"/>
              </w:rPr>
              <w:t>Non-Government Schools Reference Group</w:t>
            </w:r>
            <w:r>
              <w:rPr>
                <w:rFonts w:ascii="Calibri" w:hAnsi="Calibri" w:cs="Calibri"/>
                <w:sz w:val="18"/>
              </w:rPr>
              <w:t xml:space="preserve"> </w:t>
            </w:r>
          </w:p>
        </w:tc>
        <w:tc>
          <w:tcPr>
            <w:tcW w:w="3321" w:type="dxa"/>
            <w:tcBorders>
              <w:top w:val="single" w:sz="4" w:space="0" w:color="auto"/>
              <w:bottom w:val="single" w:sz="4" w:space="0" w:color="auto"/>
            </w:tcBorders>
          </w:tcPr>
          <w:p w14:paraId="59266F16" w14:textId="77777777" w:rsidR="00402E2C" w:rsidRPr="00925213" w:rsidRDefault="00402E2C" w:rsidP="0079001C">
            <w:pPr>
              <w:pStyle w:val="ESTablebody"/>
              <w:rPr>
                <w:rFonts w:ascii="Calibri" w:hAnsi="Calibri" w:cs="Calibri"/>
                <w:sz w:val="18"/>
              </w:rPr>
            </w:pPr>
            <w:r w:rsidRPr="00934330">
              <w:rPr>
                <w:rFonts w:ascii="Calibri" w:hAnsi="Calibri" w:cs="Calibri"/>
                <w:sz w:val="18"/>
              </w:rPr>
              <w:t xml:space="preserve">The </w:t>
            </w:r>
            <w:r>
              <w:rPr>
                <w:rFonts w:ascii="Calibri" w:hAnsi="Calibri" w:cs="Calibri"/>
                <w:sz w:val="18"/>
              </w:rPr>
              <w:t>r</w:t>
            </w:r>
            <w:r w:rsidRPr="00934330">
              <w:rPr>
                <w:rFonts w:ascii="Calibri" w:hAnsi="Calibri" w:cs="Calibri"/>
                <w:sz w:val="18"/>
              </w:rPr>
              <w:t xml:space="preserve">eference </w:t>
            </w:r>
            <w:r>
              <w:rPr>
                <w:rFonts w:ascii="Calibri" w:hAnsi="Calibri" w:cs="Calibri"/>
                <w:sz w:val="18"/>
              </w:rPr>
              <w:t>g</w:t>
            </w:r>
            <w:r w:rsidRPr="00934330">
              <w:rPr>
                <w:rFonts w:ascii="Calibri" w:hAnsi="Calibri" w:cs="Calibri"/>
                <w:sz w:val="18"/>
              </w:rPr>
              <w:t xml:space="preserve">roup is the primary consultation forum for discussion between the </w:t>
            </w:r>
            <w:r>
              <w:rPr>
                <w:rFonts w:ascii="Calibri" w:hAnsi="Calibri" w:cs="Calibri"/>
                <w:sz w:val="18"/>
              </w:rPr>
              <w:t>department</w:t>
            </w:r>
            <w:r w:rsidRPr="00934330">
              <w:rPr>
                <w:rFonts w:ascii="Calibri" w:hAnsi="Calibri" w:cs="Calibri"/>
                <w:sz w:val="18"/>
              </w:rPr>
              <w:t xml:space="preserve">, Catholic Education Commission of </w:t>
            </w:r>
            <w:proofErr w:type="gramStart"/>
            <w:r w:rsidRPr="00934330">
              <w:rPr>
                <w:rFonts w:ascii="Calibri" w:hAnsi="Calibri" w:cs="Calibri"/>
                <w:sz w:val="18"/>
              </w:rPr>
              <w:t>Victoria</w:t>
            </w:r>
            <w:proofErr w:type="gramEnd"/>
            <w:r w:rsidRPr="00934330">
              <w:rPr>
                <w:rFonts w:ascii="Calibri" w:hAnsi="Calibri" w:cs="Calibri"/>
                <w:sz w:val="18"/>
              </w:rPr>
              <w:t xml:space="preserve"> and Independent Schools Victoria on funding and related matters, including the development of </w:t>
            </w:r>
            <w:r>
              <w:rPr>
                <w:rFonts w:ascii="Calibri" w:hAnsi="Calibri" w:cs="Calibri"/>
                <w:sz w:val="18"/>
              </w:rPr>
              <w:t>n</w:t>
            </w:r>
            <w:r w:rsidRPr="00934330">
              <w:rPr>
                <w:rFonts w:ascii="Calibri" w:hAnsi="Calibri" w:cs="Calibri"/>
                <w:sz w:val="18"/>
              </w:rPr>
              <w:t>on-</w:t>
            </w:r>
            <w:r>
              <w:rPr>
                <w:rFonts w:ascii="Calibri" w:hAnsi="Calibri" w:cs="Calibri"/>
                <w:sz w:val="18"/>
              </w:rPr>
              <w:t>g</w:t>
            </w:r>
            <w:r w:rsidRPr="00934330">
              <w:rPr>
                <w:rFonts w:ascii="Calibri" w:hAnsi="Calibri" w:cs="Calibri"/>
                <w:sz w:val="18"/>
              </w:rPr>
              <w:t>overnment schools funding agreements and guidelines.</w:t>
            </w:r>
          </w:p>
        </w:tc>
        <w:tc>
          <w:tcPr>
            <w:tcW w:w="3268" w:type="dxa"/>
            <w:tcBorders>
              <w:top w:val="single" w:sz="4" w:space="0" w:color="auto"/>
              <w:bottom w:val="single" w:sz="4" w:space="0" w:color="auto"/>
            </w:tcBorders>
          </w:tcPr>
          <w:p w14:paraId="32807336" w14:textId="57524FD8" w:rsidR="00402E2C" w:rsidRPr="00925213" w:rsidRDefault="00402E2C" w:rsidP="0079001C">
            <w:pPr>
              <w:pStyle w:val="ESTablebody"/>
              <w:rPr>
                <w:rFonts w:ascii="Calibri" w:hAnsi="Calibri" w:cs="Calibri"/>
                <w:sz w:val="18"/>
              </w:rPr>
            </w:pPr>
            <w:r w:rsidRPr="0087090F">
              <w:rPr>
                <w:rFonts w:ascii="Calibri" w:hAnsi="Calibri" w:cs="Calibri"/>
                <w:sz w:val="18"/>
              </w:rPr>
              <w:t xml:space="preserve">The </w:t>
            </w:r>
            <w:r>
              <w:rPr>
                <w:rFonts w:ascii="Calibri" w:hAnsi="Calibri" w:cs="Calibri"/>
                <w:sz w:val="18"/>
              </w:rPr>
              <w:t>reference group</w:t>
            </w:r>
            <w:r w:rsidRPr="0087090F">
              <w:rPr>
                <w:rFonts w:ascii="Calibri" w:hAnsi="Calibri" w:cs="Calibri"/>
                <w:sz w:val="18"/>
              </w:rPr>
              <w:t xml:space="preserve"> met twice during 2021–22. It discussed and advised on the impacts of funding initiatives announced on the 25</w:t>
            </w:r>
            <w:r>
              <w:rPr>
                <w:rFonts w:ascii="Calibri" w:hAnsi="Calibri" w:cs="Calibri"/>
                <w:sz w:val="18"/>
              </w:rPr>
              <w:t xml:space="preserve">% </w:t>
            </w:r>
            <w:r w:rsidRPr="0087090F">
              <w:rPr>
                <w:rFonts w:ascii="Calibri" w:hAnsi="Calibri" w:cs="Calibri"/>
                <w:sz w:val="18"/>
              </w:rPr>
              <w:t xml:space="preserve">linkage for </w:t>
            </w:r>
            <w:r>
              <w:rPr>
                <w:rFonts w:ascii="Calibri" w:hAnsi="Calibri" w:cs="Calibri"/>
                <w:sz w:val="18"/>
              </w:rPr>
              <w:t>n</w:t>
            </w:r>
            <w:r w:rsidRPr="0087090F">
              <w:rPr>
                <w:rFonts w:ascii="Calibri" w:hAnsi="Calibri" w:cs="Calibri"/>
                <w:sz w:val="18"/>
              </w:rPr>
              <w:t>on-</w:t>
            </w:r>
            <w:r>
              <w:rPr>
                <w:rFonts w:ascii="Calibri" w:hAnsi="Calibri" w:cs="Calibri"/>
                <w:sz w:val="18"/>
              </w:rPr>
              <w:t>g</w:t>
            </w:r>
            <w:r w:rsidRPr="0087090F">
              <w:rPr>
                <w:rFonts w:ascii="Calibri" w:hAnsi="Calibri" w:cs="Calibri"/>
                <w:sz w:val="18"/>
              </w:rPr>
              <w:t xml:space="preserve">overnment </w:t>
            </w:r>
            <w:r>
              <w:rPr>
                <w:rFonts w:ascii="Calibri" w:hAnsi="Calibri" w:cs="Calibri"/>
                <w:sz w:val="18"/>
              </w:rPr>
              <w:t>s</w:t>
            </w:r>
            <w:r w:rsidRPr="0087090F">
              <w:rPr>
                <w:rFonts w:ascii="Calibri" w:hAnsi="Calibri" w:cs="Calibri"/>
                <w:sz w:val="18"/>
              </w:rPr>
              <w:t xml:space="preserve">chools funding. </w:t>
            </w:r>
            <w:r>
              <w:rPr>
                <w:rFonts w:ascii="Calibri" w:hAnsi="Calibri" w:cs="Calibri"/>
                <w:sz w:val="18"/>
              </w:rPr>
              <w:t xml:space="preserve">The </w:t>
            </w:r>
            <w:r w:rsidR="00777850">
              <w:rPr>
                <w:rFonts w:ascii="Calibri" w:hAnsi="Calibri" w:cs="Calibri"/>
                <w:sz w:val="18"/>
              </w:rPr>
              <w:t>c</w:t>
            </w:r>
            <w:r>
              <w:rPr>
                <w:rFonts w:ascii="Calibri" w:hAnsi="Calibri" w:cs="Calibri"/>
                <w:sz w:val="18"/>
              </w:rPr>
              <w:t>ommittee also discussed</w:t>
            </w:r>
            <w:r w:rsidRPr="0087090F">
              <w:rPr>
                <w:rFonts w:ascii="Calibri" w:hAnsi="Calibri" w:cs="Calibri"/>
                <w:sz w:val="18"/>
              </w:rPr>
              <w:t xml:space="preserve"> </w:t>
            </w:r>
            <w:r w:rsidR="00777850">
              <w:rPr>
                <w:rFonts w:ascii="Calibri" w:hAnsi="Calibri" w:cs="Calibri"/>
                <w:sz w:val="18"/>
              </w:rPr>
              <w:t>c</w:t>
            </w:r>
            <w:r w:rsidRPr="0087090F">
              <w:rPr>
                <w:rFonts w:ascii="Calibri" w:hAnsi="Calibri" w:cs="Calibri"/>
                <w:sz w:val="18"/>
              </w:rPr>
              <w:t xml:space="preserve">amps, </w:t>
            </w:r>
            <w:r w:rsidR="00777850">
              <w:rPr>
                <w:rFonts w:ascii="Calibri" w:hAnsi="Calibri" w:cs="Calibri"/>
                <w:sz w:val="18"/>
              </w:rPr>
              <w:t>s</w:t>
            </w:r>
            <w:r w:rsidRPr="0087090F">
              <w:rPr>
                <w:rFonts w:ascii="Calibri" w:hAnsi="Calibri" w:cs="Calibri"/>
                <w:sz w:val="18"/>
              </w:rPr>
              <w:t xml:space="preserve">ports </w:t>
            </w:r>
            <w:r w:rsidR="0041222B">
              <w:rPr>
                <w:rFonts w:ascii="Calibri" w:hAnsi="Calibri" w:cs="Calibri"/>
                <w:sz w:val="18"/>
              </w:rPr>
              <w:t>and e</w:t>
            </w:r>
            <w:r w:rsidRPr="0087090F">
              <w:rPr>
                <w:rFonts w:ascii="Calibri" w:hAnsi="Calibri" w:cs="Calibri"/>
                <w:sz w:val="18"/>
              </w:rPr>
              <w:t xml:space="preserve">xcursion data, Betrayal of Trust Insurance </w:t>
            </w:r>
            <w:r w:rsidR="0041222B">
              <w:rPr>
                <w:rFonts w:ascii="Calibri" w:hAnsi="Calibri" w:cs="Calibri"/>
                <w:sz w:val="18"/>
              </w:rPr>
              <w:t>e</w:t>
            </w:r>
            <w:r w:rsidRPr="0087090F">
              <w:rPr>
                <w:rFonts w:ascii="Calibri" w:hAnsi="Calibri" w:cs="Calibri"/>
                <w:sz w:val="18"/>
              </w:rPr>
              <w:t xml:space="preserve">ligibility and </w:t>
            </w:r>
            <w:r w:rsidR="0041222B">
              <w:rPr>
                <w:rFonts w:ascii="Calibri" w:hAnsi="Calibri" w:cs="Calibri"/>
                <w:sz w:val="18"/>
              </w:rPr>
              <w:t>r</w:t>
            </w:r>
            <w:r w:rsidRPr="0087090F">
              <w:rPr>
                <w:rFonts w:ascii="Calibri" w:hAnsi="Calibri" w:cs="Calibri"/>
                <w:sz w:val="18"/>
              </w:rPr>
              <w:t xml:space="preserve">isk </w:t>
            </w:r>
            <w:r w:rsidR="0041222B">
              <w:rPr>
                <w:rFonts w:ascii="Calibri" w:hAnsi="Calibri" w:cs="Calibri"/>
                <w:sz w:val="18"/>
              </w:rPr>
              <w:t>a</w:t>
            </w:r>
            <w:r w:rsidRPr="0087090F">
              <w:rPr>
                <w:rFonts w:ascii="Calibri" w:hAnsi="Calibri" w:cs="Calibri"/>
                <w:sz w:val="18"/>
              </w:rPr>
              <w:t>ssessment</w:t>
            </w:r>
            <w:r>
              <w:rPr>
                <w:rFonts w:ascii="Calibri" w:hAnsi="Calibri" w:cs="Calibri"/>
                <w:sz w:val="18"/>
              </w:rPr>
              <w:t>.</w:t>
            </w:r>
          </w:p>
        </w:tc>
      </w:tr>
      <w:tr w:rsidR="00402E2C" w:rsidRPr="00925213" w14:paraId="76D8A436" w14:textId="77777777" w:rsidTr="00FD14DE">
        <w:trPr>
          <w:cantSplit/>
          <w:trHeight w:val="227"/>
        </w:trPr>
        <w:tc>
          <w:tcPr>
            <w:tcW w:w="2250" w:type="dxa"/>
            <w:tcBorders>
              <w:top w:val="single" w:sz="4" w:space="0" w:color="auto"/>
              <w:bottom w:val="single" w:sz="4" w:space="0" w:color="auto"/>
            </w:tcBorders>
            <w:shd w:val="clear" w:color="auto" w:fill="auto"/>
          </w:tcPr>
          <w:p w14:paraId="5732A750"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Parent Payments Principals Reference Group</w:t>
            </w:r>
          </w:p>
        </w:tc>
        <w:tc>
          <w:tcPr>
            <w:tcW w:w="3321" w:type="dxa"/>
            <w:tcBorders>
              <w:top w:val="single" w:sz="4" w:space="0" w:color="auto"/>
              <w:bottom w:val="single" w:sz="4" w:space="0" w:color="auto"/>
            </w:tcBorders>
          </w:tcPr>
          <w:p w14:paraId="4D49808D" w14:textId="77777777" w:rsidR="00402E2C" w:rsidRPr="001E1715" w:rsidRDefault="00402E2C" w:rsidP="001E1715">
            <w:pPr>
              <w:pStyle w:val="ESTablebody"/>
              <w:rPr>
                <w:rFonts w:ascii="Calibri" w:hAnsi="Calibri" w:cs="Calibri"/>
                <w:sz w:val="18"/>
              </w:rPr>
            </w:pPr>
            <w:r w:rsidRPr="001E1715">
              <w:rPr>
                <w:rFonts w:ascii="Calibri" w:hAnsi="Calibri" w:cs="Calibri"/>
                <w:sz w:val="18"/>
                <w:lang w:val="en-GB"/>
              </w:rPr>
              <w:t xml:space="preserve">The </w:t>
            </w:r>
            <w:r>
              <w:rPr>
                <w:rFonts w:ascii="Calibri" w:hAnsi="Calibri" w:cs="Calibri"/>
                <w:sz w:val="18"/>
                <w:lang w:val="en-GB"/>
              </w:rPr>
              <w:t>reference group</w:t>
            </w:r>
            <w:r w:rsidRPr="001E1715">
              <w:rPr>
                <w:rFonts w:ascii="Calibri" w:hAnsi="Calibri" w:cs="Calibri"/>
                <w:sz w:val="18"/>
                <w:lang w:val="en-GB"/>
              </w:rPr>
              <w:t xml:space="preserve"> provides feedback on the implementation of the clarified and strengthened Parent Payments Policy to the </w:t>
            </w:r>
            <w:r>
              <w:rPr>
                <w:rFonts w:ascii="Calibri" w:hAnsi="Calibri" w:cs="Calibri"/>
                <w:sz w:val="18"/>
                <w:lang w:val="en-GB"/>
              </w:rPr>
              <w:t>d</w:t>
            </w:r>
            <w:r w:rsidRPr="001E1715">
              <w:rPr>
                <w:rFonts w:ascii="Calibri" w:hAnsi="Calibri" w:cs="Calibri"/>
                <w:sz w:val="18"/>
                <w:lang w:val="en-GB"/>
              </w:rPr>
              <w:t xml:space="preserve">epartment. </w:t>
            </w:r>
          </w:p>
        </w:tc>
        <w:tc>
          <w:tcPr>
            <w:tcW w:w="3268" w:type="dxa"/>
            <w:tcBorders>
              <w:top w:val="single" w:sz="4" w:space="0" w:color="auto"/>
              <w:bottom w:val="single" w:sz="4" w:space="0" w:color="auto"/>
            </w:tcBorders>
          </w:tcPr>
          <w:p w14:paraId="17D58EEC"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 xml:space="preserve">The </w:t>
            </w:r>
            <w:r>
              <w:rPr>
                <w:rFonts w:ascii="Calibri" w:hAnsi="Calibri" w:cs="Calibri"/>
                <w:sz w:val="18"/>
              </w:rPr>
              <w:t>reference group</w:t>
            </w:r>
            <w:r w:rsidRPr="001E1715">
              <w:rPr>
                <w:rFonts w:ascii="Calibri" w:hAnsi="Calibri" w:cs="Calibri"/>
                <w:sz w:val="18"/>
              </w:rPr>
              <w:t xml:space="preserve"> met twice </w:t>
            </w:r>
            <w:r>
              <w:rPr>
                <w:rFonts w:ascii="Calibri" w:hAnsi="Calibri" w:cs="Calibri"/>
                <w:sz w:val="18"/>
              </w:rPr>
              <w:t xml:space="preserve">during 2021–22 </w:t>
            </w:r>
            <w:r w:rsidRPr="001E1715">
              <w:rPr>
                <w:rFonts w:ascii="Calibri" w:hAnsi="Calibri" w:cs="Calibri"/>
                <w:sz w:val="18"/>
              </w:rPr>
              <w:t xml:space="preserve">and assessed the impact and implementation of the clarified and strengthened Parent Payments Policy on schools. </w:t>
            </w:r>
          </w:p>
        </w:tc>
      </w:tr>
      <w:tr w:rsidR="00402E2C" w:rsidRPr="00925213" w14:paraId="37A998AD" w14:textId="77777777" w:rsidTr="00FD14DE">
        <w:trPr>
          <w:cantSplit/>
          <w:trHeight w:val="227"/>
        </w:trPr>
        <w:tc>
          <w:tcPr>
            <w:tcW w:w="2250" w:type="dxa"/>
            <w:tcBorders>
              <w:top w:val="single" w:sz="4" w:space="0" w:color="auto"/>
              <w:bottom w:val="single" w:sz="4" w:space="0" w:color="auto"/>
            </w:tcBorders>
            <w:shd w:val="clear" w:color="auto" w:fill="auto"/>
          </w:tcPr>
          <w:p w14:paraId="70209976" w14:textId="77777777" w:rsidR="00402E2C" w:rsidRPr="00946824" w:rsidRDefault="00402E2C" w:rsidP="00B85F69">
            <w:pPr>
              <w:pStyle w:val="ESTablebody"/>
              <w:rPr>
                <w:rFonts w:ascii="Calibri" w:hAnsi="Calibri" w:cs="Calibri"/>
                <w:sz w:val="18"/>
              </w:rPr>
            </w:pPr>
            <w:r>
              <w:rPr>
                <w:rFonts w:ascii="Calibri" w:hAnsi="Calibri" w:cs="Calibri"/>
                <w:sz w:val="18"/>
              </w:rPr>
              <w:t>P</w:t>
            </w:r>
            <w:r w:rsidRPr="00AD6FF4">
              <w:rPr>
                <w:rFonts w:ascii="Calibri" w:hAnsi="Calibri" w:cs="Calibri"/>
                <w:sz w:val="18"/>
              </w:rPr>
              <w:t xml:space="preserve">eak </w:t>
            </w:r>
            <w:r>
              <w:rPr>
                <w:rFonts w:ascii="Calibri" w:hAnsi="Calibri" w:cs="Calibri"/>
                <w:sz w:val="18"/>
              </w:rPr>
              <w:t>P</w:t>
            </w:r>
            <w:r w:rsidRPr="00AD6FF4">
              <w:rPr>
                <w:rFonts w:ascii="Calibri" w:hAnsi="Calibri" w:cs="Calibri"/>
                <w:sz w:val="18"/>
              </w:rPr>
              <w:t xml:space="preserve">rincipal </w:t>
            </w:r>
            <w:r>
              <w:rPr>
                <w:rFonts w:ascii="Calibri" w:hAnsi="Calibri" w:cs="Calibri"/>
                <w:sz w:val="18"/>
              </w:rPr>
              <w:t>B</w:t>
            </w:r>
            <w:r w:rsidRPr="00AD6FF4">
              <w:rPr>
                <w:rFonts w:ascii="Calibri" w:hAnsi="Calibri" w:cs="Calibri"/>
                <w:sz w:val="18"/>
              </w:rPr>
              <w:t xml:space="preserve">ody </w:t>
            </w:r>
            <w:r>
              <w:rPr>
                <w:rFonts w:ascii="Calibri" w:hAnsi="Calibri" w:cs="Calibri"/>
                <w:sz w:val="18"/>
              </w:rPr>
              <w:t>M</w:t>
            </w:r>
            <w:r w:rsidRPr="00AD6FF4">
              <w:rPr>
                <w:rFonts w:ascii="Calibri" w:hAnsi="Calibri" w:cs="Calibri"/>
                <w:sz w:val="18"/>
              </w:rPr>
              <w:t xml:space="preserve">eetings </w:t>
            </w:r>
          </w:p>
        </w:tc>
        <w:tc>
          <w:tcPr>
            <w:tcW w:w="3321" w:type="dxa"/>
            <w:tcBorders>
              <w:top w:val="single" w:sz="4" w:space="0" w:color="auto"/>
              <w:bottom w:val="single" w:sz="4" w:space="0" w:color="auto"/>
            </w:tcBorders>
          </w:tcPr>
          <w:p w14:paraId="2DAC28CC" w14:textId="77777777" w:rsidR="00402E2C" w:rsidRPr="00946824" w:rsidRDefault="00402E2C" w:rsidP="00B85F69">
            <w:pPr>
              <w:pStyle w:val="ESTablebody"/>
              <w:rPr>
                <w:rFonts w:ascii="Calibri" w:hAnsi="Calibri" w:cs="Calibri"/>
                <w:sz w:val="18"/>
              </w:rPr>
            </w:pPr>
            <w:r>
              <w:rPr>
                <w:rFonts w:ascii="Calibri" w:hAnsi="Calibri" w:cs="Calibri"/>
                <w:sz w:val="18"/>
              </w:rPr>
              <w:t>The</w:t>
            </w:r>
            <w:r w:rsidRPr="00A53EDA">
              <w:rPr>
                <w:rFonts w:ascii="Calibri" w:hAnsi="Calibri" w:cs="Calibri"/>
                <w:sz w:val="18"/>
              </w:rPr>
              <w:t xml:space="preserve"> meetings aim to</w:t>
            </w:r>
            <w:r>
              <w:rPr>
                <w:rFonts w:ascii="Calibri" w:hAnsi="Calibri" w:cs="Calibri"/>
                <w:sz w:val="18"/>
              </w:rPr>
              <w:t xml:space="preserve"> discuss shared priorities and</w:t>
            </w:r>
            <w:r w:rsidRPr="00A53EDA">
              <w:rPr>
                <w:rFonts w:ascii="Calibri" w:hAnsi="Calibri" w:cs="Calibri"/>
                <w:sz w:val="18"/>
              </w:rPr>
              <w:t xml:space="preserve"> consolidate departmental engagement with all peak bodies that represent the interests of principals, including with the Victorian Association of State Secondary Principals, the Victorian Principals </w:t>
            </w:r>
            <w:proofErr w:type="gramStart"/>
            <w:r w:rsidRPr="00A53EDA">
              <w:rPr>
                <w:rFonts w:ascii="Calibri" w:hAnsi="Calibri" w:cs="Calibri"/>
                <w:sz w:val="18"/>
              </w:rPr>
              <w:t>Association</w:t>
            </w:r>
            <w:proofErr w:type="gramEnd"/>
            <w:r w:rsidRPr="00A53EDA">
              <w:rPr>
                <w:rFonts w:ascii="Calibri" w:hAnsi="Calibri" w:cs="Calibri"/>
                <w:sz w:val="18"/>
              </w:rPr>
              <w:t xml:space="preserve"> and the Principals' Association of Specialist Schools.</w:t>
            </w:r>
          </w:p>
        </w:tc>
        <w:tc>
          <w:tcPr>
            <w:tcW w:w="3268" w:type="dxa"/>
            <w:tcBorders>
              <w:top w:val="single" w:sz="4" w:space="0" w:color="auto"/>
              <w:bottom w:val="single" w:sz="4" w:space="0" w:color="auto"/>
            </w:tcBorders>
          </w:tcPr>
          <w:p w14:paraId="40A5E75C" w14:textId="77777777" w:rsidR="00402E2C" w:rsidRPr="00946824" w:rsidRDefault="00402E2C" w:rsidP="00B85F69">
            <w:pPr>
              <w:pStyle w:val="ESTablebody"/>
              <w:rPr>
                <w:rFonts w:ascii="Calibri" w:hAnsi="Calibri" w:cs="Calibri"/>
                <w:sz w:val="18"/>
              </w:rPr>
            </w:pPr>
            <w:r w:rsidRPr="00A53EDA">
              <w:rPr>
                <w:rFonts w:ascii="Calibri" w:hAnsi="Calibri" w:cs="Calibri"/>
                <w:sz w:val="18"/>
              </w:rPr>
              <w:t>These meetings</w:t>
            </w:r>
            <w:r>
              <w:rPr>
                <w:rFonts w:ascii="Calibri" w:hAnsi="Calibri" w:cs="Calibri"/>
                <w:sz w:val="18"/>
              </w:rPr>
              <w:t xml:space="preserve"> were held quarterly and</w:t>
            </w:r>
            <w:r w:rsidRPr="00A53EDA">
              <w:rPr>
                <w:rFonts w:ascii="Calibri" w:hAnsi="Calibri" w:cs="Calibri"/>
                <w:sz w:val="18"/>
              </w:rPr>
              <w:t xml:space="preserve"> provided the opportunity for principal groups to discuss issues of significant importance to their members.</w:t>
            </w:r>
          </w:p>
        </w:tc>
      </w:tr>
      <w:tr w:rsidR="00402E2C" w:rsidRPr="00925213" w14:paraId="15336711" w14:textId="77777777" w:rsidTr="00FD14DE">
        <w:trPr>
          <w:cantSplit/>
          <w:trHeight w:val="227"/>
        </w:trPr>
        <w:tc>
          <w:tcPr>
            <w:tcW w:w="2250" w:type="dxa"/>
            <w:tcBorders>
              <w:top w:val="single" w:sz="4" w:space="0" w:color="auto"/>
              <w:bottom w:val="single" w:sz="4" w:space="0" w:color="auto"/>
            </w:tcBorders>
            <w:shd w:val="clear" w:color="auto" w:fill="auto"/>
          </w:tcPr>
          <w:p w14:paraId="0053000A" w14:textId="77777777" w:rsidR="00402E2C" w:rsidRPr="00946824" w:rsidRDefault="00402E2C" w:rsidP="00B85F69">
            <w:pPr>
              <w:pStyle w:val="ESTablebody"/>
              <w:rPr>
                <w:rFonts w:ascii="Calibri" w:hAnsi="Calibri" w:cs="Calibri"/>
                <w:sz w:val="18"/>
              </w:rPr>
            </w:pPr>
            <w:r w:rsidRPr="00B85F69">
              <w:rPr>
                <w:rFonts w:ascii="Calibri" w:hAnsi="Calibri" w:cs="Calibri"/>
                <w:sz w:val="18"/>
              </w:rPr>
              <w:t xml:space="preserve">Rural and </w:t>
            </w:r>
            <w:r>
              <w:rPr>
                <w:rFonts w:ascii="Calibri" w:hAnsi="Calibri" w:cs="Calibri"/>
                <w:sz w:val="18"/>
              </w:rPr>
              <w:t>R</w:t>
            </w:r>
            <w:r w:rsidRPr="00B85F69">
              <w:rPr>
                <w:rFonts w:ascii="Calibri" w:hAnsi="Calibri" w:cs="Calibri"/>
                <w:sz w:val="18"/>
              </w:rPr>
              <w:t xml:space="preserve">egional </w:t>
            </w:r>
            <w:r>
              <w:rPr>
                <w:rFonts w:ascii="Calibri" w:hAnsi="Calibri" w:cs="Calibri"/>
                <w:sz w:val="18"/>
              </w:rPr>
              <w:t>C</w:t>
            </w:r>
            <w:r w:rsidRPr="00B85F69">
              <w:rPr>
                <w:rFonts w:ascii="Calibri" w:hAnsi="Calibri" w:cs="Calibri"/>
                <w:sz w:val="18"/>
              </w:rPr>
              <w:t xml:space="preserve">onsultative </w:t>
            </w:r>
            <w:r>
              <w:rPr>
                <w:rFonts w:ascii="Calibri" w:hAnsi="Calibri" w:cs="Calibri"/>
                <w:sz w:val="18"/>
              </w:rPr>
              <w:t>G</w:t>
            </w:r>
            <w:r w:rsidRPr="00B85F69">
              <w:rPr>
                <w:rFonts w:ascii="Calibri" w:hAnsi="Calibri" w:cs="Calibri"/>
                <w:sz w:val="18"/>
              </w:rPr>
              <w:t>roups</w:t>
            </w:r>
          </w:p>
        </w:tc>
        <w:tc>
          <w:tcPr>
            <w:tcW w:w="3321" w:type="dxa"/>
            <w:tcBorders>
              <w:top w:val="single" w:sz="4" w:space="0" w:color="auto"/>
              <w:bottom w:val="single" w:sz="4" w:space="0" w:color="auto"/>
            </w:tcBorders>
          </w:tcPr>
          <w:p w14:paraId="0B353549" w14:textId="77777777" w:rsidR="00402E2C" w:rsidRPr="00946824" w:rsidRDefault="00402E2C" w:rsidP="00B85F69">
            <w:pPr>
              <w:pStyle w:val="ESTablebody"/>
              <w:rPr>
                <w:rFonts w:ascii="Calibri" w:hAnsi="Calibri" w:cs="Calibri"/>
                <w:sz w:val="18"/>
              </w:rPr>
            </w:pPr>
            <w:r w:rsidRPr="00B85F69">
              <w:rPr>
                <w:rFonts w:ascii="Calibri" w:hAnsi="Calibri" w:cs="Calibri"/>
                <w:sz w:val="18"/>
              </w:rPr>
              <w:t>The consultative groups provide advice and guidance on the development and implementation of a five</w:t>
            </w:r>
            <w:r w:rsidRPr="00B85F69">
              <w:rPr>
                <w:rFonts w:ascii="Calibri" w:hAnsi="Calibri" w:cs="Calibri"/>
                <w:sz w:val="18"/>
              </w:rPr>
              <w:noBreakHyphen/>
              <w:t>year strategic plan for rural and regional education.</w:t>
            </w:r>
          </w:p>
        </w:tc>
        <w:tc>
          <w:tcPr>
            <w:tcW w:w="3268" w:type="dxa"/>
            <w:tcBorders>
              <w:top w:val="single" w:sz="4" w:space="0" w:color="auto"/>
              <w:bottom w:val="single" w:sz="4" w:space="0" w:color="auto"/>
            </w:tcBorders>
          </w:tcPr>
          <w:p w14:paraId="1349E719" w14:textId="77777777" w:rsidR="00402E2C" w:rsidRPr="00946824" w:rsidRDefault="00402E2C" w:rsidP="00B85F69">
            <w:pPr>
              <w:pStyle w:val="ESTablebody"/>
              <w:rPr>
                <w:rFonts w:ascii="Calibri" w:hAnsi="Calibri" w:cs="Calibri"/>
                <w:sz w:val="18"/>
              </w:rPr>
            </w:pPr>
            <w:r w:rsidRPr="00B85F69">
              <w:rPr>
                <w:rFonts w:ascii="Calibri" w:hAnsi="Calibri" w:cs="Calibri"/>
                <w:sz w:val="18"/>
              </w:rPr>
              <w:t>The consultative groups considered and provided advice and views on local perspectives from rural and regional Victoria</w:t>
            </w:r>
            <w:r>
              <w:rPr>
                <w:rFonts w:ascii="Calibri" w:hAnsi="Calibri" w:cs="Calibri"/>
                <w:sz w:val="18"/>
              </w:rPr>
              <w:t>. This included</w:t>
            </w:r>
            <w:r w:rsidRPr="00B85F69">
              <w:rPr>
                <w:rFonts w:ascii="Calibri" w:hAnsi="Calibri" w:cs="Calibri"/>
                <w:sz w:val="18"/>
              </w:rPr>
              <w:t xml:space="preserve"> </w:t>
            </w:r>
            <w:r>
              <w:rPr>
                <w:rFonts w:ascii="Calibri" w:hAnsi="Calibri" w:cs="Calibri"/>
                <w:sz w:val="18"/>
              </w:rPr>
              <w:t xml:space="preserve">advice on </w:t>
            </w:r>
            <w:r w:rsidRPr="00B85F69">
              <w:rPr>
                <w:rFonts w:ascii="Calibri" w:hAnsi="Calibri" w:cs="Calibri"/>
                <w:sz w:val="18"/>
              </w:rPr>
              <w:t>the development of the</w:t>
            </w:r>
            <w:r>
              <w:rPr>
                <w:rFonts w:ascii="Calibri" w:hAnsi="Calibri" w:cs="Calibri"/>
                <w:sz w:val="18"/>
              </w:rPr>
              <w:t xml:space="preserve"> </w:t>
            </w:r>
            <w:r w:rsidRPr="00B85F69">
              <w:rPr>
                <w:rFonts w:ascii="Calibri" w:hAnsi="Calibri" w:cs="Calibri"/>
                <w:sz w:val="18"/>
              </w:rPr>
              <w:t>rural and regional education strategic plan and on specific issues relating to the challenges of rural and regional education.</w:t>
            </w:r>
          </w:p>
        </w:tc>
      </w:tr>
      <w:tr w:rsidR="00402E2C" w:rsidRPr="00925213" w14:paraId="34ACD038" w14:textId="77777777" w:rsidTr="00FD14DE">
        <w:trPr>
          <w:cantSplit/>
          <w:trHeight w:val="227"/>
        </w:trPr>
        <w:tc>
          <w:tcPr>
            <w:tcW w:w="2250" w:type="dxa"/>
            <w:tcBorders>
              <w:top w:val="single" w:sz="4" w:space="0" w:color="auto"/>
              <w:bottom w:val="single" w:sz="4" w:space="0" w:color="auto"/>
            </w:tcBorders>
            <w:shd w:val="clear" w:color="auto" w:fill="auto"/>
          </w:tcPr>
          <w:p w14:paraId="7005BC38"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School Policy and Funding Advisory Council</w:t>
            </w:r>
          </w:p>
        </w:tc>
        <w:tc>
          <w:tcPr>
            <w:tcW w:w="3321" w:type="dxa"/>
            <w:tcBorders>
              <w:top w:val="single" w:sz="4" w:space="0" w:color="auto"/>
              <w:bottom w:val="single" w:sz="4" w:space="0" w:color="auto"/>
            </w:tcBorders>
          </w:tcPr>
          <w:p w14:paraId="2712AC04" w14:textId="77777777" w:rsidR="00402E2C" w:rsidRPr="001E1715" w:rsidRDefault="00402E2C" w:rsidP="001E1715">
            <w:pPr>
              <w:pStyle w:val="ESTablebody"/>
              <w:rPr>
                <w:rFonts w:ascii="Calibri" w:hAnsi="Calibri" w:cs="Calibri"/>
                <w:sz w:val="18"/>
              </w:rPr>
            </w:pPr>
            <w:r w:rsidRPr="001E1715">
              <w:rPr>
                <w:rFonts w:ascii="Calibri" w:hAnsi="Calibri" w:cs="Calibri"/>
                <w:color w:val="000000"/>
                <w:sz w:val="18"/>
              </w:rPr>
              <w:t xml:space="preserve">The </w:t>
            </w:r>
            <w:r>
              <w:rPr>
                <w:rFonts w:ascii="Calibri" w:hAnsi="Calibri" w:cs="Calibri"/>
                <w:color w:val="000000"/>
                <w:sz w:val="18"/>
              </w:rPr>
              <w:t>c</w:t>
            </w:r>
            <w:r w:rsidRPr="001E1715">
              <w:rPr>
                <w:rFonts w:ascii="Calibri" w:hAnsi="Calibri" w:cs="Calibri"/>
                <w:color w:val="000000"/>
                <w:sz w:val="18"/>
              </w:rPr>
              <w:t xml:space="preserve">ouncil provides advice to the Minister for Education on regulatory, policy and funding issues that affect government and non-government schools. </w:t>
            </w:r>
          </w:p>
        </w:tc>
        <w:tc>
          <w:tcPr>
            <w:tcW w:w="3268" w:type="dxa"/>
            <w:tcBorders>
              <w:top w:val="single" w:sz="4" w:space="0" w:color="auto"/>
              <w:bottom w:val="single" w:sz="4" w:space="0" w:color="auto"/>
            </w:tcBorders>
          </w:tcPr>
          <w:p w14:paraId="125DD479"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 xml:space="preserve">The </w:t>
            </w:r>
            <w:r>
              <w:rPr>
                <w:rFonts w:ascii="Calibri" w:hAnsi="Calibri" w:cs="Calibri"/>
                <w:sz w:val="18"/>
              </w:rPr>
              <w:t>c</w:t>
            </w:r>
            <w:r w:rsidRPr="001E1715">
              <w:rPr>
                <w:rFonts w:ascii="Calibri" w:hAnsi="Calibri" w:cs="Calibri"/>
                <w:sz w:val="18"/>
              </w:rPr>
              <w:t xml:space="preserve">ouncil met 3 times </w:t>
            </w:r>
            <w:r>
              <w:rPr>
                <w:rFonts w:ascii="Calibri" w:hAnsi="Calibri" w:cs="Calibri"/>
                <w:sz w:val="18"/>
              </w:rPr>
              <w:t>during</w:t>
            </w:r>
            <w:r w:rsidRPr="001E1715">
              <w:rPr>
                <w:rFonts w:ascii="Calibri" w:hAnsi="Calibri" w:cs="Calibri"/>
                <w:sz w:val="18"/>
              </w:rPr>
              <w:t xml:space="preserve"> 2021–22. An important, and continuing focus of the discussion was the impact of COVID</w:t>
            </w:r>
            <w:r>
              <w:rPr>
                <w:rFonts w:ascii="Calibri" w:hAnsi="Calibri" w:cs="Calibri"/>
                <w:sz w:val="18"/>
              </w:rPr>
              <w:noBreakHyphen/>
            </w:r>
            <w:r w:rsidRPr="001E1715">
              <w:rPr>
                <w:rFonts w:ascii="Calibri" w:hAnsi="Calibri" w:cs="Calibri"/>
                <w:sz w:val="18"/>
              </w:rPr>
              <w:t xml:space="preserve">19 on schools, including on the health and wellbeing of staff and students. The </w:t>
            </w:r>
            <w:r>
              <w:rPr>
                <w:rFonts w:ascii="Calibri" w:hAnsi="Calibri" w:cs="Calibri"/>
                <w:sz w:val="18"/>
              </w:rPr>
              <w:t>c</w:t>
            </w:r>
            <w:r w:rsidRPr="001E1715">
              <w:rPr>
                <w:rFonts w:ascii="Calibri" w:hAnsi="Calibri" w:cs="Calibri"/>
                <w:sz w:val="18"/>
              </w:rPr>
              <w:t>ouncil endorsed the new four</w:t>
            </w:r>
            <w:r>
              <w:rPr>
                <w:rFonts w:ascii="Calibri" w:hAnsi="Calibri" w:cs="Calibri"/>
                <w:sz w:val="18"/>
              </w:rPr>
              <w:noBreakHyphen/>
            </w:r>
            <w:r w:rsidRPr="001E1715">
              <w:rPr>
                <w:rFonts w:ascii="Calibri" w:hAnsi="Calibri" w:cs="Calibri"/>
                <w:sz w:val="18"/>
              </w:rPr>
              <w:t>year Victorian Non-Government Schools Funding Agreement 2022</w:t>
            </w:r>
            <w:r>
              <w:rPr>
                <w:rFonts w:ascii="Calibri" w:hAnsi="Calibri" w:cs="Calibri"/>
                <w:sz w:val="18"/>
              </w:rPr>
              <w:t>–</w:t>
            </w:r>
            <w:r w:rsidRPr="001E1715">
              <w:rPr>
                <w:rFonts w:ascii="Calibri" w:hAnsi="Calibri" w:cs="Calibri"/>
                <w:sz w:val="18"/>
              </w:rPr>
              <w:t>25.</w:t>
            </w:r>
          </w:p>
        </w:tc>
      </w:tr>
      <w:tr w:rsidR="00402E2C" w:rsidRPr="00925213" w14:paraId="4B0600EF"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64BCB8E7" w14:textId="77777777" w:rsidR="00402E2C" w:rsidRPr="00D63B54" w:rsidRDefault="00402E2C" w:rsidP="00D63B54">
            <w:pPr>
              <w:pStyle w:val="ESTablebody"/>
              <w:rPr>
                <w:rFonts w:ascii="Calibri" w:hAnsi="Calibri" w:cs="Calibri"/>
                <w:sz w:val="18"/>
              </w:rPr>
            </w:pPr>
            <w:r w:rsidRPr="00D63B54">
              <w:rPr>
                <w:rFonts w:ascii="Calibri" w:hAnsi="Calibri" w:cs="Calibri"/>
                <w:sz w:val="18"/>
              </w:rPr>
              <w:t xml:space="preserve">Schools Mental Health Reference Group  </w:t>
            </w:r>
          </w:p>
        </w:tc>
        <w:tc>
          <w:tcPr>
            <w:tcW w:w="3321" w:type="dxa"/>
            <w:tcBorders>
              <w:top w:val="single" w:sz="4" w:space="0" w:color="53565A" w:themeColor="accent5"/>
              <w:bottom w:val="single" w:sz="4" w:space="0" w:color="53565A" w:themeColor="accent5"/>
            </w:tcBorders>
          </w:tcPr>
          <w:p w14:paraId="370E577A" w14:textId="56420656" w:rsidR="00402E2C" w:rsidRPr="00D63B54" w:rsidRDefault="00402E2C" w:rsidP="00D63B54">
            <w:pPr>
              <w:pStyle w:val="ESTablebody"/>
              <w:rPr>
                <w:rFonts w:ascii="Calibri" w:hAnsi="Calibri" w:cs="Calibri"/>
                <w:sz w:val="18"/>
              </w:rPr>
            </w:pPr>
            <w:r w:rsidRPr="00D63B54">
              <w:rPr>
                <w:rFonts w:ascii="Calibri" w:hAnsi="Calibri" w:cs="Calibri"/>
                <w:sz w:val="18"/>
              </w:rPr>
              <w:t xml:space="preserve">The </w:t>
            </w:r>
            <w:r>
              <w:rPr>
                <w:rFonts w:ascii="Calibri" w:hAnsi="Calibri" w:cs="Calibri"/>
                <w:sz w:val="18"/>
              </w:rPr>
              <w:t>r</w:t>
            </w:r>
            <w:r w:rsidRPr="00D63B54">
              <w:rPr>
                <w:rFonts w:ascii="Calibri" w:hAnsi="Calibri" w:cs="Calibri"/>
                <w:sz w:val="18"/>
              </w:rPr>
              <w:t xml:space="preserve">eference </w:t>
            </w:r>
            <w:r>
              <w:rPr>
                <w:rFonts w:ascii="Calibri" w:hAnsi="Calibri" w:cs="Calibri"/>
                <w:sz w:val="18"/>
              </w:rPr>
              <w:t>g</w:t>
            </w:r>
            <w:r w:rsidRPr="00D63B54">
              <w:rPr>
                <w:rFonts w:ascii="Calibri" w:hAnsi="Calibri" w:cs="Calibri"/>
                <w:sz w:val="18"/>
              </w:rPr>
              <w:t xml:space="preserve">roup is chaired by the department and comprises peak bodies in the mental health and education sector, school leaders and wellbeing staff, and students. It provides advice to the department on key program design, implementation, </w:t>
            </w:r>
            <w:proofErr w:type="gramStart"/>
            <w:r w:rsidRPr="00D63B54">
              <w:rPr>
                <w:rFonts w:ascii="Calibri" w:hAnsi="Calibri" w:cs="Calibri"/>
                <w:sz w:val="18"/>
              </w:rPr>
              <w:t>evaluation</w:t>
            </w:r>
            <w:proofErr w:type="gramEnd"/>
            <w:r w:rsidRPr="00D63B54">
              <w:rPr>
                <w:rFonts w:ascii="Calibri" w:hAnsi="Calibri" w:cs="Calibri"/>
                <w:sz w:val="18"/>
              </w:rPr>
              <w:t xml:space="preserve"> and monitoring in relation to Recommendation 17 of the Royal Commission</w:t>
            </w:r>
            <w:r w:rsidR="0041222B">
              <w:rPr>
                <w:rFonts w:ascii="Calibri" w:hAnsi="Calibri" w:cs="Calibri"/>
                <w:sz w:val="18"/>
              </w:rPr>
              <w:t xml:space="preserve"> into Victoria’s Mental Health System</w:t>
            </w:r>
            <w:r w:rsidRPr="00D63B54">
              <w:rPr>
                <w:rFonts w:ascii="Calibri" w:hAnsi="Calibri" w:cs="Calibri"/>
                <w:sz w:val="18"/>
              </w:rPr>
              <w:t xml:space="preserve">.  </w:t>
            </w:r>
          </w:p>
        </w:tc>
        <w:tc>
          <w:tcPr>
            <w:tcW w:w="3268" w:type="dxa"/>
            <w:tcBorders>
              <w:top w:val="single" w:sz="4" w:space="0" w:color="53565A" w:themeColor="accent5"/>
              <w:bottom w:val="single" w:sz="4" w:space="0" w:color="53565A" w:themeColor="accent5"/>
            </w:tcBorders>
          </w:tcPr>
          <w:p w14:paraId="3C3EA9D4" w14:textId="0BCDFA4C" w:rsidR="00402E2C" w:rsidRPr="00D63B54" w:rsidRDefault="00402E2C" w:rsidP="00D63B54">
            <w:pPr>
              <w:pStyle w:val="ESTablebody"/>
              <w:rPr>
                <w:rFonts w:ascii="Calibri" w:hAnsi="Calibri" w:cs="Calibri"/>
                <w:sz w:val="18"/>
              </w:rPr>
            </w:pPr>
            <w:r w:rsidRPr="00D63B54">
              <w:rPr>
                <w:rFonts w:ascii="Calibri" w:hAnsi="Calibri" w:cs="Calibri"/>
                <w:sz w:val="18"/>
              </w:rPr>
              <w:t xml:space="preserve">The </w:t>
            </w:r>
            <w:r>
              <w:rPr>
                <w:rFonts w:ascii="Calibri" w:hAnsi="Calibri" w:cs="Calibri"/>
                <w:sz w:val="18"/>
              </w:rPr>
              <w:t>r</w:t>
            </w:r>
            <w:r w:rsidRPr="00D63B54">
              <w:rPr>
                <w:rFonts w:ascii="Calibri" w:hAnsi="Calibri" w:cs="Calibri"/>
                <w:sz w:val="18"/>
              </w:rPr>
              <w:t xml:space="preserve">eference </w:t>
            </w:r>
            <w:r>
              <w:rPr>
                <w:rFonts w:ascii="Calibri" w:hAnsi="Calibri" w:cs="Calibri"/>
                <w:sz w:val="18"/>
              </w:rPr>
              <w:t>g</w:t>
            </w:r>
            <w:r w:rsidRPr="00D63B54">
              <w:rPr>
                <w:rFonts w:ascii="Calibri" w:hAnsi="Calibri" w:cs="Calibri"/>
                <w:sz w:val="18"/>
              </w:rPr>
              <w:t xml:space="preserve">roup met quarterly and provided advice on key aspects of the Schools Mental Health Fund and Menu design, </w:t>
            </w:r>
            <w:proofErr w:type="gramStart"/>
            <w:r w:rsidRPr="00D63B54">
              <w:rPr>
                <w:rFonts w:ascii="Calibri" w:hAnsi="Calibri" w:cs="Calibri"/>
                <w:sz w:val="18"/>
              </w:rPr>
              <w:t>development</w:t>
            </w:r>
            <w:proofErr w:type="gramEnd"/>
            <w:r w:rsidRPr="00D63B54">
              <w:rPr>
                <w:rFonts w:ascii="Calibri" w:hAnsi="Calibri" w:cs="Calibri"/>
                <w:sz w:val="18"/>
              </w:rPr>
              <w:t xml:space="preserve"> and implementation. </w:t>
            </w:r>
          </w:p>
        </w:tc>
      </w:tr>
      <w:tr w:rsidR="00402E2C" w:rsidRPr="00925213" w14:paraId="3A29C21A"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405E9F46" w14:textId="77777777" w:rsidR="00402E2C" w:rsidRDefault="00402E2C" w:rsidP="004040DD">
            <w:pPr>
              <w:pStyle w:val="ESTablebody"/>
              <w:rPr>
                <w:rFonts w:ascii="Calibri" w:hAnsi="Calibri" w:cs="Calibri"/>
                <w:sz w:val="18"/>
              </w:rPr>
            </w:pPr>
            <w:r w:rsidRPr="004040DD">
              <w:rPr>
                <w:rFonts w:ascii="Calibri" w:hAnsi="Calibri" w:cs="Calibri"/>
                <w:sz w:val="18"/>
              </w:rPr>
              <w:t xml:space="preserve">Senior </w:t>
            </w:r>
            <w:r>
              <w:rPr>
                <w:rFonts w:ascii="Calibri" w:hAnsi="Calibri" w:cs="Calibri"/>
                <w:sz w:val="18"/>
              </w:rPr>
              <w:t>S</w:t>
            </w:r>
            <w:r w:rsidRPr="004040DD">
              <w:rPr>
                <w:rFonts w:ascii="Calibri" w:hAnsi="Calibri" w:cs="Calibri"/>
                <w:sz w:val="18"/>
              </w:rPr>
              <w:t xml:space="preserve">econdary </w:t>
            </w:r>
            <w:r>
              <w:rPr>
                <w:rFonts w:ascii="Calibri" w:hAnsi="Calibri" w:cs="Calibri"/>
                <w:sz w:val="18"/>
              </w:rPr>
              <w:t>P</w:t>
            </w:r>
            <w:r w:rsidRPr="004040DD">
              <w:rPr>
                <w:rFonts w:ascii="Calibri" w:hAnsi="Calibri" w:cs="Calibri"/>
                <w:sz w:val="18"/>
              </w:rPr>
              <w:t xml:space="preserve">athways </w:t>
            </w:r>
            <w:r>
              <w:rPr>
                <w:rFonts w:ascii="Calibri" w:hAnsi="Calibri" w:cs="Calibri"/>
                <w:sz w:val="18"/>
              </w:rPr>
              <w:t>R</w:t>
            </w:r>
            <w:r w:rsidRPr="004040DD">
              <w:rPr>
                <w:rFonts w:ascii="Calibri" w:hAnsi="Calibri" w:cs="Calibri"/>
                <w:sz w:val="18"/>
              </w:rPr>
              <w:t xml:space="preserve">eform </w:t>
            </w:r>
            <w:r>
              <w:rPr>
                <w:rFonts w:ascii="Calibri" w:hAnsi="Calibri" w:cs="Calibri"/>
                <w:sz w:val="18"/>
              </w:rPr>
              <w:t>P</w:t>
            </w:r>
            <w:r w:rsidRPr="004040DD">
              <w:rPr>
                <w:rFonts w:ascii="Calibri" w:hAnsi="Calibri" w:cs="Calibri"/>
                <w:sz w:val="18"/>
              </w:rPr>
              <w:t xml:space="preserve">roject </w:t>
            </w:r>
            <w:r>
              <w:rPr>
                <w:rFonts w:ascii="Calibri" w:hAnsi="Calibri" w:cs="Calibri"/>
                <w:sz w:val="18"/>
              </w:rPr>
              <w:t>C</w:t>
            </w:r>
            <w:r w:rsidRPr="004040DD">
              <w:rPr>
                <w:rFonts w:ascii="Calibri" w:hAnsi="Calibri" w:cs="Calibri"/>
                <w:sz w:val="18"/>
              </w:rPr>
              <w:t xml:space="preserve">ontrol </w:t>
            </w:r>
            <w:r>
              <w:rPr>
                <w:rFonts w:ascii="Calibri" w:hAnsi="Calibri" w:cs="Calibri"/>
                <w:sz w:val="18"/>
              </w:rPr>
              <w:t>B</w:t>
            </w:r>
            <w:r w:rsidRPr="004040DD">
              <w:rPr>
                <w:rFonts w:ascii="Calibri" w:hAnsi="Calibri" w:cs="Calibri"/>
                <w:sz w:val="18"/>
              </w:rPr>
              <w:t>oard</w:t>
            </w:r>
          </w:p>
        </w:tc>
        <w:tc>
          <w:tcPr>
            <w:tcW w:w="3321" w:type="dxa"/>
            <w:tcBorders>
              <w:top w:val="single" w:sz="4" w:space="0" w:color="53565A" w:themeColor="accent5"/>
              <w:bottom w:val="single" w:sz="4" w:space="0" w:color="53565A" w:themeColor="accent5"/>
            </w:tcBorders>
          </w:tcPr>
          <w:p w14:paraId="09112117" w14:textId="77777777" w:rsidR="00402E2C" w:rsidRDefault="00402E2C" w:rsidP="004040DD">
            <w:pPr>
              <w:pStyle w:val="ESTablebody"/>
              <w:rPr>
                <w:rFonts w:ascii="Calibri" w:hAnsi="Calibri" w:cs="Calibri"/>
                <w:sz w:val="18"/>
              </w:rPr>
            </w:pPr>
            <w:r w:rsidRPr="004040DD">
              <w:rPr>
                <w:rFonts w:ascii="Calibri" w:hAnsi="Calibri" w:cs="Calibri"/>
                <w:sz w:val="18"/>
              </w:rPr>
              <w:t xml:space="preserve">The </w:t>
            </w:r>
            <w:r>
              <w:rPr>
                <w:rFonts w:ascii="Calibri" w:hAnsi="Calibri" w:cs="Calibri"/>
                <w:sz w:val="18"/>
              </w:rPr>
              <w:t>b</w:t>
            </w:r>
            <w:r w:rsidRPr="004040DD">
              <w:rPr>
                <w:rFonts w:ascii="Calibri" w:hAnsi="Calibri" w:cs="Calibri"/>
                <w:sz w:val="18"/>
              </w:rPr>
              <w:t>oard provides strategic oversight over implementation of the recommendations arising from the Review into vocational and applied learning pathways in senior secondary schooling and manages links with other related reforms including jobs and skills initiatives in the Training and Skills and Higher Education portfolios.</w:t>
            </w:r>
          </w:p>
        </w:tc>
        <w:tc>
          <w:tcPr>
            <w:tcW w:w="3268" w:type="dxa"/>
            <w:tcBorders>
              <w:top w:val="single" w:sz="4" w:space="0" w:color="53565A" w:themeColor="accent5"/>
              <w:bottom w:val="single" w:sz="4" w:space="0" w:color="53565A" w:themeColor="accent5"/>
            </w:tcBorders>
          </w:tcPr>
          <w:p w14:paraId="712F2EF8" w14:textId="3B138765" w:rsidR="00402E2C" w:rsidRDefault="00402E2C" w:rsidP="004040DD">
            <w:pPr>
              <w:pStyle w:val="ESTablebody"/>
              <w:rPr>
                <w:rFonts w:ascii="Calibri" w:hAnsi="Calibri" w:cs="Calibri"/>
                <w:sz w:val="18"/>
              </w:rPr>
            </w:pPr>
            <w:r>
              <w:rPr>
                <w:rFonts w:ascii="Calibri" w:hAnsi="Calibri" w:cs="Calibri"/>
                <w:sz w:val="18"/>
              </w:rPr>
              <w:t>The board</w:t>
            </w:r>
            <w:r w:rsidRPr="004040DD">
              <w:rPr>
                <w:rFonts w:ascii="Calibri" w:hAnsi="Calibri" w:cs="Calibri"/>
                <w:sz w:val="18"/>
              </w:rPr>
              <w:t xml:space="preserve"> met monthly to provide strategic policy direction on major reforms. The </w:t>
            </w:r>
            <w:r>
              <w:rPr>
                <w:rFonts w:ascii="Calibri" w:hAnsi="Calibri" w:cs="Calibri"/>
                <w:sz w:val="18"/>
              </w:rPr>
              <w:t>b</w:t>
            </w:r>
            <w:r w:rsidRPr="004040DD">
              <w:rPr>
                <w:rFonts w:ascii="Calibri" w:hAnsi="Calibri" w:cs="Calibri"/>
                <w:sz w:val="18"/>
              </w:rPr>
              <w:t>oard also provide</w:t>
            </w:r>
            <w:r>
              <w:rPr>
                <w:rFonts w:ascii="Calibri" w:hAnsi="Calibri" w:cs="Calibri"/>
                <w:sz w:val="18"/>
              </w:rPr>
              <w:t>d</w:t>
            </w:r>
            <w:r w:rsidRPr="004040DD">
              <w:rPr>
                <w:rFonts w:ascii="Calibri" w:hAnsi="Calibri" w:cs="Calibri"/>
                <w:sz w:val="18"/>
              </w:rPr>
              <w:t xml:space="preserve"> project governance, manage</w:t>
            </w:r>
            <w:r w:rsidR="0041222B">
              <w:rPr>
                <w:rFonts w:ascii="Calibri" w:hAnsi="Calibri" w:cs="Calibri"/>
                <w:sz w:val="18"/>
              </w:rPr>
              <w:t>d</w:t>
            </w:r>
            <w:r w:rsidRPr="004040DD">
              <w:rPr>
                <w:rFonts w:ascii="Calibri" w:hAnsi="Calibri" w:cs="Calibri"/>
                <w:sz w:val="18"/>
              </w:rPr>
              <w:t xml:space="preserve"> risk, and monitor</w:t>
            </w:r>
            <w:r w:rsidR="0041222B">
              <w:rPr>
                <w:rFonts w:ascii="Calibri" w:hAnsi="Calibri" w:cs="Calibri"/>
                <w:sz w:val="18"/>
              </w:rPr>
              <w:t>ed</w:t>
            </w:r>
            <w:r w:rsidRPr="004040DD">
              <w:rPr>
                <w:rFonts w:ascii="Calibri" w:hAnsi="Calibri" w:cs="Calibri"/>
                <w:sz w:val="18"/>
              </w:rPr>
              <w:t xml:space="preserve"> performance and delivery against timelines and objectives.</w:t>
            </w:r>
          </w:p>
        </w:tc>
      </w:tr>
      <w:tr w:rsidR="00402E2C" w:rsidRPr="00925213" w14:paraId="5615B6C8"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6F082966" w14:textId="77777777" w:rsidR="00402E2C" w:rsidRPr="00B5691E" w:rsidRDefault="00402E2C" w:rsidP="004040DD">
            <w:pPr>
              <w:pStyle w:val="ESTablebody"/>
              <w:rPr>
                <w:rFonts w:ascii="Calibri" w:hAnsi="Calibri" w:cs="Calibri"/>
                <w:sz w:val="18"/>
              </w:rPr>
            </w:pPr>
            <w:r w:rsidRPr="004040DD">
              <w:rPr>
                <w:rFonts w:ascii="Calibri" w:hAnsi="Calibri" w:cs="Calibri"/>
                <w:sz w:val="18"/>
              </w:rPr>
              <w:t>Senior Secondary Reform Reference Group</w:t>
            </w:r>
          </w:p>
        </w:tc>
        <w:tc>
          <w:tcPr>
            <w:tcW w:w="3321" w:type="dxa"/>
            <w:tcBorders>
              <w:top w:val="single" w:sz="4" w:space="0" w:color="53565A" w:themeColor="accent5"/>
              <w:bottom w:val="single" w:sz="4" w:space="0" w:color="53565A" w:themeColor="accent5"/>
            </w:tcBorders>
          </w:tcPr>
          <w:p w14:paraId="2729129C" w14:textId="55CCD417" w:rsidR="00402E2C" w:rsidRPr="00FF0355" w:rsidRDefault="00402E2C" w:rsidP="004040DD">
            <w:pPr>
              <w:pStyle w:val="ESTablebody"/>
              <w:rPr>
                <w:rFonts w:ascii="Calibri" w:hAnsi="Calibri" w:cs="Calibri"/>
                <w:sz w:val="18"/>
              </w:rPr>
            </w:pPr>
            <w:r w:rsidRPr="004040DD">
              <w:rPr>
                <w:rFonts w:ascii="Calibri" w:hAnsi="Calibri" w:cs="Calibri"/>
                <w:sz w:val="18"/>
              </w:rPr>
              <w:t xml:space="preserve">The </w:t>
            </w:r>
            <w:r>
              <w:rPr>
                <w:rFonts w:ascii="Calibri" w:hAnsi="Calibri" w:cs="Calibri"/>
                <w:sz w:val="18"/>
              </w:rPr>
              <w:t>reference group</w:t>
            </w:r>
            <w:r w:rsidRPr="004040DD">
              <w:rPr>
                <w:rFonts w:ascii="Calibri" w:hAnsi="Calibri" w:cs="Calibri"/>
                <w:sz w:val="18"/>
              </w:rPr>
              <w:t xml:space="preserve"> is a time-bound, cross-sectoral forum that support</w:t>
            </w:r>
            <w:r>
              <w:rPr>
                <w:rFonts w:ascii="Calibri" w:hAnsi="Calibri" w:cs="Calibri"/>
                <w:sz w:val="18"/>
              </w:rPr>
              <w:t>s</w:t>
            </w:r>
            <w:r w:rsidRPr="004040DD">
              <w:rPr>
                <w:rFonts w:ascii="Calibri" w:hAnsi="Calibri" w:cs="Calibri"/>
                <w:sz w:val="18"/>
              </w:rPr>
              <w:t xml:space="preserve"> </w:t>
            </w:r>
            <w:r>
              <w:rPr>
                <w:rFonts w:ascii="Calibri" w:hAnsi="Calibri" w:cs="Calibri"/>
                <w:sz w:val="18"/>
              </w:rPr>
              <w:t>the department</w:t>
            </w:r>
            <w:r w:rsidRPr="004040DD">
              <w:rPr>
                <w:rFonts w:ascii="Calibri" w:hAnsi="Calibri" w:cs="Calibri"/>
                <w:sz w:val="18"/>
              </w:rPr>
              <w:t xml:space="preserve"> and the VCAA in implementing the </w:t>
            </w:r>
            <w:r>
              <w:rPr>
                <w:rFonts w:ascii="Calibri" w:hAnsi="Calibri" w:cs="Calibri"/>
                <w:sz w:val="18"/>
              </w:rPr>
              <w:t>senior secondary pathways reform</w:t>
            </w:r>
            <w:r w:rsidRPr="004040DD">
              <w:rPr>
                <w:rFonts w:ascii="Calibri" w:hAnsi="Calibri" w:cs="Calibri"/>
                <w:sz w:val="18"/>
              </w:rPr>
              <w:t xml:space="preserve"> agenda and </w:t>
            </w:r>
            <w:r w:rsidR="0041222B">
              <w:rPr>
                <w:rFonts w:ascii="Calibri" w:hAnsi="Calibri" w:cs="Calibri"/>
                <w:sz w:val="18"/>
              </w:rPr>
              <w:t>helps them to remain</w:t>
            </w:r>
            <w:r w:rsidRPr="004040DD">
              <w:rPr>
                <w:rFonts w:ascii="Calibri" w:hAnsi="Calibri" w:cs="Calibri"/>
                <w:sz w:val="18"/>
              </w:rPr>
              <w:t xml:space="preserve"> informed of activities occurring as part of the reforms. The </w:t>
            </w:r>
            <w:r>
              <w:rPr>
                <w:rFonts w:ascii="Calibri" w:hAnsi="Calibri" w:cs="Calibri"/>
                <w:sz w:val="18"/>
              </w:rPr>
              <w:t>reference group</w:t>
            </w:r>
            <w:r w:rsidRPr="004040DD">
              <w:rPr>
                <w:rFonts w:ascii="Calibri" w:hAnsi="Calibri" w:cs="Calibri"/>
                <w:sz w:val="18"/>
              </w:rPr>
              <w:t xml:space="preserve"> brings together representatives from the school </w:t>
            </w:r>
            <w:r>
              <w:rPr>
                <w:rFonts w:ascii="Calibri" w:hAnsi="Calibri" w:cs="Calibri"/>
                <w:sz w:val="18"/>
              </w:rPr>
              <w:t xml:space="preserve">and </w:t>
            </w:r>
            <w:r w:rsidRPr="004040DD">
              <w:rPr>
                <w:rFonts w:ascii="Calibri" w:hAnsi="Calibri" w:cs="Calibri"/>
                <w:sz w:val="18"/>
              </w:rPr>
              <w:t>VET sector</w:t>
            </w:r>
            <w:r>
              <w:rPr>
                <w:rFonts w:ascii="Calibri" w:hAnsi="Calibri" w:cs="Calibri"/>
                <w:sz w:val="18"/>
              </w:rPr>
              <w:t>s</w:t>
            </w:r>
            <w:r w:rsidRPr="004040DD">
              <w:rPr>
                <w:rFonts w:ascii="Calibri" w:hAnsi="Calibri" w:cs="Calibri"/>
                <w:sz w:val="18"/>
              </w:rPr>
              <w:t xml:space="preserve">, TAFEs, peak bodies, </w:t>
            </w:r>
            <w:proofErr w:type="gramStart"/>
            <w:r w:rsidRPr="004040DD">
              <w:rPr>
                <w:rFonts w:ascii="Calibri" w:hAnsi="Calibri" w:cs="Calibri"/>
                <w:sz w:val="18"/>
              </w:rPr>
              <w:t>unions</w:t>
            </w:r>
            <w:proofErr w:type="gramEnd"/>
            <w:r w:rsidRPr="004040DD">
              <w:rPr>
                <w:rFonts w:ascii="Calibri" w:hAnsi="Calibri" w:cs="Calibri"/>
                <w:sz w:val="18"/>
              </w:rPr>
              <w:t xml:space="preserve"> and employers.</w:t>
            </w:r>
          </w:p>
        </w:tc>
        <w:tc>
          <w:tcPr>
            <w:tcW w:w="3268" w:type="dxa"/>
            <w:tcBorders>
              <w:top w:val="single" w:sz="4" w:space="0" w:color="53565A" w:themeColor="accent5"/>
              <w:bottom w:val="single" w:sz="4" w:space="0" w:color="53565A" w:themeColor="accent5"/>
            </w:tcBorders>
          </w:tcPr>
          <w:p w14:paraId="6DBBBB84" w14:textId="64BD58E0" w:rsidR="00402E2C" w:rsidRDefault="00402E2C" w:rsidP="004040DD">
            <w:pPr>
              <w:pStyle w:val="ESTablebody"/>
              <w:rPr>
                <w:rFonts w:ascii="Calibri" w:hAnsi="Calibri" w:cs="Calibri"/>
                <w:sz w:val="18"/>
              </w:rPr>
            </w:pPr>
            <w:r>
              <w:rPr>
                <w:rFonts w:ascii="Calibri" w:hAnsi="Calibri" w:cs="Calibri"/>
                <w:sz w:val="18"/>
              </w:rPr>
              <w:t>The reference group was established in June 2021 and has met</w:t>
            </w:r>
            <w:r w:rsidRPr="004040DD">
              <w:rPr>
                <w:rFonts w:ascii="Calibri" w:hAnsi="Calibri" w:cs="Calibri"/>
                <w:sz w:val="18"/>
              </w:rPr>
              <w:t xml:space="preserve"> </w:t>
            </w:r>
            <w:r w:rsidR="0041222B">
              <w:rPr>
                <w:rFonts w:ascii="Calibri" w:hAnsi="Calibri" w:cs="Calibri"/>
                <w:sz w:val="18"/>
              </w:rPr>
              <w:t>every two</w:t>
            </w:r>
            <w:r w:rsidR="00654AED">
              <w:rPr>
                <w:rFonts w:ascii="Calibri" w:hAnsi="Calibri" w:cs="Calibri"/>
                <w:sz w:val="18"/>
              </w:rPr>
              <w:noBreakHyphen/>
            </w:r>
            <w:r w:rsidRPr="004040DD">
              <w:rPr>
                <w:rFonts w:ascii="Calibri" w:hAnsi="Calibri" w:cs="Calibri"/>
                <w:sz w:val="18"/>
              </w:rPr>
              <w:t xml:space="preserve">monthly </w:t>
            </w:r>
            <w:r>
              <w:rPr>
                <w:rFonts w:ascii="Calibri" w:hAnsi="Calibri" w:cs="Calibri"/>
                <w:sz w:val="18"/>
              </w:rPr>
              <w:t xml:space="preserve">since, to </w:t>
            </w:r>
            <w:r w:rsidRPr="004040DD">
              <w:rPr>
                <w:rFonts w:ascii="Calibri" w:hAnsi="Calibri" w:cs="Calibri"/>
                <w:sz w:val="18"/>
              </w:rPr>
              <w:t xml:space="preserve">support co-design and build consensus for senior secondary pathways reform. The </w:t>
            </w:r>
            <w:r>
              <w:rPr>
                <w:rFonts w:ascii="Calibri" w:hAnsi="Calibri" w:cs="Calibri"/>
                <w:sz w:val="18"/>
              </w:rPr>
              <w:t>reference group</w:t>
            </w:r>
            <w:r w:rsidRPr="004040DD">
              <w:rPr>
                <w:rFonts w:ascii="Calibri" w:hAnsi="Calibri" w:cs="Calibri"/>
                <w:sz w:val="18"/>
              </w:rPr>
              <w:t xml:space="preserve"> discusse</w:t>
            </w:r>
            <w:r>
              <w:rPr>
                <w:rFonts w:ascii="Calibri" w:hAnsi="Calibri" w:cs="Calibri"/>
                <w:sz w:val="18"/>
              </w:rPr>
              <w:t>d</w:t>
            </w:r>
            <w:r w:rsidRPr="004040DD">
              <w:rPr>
                <w:rFonts w:ascii="Calibri" w:hAnsi="Calibri" w:cs="Calibri"/>
                <w:sz w:val="18"/>
              </w:rPr>
              <w:t xml:space="preserve"> key reform elements, provide</w:t>
            </w:r>
            <w:r>
              <w:rPr>
                <w:rFonts w:ascii="Calibri" w:hAnsi="Calibri" w:cs="Calibri"/>
                <w:sz w:val="18"/>
              </w:rPr>
              <w:t>d</w:t>
            </w:r>
            <w:r w:rsidRPr="004040DD">
              <w:rPr>
                <w:rFonts w:ascii="Calibri" w:hAnsi="Calibri" w:cs="Calibri"/>
                <w:sz w:val="18"/>
              </w:rPr>
              <w:t xml:space="preserve"> feedback on </w:t>
            </w:r>
            <w:proofErr w:type="gramStart"/>
            <w:r w:rsidRPr="004040DD">
              <w:rPr>
                <w:rFonts w:ascii="Calibri" w:hAnsi="Calibri" w:cs="Calibri"/>
                <w:sz w:val="18"/>
              </w:rPr>
              <w:t>implementation</w:t>
            </w:r>
            <w:proofErr w:type="gramEnd"/>
            <w:r w:rsidRPr="004040DD">
              <w:rPr>
                <w:rFonts w:ascii="Calibri" w:hAnsi="Calibri" w:cs="Calibri"/>
                <w:sz w:val="18"/>
              </w:rPr>
              <w:t xml:space="preserve"> and buil</w:t>
            </w:r>
            <w:r>
              <w:rPr>
                <w:rFonts w:ascii="Calibri" w:hAnsi="Calibri" w:cs="Calibri"/>
                <w:sz w:val="18"/>
              </w:rPr>
              <w:t>t</w:t>
            </w:r>
            <w:r w:rsidRPr="004040DD">
              <w:rPr>
                <w:rFonts w:ascii="Calibri" w:hAnsi="Calibri" w:cs="Calibri"/>
                <w:sz w:val="18"/>
              </w:rPr>
              <w:t xml:space="preserve"> momentum for reform overall. </w:t>
            </w:r>
          </w:p>
        </w:tc>
      </w:tr>
      <w:tr w:rsidR="00402E2C" w:rsidRPr="00925213" w14:paraId="433459EA" w14:textId="77777777" w:rsidTr="00FD14DE">
        <w:trPr>
          <w:cantSplit/>
          <w:trHeight w:val="227"/>
        </w:trPr>
        <w:tc>
          <w:tcPr>
            <w:tcW w:w="2250" w:type="dxa"/>
            <w:tcBorders>
              <w:top w:val="single" w:sz="4" w:space="0" w:color="auto"/>
              <w:bottom w:val="single" w:sz="4" w:space="0" w:color="auto"/>
            </w:tcBorders>
            <w:shd w:val="clear" w:color="auto" w:fill="auto"/>
          </w:tcPr>
          <w:p w14:paraId="1A11EC01" w14:textId="77777777" w:rsidR="00402E2C" w:rsidRPr="00DA725B" w:rsidRDefault="00402E2C" w:rsidP="00823FD6">
            <w:pPr>
              <w:pStyle w:val="ESTablebody"/>
              <w:rPr>
                <w:rFonts w:ascii="Calibri" w:hAnsi="Calibri" w:cs="Calibri"/>
                <w:sz w:val="18"/>
              </w:rPr>
            </w:pPr>
            <w:r w:rsidRPr="00DA725B">
              <w:rPr>
                <w:rFonts w:ascii="Calibri" w:hAnsi="Calibri" w:cs="Calibri"/>
                <w:sz w:val="18"/>
              </w:rPr>
              <w:t>Service Delivery Steering Group</w:t>
            </w:r>
          </w:p>
        </w:tc>
        <w:tc>
          <w:tcPr>
            <w:tcW w:w="3321" w:type="dxa"/>
            <w:tcBorders>
              <w:top w:val="single" w:sz="4" w:space="0" w:color="auto"/>
              <w:bottom w:val="single" w:sz="4" w:space="0" w:color="auto"/>
            </w:tcBorders>
          </w:tcPr>
          <w:p w14:paraId="3C979192" w14:textId="77777777" w:rsidR="00402E2C" w:rsidRPr="00946824" w:rsidRDefault="00402E2C" w:rsidP="00E04779">
            <w:pPr>
              <w:pStyle w:val="ESTablebody"/>
              <w:rPr>
                <w:rFonts w:ascii="Calibri" w:hAnsi="Calibri" w:cs="Calibri"/>
                <w:sz w:val="18"/>
              </w:rPr>
            </w:pPr>
            <w:r w:rsidRPr="00C74C25">
              <w:rPr>
                <w:rFonts w:ascii="Calibri" w:hAnsi="Calibri" w:cs="Calibri"/>
                <w:sz w:val="18"/>
              </w:rPr>
              <w:t xml:space="preserve">The </w:t>
            </w:r>
            <w:r>
              <w:rPr>
                <w:rFonts w:ascii="Calibri" w:hAnsi="Calibri" w:cs="Calibri"/>
                <w:sz w:val="18"/>
              </w:rPr>
              <w:t>s</w:t>
            </w:r>
            <w:r w:rsidRPr="00C74C25">
              <w:rPr>
                <w:rFonts w:ascii="Calibri" w:hAnsi="Calibri" w:cs="Calibri"/>
                <w:sz w:val="18"/>
              </w:rPr>
              <w:t xml:space="preserve">teering </w:t>
            </w:r>
            <w:r>
              <w:rPr>
                <w:rFonts w:ascii="Calibri" w:hAnsi="Calibri" w:cs="Calibri"/>
                <w:sz w:val="18"/>
              </w:rPr>
              <w:t>g</w:t>
            </w:r>
            <w:r w:rsidRPr="00C74C25">
              <w:rPr>
                <w:rFonts w:ascii="Calibri" w:hAnsi="Calibri" w:cs="Calibri"/>
                <w:sz w:val="18"/>
              </w:rPr>
              <w:t>roup strengthen</w:t>
            </w:r>
            <w:r>
              <w:rPr>
                <w:rFonts w:ascii="Calibri" w:hAnsi="Calibri" w:cs="Calibri"/>
                <w:sz w:val="18"/>
              </w:rPr>
              <w:t>s</w:t>
            </w:r>
            <w:r w:rsidRPr="00C74C25">
              <w:rPr>
                <w:rFonts w:ascii="Calibri" w:hAnsi="Calibri" w:cs="Calibri"/>
                <w:sz w:val="18"/>
              </w:rPr>
              <w:t xml:space="preserve"> network coordination and planning of TAFE service delivery</w:t>
            </w:r>
            <w:r>
              <w:rPr>
                <w:rFonts w:ascii="Calibri" w:hAnsi="Calibri" w:cs="Calibri"/>
                <w:sz w:val="18"/>
              </w:rPr>
              <w:t xml:space="preserve">. This </w:t>
            </w:r>
            <w:r w:rsidRPr="00C74C25">
              <w:rPr>
                <w:rFonts w:ascii="Calibri" w:hAnsi="Calibri" w:cs="Calibri"/>
                <w:sz w:val="18"/>
              </w:rPr>
              <w:t>ensure</w:t>
            </w:r>
            <w:r>
              <w:rPr>
                <w:rFonts w:ascii="Calibri" w:hAnsi="Calibri" w:cs="Calibri"/>
                <w:sz w:val="18"/>
              </w:rPr>
              <w:t>s</w:t>
            </w:r>
            <w:r w:rsidRPr="00C74C25">
              <w:rPr>
                <w:rFonts w:ascii="Calibri" w:hAnsi="Calibri" w:cs="Calibri"/>
                <w:sz w:val="18"/>
              </w:rPr>
              <w:t xml:space="preserve"> the TAFE network delivers courses </w:t>
            </w:r>
            <w:r>
              <w:rPr>
                <w:rFonts w:ascii="Calibri" w:hAnsi="Calibri" w:cs="Calibri"/>
                <w:sz w:val="18"/>
              </w:rPr>
              <w:t>aligned to</w:t>
            </w:r>
            <w:r w:rsidRPr="00C74C25">
              <w:rPr>
                <w:rFonts w:ascii="Calibri" w:hAnsi="Calibri" w:cs="Calibri"/>
                <w:sz w:val="18"/>
              </w:rPr>
              <w:t xml:space="preserve"> training needs identified by the Victorian Skills Plan</w:t>
            </w:r>
            <w:r>
              <w:rPr>
                <w:rFonts w:ascii="Calibri" w:hAnsi="Calibri" w:cs="Calibri"/>
                <w:sz w:val="18"/>
              </w:rPr>
              <w:t xml:space="preserve"> and </w:t>
            </w:r>
            <w:r w:rsidRPr="00C74C25">
              <w:rPr>
                <w:rFonts w:ascii="Calibri" w:hAnsi="Calibri" w:cs="Calibri"/>
                <w:sz w:val="18"/>
              </w:rPr>
              <w:t>reduce</w:t>
            </w:r>
            <w:r>
              <w:rPr>
                <w:rFonts w:ascii="Calibri" w:hAnsi="Calibri" w:cs="Calibri"/>
                <w:sz w:val="18"/>
              </w:rPr>
              <w:t>s</w:t>
            </w:r>
            <w:r w:rsidRPr="00C74C25">
              <w:rPr>
                <w:rFonts w:ascii="Calibri" w:hAnsi="Calibri" w:cs="Calibri"/>
                <w:sz w:val="18"/>
              </w:rPr>
              <w:t xml:space="preserve"> unnecessary duplication and competition between TAFEs to support improved financial sustainability.</w:t>
            </w:r>
          </w:p>
        </w:tc>
        <w:tc>
          <w:tcPr>
            <w:tcW w:w="3268" w:type="dxa"/>
            <w:tcBorders>
              <w:top w:val="single" w:sz="4" w:space="0" w:color="auto"/>
              <w:bottom w:val="single" w:sz="4" w:space="0" w:color="auto"/>
            </w:tcBorders>
          </w:tcPr>
          <w:p w14:paraId="1DB85227" w14:textId="6773DC46" w:rsidR="00402E2C" w:rsidRPr="00207663" w:rsidRDefault="00402E2C" w:rsidP="00823FD6">
            <w:pPr>
              <w:pStyle w:val="ESTablebody"/>
              <w:rPr>
                <w:rFonts w:ascii="Calibri" w:hAnsi="Calibri" w:cs="Calibri"/>
                <w:sz w:val="18"/>
                <w:highlight w:val="yellow"/>
              </w:rPr>
            </w:pPr>
            <w:r w:rsidRPr="00207663">
              <w:rPr>
                <w:rFonts w:ascii="Calibri" w:hAnsi="Calibri" w:cs="Calibri"/>
                <w:sz w:val="18"/>
              </w:rPr>
              <w:t xml:space="preserve">The </w:t>
            </w:r>
            <w:r>
              <w:rPr>
                <w:rFonts w:ascii="Calibri" w:hAnsi="Calibri" w:cs="Calibri"/>
                <w:sz w:val="18"/>
              </w:rPr>
              <w:t>s</w:t>
            </w:r>
            <w:r w:rsidRPr="00207663">
              <w:rPr>
                <w:rFonts w:ascii="Calibri" w:hAnsi="Calibri" w:cs="Calibri"/>
                <w:sz w:val="18"/>
              </w:rPr>
              <w:t xml:space="preserve">teering </w:t>
            </w:r>
            <w:r>
              <w:rPr>
                <w:rFonts w:ascii="Calibri" w:hAnsi="Calibri" w:cs="Calibri"/>
                <w:sz w:val="18"/>
              </w:rPr>
              <w:t>g</w:t>
            </w:r>
            <w:r w:rsidRPr="00207663">
              <w:rPr>
                <w:rFonts w:ascii="Calibri" w:hAnsi="Calibri" w:cs="Calibri"/>
                <w:sz w:val="18"/>
              </w:rPr>
              <w:t xml:space="preserve">roup </w:t>
            </w:r>
            <w:r>
              <w:rPr>
                <w:rFonts w:ascii="Calibri" w:hAnsi="Calibri" w:cs="Calibri"/>
                <w:sz w:val="18"/>
              </w:rPr>
              <w:t xml:space="preserve">was established in May 2022 and </w:t>
            </w:r>
            <w:r w:rsidRPr="00207663">
              <w:rPr>
                <w:rFonts w:ascii="Calibri" w:hAnsi="Calibri" w:cs="Calibri"/>
                <w:sz w:val="18"/>
              </w:rPr>
              <w:t xml:space="preserve">has met </w:t>
            </w:r>
            <w:r>
              <w:rPr>
                <w:rFonts w:ascii="Calibri" w:hAnsi="Calibri" w:cs="Calibri"/>
                <w:sz w:val="18"/>
              </w:rPr>
              <w:t>3</w:t>
            </w:r>
            <w:r w:rsidRPr="00207663">
              <w:rPr>
                <w:rFonts w:ascii="Calibri" w:hAnsi="Calibri" w:cs="Calibri"/>
                <w:sz w:val="18"/>
              </w:rPr>
              <w:t xml:space="preserve"> times s</w:t>
            </w:r>
            <w:r>
              <w:rPr>
                <w:rFonts w:ascii="Calibri" w:hAnsi="Calibri" w:cs="Calibri"/>
                <w:sz w:val="18"/>
              </w:rPr>
              <w:t>ince. It supported</w:t>
            </w:r>
            <w:r w:rsidRPr="00207663">
              <w:rPr>
                <w:rFonts w:ascii="Calibri" w:hAnsi="Calibri" w:cs="Calibri"/>
                <w:sz w:val="18"/>
              </w:rPr>
              <w:t xml:space="preserve"> </w:t>
            </w:r>
            <w:r>
              <w:rPr>
                <w:rFonts w:ascii="Calibri" w:hAnsi="Calibri" w:cs="Calibri"/>
                <w:sz w:val="18"/>
              </w:rPr>
              <w:t xml:space="preserve">the </w:t>
            </w:r>
            <w:r w:rsidRPr="00207663">
              <w:rPr>
                <w:rFonts w:ascii="Calibri" w:hAnsi="Calibri" w:cs="Calibri"/>
                <w:sz w:val="18"/>
              </w:rPr>
              <w:t xml:space="preserve">rollout of </w:t>
            </w:r>
            <w:r>
              <w:rPr>
                <w:rFonts w:ascii="Calibri" w:hAnsi="Calibri" w:cs="Calibri"/>
                <w:sz w:val="18"/>
              </w:rPr>
              <w:t xml:space="preserve">the </w:t>
            </w:r>
            <w:r w:rsidRPr="00207663">
              <w:rPr>
                <w:rFonts w:ascii="Calibri" w:hAnsi="Calibri" w:cs="Calibri"/>
                <w:sz w:val="18"/>
              </w:rPr>
              <w:t>new network</w:t>
            </w:r>
            <w:r w:rsidR="00A969C5">
              <w:rPr>
                <w:rFonts w:ascii="Calibri" w:hAnsi="Calibri" w:cs="Calibri"/>
                <w:sz w:val="18"/>
              </w:rPr>
              <w:noBreakHyphen/>
            </w:r>
            <w:r w:rsidRPr="00207663">
              <w:rPr>
                <w:rFonts w:ascii="Calibri" w:hAnsi="Calibri" w:cs="Calibri"/>
                <w:sz w:val="18"/>
              </w:rPr>
              <w:t xml:space="preserve">wide approach to planning for provision of VET to </w:t>
            </w:r>
            <w:r w:rsidR="00A969C5">
              <w:rPr>
                <w:rFonts w:ascii="Calibri" w:hAnsi="Calibri" w:cs="Calibri"/>
                <w:sz w:val="18"/>
              </w:rPr>
              <w:t>s</w:t>
            </w:r>
            <w:r w:rsidRPr="00207663">
              <w:rPr>
                <w:rFonts w:ascii="Calibri" w:hAnsi="Calibri" w:cs="Calibri"/>
                <w:sz w:val="18"/>
              </w:rPr>
              <w:t xml:space="preserve">econdary </w:t>
            </w:r>
            <w:r w:rsidR="00A969C5">
              <w:rPr>
                <w:rFonts w:ascii="Calibri" w:hAnsi="Calibri" w:cs="Calibri"/>
                <w:sz w:val="18"/>
              </w:rPr>
              <w:t>s</w:t>
            </w:r>
            <w:r w:rsidRPr="00207663">
              <w:rPr>
                <w:rFonts w:ascii="Calibri" w:hAnsi="Calibri" w:cs="Calibri"/>
                <w:sz w:val="18"/>
              </w:rPr>
              <w:t xml:space="preserve">chool </w:t>
            </w:r>
            <w:r w:rsidR="00A969C5">
              <w:rPr>
                <w:rFonts w:ascii="Calibri" w:hAnsi="Calibri" w:cs="Calibri"/>
                <w:sz w:val="18"/>
              </w:rPr>
              <w:t>s</w:t>
            </w:r>
            <w:r w:rsidRPr="00207663">
              <w:rPr>
                <w:rFonts w:ascii="Calibri" w:hAnsi="Calibri" w:cs="Calibri"/>
                <w:sz w:val="18"/>
              </w:rPr>
              <w:t xml:space="preserve">tudents. </w:t>
            </w:r>
            <w:r>
              <w:rPr>
                <w:rFonts w:ascii="Calibri" w:hAnsi="Calibri" w:cs="Calibri"/>
                <w:sz w:val="18"/>
              </w:rPr>
              <w:t>It</w:t>
            </w:r>
            <w:r w:rsidRPr="00207663">
              <w:rPr>
                <w:rFonts w:ascii="Calibri" w:hAnsi="Calibri" w:cs="Calibri"/>
                <w:sz w:val="18"/>
              </w:rPr>
              <w:t xml:space="preserve"> also support</w:t>
            </w:r>
            <w:r>
              <w:rPr>
                <w:rFonts w:ascii="Calibri" w:hAnsi="Calibri" w:cs="Calibri"/>
                <w:sz w:val="18"/>
              </w:rPr>
              <w:t>ed</w:t>
            </w:r>
            <w:r w:rsidRPr="00207663">
              <w:rPr>
                <w:rFonts w:ascii="Calibri" w:hAnsi="Calibri" w:cs="Calibri"/>
                <w:sz w:val="18"/>
              </w:rPr>
              <w:t xml:space="preserve"> staged implementation of a new network</w:t>
            </w:r>
            <w:r w:rsidR="00A969C5">
              <w:rPr>
                <w:rFonts w:ascii="Calibri" w:hAnsi="Calibri" w:cs="Calibri"/>
                <w:sz w:val="18"/>
              </w:rPr>
              <w:noBreakHyphen/>
            </w:r>
            <w:r w:rsidRPr="00207663">
              <w:rPr>
                <w:rFonts w:ascii="Calibri" w:hAnsi="Calibri" w:cs="Calibri"/>
                <w:sz w:val="18"/>
              </w:rPr>
              <w:t xml:space="preserve">wide approach to TAFE provision planning in response to the Victorian Skills Plan. </w:t>
            </w:r>
          </w:p>
        </w:tc>
      </w:tr>
      <w:tr w:rsidR="00402E2C" w:rsidRPr="00925213" w14:paraId="05739171" w14:textId="77777777" w:rsidTr="00FD14DE">
        <w:trPr>
          <w:cantSplit/>
          <w:trHeight w:val="227"/>
        </w:trPr>
        <w:tc>
          <w:tcPr>
            <w:tcW w:w="2250" w:type="dxa"/>
            <w:tcBorders>
              <w:top w:val="single" w:sz="4" w:space="0" w:color="auto"/>
              <w:bottom w:val="single" w:sz="4" w:space="0" w:color="auto"/>
            </w:tcBorders>
            <w:shd w:val="clear" w:color="auto" w:fill="auto"/>
          </w:tcPr>
          <w:p w14:paraId="4A6A453E" w14:textId="77777777" w:rsidR="00402E2C" w:rsidRPr="00DA725B" w:rsidRDefault="00402E2C" w:rsidP="00823FD6">
            <w:pPr>
              <w:pStyle w:val="ESTablebody"/>
              <w:rPr>
                <w:rFonts w:ascii="Calibri" w:hAnsi="Calibri" w:cs="Calibri"/>
                <w:sz w:val="18"/>
              </w:rPr>
            </w:pPr>
            <w:r w:rsidRPr="00DA725B">
              <w:rPr>
                <w:rFonts w:ascii="Calibri" w:hAnsi="Calibri" w:cs="Calibri"/>
                <w:sz w:val="18"/>
              </w:rPr>
              <w:t>Shared Platform Steering Group</w:t>
            </w:r>
          </w:p>
        </w:tc>
        <w:tc>
          <w:tcPr>
            <w:tcW w:w="3321" w:type="dxa"/>
            <w:tcBorders>
              <w:top w:val="single" w:sz="4" w:space="0" w:color="auto"/>
              <w:bottom w:val="single" w:sz="4" w:space="0" w:color="auto"/>
            </w:tcBorders>
          </w:tcPr>
          <w:p w14:paraId="69EF3031" w14:textId="77777777" w:rsidR="00402E2C" w:rsidRPr="00946824" w:rsidRDefault="00402E2C" w:rsidP="00823FD6">
            <w:pPr>
              <w:pStyle w:val="ESTablebody"/>
              <w:rPr>
                <w:rFonts w:ascii="Calibri" w:hAnsi="Calibri" w:cs="Calibri"/>
                <w:sz w:val="18"/>
              </w:rPr>
            </w:pPr>
            <w:r w:rsidRPr="00C74C25">
              <w:rPr>
                <w:rFonts w:ascii="Calibri" w:hAnsi="Calibri" w:cs="Calibri"/>
                <w:sz w:val="18"/>
              </w:rPr>
              <w:t xml:space="preserve">The </w:t>
            </w:r>
            <w:r>
              <w:rPr>
                <w:rFonts w:ascii="Calibri" w:hAnsi="Calibri" w:cs="Calibri"/>
                <w:sz w:val="18"/>
              </w:rPr>
              <w:t>s</w:t>
            </w:r>
            <w:r w:rsidRPr="00C74C25">
              <w:rPr>
                <w:rFonts w:ascii="Calibri" w:hAnsi="Calibri" w:cs="Calibri"/>
                <w:sz w:val="18"/>
              </w:rPr>
              <w:t xml:space="preserve">teering </w:t>
            </w:r>
            <w:r>
              <w:rPr>
                <w:rFonts w:ascii="Calibri" w:hAnsi="Calibri" w:cs="Calibri"/>
                <w:sz w:val="18"/>
              </w:rPr>
              <w:t>g</w:t>
            </w:r>
            <w:r w:rsidRPr="00C74C25">
              <w:rPr>
                <w:rFonts w:ascii="Calibri" w:hAnsi="Calibri" w:cs="Calibri"/>
                <w:sz w:val="18"/>
              </w:rPr>
              <w:t>roup provide</w:t>
            </w:r>
            <w:r>
              <w:rPr>
                <w:rFonts w:ascii="Calibri" w:hAnsi="Calibri" w:cs="Calibri"/>
                <w:sz w:val="18"/>
              </w:rPr>
              <w:t>s</w:t>
            </w:r>
            <w:r w:rsidRPr="00C74C25">
              <w:rPr>
                <w:rFonts w:ascii="Calibri" w:hAnsi="Calibri" w:cs="Calibri"/>
                <w:sz w:val="18"/>
              </w:rPr>
              <w:t xml:space="preserve"> strategic advice and oversight of key projects relating to shared </w:t>
            </w:r>
            <w:r>
              <w:rPr>
                <w:rFonts w:ascii="Calibri" w:hAnsi="Calibri" w:cs="Calibri"/>
                <w:sz w:val="18"/>
              </w:rPr>
              <w:t xml:space="preserve">TAFE </w:t>
            </w:r>
            <w:r w:rsidRPr="00C74C25">
              <w:rPr>
                <w:rFonts w:ascii="Calibri" w:hAnsi="Calibri" w:cs="Calibri"/>
                <w:sz w:val="18"/>
              </w:rPr>
              <w:t>systems and ICT platform</w:t>
            </w:r>
            <w:r>
              <w:rPr>
                <w:rFonts w:ascii="Calibri" w:hAnsi="Calibri" w:cs="Calibri"/>
                <w:sz w:val="18"/>
              </w:rPr>
              <w:t>s.</w:t>
            </w:r>
          </w:p>
        </w:tc>
        <w:tc>
          <w:tcPr>
            <w:tcW w:w="3268" w:type="dxa"/>
            <w:tcBorders>
              <w:top w:val="single" w:sz="4" w:space="0" w:color="auto"/>
              <w:bottom w:val="single" w:sz="4" w:space="0" w:color="auto"/>
            </w:tcBorders>
          </w:tcPr>
          <w:p w14:paraId="1818AB62" w14:textId="15D0F6EC" w:rsidR="00402E2C" w:rsidRPr="00946824" w:rsidRDefault="00402E2C" w:rsidP="001933E0">
            <w:pPr>
              <w:pStyle w:val="ESTablebody"/>
              <w:rPr>
                <w:rFonts w:ascii="Calibri" w:hAnsi="Calibri" w:cs="Calibri"/>
                <w:sz w:val="18"/>
              </w:rPr>
            </w:pPr>
            <w:r w:rsidRPr="00166743">
              <w:rPr>
                <w:rFonts w:ascii="Calibri" w:hAnsi="Calibri" w:cs="Calibri"/>
                <w:sz w:val="18"/>
              </w:rPr>
              <w:t xml:space="preserve">The </w:t>
            </w:r>
            <w:r>
              <w:rPr>
                <w:rFonts w:ascii="Calibri" w:hAnsi="Calibri" w:cs="Calibri"/>
                <w:sz w:val="18"/>
              </w:rPr>
              <w:t>s</w:t>
            </w:r>
            <w:r w:rsidRPr="00166743">
              <w:rPr>
                <w:rFonts w:ascii="Calibri" w:hAnsi="Calibri" w:cs="Calibri"/>
                <w:sz w:val="18"/>
              </w:rPr>
              <w:t xml:space="preserve">teering </w:t>
            </w:r>
            <w:r>
              <w:rPr>
                <w:rFonts w:ascii="Calibri" w:hAnsi="Calibri" w:cs="Calibri"/>
                <w:sz w:val="18"/>
              </w:rPr>
              <w:t>g</w:t>
            </w:r>
            <w:r w:rsidRPr="00166743">
              <w:rPr>
                <w:rFonts w:ascii="Calibri" w:hAnsi="Calibri" w:cs="Calibri"/>
                <w:sz w:val="18"/>
              </w:rPr>
              <w:t xml:space="preserve">roup </w:t>
            </w:r>
            <w:r>
              <w:rPr>
                <w:rFonts w:ascii="Calibri" w:hAnsi="Calibri" w:cs="Calibri"/>
                <w:sz w:val="18"/>
              </w:rPr>
              <w:t>was established in March 2022 and has met 10 times since. It</w:t>
            </w:r>
            <w:r w:rsidRPr="00166743">
              <w:rPr>
                <w:rFonts w:ascii="Calibri" w:hAnsi="Calibri" w:cs="Calibri"/>
                <w:sz w:val="18"/>
              </w:rPr>
              <w:t xml:space="preserve"> support</w:t>
            </w:r>
            <w:r>
              <w:rPr>
                <w:rFonts w:ascii="Calibri" w:hAnsi="Calibri" w:cs="Calibri"/>
                <w:sz w:val="18"/>
              </w:rPr>
              <w:t>ed</w:t>
            </w:r>
            <w:r w:rsidRPr="00166743">
              <w:rPr>
                <w:rFonts w:ascii="Calibri" w:hAnsi="Calibri" w:cs="Calibri"/>
                <w:sz w:val="18"/>
              </w:rPr>
              <w:t xml:space="preserve"> design, and implementation of priority projects and strategic responses relating to TAFEs’ ICT systems and platforms, including procurement. </w:t>
            </w:r>
            <w:r>
              <w:rPr>
                <w:rFonts w:ascii="Calibri" w:hAnsi="Calibri" w:cs="Calibri"/>
                <w:sz w:val="18"/>
              </w:rPr>
              <w:t xml:space="preserve">It drove </w:t>
            </w:r>
            <w:r w:rsidRPr="00166743">
              <w:rPr>
                <w:rFonts w:ascii="Calibri" w:hAnsi="Calibri" w:cs="Calibri"/>
                <w:sz w:val="18"/>
              </w:rPr>
              <w:t xml:space="preserve">agreement on key ICT and related systems priorities for the TAFE network and </w:t>
            </w:r>
            <w:r w:rsidR="00A969C5">
              <w:rPr>
                <w:rFonts w:ascii="Calibri" w:hAnsi="Calibri" w:cs="Calibri"/>
                <w:sz w:val="18"/>
              </w:rPr>
              <w:t>secured</w:t>
            </w:r>
            <w:r w:rsidRPr="00166743">
              <w:rPr>
                <w:rFonts w:ascii="Calibri" w:hAnsi="Calibri" w:cs="Calibri"/>
                <w:sz w:val="18"/>
              </w:rPr>
              <w:t xml:space="preserve"> investment for the TAFE sector.</w:t>
            </w:r>
          </w:p>
        </w:tc>
      </w:tr>
      <w:tr w:rsidR="00402E2C" w:rsidRPr="00925213" w14:paraId="084403AC" w14:textId="77777777" w:rsidTr="00FD14DE">
        <w:trPr>
          <w:cantSplit/>
          <w:trHeight w:val="227"/>
        </w:trPr>
        <w:tc>
          <w:tcPr>
            <w:tcW w:w="2250" w:type="dxa"/>
            <w:tcBorders>
              <w:top w:val="single" w:sz="4" w:space="0" w:color="auto"/>
              <w:bottom w:val="single" w:sz="4" w:space="0" w:color="auto"/>
            </w:tcBorders>
            <w:shd w:val="clear" w:color="auto" w:fill="auto"/>
          </w:tcPr>
          <w:p w14:paraId="3D9F506D" w14:textId="77777777" w:rsidR="00402E2C" w:rsidRPr="00946824" w:rsidRDefault="00402E2C" w:rsidP="00D426DA">
            <w:pPr>
              <w:pStyle w:val="ESTablebody"/>
              <w:rPr>
                <w:rFonts w:ascii="Calibri" w:hAnsi="Calibri" w:cs="Calibri"/>
                <w:sz w:val="18"/>
              </w:rPr>
            </w:pPr>
            <w:r w:rsidRPr="00D426DA">
              <w:rPr>
                <w:rFonts w:ascii="Calibri" w:hAnsi="Calibri" w:cs="Calibri"/>
                <w:sz w:val="18"/>
              </w:rPr>
              <w:t>Skills and Labo</w:t>
            </w:r>
            <w:r>
              <w:rPr>
                <w:rFonts w:ascii="Calibri" w:hAnsi="Calibri" w:cs="Calibri"/>
                <w:sz w:val="18"/>
              </w:rPr>
              <w:t>u</w:t>
            </w:r>
            <w:r w:rsidRPr="00D426DA">
              <w:rPr>
                <w:rFonts w:ascii="Calibri" w:hAnsi="Calibri" w:cs="Calibri"/>
                <w:sz w:val="18"/>
              </w:rPr>
              <w:t>r Coordination Group</w:t>
            </w:r>
          </w:p>
        </w:tc>
        <w:tc>
          <w:tcPr>
            <w:tcW w:w="3321" w:type="dxa"/>
            <w:tcBorders>
              <w:top w:val="single" w:sz="4" w:space="0" w:color="auto"/>
              <w:bottom w:val="single" w:sz="4" w:space="0" w:color="auto"/>
            </w:tcBorders>
          </w:tcPr>
          <w:p w14:paraId="23DD3E2A" w14:textId="77777777" w:rsidR="00402E2C" w:rsidRPr="00946824" w:rsidRDefault="00402E2C" w:rsidP="00D426DA">
            <w:pPr>
              <w:pStyle w:val="ESTablebody"/>
              <w:rPr>
                <w:rFonts w:ascii="Calibri" w:hAnsi="Calibri" w:cs="Calibri"/>
                <w:sz w:val="18"/>
              </w:rPr>
            </w:pPr>
            <w:r w:rsidRPr="00D426DA">
              <w:rPr>
                <w:rFonts w:ascii="Calibri" w:hAnsi="Calibri" w:cs="Calibri"/>
                <w:sz w:val="18"/>
              </w:rPr>
              <w:t xml:space="preserve">The </w:t>
            </w:r>
            <w:r>
              <w:rPr>
                <w:rFonts w:ascii="Calibri" w:hAnsi="Calibri" w:cs="Calibri"/>
                <w:sz w:val="18"/>
              </w:rPr>
              <w:t>g</w:t>
            </w:r>
            <w:r w:rsidRPr="00D426DA">
              <w:rPr>
                <w:rFonts w:ascii="Calibri" w:hAnsi="Calibri" w:cs="Calibri"/>
                <w:sz w:val="18"/>
              </w:rPr>
              <w:t>roup provide</w:t>
            </w:r>
            <w:r>
              <w:rPr>
                <w:rFonts w:ascii="Calibri" w:hAnsi="Calibri" w:cs="Calibri"/>
                <w:sz w:val="18"/>
              </w:rPr>
              <w:t>s</w:t>
            </w:r>
            <w:r w:rsidRPr="00D426DA">
              <w:rPr>
                <w:rFonts w:ascii="Calibri" w:hAnsi="Calibri" w:cs="Calibri"/>
                <w:sz w:val="18"/>
              </w:rPr>
              <w:t xml:space="preserve"> a more coordinated approach </w:t>
            </w:r>
            <w:r>
              <w:rPr>
                <w:rFonts w:ascii="Calibri" w:hAnsi="Calibri" w:cs="Calibri"/>
                <w:sz w:val="18"/>
              </w:rPr>
              <w:t xml:space="preserve">and solutions </w:t>
            </w:r>
            <w:r w:rsidRPr="00D426DA">
              <w:rPr>
                <w:rFonts w:ascii="Calibri" w:hAnsi="Calibri" w:cs="Calibri"/>
                <w:sz w:val="18"/>
              </w:rPr>
              <w:t>to skills shortage</w:t>
            </w:r>
            <w:r>
              <w:rPr>
                <w:rFonts w:ascii="Calibri" w:hAnsi="Calibri" w:cs="Calibri"/>
                <w:sz w:val="18"/>
              </w:rPr>
              <w:t xml:space="preserve">s </w:t>
            </w:r>
            <w:r w:rsidRPr="00D426DA">
              <w:rPr>
                <w:rFonts w:ascii="Calibri" w:hAnsi="Calibri" w:cs="Calibri"/>
                <w:sz w:val="18"/>
              </w:rPr>
              <w:t xml:space="preserve">within a broader </w:t>
            </w:r>
            <w:proofErr w:type="spellStart"/>
            <w:r w:rsidRPr="00D426DA">
              <w:rPr>
                <w:rFonts w:ascii="Calibri" w:hAnsi="Calibri" w:cs="Calibri"/>
                <w:sz w:val="18"/>
              </w:rPr>
              <w:t>labo</w:t>
            </w:r>
            <w:r>
              <w:rPr>
                <w:rFonts w:ascii="Calibri" w:hAnsi="Calibri" w:cs="Calibri"/>
                <w:sz w:val="18"/>
              </w:rPr>
              <w:t>u</w:t>
            </w:r>
            <w:r w:rsidRPr="00D426DA">
              <w:rPr>
                <w:rFonts w:ascii="Calibri" w:hAnsi="Calibri" w:cs="Calibri"/>
                <w:sz w:val="18"/>
              </w:rPr>
              <w:t>r</w:t>
            </w:r>
            <w:proofErr w:type="spellEnd"/>
            <w:r w:rsidRPr="00D426DA">
              <w:rPr>
                <w:rFonts w:ascii="Calibri" w:hAnsi="Calibri" w:cs="Calibri"/>
                <w:sz w:val="18"/>
              </w:rPr>
              <w:t xml:space="preserve"> force context. </w:t>
            </w:r>
          </w:p>
        </w:tc>
        <w:tc>
          <w:tcPr>
            <w:tcW w:w="3268" w:type="dxa"/>
            <w:tcBorders>
              <w:top w:val="single" w:sz="4" w:space="0" w:color="auto"/>
              <w:bottom w:val="single" w:sz="4" w:space="0" w:color="auto"/>
            </w:tcBorders>
          </w:tcPr>
          <w:p w14:paraId="79A69F8E" w14:textId="0C9D79DA" w:rsidR="00402E2C" w:rsidRPr="00946824" w:rsidRDefault="00402E2C" w:rsidP="00D426DA">
            <w:pPr>
              <w:pStyle w:val="ESTablebody"/>
              <w:rPr>
                <w:rFonts w:ascii="Calibri" w:hAnsi="Calibri" w:cs="Calibri"/>
                <w:sz w:val="18"/>
              </w:rPr>
            </w:pPr>
            <w:r>
              <w:rPr>
                <w:rFonts w:ascii="Calibri" w:hAnsi="Calibri" w:cs="Calibri"/>
                <w:sz w:val="18"/>
              </w:rPr>
              <w:t>The group was established</w:t>
            </w:r>
            <w:r w:rsidRPr="00D426DA">
              <w:rPr>
                <w:rFonts w:ascii="Calibri" w:hAnsi="Calibri" w:cs="Calibri"/>
                <w:sz w:val="18"/>
              </w:rPr>
              <w:t xml:space="preserve"> in February </w:t>
            </w:r>
            <w:r>
              <w:rPr>
                <w:rFonts w:ascii="Calibri" w:hAnsi="Calibri" w:cs="Calibri"/>
                <w:sz w:val="18"/>
              </w:rPr>
              <w:t>2022 and</w:t>
            </w:r>
            <w:r w:rsidRPr="00D426DA">
              <w:rPr>
                <w:rFonts w:ascii="Calibri" w:hAnsi="Calibri" w:cs="Calibri"/>
                <w:sz w:val="18"/>
              </w:rPr>
              <w:t xml:space="preserve"> has met monthly</w:t>
            </w:r>
            <w:r>
              <w:rPr>
                <w:rFonts w:ascii="Calibri" w:hAnsi="Calibri" w:cs="Calibri"/>
                <w:sz w:val="18"/>
              </w:rPr>
              <w:t xml:space="preserve"> since. It </w:t>
            </w:r>
            <w:r w:rsidRPr="00D426DA">
              <w:rPr>
                <w:rFonts w:ascii="Calibri" w:hAnsi="Calibri" w:cs="Calibri"/>
                <w:sz w:val="18"/>
              </w:rPr>
              <w:t>consider</w:t>
            </w:r>
            <w:r>
              <w:rPr>
                <w:rFonts w:ascii="Calibri" w:hAnsi="Calibri" w:cs="Calibri"/>
                <w:sz w:val="18"/>
              </w:rPr>
              <w:t>ed</w:t>
            </w:r>
            <w:r w:rsidRPr="00D426DA">
              <w:rPr>
                <w:rFonts w:ascii="Calibri" w:hAnsi="Calibri" w:cs="Calibri"/>
                <w:sz w:val="18"/>
              </w:rPr>
              <w:t xml:space="preserve"> a range of matters including workforce shortages in Victoria, micro-credentials, shorter apprenticeships, skilled </w:t>
            </w:r>
            <w:proofErr w:type="gramStart"/>
            <w:r w:rsidRPr="00D426DA">
              <w:rPr>
                <w:rFonts w:ascii="Calibri" w:hAnsi="Calibri" w:cs="Calibri"/>
                <w:sz w:val="18"/>
              </w:rPr>
              <w:t>migration</w:t>
            </w:r>
            <w:proofErr w:type="gramEnd"/>
            <w:r w:rsidRPr="00D426DA">
              <w:rPr>
                <w:rFonts w:ascii="Calibri" w:hAnsi="Calibri" w:cs="Calibri"/>
                <w:sz w:val="18"/>
              </w:rPr>
              <w:t xml:space="preserve"> and the Victorian Skills Plan.</w:t>
            </w:r>
          </w:p>
        </w:tc>
      </w:tr>
      <w:tr w:rsidR="00402E2C" w:rsidRPr="00925213" w14:paraId="78C8778E" w14:textId="77777777" w:rsidTr="00FD14DE">
        <w:trPr>
          <w:cantSplit/>
          <w:trHeight w:val="227"/>
        </w:trPr>
        <w:tc>
          <w:tcPr>
            <w:tcW w:w="2250" w:type="dxa"/>
            <w:tcBorders>
              <w:top w:val="single" w:sz="4" w:space="0" w:color="auto"/>
              <w:bottom w:val="single" w:sz="4" w:space="0" w:color="auto"/>
            </w:tcBorders>
            <w:shd w:val="clear" w:color="auto" w:fill="auto"/>
          </w:tcPr>
          <w:p w14:paraId="344DA557" w14:textId="77777777" w:rsidR="00402E2C" w:rsidRPr="00946824" w:rsidRDefault="00402E2C" w:rsidP="003C4554">
            <w:pPr>
              <w:pStyle w:val="ESTablebody"/>
              <w:rPr>
                <w:rFonts w:ascii="Calibri" w:hAnsi="Calibri" w:cs="Calibri"/>
                <w:sz w:val="18"/>
              </w:rPr>
            </w:pPr>
            <w:r w:rsidRPr="003C4554">
              <w:rPr>
                <w:rFonts w:ascii="Calibri" w:hAnsi="Calibri" w:cs="Calibri"/>
                <w:sz w:val="18"/>
              </w:rPr>
              <w:t>Skills and TAFE Reform I</w:t>
            </w:r>
            <w:r>
              <w:rPr>
                <w:rFonts w:ascii="Calibri" w:hAnsi="Calibri" w:cs="Calibri"/>
                <w:sz w:val="18"/>
              </w:rPr>
              <w:t xml:space="preserve">nterdepartmental </w:t>
            </w:r>
            <w:r w:rsidRPr="003C4554">
              <w:rPr>
                <w:rFonts w:ascii="Calibri" w:hAnsi="Calibri" w:cs="Calibri"/>
                <w:sz w:val="18"/>
              </w:rPr>
              <w:t>C</w:t>
            </w:r>
            <w:r>
              <w:rPr>
                <w:rFonts w:ascii="Calibri" w:hAnsi="Calibri" w:cs="Calibri"/>
                <w:sz w:val="18"/>
              </w:rPr>
              <w:t>ommittee</w:t>
            </w:r>
          </w:p>
        </w:tc>
        <w:tc>
          <w:tcPr>
            <w:tcW w:w="3321" w:type="dxa"/>
            <w:tcBorders>
              <w:top w:val="single" w:sz="4" w:space="0" w:color="auto"/>
              <w:bottom w:val="single" w:sz="4" w:space="0" w:color="auto"/>
            </w:tcBorders>
          </w:tcPr>
          <w:p w14:paraId="21CCDBDD" w14:textId="77777777" w:rsidR="00402E2C" w:rsidRPr="003C4554" w:rsidRDefault="00402E2C" w:rsidP="003C4554">
            <w:pPr>
              <w:pStyle w:val="ESTablebody"/>
              <w:rPr>
                <w:rFonts w:ascii="Calibri" w:hAnsi="Calibri" w:cs="Calibri"/>
                <w:sz w:val="18"/>
              </w:rPr>
            </w:pPr>
            <w:r w:rsidRPr="00400DE6">
              <w:rPr>
                <w:rFonts w:ascii="Calibri" w:hAnsi="Calibri" w:cs="Calibri"/>
                <w:sz w:val="18"/>
              </w:rPr>
              <w:t xml:space="preserve">The </w:t>
            </w:r>
            <w:r>
              <w:rPr>
                <w:rFonts w:ascii="Calibri" w:hAnsi="Calibri" w:cs="Calibri"/>
                <w:sz w:val="18"/>
              </w:rPr>
              <w:t>i</w:t>
            </w:r>
            <w:r w:rsidRPr="00400DE6">
              <w:rPr>
                <w:rFonts w:ascii="Calibri" w:hAnsi="Calibri" w:cs="Calibri"/>
                <w:sz w:val="18"/>
              </w:rPr>
              <w:t xml:space="preserve">nterdepartmental </w:t>
            </w:r>
            <w:r>
              <w:rPr>
                <w:rFonts w:ascii="Calibri" w:hAnsi="Calibri" w:cs="Calibri"/>
                <w:sz w:val="18"/>
              </w:rPr>
              <w:t>c</w:t>
            </w:r>
            <w:r w:rsidRPr="00400DE6">
              <w:rPr>
                <w:rFonts w:ascii="Calibri" w:hAnsi="Calibri" w:cs="Calibri"/>
                <w:sz w:val="18"/>
              </w:rPr>
              <w:t>ommittee supports the work of the Crisis Council of Cabinet Skills and TAFE Reform Working Group by developing advice on TAFE reforms, the Skills for Victoria’s Growing Economy review outcomes, and on the VET national architecture reforms.</w:t>
            </w:r>
          </w:p>
        </w:tc>
        <w:tc>
          <w:tcPr>
            <w:tcW w:w="3268" w:type="dxa"/>
            <w:tcBorders>
              <w:top w:val="single" w:sz="4" w:space="0" w:color="auto"/>
              <w:bottom w:val="single" w:sz="4" w:space="0" w:color="auto"/>
            </w:tcBorders>
          </w:tcPr>
          <w:p w14:paraId="4B1B7E48" w14:textId="77777777" w:rsidR="00402E2C" w:rsidRPr="00946824" w:rsidRDefault="00402E2C" w:rsidP="003C4554">
            <w:pPr>
              <w:pStyle w:val="ESTablebody"/>
              <w:rPr>
                <w:rFonts w:ascii="Calibri" w:hAnsi="Calibri" w:cs="Calibri"/>
                <w:sz w:val="18"/>
              </w:rPr>
            </w:pPr>
            <w:r>
              <w:rPr>
                <w:rFonts w:ascii="Calibri" w:hAnsi="Calibri" w:cs="Calibri"/>
                <w:sz w:val="18"/>
              </w:rPr>
              <w:t>The i</w:t>
            </w:r>
            <w:r w:rsidRPr="00400DE6">
              <w:rPr>
                <w:rFonts w:ascii="Calibri" w:hAnsi="Calibri" w:cs="Calibri"/>
                <w:sz w:val="18"/>
              </w:rPr>
              <w:t xml:space="preserve">nterdepartmental </w:t>
            </w:r>
            <w:r>
              <w:rPr>
                <w:rFonts w:ascii="Calibri" w:hAnsi="Calibri" w:cs="Calibri"/>
                <w:sz w:val="18"/>
              </w:rPr>
              <w:t>c</w:t>
            </w:r>
            <w:r w:rsidRPr="00400DE6">
              <w:rPr>
                <w:rFonts w:ascii="Calibri" w:hAnsi="Calibri" w:cs="Calibri"/>
                <w:sz w:val="18"/>
              </w:rPr>
              <w:t>ommittee</w:t>
            </w:r>
            <w:r>
              <w:rPr>
                <w:rFonts w:ascii="Calibri" w:hAnsi="Calibri" w:cs="Calibri"/>
                <w:sz w:val="18"/>
              </w:rPr>
              <w:t xml:space="preserve"> provided advice on optimal TAFE system design, reforms resulting from the Skills for Victoria’s Growing Economy review recommendations and further developments in the VET national architecture. </w:t>
            </w:r>
          </w:p>
        </w:tc>
      </w:tr>
      <w:tr w:rsidR="00402E2C" w:rsidRPr="00925213" w14:paraId="23F72090"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3D9F75E7" w14:textId="77777777" w:rsidR="00402E2C" w:rsidRPr="00925213" w:rsidRDefault="00402E2C" w:rsidP="0079001C">
            <w:pPr>
              <w:pStyle w:val="ESTablebody"/>
              <w:rPr>
                <w:rFonts w:ascii="Calibri" w:hAnsi="Calibri" w:cs="Calibri"/>
                <w:sz w:val="18"/>
              </w:rPr>
            </w:pPr>
            <w:r w:rsidRPr="00B179F7">
              <w:rPr>
                <w:rFonts w:ascii="Calibri" w:hAnsi="Calibri" w:cs="Calibri"/>
                <w:sz w:val="18"/>
              </w:rPr>
              <w:t>Student Resource Package Consultative Committee</w:t>
            </w:r>
          </w:p>
        </w:tc>
        <w:tc>
          <w:tcPr>
            <w:tcW w:w="3321" w:type="dxa"/>
            <w:tcBorders>
              <w:top w:val="single" w:sz="4" w:space="0" w:color="53565A" w:themeColor="accent5"/>
              <w:bottom w:val="single" w:sz="4" w:space="0" w:color="53565A" w:themeColor="accent5"/>
            </w:tcBorders>
          </w:tcPr>
          <w:p w14:paraId="297AE760" w14:textId="2AE478BF" w:rsidR="00402E2C" w:rsidRPr="00925213" w:rsidRDefault="00402E2C" w:rsidP="0079001C">
            <w:pPr>
              <w:pStyle w:val="ESTablebody"/>
              <w:rPr>
                <w:rFonts w:ascii="Calibri" w:hAnsi="Calibri" w:cs="Calibri"/>
                <w:sz w:val="18"/>
              </w:rPr>
            </w:pPr>
            <w:r w:rsidRPr="00B179F7">
              <w:rPr>
                <w:rFonts w:ascii="Calibri" w:hAnsi="Calibri" w:cs="Calibri"/>
                <w:sz w:val="18"/>
              </w:rPr>
              <w:t xml:space="preserve">The </w:t>
            </w:r>
            <w:r>
              <w:rPr>
                <w:rFonts w:ascii="Calibri" w:hAnsi="Calibri" w:cs="Calibri"/>
                <w:sz w:val="18"/>
              </w:rPr>
              <w:t>c</w:t>
            </w:r>
            <w:r w:rsidRPr="00B179F7">
              <w:rPr>
                <w:rFonts w:ascii="Calibri" w:hAnsi="Calibri" w:cs="Calibri"/>
                <w:sz w:val="18"/>
              </w:rPr>
              <w:t xml:space="preserve">ommittee consists of key stakeholder </w:t>
            </w:r>
            <w:proofErr w:type="spellStart"/>
            <w:r w:rsidRPr="00B179F7">
              <w:rPr>
                <w:rFonts w:ascii="Calibri" w:hAnsi="Calibri" w:cs="Calibri"/>
                <w:sz w:val="18"/>
              </w:rPr>
              <w:t>organisations</w:t>
            </w:r>
            <w:proofErr w:type="spellEnd"/>
            <w:r w:rsidRPr="00B179F7">
              <w:rPr>
                <w:rFonts w:ascii="Calibri" w:hAnsi="Calibri" w:cs="Calibri"/>
                <w:sz w:val="18"/>
              </w:rPr>
              <w:t xml:space="preserve"> and provides a framework for consultations when considering policy and operational impacts of changes in school resourcing. The </w:t>
            </w:r>
            <w:r w:rsidR="00A969C5">
              <w:rPr>
                <w:rFonts w:ascii="Calibri" w:hAnsi="Calibri" w:cs="Calibri"/>
                <w:sz w:val="18"/>
              </w:rPr>
              <w:t>c</w:t>
            </w:r>
            <w:r w:rsidRPr="00B179F7">
              <w:rPr>
                <w:rFonts w:ascii="Calibri" w:hAnsi="Calibri" w:cs="Calibri"/>
                <w:sz w:val="18"/>
              </w:rPr>
              <w:t xml:space="preserve">ommittee ensures policy congruence with the research, </w:t>
            </w:r>
            <w:proofErr w:type="gramStart"/>
            <w:r w:rsidRPr="00B179F7">
              <w:rPr>
                <w:rFonts w:ascii="Calibri" w:hAnsi="Calibri" w:cs="Calibri"/>
                <w:sz w:val="18"/>
              </w:rPr>
              <w:t>development</w:t>
            </w:r>
            <w:proofErr w:type="gramEnd"/>
            <w:r w:rsidRPr="00B179F7">
              <w:rPr>
                <w:rFonts w:ascii="Calibri" w:hAnsi="Calibri" w:cs="Calibri"/>
                <w:sz w:val="18"/>
              </w:rPr>
              <w:t xml:space="preserve"> and maintenance of the current school funding model.</w:t>
            </w:r>
          </w:p>
        </w:tc>
        <w:tc>
          <w:tcPr>
            <w:tcW w:w="3268" w:type="dxa"/>
            <w:tcBorders>
              <w:top w:val="single" w:sz="4" w:space="0" w:color="53565A" w:themeColor="accent5"/>
              <w:bottom w:val="single" w:sz="4" w:space="0" w:color="53565A" w:themeColor="accent5"/>
            </w:tcBorders>
          </w:tcPr>
          <w:p w14:paraId="6B0B1A26" w14:textId="19F91473" w:rsidR="00402E2C" w:rsidRPr="00925213" w:rsidRDefault="00402E2C" w:rsidP="0079001C">
            <w:pPr>
              <w:pStyle w:val="ESTablebody"/>
              <w:rPr>
                <w:rFonts w:ascii="Calibri" w:hAnsi="Calibri" w:cs="Calibri"/>
                <w:sz w:val="18"/>
              </w:rPr>
            </w:pPr>
            <w:r w:rsidRPr="00B179F7">
              <w:rPr>
                <w:rFonts w:ascii="Calibri" w:hAnsi="Calibri" w:cs="Calibri"/>
                <w:sz w:val="18"/>
              </w:rPr>
              <w:t xml:space="preserve">The </w:t>
            </w:r>
            <w:r>
              <w:rPr>
                <w:rFonts w:ascii="Calibri" w:hAnsi="Calibri" w:cs="Calibri"/>
                <w:sz w:val="18"/>
              </w:rPr>
              <w:t>c</w:t>
            </w:r>
            <w:r w:rsidRPr="00B179F7">
              <w:rPr>
                <w:rFonts w:ascii="Calibri" w:hAnsi="Calibri" w:cs="Calibri"/>
                <w:sz w:val="18"/>
              </w:rPr>
              <w:t>ommittee me</w:t>
            </w:r>
            <w:r w:rsidRPr="00F74279">
              <w:rPr>
                <w:rFonts w:ascii="Calibri" w:hAnsi="Calibri" w:cs="Calibri"/>
                <w:sz w:val="18"/>
              </w:rPr>
              <w:t xml:space="preserve">t 4 times during 2021–22. It discussed and advised on the operational aspects of funding initiatives announced in the State Budget such as the Tutor Learning Initiative, Mental Health in Primary Schools Pilot, Disability Inclusion </w:t>
            </w:r>
            <w:proofErr w:type="gramStart"/>
            <w:r w:rsidRPr="00F74279">
              <w:rPr>
                <w:rFonts w:ascii="Calibri" w:hAnsi="Calibri" w:cs="Calibri"/>
                <w:sz w:val="18"/>
              </w:rPr>
              <w:t>Reform</w:t>
            </w:r>
            <w:proofErr w:type="gramEnd"/>
            <w:r w:rsidRPr="00F74279">
              <w:rPr>
                <w:rFonts w:ascii="Calibri" w:hAnsi="Calibri" w:cs="Calibri"/>
                <w:sz w:val="18"/>
              </w:rPr>
              <w:t xml:space="preserve"> and the Innovative Initial Teacher Education Program</w:t>
            </w:r>
            <w:r w:rsidR="005F6A7E">
              <w:rPr>
                <w:rFonts w:ascii="Calibri" w:hAnsi="Calibri" w:cs="Calibri"/>
                <w:sz w:val="18"/>
              </w:rPr>
              <w:t>.</w:t>
            </w:r>
          </w:p>
        </w:tc>
      </w:tr>
      <w:tr w:rsidR="00402E2C" w:rsidRPr="00925213" w14:paraId="27369488" w14:textId="77777777" w:rsidTr="00FD14DE">
        <w:trPr>
          <w:cantSplit/>
          <w:trHeight w:val="227"/>
        </w:trPr>
        <w:tc>
          <w:tcPr>
            <w:tcW w:w="2250" w:type="dxa"/>
            <w:tcBorders>
              <w:top w:val="single" w:sz="4" w:space="0" w:color="auto"/>
              <w:bottom w:val="single" w:sz="4" w:space="0" w:color="auto"/>
            </w:tcBorders>
            <w:shd w:val="clear" w:color="auto" w:fill="auto"/>
          </w:tcPr>
          <w:p w14:paraId="1F4F2559" w14:textId="661F5A73" w:rsidR="00402E2C" w:rsidRPr="00925213" w:rsidRDefault="00402E2C" w:rsidP="0079001C">
            <w:pPr>
              <w:pStyle w:val="ESTablebody"/>
              <w:rPr>
                <w:rFonts w:ascii="Calibri" w:hAnsi="Calibri" w:cs="Calibri"/>
                <w:sz w:val="18"/>
              </w:rPr>
            </w:pPr>
            <w:r>
              <w:rPr>
                <w:rFonts w:ascii="Calibri" w:hAnsi="Calibri" w:cs="Calibri"/>
                <w:sz w:val="18"/>
              </w:rPr>
              <w:t>Student</w:t>
            </w:r>
            <w:r w:rsidRPr="0035209D">
              <w:rPr>
                <w:rFonts w:ascii="Calibri" w:hAnsi="Calibri" w:cs="Calibri"/>
                <w:sz w:val="18"/>
              </w:rPr>
              <w:t xml:space="preserve"> Resource Package</w:t>
            </w:r>
            <w:r w:rsidRPr="008C1D24">
              <w:rPr>
                <w:rFonts w:ascii="Calibri" w:hAnsi="Calibri" w:cs="Calibri"/>
                <w:sz w:val="18"/>
              </w:rPr>
              <w:t xml:space="preserve"> Re</w:t>
            </w:r>
            <w:r w:rsidRPr="0035209D">
              <w:rPr>
                <w:rFonts w:ascii="Calibri" w:hAnsi="Calibri" w:cs="Calibri"/>
                <w:sz w:val="18"/>
              </w:rPr>
              <w:t>view and Governance Working Group</w:t>
            </w:r>
            <w:r>
              <w:rPr>
                <w:rFonts w:ascii="Calibri" w:hAnsi="Calibri" w:cs="Calibri"/>
                <w:sz w:val="18"/>
              </w:rPr>
              <w:t xml:space="preserve"> </w:t>
            </w:r>
          </w:p>
        </w:tc>
        <w:tc>
          <w:tcPr>
            <w:tcW w:w="3321" w:type="dxa"/>
            <w:tcBorders>
              <w:top w:val="single" w:sz="4" w:space="0" w:color="auto"/>
              <w:bottom w:val="single" w:sz="4" w:space="0" w:color="auto"/>
            </w:tcBorders>
          </w:tcPr>
          <w:p w14:paraId="3A588034" w14:textId="77777777" w:rsidR="00402E2C" w:rsidRPr="00925213" w:rsidRDefault="00402E2C" w:rsidP="0079001C">
            <w:pPr>
              <w:pStyle w:val="ESTablebody"/>
              <w:rPr>
                <w:rFonts w:ascii="Calibri" w:hAnsi="Calibri" w:cs="Calibri"/>
                <w:sz w:val="18"/>
              </w:rPr>
            </w:pPr>
            <w:r>
              <w:rPr>
                <w:rFonts w:ascii="Calibri" w:hAnsi="Calibri" w:cs="Calibri"/>
                <w:sz w:val="18"/>
              </w:rPr>
              <w:t>The working group i</w:t>
            </w:r>
            <w:r w:rsidRPr="0035209D">
              <w:rPr>
                <w:rFonts w:ascii="Calibri" w:hAnsi="Calibri" w:cs="Calibri"/>
                <w:sz w:val="18"/>
              </w:rPr>
              <w:t>s a time-bound</w:t>
            </w:r>
            <w:r>
              <w:rPr>
                <w:rFonts w:ascii="Calibri" w:hAnsi="Calibri" w:cs="Calibri"/>
                <w:sz w:val="18"/>
              </w:rPr>
              <w:t xml:space="preserve"> group </w:t>
            </w:r>
            <w:r w:rsidRPr="0035209D">
              <w:rPr>
                <w:rFonts w:ascii="Calibri" w:hAnsi="Calibri" w:cs="Calibri"/>
                <w:sz w:val="18"/>
              </w:rPr>
              <w:t xml:space="preserve">responsible for informing </w:t>
            </w:r>
            <w:r>
              <w:rPr>
                <w:rFonts w:ascii="Calibri" w:hAnsi="Calibri" w:cs="Calibri"/>
                <w:sz w:val="18"/>
              </w:rPr>
              <w:t>opportunities to enhance the Student Resource Package</w:t>
            </w:r>
            <w:r w:rsidRPr="0035209D">
              <w:rPr>
                <w:rFonts w:ascii="Calibri" w:hAnsi="Calibri" w:cs="Calibri"/>
                <w:sz w:val="18"/>
              </w:rPr>
              <w:t>.</w:t>
            </w:r>
            <w:r>
              <w:rPr>
                <w:rFonts w:ascii="Calibri" w:hAnsi="Calibri" w:cs="Calibri"/>
                <w:sz w:val="18"/>
              </w:rPr>
              <w:t xml:space="preserve"> </w:t>
            </w:r>
          </w:p>
        </w:tc>
        <w:tc>
          <w:tcPr>
            <w:tcW w:w="3268" w:type="dxa"/>
            <w:tcBorders>
              <w:top w:val="single" w:sz="4" w:space="0" w:color="auto"/>
              <w:bottom w:val="single" w:sz="4" w:space="0" w:color="auto"/>
            </w:tcBorders>
          </w:tcPr>
          <w:p w14:paraId="703B1F8F" w14:textId="77777777" w:rsidR="00402E2C" w:rsidRPr="00925213" w:rsidRDefault="00402E2C" w:rsidP="0079001C">
            <w:pPr>
              <w:pStyle w:val="ESTablebody"/>
              <w:rPr>
                <w:rFonts w:ascii="Calibri" w:hAnsi="Calibri" w:cs="Calibri"/>
                <w:sz w:val="18"/>
              </w:rPr>
            </w:pPr>
            <w:r>
              <w:rPr>
                <w:rFonts w:ascii="Calibri" w:hAnsi="Calibri" w:cs="Calibri"/>
                <w:sz w:val="18"/>
              </w:rPr>
              <w:t>Advice from the working group informed continuous improvement of the Student Resource Package in 2021–22.</w:t>
            </w:r>
          </w:p>
        </w:tc>
      </w:tr>
      <w:tr w:rsidR="00402E2C" w:rsidRPr="00925213" w14:paraId="24EC91C9" w14:textId="77777777" w:rsidTr="00166743">
        <w:trPr>
          <w:cantSplit/>
          <w:trHeight w:val="227"/>
        </w:trPr>
        <w:tc>
          <w:tcPr>
            <w:tcW w:w="2250" w:type="dxa"/>
            <w:tcBorders>
              <w:top w:val="single" w:sz="4" w:space="0" w:color="auto"/>
              <w:bottom w:val="single" w:sz="4" w:space="0" w:color="auto"/>
            </w:tcBorders>
            <w:shd w:val="clear" w:color="auto" w:fill="auto"/>
          </w:tcPr>
          <w:p w14:paraId="73ECE850" w14:textId="77777777" w:rsidR="00402E2C" w:rsidRPr="00166743" w:rsidRDefault="00402E2C" w:rsidP="00823FD6">
            <w:pPr>
              <w:pStyle w:val="ESTablebody"/>
              <w:rPr>
                <w:rFonts w:ascii="Calibri" w:hAnsi="Calibri" w:cs="Calibri"/>
                <w:sz w:val="18"/>
              </w:rPr>
            </w:pPr>
            <w:r w:rsidRPr="00166743">
              <w:rPr>
                <w:rFonts w:ascii="Calibri" w:hAnsi="Calibri" w:cs="Calibri"/>
                <w:sz w:val="18"/>
              </w:rPr>
              <w:t>TAFE Network Leaders Forum</w:t>
            </w:r>
          </w:p>
        </w:tc>
        <w:tc>
          <w:tcPr>
            <w:tcW w:w="3321" w:type="dxa"/>
            <w:tcBorders>
              <w:top w:val="single" w:sz="4" w:space="0" w:color="auto"/>
              <w:bottom w:val="single" w:sz="4" w:space="0" w:color="auto"/>
            </w:tcBorders>
            <w:shd w:val="clear" w:color="auto" w:fill="auto"/>
          </w:tcPr>
          <w:p w14:paraId="62994D21" w14:textId="77777777" w:rsidR="00402E2C" w:rsidRPr="00166743" w:rsidRDefault="00402E2C" w:rsidP="00823FD6">
            <w:pPr>
              <w:pStyle w:val="ESTablebody"/>
              <w:rPr>
                <w:rFonts w:ascii="Calibri" w:hAnsi="Calibri" w:cs="Calibri"/>
                <w:sz w:val="18"/>
              </w:rPr>
            </w:pPr>
            <w:r w:rsidRPr="00166743">
              <w:rPr>
                <w:rFonts w:ascii="Calibri" w:hAnsi="Calibri" w:cs="Calibri"/>
                <w:sz w:val="18"/>
              </w:rPr>
              <w:t xml:space="preserve">The </w:t>
            </w:r>
            <w:r>
              <w:rPr>
                <w:rFonts w:ascii="Calibri" w:hAnsi="Calibri" w:cs="Calibri"/>
                <w:sz w:val="18"/>
              </w:rPr>
              <w:t>f</w:t>
            </w:r>
            <w:r w:rsidRPr="00166743">
              <w:rPr>
                <w:rFonts w:ascii="Calibri" w:hAnsi="Calibri" w:cs="Calibri"/>
                <w:sz w:val="18"/>
              </w:rPr>
              <w:t>orum is a monthly meeting of TAFE CEOs and VET leaders of dual</w:t>
            </w:r>
            <w:r w:rsidRPr="00166743">
              <w:rPr>
                <w:rFonts w:ascii="Calibri" w:hAnsi="Calibri" w:cs="Calibri"/>
                <w:sz w:val="18"/>
              </w:rPr>
              <w:noBreakHyphen/>
              <w:t>sector universities. It explores both strategic and operational issues facing the TAFE network.</w:t>
            </w:r>
          </w:p>
        </w:tc>
        <w:tc>
          <w:tcPr>
            <w:tcW w:w="3268" w:type="dxa"/>
            <w:tcBorders>
              <w:top w:val="single" w:sz="4" w:space="0" w:color="auto"/>
              <w:bottom w:val="single" w:sz="4" w:space="0" w:color="auto"/>
            </w:tcBorders>
            <w:shd w:val="clear" w:color="auto" w:fill="auto"/>
          </w:tcPr>
          <w:p w14:paraId="2E30E5CC" w14:textId="77777777" w:rsidR="00402E2C" w:rsidRPr="00166743" w:rsidRDefault="00402E2C" w:rsidP="00823FD6">
            <w:pPr>
              <w:pStyle w:val="ESTablebody"/>
              <w:rPr>
                <w:rFonts w:ascii="Calibri" w:hAnsi="Calibri" w:cs="Calibri"/>
                <w:sz w:val="18"/>
              </w:rPr>
            </w:pPr>
            <w:r w:rsidRPr="00166743">
              <w:rPr>
                <w:rFonts w:ascii="Calibri" w:hAnsi="Calibri" w:cs="Calibri"/>
                <w:sz w:val="18"/>
              </w:rPr>
              <w:t xml:space="preserve">The </w:t>
            </w:r>
            <w:r>
              <w:rPr>
                <w:rFonts w:ascii="Calibri" w:hAnsi="Calibri" w:cs="Calibri"/>
                <w:sz w:val="18"/>
              </w:rPr>
              <w:t>f</w:t>
            </w:r>
            <w:r w:rsidRPr="00166743">
              <w:rPr>
                <w:rFonts w:ascii="Calibri" w:hAnsi="Calibri" w:cs="Calibri"/>
                <w:sz w:val="18"/>
              </w:rPr>
              <w:t xml:space="preserve">orum met monthly during 2021–22. Leadership from </w:t>
            </w:r>
            <w:r w:rsidRPr="00C74C25">
              <w:rPr>
                <w:rFonts w:ascii="Calibri" w:hAnsi="Calibri" w:cs="Calibri"/>
                <w:sz w:val="18"/>
              </w:rPr>
              <w:t>TAFE</w:t>
            </w:r>
            <w:r>
              <w:rPr>
                <w:rFonts w:ascii="Calibri" w:hAnsi="Calibri" w:cs="Calibri"/>
                <w:sz w:val="18"/>
              </w:rPr>
              <w:t>s,</w:t>
            </w:r>
            <w:r w:rsidRPr="00C74C25">
              <w:rPr>
                <w:rFonts w:ascii="Calibri" w:hAnsi="Calibri" w:cs="Calibri"/>
                <w:sz w:val="18"/>
              </w:rPr>
              <w:t xml:space="preserve"> and</w:t>
            </w:r>
            <w:r w:rsidRPr="00166743">
              <w:rPr>
                <w:rFonts w:ascii="Calibri" w:hAnsi="Calibri" w:cs="Calibri"/>
                <w:sz w:val="18"/>
              </w:rPr>
              <w:t xml:space="preserve"> dual sector universities helped the network to provide greater opportunities to Victorian VET learners.</w:t>
            </w:r>
          </w:p>
        </w:tc>
      </w:tr>
      <w:tr w:rsidR="00402E2C" w:rsidRPr="00925213" w14:paraId="0C50C4EA" w14:textId="77777777" w:rsidTr="00FD14DE">
        <w:trPr>
          <w:cantSplit/>
          <w:trHeight w:val="227"/>
        </w:trPr>
        <w:tc>
          <w:tcPr>
            <w:tcW w:w="2250" w:type="dxa"/>
            <w:tcBorders>
              <w:top w:val="single" w:sz="4" w:space="0" w:color="auto"/>
              <w:bottom w:val="single" w:sz="4" w:space="0" w:color="auto"/>
            </w:tcBorders>
            <w:shd w:val="clear" w:color="auto" w:fill="auto"/>
          </w:tcPr>
          <w:p w14:paraId="22A19B39" w14:textId="77777777" w:rsidR="00402E2C" w:rsidRPr="003C4554" w:rsidRDefault="00402E2C" w:rsidP="003C4554">
            <w:pPr>
              <w:pStyle w:val="ESTablebody"/>
              <w:rPr>
                <w:rFonts w:ascii="Calibri" w:hAnsi="Calibri" w:cs="Calibri"/>
                <w:sz w:val="18"/>
              </w:rPr>
            </w:pPr>
            <w:r w:rsidRPr="003C4554">
              <w:rPr>
                <w:rFonts w:ascii="Calibri" w:hAnsi="Calibri" w:cs="Calibri"/>
                <w:sz w:val="18"/>
              </w:rPr>
              <w:t>VET Provision Model Steering Committee</w:t>
            </w:r>
          </w:p>
          <w:p w14:paraId="2CCC8CF6" w14:textId="77777777" w:rsidR="00402E2C" w:rsidRPr="00946824" w:rsidRDefault="00402E2C" w:rsidP="003C4554">
            <w:pPr>
              <w:pStyle w:val="ESTablebody"/>
              <w:rPr>
                <w:rFonts w:ascii="Calibri" w:hAnsi="Calibri" w:cs="Calibri"/>
                <w:sz w:val="18"/>
              </w:rPr>
            </w:pPr>
          </w:p>
        </w:tc>
        <w:tc>
          <w:tcPr>
            <w:tcW w:w="3321" w:type="dxa"/>
            <w:tcBorders>
              <w:top w:val="single" w:sz="4" w:space="0" w:color="auto"/>
              <w:bottom w:val="single" w:sz="4" w:space="0" w:color="auto"/>
            </w:tcBorders>
          </w:tcPr>
          <w:p w14:paraId="3E487622" w14:textId="77777777" w:rsidR="00402E2C" w:rsidRPr="00946824" w:rsidRDefault="00402E2C" w:rsidP="003C4554">
            <w:pPr>
              <w:pStyle w:val="ESTablebody"/>
              <w:rPr>
                <w:rFonts w:ascii="Calibri" w:hAnsi="Calibri" w:cs="Calibri"/>
                <w:sz w:val="18"/>
              </w:rPr>
            </w:pPr>
            <w:r>
              <w:rPr>
                <w:rFonts w:ascii="Calibri" w:hAnsi="Calibri" w:cs="Calibri"/>
                <w:sz w:val="18"/>
              </w:rPr>
              <w:t>The steering committee undertakes a leadership role to drive cooperation in implementing the VET provision model. This involves providing advice and overseeing reform deliverables.</w:t>
            </w:r>
          </w:p>
        </w:tc>
        <w:tc>
          <w:tcPr>
            <w:tcW w:w="3268" w:type="dxa"/>
            <w:tcBorders>
              <w:top w:val="single" w:sz="4" w:space="0" w:color="auto"/>
              <w:bottom w:val="single" w:sz="4" w:space="0" w:color="auto"/>
            </w:tcBorders>
          </w:tcPr>
          <w:p w14:paraId="7CE8DC1A" w14:textId="77777777" w:rsidR="00402E2C" w:rsidRPr="00946824" w:rsidRDefault="00402E2C" w:rsidP="003C4554">
            <w:pPr>
              <w:pStyle w:val="ESTablebody"/>
              <w:rPr>
                <w:rFonts w:ascii="Calibri" w:hAnsi="Calibri" w:cs="Calibri"/>
                <w:sz w:val="18"/>
              </w:rPr>
            </w:pPr>
            <w:r>
              <w:rPr>
                <w:rFonts w:ascii="Calibri" w:hAnsi="Calibri" w:cs="Calibri"/>
                <w:sz w:val="18"/>
              </w:rPr>
              <w:t xml:space="preserve">The steering committee developed a new VET provision model to allocate training activity in 2023. The </w:t>
            </w:r>
            <w:r w:rsidRPr="00D426DA">
              <w:rPr>
                <w:rFonts w:ascii="Calibri" w:hAnsi="Calibri" w:cs="Calibri"/>
                <w:sz w:val="18"/>
              </w:rPr>
              <w:t>Victorian Skills Plan set</w:t>
            </w:r>
            <w:r>
              <w:rPr>
                <w:rFonts w:ascii="Calibri" w:hAnsi="Calibri" w:cs="Calibri"/>
                <w:sz w:val="18"/>
              </w:rPr>
              <w:t>s</w:t>
            </w:r>
            <w:r w:rsidRPr="00D426DA">
              <w:rPr>
                <w:rFonts w:ascii="Calibri" w:hAnsi="Calibri" w:cs="Calibri"/>
                <w:sz w:val="18"/>
              </w:rPr>
              <w:t xml:space="preserve"> out training needs for local communities and industries. This include</w:t>
            </w:r>
            <w:r>
              <w:rPr>
                <w:rFonts w:ascii="Calibri" w:hAnsi="Calibri" w:cs="Calibri"/>
                <w:sz w:val="18"/>
              </w:rPr>
              <w:t>s</w:t>
            </w:r>
            <w:r w:rsidRPr="00D426DA">
              <w:rPr>
                <w:rFonts w:ascii="Calibri" w:hAnsi="Calibri" w:cs="Calibri"/>
                <w:sz w:val="18"/>
              </w:rPr>
              <w:t xml:space="preserve"> a focus on the state’s areas of economic growth</w:t>
            </w:r>
            <w:r>
              <w:rPr>
                <w:rFonts w:ascii="Calibri" w:hAnsi="Calibri" w:cs="Calibri"/>
                <w:sz w:val="18"/>
              </w:rPr>
              <w:t>.</w:t>
            </w:r>
          </w:p>
        </w:tc>
      </w:tr>
      <w:tr w:rsidR="00402E2C" w:rsidRPr="00925213" w14:paraId="66E68CB1" w14:textId="77777777" w:rsidTr="00FD14DE">
        <w:trPr>
          <w:cantSplit/>
          <w:trHeight w:val="227"/>
        </w:trPr>
        <w:tc>
          <w:tcPr>
            <w:tcW w:w="2250" w:type="dxa"/>
            <w:tcBorders>
              <w:top w:val="single" w:sz="4" w:space="0" w:color="53565A" w:themeColor="accent5"/>
              <w:bottom w:val="single" w:sz="4" w:space="0" w:color="53565A" w:themeColor="accent5"/>
            </w:tcBorders>
            <w:shd w:val="clear" w:color="auto" w:fill="auto"/>
          </w:tcPr>
          <w:p w14:paraId="119EF50A" w14:textId="77777777" w:rsidR="00402E2C" w:rsidRPr="0019565A" w:rsidRDefault="00402E2C" w:rsidP="00A05518">
            <w:pPr>
              <w:pStyle w:val="ESTablebody"/>
              <w:rPr>
                <w:rFonts w:ascii="Calibri" w:hAnsi="Calibri" w:cs="Calibri"/>
                <w:sz w:val="18"/>
              </w:rPr>
            </w:pPr>
            <w:r w:rsidRPr="0019565A">
              <w:rPr>
                <w:rFonts w:ascii="Calibri" w:hAnsi="Calibri" w:cs="Calibri"/>
                <w:sz w:val="18"/>
              </w:rPr>
              <w:t xml:space="preserve">Victorian Early Years Learning and Development Framework Project Board </w:t>
            </w:r>
          </w:p>
        </w:tc>
        <w:tc>
          <w:tcPr>
            <w:tcW w:w="3321" w:type="dxa"/>
            <w:tcBorders>
              <w:top w:val="single" w:sz="4" w:space="0" w:color="53565A" w:themeColor="accent5"/>
              <w:bottom w:val="single" w:sz="4" w:space="0" w:color="53565A" w:themeColor="accent5"/>
            </w:tcBorders>
          </w:tcPr>
          <w:p w14:paraId="1A2B44AC" w14:textId="04FC2336" w:rsidR="00402E2C" w:rsidRPr="0019565A" w:rsidRDefault="00402E2C" w:rsidP="00A05518">
            <w:pPr>
              <w:pStyle w:val="ESTablebody"/>
              <w:rPr>
                <w:rFonts w:ascii="Calibri" w:hAnsi="Calibri" w:cs="Calibri"/>
                <w:sz w:val="18"/>
              </w:rPr>
            </w:pPr>
            <w:r w:rsidRPr="0019565A">
              <w:rPr>
                <w:rFonts w:ascii="Calibri" w:hAnsi="Calibri" w:cs="Calibri"/>
                <w:sz w:val="18"/>
              </w:rPr>
              <w:t xml:space="preserve">The project board comprises representation across the department, </w:t>
            </w:r>
            <w:r w:rsidR="00A969C5">
              <w:rPr>
                <w:rFonts w:ascii="Calibri" w:hAnsi="Calibri" w:cs="Calibri"/>
                <w:sz w:val="18"/>
              </w:rPr>
              <w:t>VCAA</w:t>
            </w:r>
            <w:r w:rsidRPr="0019565A">
              <w:rPr>
                <w:rFonts w:ascii="Calibri" w:hAnsi="Calibri" w:cs="Calibri"/>
                <w:sz w:val="18"/>
              </w:rPr>
              <w:t>, DFFH, and the Victorian Children’s Council. The project board was established to support the implementation of the framework and transition to school initiative. Since its establishment, the remit has been expanded to include governance of the School Readiness Funding (SRF) menu of evidence-informed programs and supports, the new early years assessment tool, and Early Learning Leadership Forums and Early Years Learning Networks.</w:t>
            </w:r>
          </w:p>
        </w:tc>
        <w:tc>
          <w:tcPr>
            <w:tcW w:w="3268" w:type="dxa"/>
            <w:tcBorders>
              <w:top w:val="single" w:sz="4" w:space="0" w:color="53565A" w:themeColor="accent5"/>
              <w:bottom w:val="single" w:sz="4" w:space="0" w:color="53565A" w:themeColor="accent5"/>
            </w:tcBorders>
          </w:tcPr>
          <w:p w14:paraId="08F62B44" w14:textId="70FBC579" w:rsidR="00402E2C" w:rsidRPr="0019565A" w:rsidRDefault="00402E2C" w:rsidP="00A05518">
            <w:pPr>
              <w:pStyle w:val="ESTablebody"/>
              <w:rPr>
                <w:rFonts w:ascii="Calibri" w:hAnsi="Calibri" w:cs="Calibri"/>
                <w:sz w:val="18"/>
              </w:rPr>
            </w:pPr>
            <w:r w:rsidRPr="0019565A">
              <w:rPr>
                <w:rFonts w:ascii="Calibri" w:hAnsi="Calibri" w:cs="Calibri"/>
                <w:sz w:val="18"/>
              </w:rPr>
              <w:t xml:space="preserve">The project board met five times in 2021–22. It provided oversight of a range of projects supporting quality early childhood practice and pedagogy, including resource development, wellbeing, Three-Year-Old Kindergarten Teaching Toolkit, professional </w:t>
            </w:r>
            <w:proofErr w:type="gramStart"/>
            <w:r w:rsidRPr="0019565A">
              <w:rPr>
                <w:rFonts w:ascii="Calibri" w:hAnsi="Calibri" w:cs="Calibri"/>
                <w:sz w:val="18"/>
              </w:rPr>
              <w:t>learning</w:t>
            </w:r>
            <w:proofErr w:type="gramEnd"/>
            <w:r w:rsidRPr="0019565A">
              <w:rPr>
                <w:rFonts w:ascii="Calibri" w:hAnsi="Calibri" w:cs="Calibri"/>
                <w:sz w:val="18"/>
              </w:rPr>
              <w:t xml:space="preserve"> and associated supports</w:t>
            </w:r>
            <w:r w:rsidR="00A969C5">
              <w:rPr>
                <w:rFonts w:ascii="Calibri" w:hAnsi="Calibri" w:cs="Calibri"/>
                <w:sz w:val="18"/>
              </w:rPr>
              <w:t>. It also oversaw</w:t>
            </w:r>
            <w:r w:rsidRPr="0019565A">
              <w:rPr>
                <w:rFonts w:ascii="Calibri" w:hAnsi="Calibri" w:cs="Calibri"/>
                <w:sz w:val="18"/>
              </w:rPr>
              <w:t xml:space="preserve"> the addition of new items to the 2022 SRF menu</w:t>
            </w:r>
            <w:r w:rsidR="00A969C5">
              <w:rPr>
                <w:rFonts w:ascii="Calibri" w:hAnsi="Calibri" w:cs="Calibri"/>
                <w:sz w:val="18"/>
              </w:rPr>
              <w:t>,</w:t>
            </w:r>
            <w:r w:rsidRPr="0019565A">
              <w:rPr>
                <w:rFonts w:ascii="Calibri" w:hAnsi="Calibri" w:cs="Calibri"/>
                <w:sz w:val="18"/>
              </w:rPr>
              <w:t xml:space="preserve"> the Early Years Assessment for Learning Tool, and the continued implementation of the Early Learning Leadership Forums and Early Years Learning Networks. </w:t>
            </w:r>
          </w:p>
        </w:tc>
      </w:tr>
      <w:tr w:rsidR="00402E2C" w:rsidRPr="00925213" w14:paraId="77D7C11D" w14:textId="77777777" w:rsidTr="00FD14DE">
        <w:trPr>
          <w:cantSplit/>
          <w:trHeight w:val="227"/>
        </w:trPr>
        <w:tc>
          <w:tcPr>
            <w:tcW w:w="2250" w:type="dxa"/>
            <w:tcBorders>
              <w:top w:val="single" w:sz="4" w:space="0" w:color="auto"/>
              <w:bottom w:val="single" w:sz="4" w:space="0" w:color="auto"/>
            </w:tcBorders>
            <w:shd w:val="clear" w:color="auto" w:fill="auto"/>
          </w:tcPr>
          <w:p w14:paraId="35B05CF6" w14:textId="77777777" w:rsidR="00402E2C" w:rsidRPr="00946824" w:rsidRDefault="00402E2C" w:rsidP="0079001C">
            <w:pPr>
              <w:pStyle w:val="ESTablebody"/>
              <w:rPr>
                <w:rFonts w:ascii="Calibri" w:hAnsi="Calibri" w:cs="Calibri"/>
                <w:sz w:val="18"/>
              </w:rPr>
            </w:pPr>
            <w:r w:rsidRPr="00AA5A02">
              <w:rPr>
                <w:rFonts w:ascii="Calibri" w:hAnsi="Calibri" w:cs="Calibri"/>
                <w:sz w:val="18"/>
              </w:rPr>
              <w:t>Victorian Government Schools Agreement Departmental Leadership Group</w:t>
            </w:r>
          </w:p>
        </w:tc>
        <w:tc>
          <w:tcPr>
            <w:tcW w:w="3321" w:type="dxa"/>
            <w:tcBorders>
              <w:top w:val="single" w:sz="4" w:space="0" w:color="auto"/>
              <w:bottom w:val="single" w:sz="4" w:space="0" w:color="auto"/>
            </w:tcBorders>
          </w:tcPr>
          <w:p w14:paraId="49EB0A1B" w14:textId="02AFDFA9" w:rsidR="00402E2C" w:rsidRPr="00946824" w:rsidRDefault="00402E2C" w:rsidP="0079001C">
            <w:pPr>
              <w:pStyle w:val="ESTablebody"/>
              <w:rPr>
                <w:rFonts w:ascii="Calibri" w:hAnsi="Calibri" w:cs="Calibri"/>
                <w:sz w:val="18"/>
              </w:rPr>
            </w:pPr>
            <w:r>
              <w:rPr>
                <w:rFonts w:ascii="Calibri" w:hAnsi="Calibri" w:cs="Calibri"/>
                <w:sz w:val="18"/>
              </w:rPr>
              <w:t xml:space="preserve">The departmental leadership group met during negotiations </w:t>
            </w:r>
            <w:r w:rsidR="00930ACA">
              <w:rPr>
                <w:rFonts w:ascii="Calibri" w:hAnsi="Calibri" w:cs="Calibri"/>
                <w:sz w:val="18"/>
              </w:rPr>
              <w:t>of</w:t>
            </w:r>
            <w:r>
              <w:rPr>
                <w:rFonts w:ascii="Calibri" w:hAnsi="Calibri" w:cs="Calibri"/>
                <w:sz w:val="18"/>
              </w:rPr>
              <w:t xml:space="preserve"> a new government schools enterprise bargaining agreement to ensure whole-of-government coordination and advice. </w:t>
            </w:r>
          </w:p>
        </w:tc>
        <w:tc>
          <w:tcPr>
            <w:tcW w:w="3268" w:type="dxa"/>
            <w:tcBorders>
              <w:top w:val="single" w:sz="4" w:space="0" w:color="auto"/>
              <w:bottom w:val="single" w:sz="4" w:space="0" w:color="auto"/>
            </w:tcBorders>
          </w:tcPr>
          <w:p w14:paraId="58EF8540" w14:textId="77777777" w:rsidR="00402E2C" w:rsidRPr="00946824" w:rsidRDefault="00402E2C" w:rsidP="0079001C">
            <w:pPr>
              <w:pStyle w:val="ESTablebody"/>
              <w:rPr>
                <w:rFonts w:ascii="Calibri" w:hAnsi="Calibri" w:cs="Calibri"/>
                <w:sz w:val="18"/>
              </w:rPr>
            </w:pPr>
            <w:r>
              <w:rPr>
                <w:rFonts w:ascii="Calibri" w:hAnsi="Calibri" w:cs="Calibri"/>
                <w:sz w:val="18"/>
              </w:rPr>
              <w:t>A new Victorian Government Schools Agreement has been agreed by the parties, subject to final settlement. The work of the leadership group was completed in 2021–22.</w:t>
            </w:r>
          </w:p>
        </w:tc>
      </w:tr>
      <w:tr w:rsidR="00402E2C" w:rsidRPr="00925213" w14:paraId="550C7E91" w14:textId="77777777" w:rsidTr="00FD14DE">
        <w:trPr>
          <w:cantSplit/>
          <w:trHeight w:val="227"/>
        </w:trPr>
        <w:tc>
          <w:tcPr>
            <w:tcW w:w="2250" w:type="dxa"/>
            <w:tcBorders>
              <w:top w:val="single" w:sz="4" w:space="0" w:color="auto"/>
              <w:bottom w:val="single" w:sz="4" w:space="0" w:color="auto"/>
            </w:tcBorders>
            <w:shd w:val="clear" w:color="auto" w:fill="auto"/>
          </w:tcPr>
          <w:p w14:paraId="2B185FB6"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Victorian Home Education Advisory Committee</w:t>
            </w:r>
          </w:p>
        </w:tc>
        <w:tc>
          <w:tcPr>
            <w:tcW w:w="3321" w:type="dxa"/>
            <w:tcBorders>
              <w:top w:val="single" w:sz="4" w:space="0" w:color="auto"/>
              <w:bottom w:val="single" w:sz="4" w:space="0" w:color="auto"/>
            </w:tcBorders>
          </w:tcPr>
          <w:p w14:paraId="611C8B6D" w14:textId="77777777" w:rsidR="00402E2C" w:rsidRPr="001E1715" w:rsidRDefault="00402E2C" w:rsidP="001E1715">
            <w:pPr>
              <w:pStyle w:val="ESTablebody"/>
              <w:rPr>
                <w:rFonts w:ascii="Calibri" w:hAnsi="Calibri" w:cs="Calibri"/>
                <w:sz w:val="18"/>
              </w:rPr>
            </w:pPr>
            <w:r w:rsidRPr="001E1715">
              <w:rPr>
                <w:rFonts w:ascii="Calibri" w:hAnsi="Calibri" w:cs="Calibri"/>
                <w:color w:val="000000"/>
                <w:sz w:val="18"/>
              </w:rPr>
              <w:t xml:space="preserve">The </w:t>
            </w:r>
            <w:r>
              <w:rPr>
                <w:rFonts w:ascii="Calibri" w:hAnsi="Calibri" w:cs="Calibri"/>
                <w:color w:val="000000"/>
                <w:sz w:val="18"/>
              </w:rPr>
              <w:t>c</w:t>
            </w:r>
            <w:r w:rsidRPr="001E1715">
              <w:rPr>
                <w:rFonts w:ascii="Calibri" w:hAnsi="Calibri" w:cs="Calibri"/>
                <w:color w:val="000000"/>
                <w:sz w:val="18"/>
              </w:rPr>
              <w:t xml:space="preserve">ommittee provides guidance, information and feedback to the department and the Victorian Registration and Qualifications Authority on the operation of the new </w:t>
            </w:r>
            <w:proofErr w:type="gramStart"/>
            <w:r w:rsidRPr="001E1715">
              <w:rPr>
                <w:rFonts w:ascii="Calibri" w:hAnsi="Calibri" w:cs="Calibri"/>
                <w:color w:val="000000"/>
                <w:sz w:val="18"/>
              </w:rPr>
              <w:t>home schooling</w:t>
            </w:r>
            <w:proofErr w:type="gramEnd"/>
            <w:r w:rsidRPr="001E1715">
              <w:rPr>
                <w:rFonts w:ascii="Calibri" w:hAnsi="Calibri" w:cs="Calibri"/>
                <w:color w:val="000000"/>
                <w:sz w:val="18"/>
              </w:rPr>
              <w:t xml:space="preserve"> regulations and other home schooling matters.</w:t>
            </w:r>
          </w:p>
        </w:tc>
        <w:tc>
          <w:tcPr>
            <w:tcW w:w="3268" w:type="dxa"/>
            <w:tcBorders>
              <w:top w:val="single" w:sz="4" w:space="0" w:color="auto"/>
              <w:bottom w:val="single" w:sz="4" w:space="0" w:color="auto"/>
            </w:tcBorders>
          </w:tcPr>
          <w:p w14:paraId="1F1DCB49" w14:textId="33664324" w:rsidR="00402E2C" w:rsidRPr="001E1715" w:rsidRDefault="00402E2C" w:rsidP="001E1715">
            <w:pPr>
              <w:pStyle w:val="ESTablebody"/>
              <w:rPr>
                <w:rFonts w:ascii="Calibri" w:hAnsi="Calibri" w:cs="Calibri"/>
                <w:sz w:val="18"/>
              </w:rPr>
            </w:pPr>
            <w:r w:rsidRPr="001E1715">
              <w:rPr>
                <w:rFonts w:ascii="Calibri" w:hAnsi="Calibri" w:cs="Calibri"/>
                <w:sz w:val="18"/>
              </w:rPr>
              <w:t xml:space="preserve">The </w:t>
            </w:r>
            <w:r>
              <w:rPr>
                <w:rFonts w:ascii="Calibri" w:hAnsi="Calibri" w:cs="Calibri"/>
                <w:sz w:val="18"/>
              </w:rPr>
              <w:t>c</w:t>
            </w:r>
            <w:r w:rsidRPr="001E1715">
              <w:rPr>
                <w:rFonts w:ascii="Calibri" w:hAnsi="Calibri" w:cs="Calibri"/>
                <w:sz w:val="18"/>
              </w:rPr>
              <w:t xml:space="preserve">ommittee met quarterly and discussed issues relating to the implementation and operation of the home education regulations. The </w:t>
            </w:r>
            <w:r w:rsidR="005F6A7E">
              <w:rPr>
                <w:rFonts w:ascii="Calibri" w:hAnsi="Calibri" w:cs="Calibri"/>
                <w:sz w:val="18"/>
              </w:rPr>
              <w:t>c</w:t>
            </w:r>
            <w:r w:rsidRPr="001E1715">
              <w:rPr>
                <w:rFonts w:ascii="Calibri" w:hAnsi="Calibri" w:cs="Calibri"/>
                <w:sz w:val="18"/>
              </w:rPr>
              <w:t xml:space="preserve">ommittee shared and discussed resources, evidence and current research relating to home education to support and inform policy and resource development. </w:t>
            </w:r>
          </w:p>
        </w:tc>
      </w:tr>
      <w:tr w:rsidR="00402E2C" w:rsidRPr="00925213" w14:paraId="59DB51AC" w14:textId="77777777" w:rsidTr="00FD14DE">
        <w:trPr>
          <w:cantSplit/>
          <w:trHeight w:val="227"/>
        </w:trPr>
        <w:tc>
          <w:tcPr>
            <w:tcW w:w="2250" w:type="dxa"/>
            <w:tcBorders>
              <w:top w:val="single" w:sz="4" w:space="0" w:color="auto"/>
              <w:bottom w:val="single" w:sz="4" w:space="0" w:color="auto"/>
            </w:tcBorders>
            <w:shd w:val="clear" w:color="auto" w:fill="auto"/>
          </w:tcPr>
          <w:p w14:paraId="5B6072B7"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Victorian Schools Animal Ethics Committee</w:t>
            </w:r>
          </w:p>
        </w:tc>
        <w:tc>
          <w:tcPr>
            <w:tcW w:w="3321" w:type="dxa"/>
            <w:tcBorders>
              <w:top w:val="single" w:sz="4" w:space="0" w:color="auto"/>
              <w:bottom w:val="single" w:sz="4" w:space="0" w:color="auto"/>
            </w:tcBorders>
          </w:tcPr>
          <w:p w14:paraId="1E1DC1DB" w14:textId="77777777" w:rsidR="00402E2C" w:rsidRPr="001E1715" w:rsidRDefault="00402E2C" w:rsidP="001E1715">
            <w:pPr>
              <w:pStyle w:val="ESTablebody"/>
              <w:rPr>
                <w:rFonts w:ascii="Calibri" w:hAnsi="Calibri" w:cs="Calibri"/>
                <w:sz w:val="18"/>
              </w:rPr>
            </w:pPr>
            <w:r w:rsidRPr="001E1715">
              <w:rPr>
                <w:rFonts w:ascii="Calibri" w:hAnsi="Calibri" w:cs="Calibri"/>
                <w:sz w:val="18"/>
                <w:lang w:val="en-GB"/>
              </w:rPr>
              <w:t xml:space="preserve">The </w:t>
            </w:r>
            <w:r>
              <w:rPr>
                <w:rFonts w:ascii="Calibri" w:hAnsi="Calibri" w:cs="Calibri"/>
                <w:sz w:val="18"/>
                <w:lang w:val="en-GB"/>
              </w:rPr>
              <w:t>c</w:t>
            </w:r>
            <w:r w:rsidRPr="001E1715">
              <w:rPr>
                <w:rFonts w:ascii="Calibri" w:hAnsi="Calibri" w:cs="Calibri"/>
                <w:sz w:val="18"/>
                <w:lang w:val="en-GB"/>
              </w:rPr>
              <w:t>ommittee reviews and approves applications from schools to use animals for teaching purposes. It also provides advice to the department and Victorian schools on animal welfare issues in schools.</w:t>
            </w:r>
          </w:p>
        </w:tc>
        <w:tc>
          <w:tcPr>
            <w:tcW w:w="3268" w:type="dxa"/>
            <w:tcBorders>
              <w:top w:val="single" w:sz="4" w:space="0" w:color="auto"/>
              <w:bottom w:val="single" w:sz="4" w:space="0" w:color="auto"/>
            </w:tcBorders>
          </w:tcPr>
          <w:p w14:paraId="76A2AD32" w14:textId="77777777" w:rsidR="00402E2C" w:rsidRPr="001E1715" w:rsidRDefault="00402E2C" w:rsidP="001E1715">
            <w:pPr>
              <w:pStyle w:val="ESTablebody"/>
              <w:rPr>
                <w:rFonts w:ascii="Calibri" w:hAnsi="Calibri" w:cs="Calibri"/>
                <w:sz w:val="18"/>
              </w:rPr>
            </w:pPr>
            <w:r w:rsidRPr="001E1715">
              <w:rPr>
                <w:rFonts w:ascii="Calibri" w:hAnsi="Calibri" w:cs="Calibri"/>
                <w:sz w:val="18"/>
              </w:rPr>
              <w:t xml:space="preserve">The </w:t>
            </w:r>
            <w:r>
              <w:rPr>
                <w:rFonts w:ascii="Calibri" w:hAnsi="Calibri" w:cs="Calibri"/>
                <w:sz w:val="18"/>
              </w:rPr>
              <w:t>c</w:t>
            </w:r>
            <w:r w:rsidRPr="001E1715">
              <w:rPr>
                <w:rFonts w:ascii="Calibri" w:hAnsi="Calibri" w:cs="Calibri"/>
                <w:sz w:val="18"/>
              </w:rPr>
              <w:t xml:space="preserve">ommittee met 4 times </w:t>
            </w:r>
            <w:r>
              <w:rPr>
                <w:rFonts w:ascii="Calibri" w:hAnsi="Calibri" w:cs="Calibri"/>
                <w:sz w:val="18"/>
              </w:rPr>
              <w:t xml:space="preserve">during 2021–22 </w:t>
            </w:r>
            <w:r w:rsidRPr="001E1715">
              <w:rPr>
                <w:rFonts w:ascii="Calibri" w:hAnsi="Calibri" w:cs="Calibri"/>
                <w:sz w:val="18"/>
              </w:rPr>
              <w:t>and discussed and approved applications for the use of school animals. It worked on updating the forms and templates that schools use to make animal ethics applications, including the guidance to schools on the Policy and Advisory Library.</w:t>
            </w:r>
          </w:p>
        </w:tc>
      </w:tr>
      <w:tr w:rsidR="00402E2C" w:rsidRPr="00925213" w14:paraId="32D9D49A" w14:textId="77777777" w:rsidTr="00FD14DE">
        <w:trPr>
          <w:cantSplit/>
          <w:trHeight w:val="227"/>
        </w:trPr>
        <w:tc>
          <w:tcPr>
            <w:tcW w:w="2250" w:type="dxa"/>
            <w:tcBorders>
              <w:top w:val="single" w:sz="4" w:space="0" w:color="auto"/>
              <w:bottom w:val="single" w:sz="4" w:space="0" w:color="auto"/>
            </w:tcBorders>
            <w:shd w:val="clear" w:color="auto" w:fill="auto"/>
          </w:tcPr>
          <w:p w14:paraId="4DD90CB9" w14:textId="77777777" w:rsidR="00402E2C" w:rsidRPr="00946824" w:rsidRDefault="00402E2C" w:rsidP="00D426DA">
            <w:pPr>
              <w:pStyle w:val="ESTablebody"/>
              <w:rPr>
                <w:rFonts w:ascii="Calibri" w:hAnsi="Calibri" w:cs="Calibri"/>
                <w:sz w:val="18"/>
              </w:rPr>
            </w:pPr>
            <w:r w:rsidRPr="00D426DA">
              <w:rPr>
                <w:rFonts w:ascii="Calibri" w:hAnsi="Calibri" w:cs="Calibri"/>
                <w:sz w:val="18"/>
              </w:rPr>
              <w:t>Victorian Tertiary Admissions Centre Board of Trustees annual meeting</w:t>
            </w:r>
          </w:p>
        </w:tc>
        <w:tc>
          <w:tcPr>
            <w:tcW w:w="3321" w:type="dxa"/>
            <w:tcBorders>
              <w:top w:val="single" w:sz="4" w:space="0" w:color="auto"/>
              <w:bottom w:val="single" w:sz="4" w:space="0" w:color="auto"/>
            </w:tcBorders>
          </w:tcPr>
          <w:p w14:paraId="1AC9FBDD" w14:textId="77777777" w:rsidR="00402E2C" w:rsidRPr="00946824" w:rsidRDefault="00402E2C" w:rsidP="00D426DA">
            <w:pPr>
              <w:pStyle w:val="ESTablebody"/>
              <w:rPr>
                <w:rFonts w:ascii="Calibri" w:hAnsi="Calibri" w:cs="Calibri"/>
                <w:sz w:val="18"/>
              </w:rPr>
            </w:pPr>
            <w:r w:rsidRPr="00D426DA">
              <w:rPr>
                <w:rFonts w:ascii="Calibri" w:hAnsi="Calibri" w:cs="Calibri"/>
                <w:sz w:val="18"/>
              </w:rPr>
              <w:t xml:space="preserve">The </w:t>
            </w:r>
            <w:r>
              <w:rPr>
                <w:rFonts w:ascii="Calibri" w:hAnsi="Calibri" w:cs="Calibri"/>
                <w:sz w:val="18"/>
              </w:rPr>
              <w:t>board of trustees meets</w:t>
            </w:r>
            <w:r w:rsidRPr="00D426DA">
              <w:rPr>
                <w:rFonts w:ascii="Calibri" w:hAnsi="Calibri" w:cs="Calibri"/>
                <w:sz w:val="18"/>
              </w:rPr>
              <w:t xml:space="preserve"> annual</w:t>
            </w:r>
            <w:r>
              <w:rPr>
                <w:rFonts w:ascii="Calibri" w:hAnsi="Calibri" w:cs="Calibri"/>
                <w:sz w:val="18"/>
              </w:rPr>
              <w:t xml:space="preserve">ly. This meeting </w:t>
            </w:r>
            <w:r w:rsidRPr="00D426DA">
              <w:rPr>
                <w:rFonts w:ascii="Calibri" w:hAnsi="Calibri" w:cs="Calibri"/>
                <w:sz w:val="18"/>
              </w:rPr>
              <w:t xml:space="preserve">serves as an annual general meeting for </w:t>
            </w:r>
            <w:r>
              <w:rPr>
                <w:rFonts w:ascii="Calibri" w:hAnsi="Calibri" w:cs="Calibri"/>
                <w:sz w:val="18"/>
              </w:rPr>
              <w:t>the Victorian Tertiary Admissions Centre.</w:t>
            </w:r>
          </w:p>
        </w:tc>
        <w:tc>
          <w:tcPr>
            <w:tcW w:w="3268" w:type="dxa"/>
            <w:tcBorders>
              <w:top w:val="single" w:sz="4" w:space="0" w:color="auto"/>
              <w:bottom w:val="single" w:sz="4" w:space="0" w:color="auto"/>
            </w:tcBorders>
          </w:tcPr>
          <w:p w14:paraId="51CFFAEA" w14:textId="30241017" w:rsidR="00402E2C" w:rsidRPr="00946824" w:rsidRDefault="00402E2C" w:rsidP="00D426DA">
            <w:pPr>
              <w:pStyle w:val="ESTablebody"/>
              <w:rPr>
                <w:rFonts w:ascii="Calibri" w:hAnsi="Calibri" w:cs="Calibri"/>
                <w:sz w:val="18"/>
              </w:rPr>
            </w:pPr>
            <w:r w:rsidRPr="00D426DA">
              <w:rPr>
                <w:rFonts w:ascii="Calibri" w:hAnsi="Calibri" w:cs="Calibri"/>
                <w:sz w:val="18"/>
              </w:rPr>
              <w:t xml:space="preserve">The </w:t>
            </w:r>
            <w:r>
              <w:rPr>
                <w:rFonts w:ascii="Calibri" w:hAnsi="Calibri" w:cs="Calibri"/>
                <w:sz w:val="18"/>
              </w:rPr>
              <w:t>board of trustees</w:t>
            </w:r>
            <w:r w:rsidRPr="00D426DA">
              <w:rPr>
                <w:rFonts w:ascii="Calibri" w:hAnsi="Calibri" w:cs="Calibri"/>
                <w:sz w:val="18"/>
              </w:rPr>
              <w:t xml:space="preserve"> met in June 2022</w:t>
            </w:r>
            <w:r>
              <w:rPr>
                <w:rFonts w:ascii="Calibri" w:hAnsi="Calibri" w:cs="Calibri"/>
                <w:sz w:val="18"/>
              </w:rPr>
              <w:t xml:space="preserve">. It </w:t>
            </w:r>
            <w:r w:rsidRPr="00D426DA">
              <w:rPr>
                <w:rFonts w:ascii="Calibri" w:hAnsi="Calibri" w:cs="Calibri"/>
                <w:sz w:val="18"/>
              </w:rPr>
              <w:t>receive</w:t>
            </w:r>
            <w:r>
              <w:rPr>
                <w:rFonts w:ascii="Calibri" w:hAnsi="Calibri" w:cs="Calibri"/>
                <w:sz w:val="18"/>
              </w:rPr>
              <w:t>d</w:t>
            </w:r>
            <w:r w:rsidRPr="00D426DA">
              <w:rPr>
                <w:rFonts w:ascii="Calibri" w:hAnsi="Calibri" w:cs="Calibri"/>
                <w:sz w:val="18"/>
              </w:rPr>
              <w:t xml:space="preserve"> information on and consider</w:t>
            </w:r>
            <w:r>
              <w:rPr>
                <w:rFonts w:ascii="Calibri" w:hAnsi="Calibri" w:cs="Calibri"/>
                <w:sz w:val="18"/>
              </w:rPr>
              <w:t>ed</w:t>
            </w:r>
            <w:r w:rsidRPr="00D426DA">
              <w:rPr>
                <w:rFonts w:ascii="Calibri" w:hAnsi="Calibri" w:cs="Calibri"/>
                <w:sz w:val="18"/>
              </w:rPr>
              <w:t xml:space="preserve"> a range of matters including activities and achievements over the past year</w:t>
            </w:r>
            <w:r>
              <w:rPr>
                <w:rFonts w:ascii="Calibri" w:hAnsi="Calibri" w:cs="Calibri"/>
                <w:sz w:val="18"/>
              </w:rPr>
              <w:t xml:space="preserve">, </w:t>
            </w:r>
            <w:r w:rsidRPr="00D426DA">
              <w:rPr>
                <w:rFonts w:ascii="Calibri" w:hAnsi="Calibri" w:cs="Calibri"/>
                <w:sz w:val="18"/>
              </w:rPr>
              <w:t xml:space="preserve">a report from the Management Committee, an updated interim strategic plan, financial </w:t>
            </w:r>
            <w:proofErr w:type="gramStart"/>
            <w:r w:rsidRPr="00D426DA">
              <w:rPr>
                <w:rFonts w:ascii="Calibri" w:hAnsi="Calibri" w:cs="Calibri"/>
                <w:sz w:val="18"/>
              </w:rPr>
              <w:t>performance</w:t>
            </w:r>
            <w:proofErr w:type="gramEnd"/>
            <w:r w:rsidRPr="00D426DA">
              <w:rPr>
                <w:rFonts w:ascii="Calibri" w:hAnsi="Calibri" w:cs="Calibri"/>
                <w:sz w:val="18"/>
              </w:rPr>
              <w:t xml:space="preserve"> and a draft budget for 2022</w:t>
            </w:r>
            <w:r>
              <w:rPr>
                <w:rFonts w:ascii="Calibri" w:hAnsi="Calibri" w:cs="Calibri"/>
                <w:sz w:val="18"/>
              </w:rPr>
              <w:t>–</w:t>
            </w:r>
            <w:r w:rsidRPr="00D426DA">
              <w:rPr>
                <w:rFonts w:ascii="Calibri" w:hAnsi="Calibri" w:cs="Calibri"/>
                <w:sz w:val="18"/>
              </w:rPr>
              <w:t xml:space="preserve">23. </w:t>
            </w:r>
          </w:p>
        </w:tc>
      </w:tr>
      <w:tr w:rsidR="00402E2C" w:rsidRPr="00925213" w14:paraId="72BDFF3D" w14:textId="77777777" w:rsidTr="00FD14DE">
        <w:trPr>
          <w:cantSplit/>
          <w:trHeight w:val="227"/>
        </w:trPr>
        <w:tc>
          <w:tcPr>
            <w:tcW w:w="2250" w:type="dxa"/>
            <w:tcBorders>
              <w:top w:val="single" w:sz="4" w:space="0" w:color="auto"/>
              <w:bottom w:val="single" w:sz="4" w:space="0" w:color="auto"/>
            </w:tcBorders>
            <w:shd w:val="clear" w:color="auto" w:fill="auto"/>
          </w:tcPr>
          <w:p w14:paraId="69BDD981" w14:textId="77777777" w:rsidR="00402E2C" w:rsidRPr="00946824" w:rsidRDefault="00402E2C" w:rsidP="00D426DA">
            <w:pPr>
              <w:pStyle w:val="ESTablebody"/>
              <w:rPr>
                <w:rFonts w:ascii="Calibri" w:hAnsi="Calibri" w:cs="Calibri"/>
                <w:sz w:val="18"/>
              </w:rPr>
            </w:pPr>
            <w:r w:rsidRPr="00D426DA">
              <w:rPr>
                <w:rFonts w:ascii="Calibri" w:hAnsi="Calibri" w:cs="Calibri"/>
                <w:sz w:val="18"/>
              </w:rPr>
              <w:t>Victorian Universities Support Package Project Control Group</w:t>
            </w:r>
          </w:p>
        </w:tc>
        <w:tc>
          <w:tcPr>
            <w:tcW w:w="3321" w:type="dxa"/>
            <w:tcBorders>
              <w:top w:val="single" w:sz="4" w:space="0" w:color="auto"/>
              <w:bottom w:val="single" w:sz="4" w:space="0" w:color="auto"/>
            </w:tcBorders>
          </w:tcPr>
          <w:p w14:paraId="334E2798" w14:textId="5A211253" w:rsidR="00402E2C" w:rsidRPr="00D426DA" w:rsidRDefault="00402E2C" w:rsidP="00D426DA">
            <w:pPr>
              <w:pStyle w:val="ESTablebody"/>
              <w:rPr>
                <w:rFonts w:ascii="Calibri" w:hAnsi="Calibri" w:cs="Calibri"/>
                <w:sz w:val="18"/>
              </w:rPr>
            </w:pPr>
            <w:r w:rsidRPr="00D426DA">
              <w:rPr>
                <w:rFonts w:ascii="Calibri" w:hAnsi="Calibri" w:cs="Calibri"/>
                <w:sz w:val="18"/>
              </w:rPr>
              <w:t xml:space="preserve">The </w:t>
            </w:r>
            <w:r>
              <w:rPr>
                <w:rFonts w:ascii="Calibri" w:hAnsi="Calibri" w:cs="Calibri"/>
                <w:sz w:val="18"/>
              </w:rPr>
              <w:t>project c</w:t>
            </w:r>
            <w:r w:rsidRPr="00D426DA">
              <w:rPr>
                <w:rFonts w:ascii="Calibri" w:hAnsi="Calibri" w:cs="Calibri"/>
                <w:sz w:val="18"/>
              </w:rPr>
              <w:t xml:space="preserve">ontrol </w:t>
            </w:r>
            <w:r>
              <w:rPr>
                <w:rFonts w:ascii="Calibri" w:hAnsi="Calibri" w:cs="Calibri"/>
                <w:sz w:val="18"/>
              </w:rPr>
              <w:t>g</w:t>
            </w:r>
            <w:r w:rsidRPr="00D426DA">
              <w:rPr>
                <w:rFonts w:ascii="Calibri" w:hAnsi="Calibri" w:cs="Calibri"/>
                <w:sz w:val="18"/>
              </w:rPr>
              <w:t xml:space="preserve">roup comprises representatives of relevant Victorian government departments and provides oversight and guidance on the design, </w:t>
            </w:r>
            <w:proofErr w:type="gramStart"/>
            <w:r w:rsidRPr="00D426DA">
              <w:rPr>
                <w:rFonts w:ascii="Calibri" w:hAnsi="Calibri" w:cs="Calibri"/>
                <w:sz w:val="18"/>
              </w:rPr>
              <w:t>development</w:t>
            </w:r>
            <w:proofErr w:type="gramEnd"/>
            <w:r w:rsidRPr="00D426DA">
              <w:rPr>
                <w:rFonts w:ascii="Calibri" w:hAnsi="Calibri" w:cs="Calibri"/>
                <w:sz w:val="18"/>
              </w:rPr>
              <w:t xml:space="preserve"> and implementation of the Victorian </w:t>
            </w:r>
            <w:r w:rsidR="00930ACA">
              <w:rPr>
                <w:rFonts w:ascii="Calibri" w:hAnsi="Calibri" w:cs="Calibri"/>
                <w:sz w:val="18"/>
              </w:rPr>
              <w:t>G</w:t>
            </w:r>
            <w:r w:rsidRPr="00D426DA">
              <w:rPr>
                <w:rFonts w:ascii="Calibri" w:hAnsi="Calibri" w:cs="Calibri"/>
                <w:sz w:val="18"/>
              </w:rPr>
              <w:t>overnment</w:t>
            </w:r>
            <w:r w:rsidR="00930ACA">
              <w:rPr>
                <w:rFonts w:ascii="Calibri" w:hAnsi="Calibri" w:cs="Calibri"/>
                <w:sz w:val="18"/>
              </w:rPr>
              <w:t>’s</w:t>
            </w:r>
            <w:r w:rsidRPr="00D426DA">
              <w:rPr>
                <w:rFonts w:ascii="Calibri" w:hAnsi="Calibri" w:cs="Calibri"/>
                <w:sz w:val="18"/>
              </w:rPr>
              <w:t xml:space="preserve"> support package for universities. </w:t>
            </w:r>
          </w:p>
          <w:p w14:paraId="5851C41D" w14:textId="77777777" w:rsidR="00402E2C" w:rsidRPr="00946824" w:rsidRDefault="00402E2C" w:rsidP="00D426DA">
            <w:pPr>
              <w:pStyle w:val="ESTablebody"/>
              <w:rPr>
                <w:rFonts w:ascii="Calibri" w:hAnsi="Calibri" w:cs="Calibri"/>
                <w:sz w:val="18"/>
              </w:rPr>
            </w:pPr>
          </w:p>
        </w:tc>
        <w:tc>
          <w:tcPr>
            <w:tcW w:w="3268" w:type="dxa"/>
            <w:tcBorders>
              <w:top w:val="single" w:sz="4" w:space="0" w:color="auto"/>
              <w:bottom w:val="single" w:sz="4" w:space="0" w:color="auto"/>
            </w:tcBorders>
          </w:tcPr>
          <w:p w14:paraId="53DD7AD4" w14:textId="41C8F1F7" w:rsidR="00402E2C" w:rsidRPr="00946824" w:rsidRDefault="00402E2C" w:rsidP="00D426DA">
            <w:pPr>
              <w:pStyle w:val="ESTablebody"/>
              <w:rPr>
                <w:rFonts w:ascii="Calibri" w:hAnsi="Calibri" w:cs="Calibri"/>
                <w:sz w:val="18"/>
              </w:rPr>
            </w:pPr>
            <w:r w:rsidRPr="00D426DA">
              <w:rPr>
                <w:rFonts w:ascii="Calibri" w:hAnsi="Calibri" w:cs="Calibri"/>
                <w:sz w:val="18"/>
              </w:rPr>
              <w:t xml:space="preserve">The </w:t>
            </w:r>
            <w:r>
              <w:rPr>
                <w:rFonts w:ascii="Calibri" w:hAnsi="Calibri" w:cs="Calibri"/>
                <w:sz w:val="18"/>
              </w:rPr>
              <w:t>project c</w:t>
            </w:r>
            <w:r w:rsidRPr="00D426DA">
              <w:rPr>
                <w:rFonts w:ascii="Calibri" w:hAnsi="Calibri" w:cs="Calibri"/>
                <w:sz w:val="18"/>
              </w:rPr>
              <w:t xml:space="preserve">ontrol </w:t>
            </w:r>
            <w:r>
              <w:rPr>
                <w:rFonts w:ascii="Calibri" w:hAnsi="Calibri" w:cs="Calibri"/>
                <w:sz w:val="18"/>
              </w:rPr>
              <w:t>g</w:t>
            </w:r>
            <w:r w:rsidRPr="00D426DA">
              <w:rPr>
                <w:rFonts w:ascii="Calibri" w:hAnsi="Calibri" w:cs="Calibri"/>
                <w:sz w:val="18"/>
              </w:rPr>
              <w:t>roup met weekly to develop and monitor the implementation of the Victorian Higher Education State Investment Fund and payroll tax deferrals. It also advise</w:t>
            </w:r>
            <w:r>
              <w:rPr>
                <w:rFonts w:ascii="Calibri" w:hAnsi="Calibri" w:cs="Calibri"/>
                <w:sz w:val="18"/>
              </w:rPr>
              <w:t>d</w:t>
            </w:r>
            <w:r w:rsidRPr="00D426DA">
              <w:rPr>
                <w:rFonts w:ascii="Calibri" w:hAnsi="Calibri" w:cs="Calibri"/>
                <w:sz w:val="18"/>
              </w:rPr>
              <w:t xml:space="preserve"> on advocacy to the </w:t>
            </w:r>
            <w:r w:rsidR="00C9429A">
              <w:rPr>
                <w:rFonts w:ascii="Calibri" w:hAnsi="Calibri" w:cs="Calibri"/>
                <w:sz w:val="18"/>
              </w:rPr>
              <w:t>Australian</w:t>
            </w:r>
            <w:r w:rsidRPr="00D426DA">
              <w:rPr>
                <w:rFonts w:ascii="Calibri" w:hAnsi="Calibri" w:cs="Calibri"/>
                <w:sz w:val="18"/>
              </w:rPr>
              <w:t xml:space="preserve"> Government and development of partnership agreements between the Victorian Government and Victorian universities.</w:t>
            </w:r>
          </w:p>
        </w:tc>
      </w:tr>
      <w:tr w:rsidR="00402E2C" w:rsidRPr="00925213" w14:paraId="1F5F48FE" w14:textId="77777777" w:rsidTr="00FD14DE">
        <w:trPr>
          <w:cantSplit/>
          <w:trHeight w:val="227"/>
        </w:trPr>
        <w:tc>
          <w:tcPr>
            <w:tcW w:w="2250" w:type="dxa"/>
            <w:tcBorders>
              <w:top w:val="single" w:sz="4" w:space="0" w:color="auto"/>
              <w:bottom w:val="single" w:sz="4" w:space="0" w:color="auto"/>
            </w:tcBorders>
            <w:shd w:val="clear" w:color="auto" w:fill="auto"/>
          </w:tcPr>
          <w:p w14:paraId="7DF5BA65" w14:textId="77777777" w:rsidR="00402E2C" w:rsidRPr="00946824" w:rsidRDefault="00402E2C" w:rsidP="00F976DF">
            <w:pPr>
              <w:pStyle w:val="ESTablebody"/>
              <w:rPr>
                <w:rFonts w:ascii="Calibri" w:hAnsi="Calibri" w:cs="Calibri"/>
                <w:sz w:val="18"/>
              </w:rPr>
            </w:pPr>
            <w:r w:rsidRPr="00F976DF">
              <w:rPr>
                <w:rFonts w:ascii="Calibri" w:hAnsi="Calibri" w:cs="Calibri"/>
                <w:sz w:val="18"/>
              </w:rPr>
              <w:t>Youth Justice Education Steering Committee</w:t>
            </w:r>
          </w:p>
        </w:tc>
        <w:tc>
          <w:tcPr>
            <w:tcW w:w="3321" w:type="dxa"/>
            <w:tcBorders>
              <w:top w:val="single" w:sz="4" w:space="0" w:color="auto"/>
              <w:bottom w:val="single" w:sz="4" w:space="0" w:color="auto"/>
            </w:tcBorders>
          </w:tcPr>
          <w:p w14:paraId="56FCC2FB" w14:textId="2E53248F" w:rsidR="00402E2C" w:rsidRPr="00E86893" w:rsidRDefault="00402E2C" w:rsidP="00E86893">
            <w:pPr>
              <w:pStyle w:val="ESTablebody"/>
              <w:rPr>
                <w:rFonts w:ascii="Calibri" w:hAnsi="Calibri" w:cs="Calibri"/>
                <w:sz w:val="18"/>
              </w:rPr>
            </w:pPr>
            <w:r>
              <w:rPr>
                <w:rFonts w:ascii="Calibri" w:hAnsi="Calibri" w:cs="Calibri"/>
                <w:sz w:val="18"/>
              </w:rPr>
              <w:t>T</w:t>
            </w:r>
            <w:r w:rsidRPr="00F976DF">
              <w:rPr>
                <w:rFonts w:ascii="Calibri" w:hAnsi="Calibri" w:cs="Calibri"/>
                <w:sz w:val="18"/>
              </w:rPr>
              <w:t xml:space="preserve">he </w:t>
            </w:r>
            <w:r>
              <w:rPr>
                <w:rFonts w:ascii="Calibri" w:hAnsi="Calibri" w:cs="Calibri"/>
                <w:sz w:val="18"/>
              </w:rPr>
              <w:t>s</w:t>
            </w:r>
            <w:r w:rsidRPr="00F976DF">
              <w:rPr>
                <w:rFonts w:ascii="Calibri" w:hAnsi="Calibri" w:cs="Calibri"/>
                <w:sz w:val="18"/>
              </w:rPr>
              <w:t xml:space="preserve">teering </w:t>
            </w:r>
            <w:r>
              <w:rPr>
                <w:rFonts w:ascii="Calibri" w:hAnsi="Calibri" w:cs="Calibri"/>
                <w:sz w:val="18"/>
              </w:rPr>
              <w:t>c</w:t>
            </w:r>
            <w:r w:rsidRPr="00F976DF">
              <w:rPr>
                <w:rFonts w:ascii="Calibri" w:hAnsi="Calibri" w:cs="Calibri"/>
                <w:sz w:val="18"/>
              </w:rPr>
              <w:t xml:space="preserve">ommittee provides oversight and implementation of an interdepartmental response to </w:t>
            </w:r>
            <w:r>
              <w:rPr>
                <w:rFonts w:ascii="Calibri" w:hAnsi="Calibri" w:cs="Calibri"/>
                <w:sz w:val="18"/>
              </w:rPr>
              <w:t xml:space="preserve">the </w:t>
            </w:r>
            <w:r w:rsidRPr="00F976DF">
              <w:rPr>
                <w:rFonts w:ascii="Calibri" w:hAnsi="Calibri" w:cs="Calibri"/>
                <w:sz w:val="18"/>
              </w:rPr>
              <w:t>audit recommendations</w:t>
            </w:r>
            <w:r>
              <w:rPr>
                <w:rFonts w:ascii="Calibri" w:hAnsi="Calibri" w:cs="Calibri"/>
                <w:sz w:val="18"/>
              </w:rPr>
              <w:t xml:space="preserve"> from</w:t>
            </w:r>
            <w:r w:rsidRPr="00F976DF">
              <w:rPr>
                <w:rFonts w:ascii="Calibri" w:hAnsi="Calibri" w:cs="Calibri"/>
                <w:sz w:val="18"/>
              </w:rPr>
              <w:t xml:space="preserve"> </w:t>
            </w:r>
            <w:r w:rsidRPr="00E86893">
              <w:rPr>
                <w:rFonts w:ascii="Calibri" w:hAnsi="Calibri" w:cs="Calibri"/>
                <w:i/>
                <w:iCs/>
                <w:sz w:val="18"/>
              </w:rPr>
              <w:t>Managing Rehabilitation Services in Youth Detention</w:t>
            </w:r>
            <w:r w:rsidRPr="00F976DF">
              <w:rPr>
                <w:rFonts w:ascii="Calibri" w:hAnsi="Calibri" w:cs="Calibri"/>
                <w:sz w:val="18"/>
              </w:rPr>
              <w:t xml:space="preserve"> </w:t>
            </w:r>
            <w:r w:rsidR="00930ACA">
              <w:rPr>
                <w:rFonts w:ascii="Calibri" w:hAnsi="Calibri" w:cs="Calibri"/>
                <w:sz w:val="18"/>
              </w:rPr>
              <w:t xml:space="preserve">(2018) </w:t>
            </w:r>
            <w:r w:rsidRPr="00F976DF">
              <w:rPr>
                <w:rFonts w:ascii="Calibri" w:hAnsi="Calibri" w:cs="Calibri"/>
                <w:sz w:val="18"/>
              </w:rPr>
              <w:t>and other substantive matters related to achieving the effective, integrated delivery of education services to young people in detention and who are in the broader youth justice system.</w:t>
            </w:r>
          </w:p>
        </w:tc>
        <w:tc>
          <w:tcPr>
            <w:tcW w:w="3268" w:type="dxa"/>
            <w:tcBorders>
              <w:top w:val="single" w:sz="4" w:space="0" w:color="auto"/>
              <w:bottom w:val="single" w:sz="4" w:space="0" w:color="auto"/>
            </w:tcBorders>
          </w:tcPr>
          <w:p w14:paraId="39D0EEA0" w14:textId="17EB1737" w:rsidR="00402E2C" w:rsidRPr="00946824" w:rsidRDefault="00402E2C" w:rsidP="00F976DF">
            <w:pPr>
              <w:pStyle w:val="ESTablebody"/>
              <w:rPr>
                <w:rFonts w:ascii="Calibri" w:hAnsi="Calibri" w:cs="Calibri"/>
                <w:sz w:val="18"/>
              </w:rPr>
            </w:pPr>
            <w:r w:rsidRPr="00F976DF">
              <w:rPr>
                <w:rFonts w:ascii="Calibri" w:hAnsi="Calibri" w:cs="Calibri"/>
                <w:sz w:val="18"/>
              </w:rPr>
              <w:t xml:space="preserve">Meetings were held </w:t>
            </w:r>
            <w:r w:rsidR="00930ACA">
              <w:rPr>
                <w:rFonts w:ascii="Calibri" w:hAnsi="Calibri" w:cs="Calibri"/>
                <w:sz w:val="18"/>
              </w:rPr>
              <w:t>twice in 2021–</w:t>
            </w:r>
            <w:proofErr w:type="gramStart"/>
            <w:r w:rsidR="00930ACA">
              <w:rPr>
                <w:rFonts w:ascii="Calibri" w:hAnsi="Calibri" w:cs="Calibri"/>
                <w:sz w:val="18"/>
              </w:rPr>
              <w:t xml:space="preserve">22 </w:t>
            </w:r>
            <w:r w:rsidRPr="00F976DF">
              <w:rPr>
                <w:rFonts w:ascii="Calibri" w:hAnsi="Calibri" w:cs="Calibri"/>
                <w:sz w:val="18"/>
              </w:rPr>
              <w:t xml:space="preserve"> and</w:t>
            </w:r>
            <w:proofErr w:type="gramEnd"/>
            <w:r w:rsidRPr="00F976DF">
              <w:rPr>
                <w:rFonts w:ascii="Calibri" w:hAnsi="Calibri" w:cs="Calibri"/>
                <w:sz w:val="18"/>
              </w:rPr>
              <w:t xml:space="preserve"> involved senior executives </w:t>
            </w:r>
            <w:r>
              <w:rPr>
                <w:rFonts w:ascii="Calibri" w:hAnsi="Calibri" w:cs="Calibri"/>
                <w:sz w:val="18"/>
              </w:rPr>
              <w:t>from the department and the Department of Justice and Community Safety.</w:t>
            </w:r>
          </w:p>
        </w:tc>
      </w:tr>
    </w:tbl>
    <w:p w14:paraId="492ED52E" w14:textId="71127284" w:rsidR="0028532D" w:rsidRPr="00B85B32" w:rsidRDefault="0028532D" w:rsidP="0028532D">
      <w:pPr>
        <w:rPr>
          <w:rFonts w:ascii="Calibri" w:hAnsi="Calibri" w:cs="Calibri"/>
          <w:lang w:val="en-US"/>
        </w:rPr>
      </w:pPr>
    </w:p>
    <w:p w14:paraId="2084F74A" w14:textId="0265F4AE" w:rsidR="0028532D" w:rsidRPr="00B85B32" w:rsidRDefault="0028532D" w:rsidP="0028532D">
      <w:pPr>
        <w:rPr>
          <w:rFonts w:ascii="Calibri" w:hAnsi="Calibri" w:cs="Calibri"/>
          <w:lang w:val="en-US"/>
        </w:rPr>
      </w:pPr>
    </w:p>
    <w:p w14:paraId="20008BCA" w14:textId="71287375" w:rsidR="0028532D" w:rsidRPr="00B85B32" w:rsidRDefault="0028532D" w:rsidP="0028532D">
      <w:pPr>
        <w:rPr>
          <w:rFonts w:ascii="Calibri" w:hAnsi="Calibri" w:cs="Calibri"/>
          <w:lang w:val="en-US"/>
        </w:rPr>
        <w:sectPr w:rsidR="0028532D" w:rsidRPr="00B85B32" w:rsidSect="000A737C">
          <w:pgSz w:w="11900" w:h="16840"/>
          <w:pgMar w:top="1440" w:right="1440" w:bottom="1440" w:left="1440" w:header="708" w:footer="708" w:gutter="0"/>
          <w:cols w:space="708"/>
          <w:docGrid w:linePitch="360"/>
        </w:sectPr>
      </w:pPr>
    </w:p>
    <w:p w14:paraId="6EA10FA8" w14:textId="5AC94B8C" w:rsidR="0028532D" w:rsidRPr="00B85B32" w:rsidRDefault="0028532D" w:rsidP="0048665E">
      <w:pPr>
        <w:pStyle w:val="ESHeading1"/>
        <w:rPr>
          <w:rFonts w:ascii="Calibri" w:hAnsi="Calibri" w:cs="Calibri"/>
        </w:rPr>
      </w:pPr>
      <w:bookmarkStart w:id="83" w:name="_Toc8899538"/>
      <w:bookmarkStart w:id="84" w:name="_Toc109806869"/>
      <w:r w:rsidRPr="00B85B32">
        <w:rPr>
          <w:rFonts w:ascii="Calibri" w:hAnsi="Calibri" w:cs="Calibri"/>
        </w:rPr>
        <w:t>Consultan</w:t>
      </w:r>
      <w:r w:rsidR="007120FD">
        <w:rPr>
          <w:rFonts w:ascii="Calibri" w:hAnsi="Calibri" w:cs="Calibri"/>
        </w:rPr>
        <w:t>t</w:t>
      </w:r>
      <w:r w:rsidRPr="00B85B32">
        <w:rPr>
          <w:rFonts w:ascii="Calibri" w:hAnsi="Calibri" w:cs="Calibri"/>
        </w:rPr>
        <w:t>s and contractors</w:t>
      </w:r>
      <w:bookmarkEnd w:id="83"/>
      <w:bookmarkEnd w:id="84"/>
    </w:p>
    <w:p w14:paraId="1F679120" w14:textId="30E666FB" w:rsidR="005B4F18" w:rsidRPr="00924707" w:rsidRDefault="005B4F18" w:rsidP="005B4F18">
      <w:pPr>
        <w:rPr>
          <w:rFonts w:ascii="Calibri" w:hAnsi="Calibri" w:cs="Calibri"/>
        </w:rPr>
      </w:pPr>
      <w:r w:rsidRPr="00924707">
        <w:rPr>
          <w:rFonts w:ascii="Calibri" w:hAnsi="Calibri" w:cs="Calibri"/>
        </w:rPr>
        <w:t xml:space="preserve">The tables below detail the consultancies and contractors engaged by the department in </w:t>
      </w:r>
      <w:r w:rsidR="00C04847" w:rsidRPr="00924707">
        <w:rPr>
          <w:rFonts w:ascii="Calibri" w:hAnsi="Calibri" w:cs="Calibri"/>
        </w:rPr>
        <w:t>2021–22</w:t>
      </w:r>
      <w:r w:rsidRPr="00924707">
        <w:rPr>
          <w:rFonts w:ascii="Calibri" w:hAnsi="Calibri" w:cs="Calibri"/>
        </w:rPr>
        <w:t>.</w:t>
      </w:r>
    </w:p>
    <w:p w14:paraId="6337316B" w14:textId="77777777" w:rsidR="005B4F18" w:rsidRPr="005B4F18" w:rsidRDefault="005B4F18" w:rsidP="005B4F18">
      <w:pPr>
        <w:rPr>
          <w:rFonts w:ascii="Calibri" w:hAnsi="Calibri" w:cs="Calibri"/>
          <w:highlight w:val="yellow"/>
        </w:rPr>
      </w:pPr>
    </w:p>
    <w:p w14:paraId="576FC9EF" w14:textId="12098866" w:rsidR="005B4F18" w:rsidRPr="005E2777" w:rsidRDefault="005B4F18" w:rsidP="005B4F18">
      <w:pPr>
        <w:rPr>
          <w:rFonts w:ascii="Calibri" w:hAnsi="Calibri" w:cs="Calibri"/>
        </w:rPr>
      </w:pPr>
      <w:r w:rsidRPr="00924707">
        <w:rPr>
          <w:rFonts w:ascii="Calibri" w:hAnsi="Calibri" w:cs="Calibri"/>
        </w:rPr>
        <w:t>This information may exclude payments to contractors made by government schools and payments for capital works in progress. Contractors’ business names are listed in the Australian Business Register. Capitalisation, abbreviations, punctuation, spelling and any apparent errors or inconsistencies are consistent with the register’s listings.</w:t>
      </w:r>
    </w:p>
    <w:p w14:paraId="28276069" w14:textId="77777777" w:rsidR="00D34D92" w:rsidRPr="00925213" w:rsidRDefault="00D34D92" w:rsidP="00D34D92">
      <w:pPr>
        <w:pStyle w:val="ESHeading3"/>
        <w:rPr>
          <w:rFonts w:ascii="Calibri" w:hAnsi="Calibri" w:cs="Calibri"/>
          <w:lang w:val="en-AU"/>
        </w:rPr>
      </w:pPr>
      <w:bookmarkStart w:id="85" w:name="_Toc109806870"/>
      <w:r w:rsidRPr="00925213">
        <w:rPr>
          <w:rFonts w:ascii="Calibri" w:hAnsi="Calibri" w:cs="Calibri"/>
          <w:lang w:val="en-AU"/>
        </w:rPr>
        <w:t>Details of consultancies valued at $10,000 or more</w:t>
      </w:r>
      <w:bookmarkEnd w:id="85"/>
    </w:p>
    <w:p w14:paraId="09AA68BA" w14:textId="5E6011BD" w:rsidR="00D34D92" w:rsidRPr="00925213" w:rsidRDefault="00D34D92" w:rsidP="00D34D92">
      <w:pPr>
        <w:rPr>
          <w:rFonts w:ascii="Calibri" w:hAnsi="Calibri" w:cs="Calibri"/>
        </w:rPr>
      </w:pPr>
      <w:r w:rsidRPr="00924707">
        <w:rPr>
          <w:rFonts w:ascii="Calibri" w:hAnsi="Calibri" w:cs="Calibri"/>
        </w:rPr>
        <w:t>In 202</w:t>
      </w:r>
      <w:r w:rsidR="00924707" w:rsidRPr="00924707">
        <w:rPr>
          <w:rFonts w:ascii="Calibri" w:hAnsi="Calibri" w:cs="Calibri"/>
        </w:rPr>
        <w:t>1</w:t>
      </w:r>
      <w:r w:rsidR="000A737C" w:rsidRPr="00924707">
        <w:rPr>
          <w:rFonts w:ascii="Calibri" w:hAnsi="Calibri" w:cs="Calibri"/>
        </w:rPr>
        <w:t>–</w:t>
      </w:r>
      <w:r w:rsidRPr="00924707">
        <w:rPr>
          <w:rFonts w:ascii="Calibri" w:hAnsi="Calibri" w:cs="Calibri"/>
        </w:rPr>
        <w:t>2</w:t>
      </w:r>
      <w:r w:rsidR="00924707" w:rsidRPr="00924707">
        <w:rPr>
          <w:rFonts w:ascii="Calibri" w:hAnsi="Calibri" w:cs="Calibri"/>
        </w:rPr>
        <w:t>2</w:t>
      </w:r>
      <w:r w:rsidRPr="00924707">
        <w:rPr>
          <w:rFonts w:ascii="Calibri" w:hAnsi="Calibri" w:cs="Calibri"/>
        </w:rPr>
        <w:t xml:space="preserve">, there were </w:t>
      </w:r>
      <w:r w:rsidR="001B6D36">
        <w:rPr>
          <w:rFonts w:ascii="Calibri" w:hAnsi="Calibri" w:cs="Calibri"/>
        </w:rPr>
        <w:t>42</w:t>
      </w:r>
      <w:r w:rsidRPr="00924707">
        <w:rPr>
          <w:rFonts w:ascii="Calibri" w:hAnsi="Calibri" w:cs="Calibri"/>
        </w:rPr>
        <w:t xml:space="preserve"> consultancies </w:t>
      </w:r>
      <w:r w:rsidR="00C3010C" w:rsidRPr="00924707">
        <w:rPr>
          <w:rFonts w:ascii="Calibri" w:hAnsi="Calibri" w:cs="Calibri"/>
        </w:rPr>
        <w:t>that incurred</w:t>
      </w:r>
      <w:r w:rsidRPr="00924707">
        <w:rPr>
          <w:rFonts w:ascii="Calibri" w:hAnsi="Calibri" w:cs="Calibri"/>
        </w:rPr>
        <w:t xml:space="preserve"> total fees of $10,000 or more. These consultancies incurred a total expenditure of $</w:t>
      </w:r>
      <w:r w:rsidR="001B6D36">
        <w:rPr>
          <w:rFonts w:ascii="Calibri" w:hAnsi="Calibri" w:cs="Calibri"/>
        </w:rPr>
        <w:t>9</w:t>
      </w:r>
      <w:r w:rsidRPr="00924707">
        <w:rPr>
          <w:rFonts w:ascii="Calibri" w:hAnsi="Calibri" w:cs="Calibri"/>
        </w:rPr>
        <w:t>.</w:t>
      </w:r>
      <w:r w:rsidR="00924707" w:rsidRPr="00924707">
        <w:rPr>
          <w:rFonts w:ascii="Calibri" w:hAnsi="Calibri" w:cs="Calibri"/>
        </w:rPr>
        <w:t>9</w:t>
      </w:r>
      <w:r w:rsidRPr="00924707">
        <w:rPr>
          <w:rFonts w:ascii="Calibri" w:hAnsi="Calibri" w:cs="Calibri"/>
        </w:rPr>
        <w:t xml:space="preserve"> million (excluding GST) and are detailed in the table below.</w:t>
      </w:r>
    </w:p>
    <w:p w14:paraId="2CB19E05" w14:textId="77777777" w:rsidR="00D34D92" w:rsidRPr="00925213" w:rsidRDefault="00D34D92" w:rsidP="00D34D92">
      <w:pPr>
        <w:pStyle w:val="ESTableintroheading"/>
        <w:rPr>
          <w:rFonts w:ascii="Calibri" w:hAnsi="Calibri" w:cs="Calibri"/>
        </w:rPr>
      </w:pPr>
      <w:r w:rsidRPr="00925213">
        <w:rPr>
          <w:rFonts w:ascii="Calibri" w:hAnsi="Calibri" w:cs="Calibri"/>
        </w:rPr>
        <w:t xml:space="preserve">Consultancy expenditure </w:t>
      </w:r>
    </w:p>
    <w:tbl>
      <w:tblPr>
        <w:tblStyle w:val="TableGrid"/>
        <w:tblW w:w="509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55"/>
        <w:gridCol w:w="3608"/>
        <w:gridCol w:w="1227"/>
        <w:gridCol w:w="1316"/>
        <w:gridCol w:w="2055"/>
        <w:gridCol w:w="1490"/>
        <w:gridCol w:w="49"/>
        <w:gridCol w:w="1518"/>
      </w:tblGrid>
      <w:tr w:rsidR="005F54A8" w:rsidRPr="009423C3" w14:paraId="52972E20" w14:textId="77777777" w:rsidTr="00924707">
        <w:trPr>
          <w:cantSplit/>
          <w:trHeight w:val="246"/>
          <w:tblHeader/>
        </w:trPr>
        <w:tc>
          <w:tcPr>
            <w:tcW w:w="2955" w:type="dxa"/>
            <w:tcBorders>
              <w:bottom w:val="single" w:sz="4" w:space="0" w:color="FFFFFF" w:themeColor="background1"/>
            </w:tcBorders>
            <w:shd w:val="clear" w:color="auto" w:fill="AF272F"/>
          </w:tcPr>
          <w:p w14:paraId="3507EBF3" w14:textId="77777777"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Consultant</w:t>
            </w:r>
          </w:p>
        </w:tc>
        <w:tc>
          <w:tcPr>
            <w:tcW w:w="3608" w:type="dxa"/>
            <w:tcBorders>
              <w:bottom w:val="single" w:sz="4" w:space="0" w:color="FFFFFF" w:themeColor="background1"/>
            </w:tcBorders>
            <w:shd w:val="clear" w:color="auto" w:fill="AF272F" w:themeFill="accent4"/>
          </w:tcPr>
          <w:p w14:paraId="0BF3A3B8" w14:textId="77777777"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Purpose of consultancy</w:t>
            </w:r>
          </w:p>
        </w:tc>
        <w:tc>
          <w:tcPr>
            <w:tcW w:w="1227" w:type="dxa"/>
            <w:tcBorders>
              <w:bottom w:val="single" w:sz="4" w:space="0" w:color="FFFFFF" w:themeColor="background1"/>
            </w:tcBorders>
            <w:shd w:val="clear" w:color="auto" w:fill="AF272F" w:themeFill="accent4"/>
          </w:tcPr>
          <w:p w14:paraId="1CDC868A" w14:textId="7C7C9AE5"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Sta</w:t>
            </w:r>
            <w:r w:rsidR="0048231C">
              <w:rPr>
                <w:rFonts w:ascii="Calibri" w:hAnsi="Calibri" w:cs="Calibri"/>
                <w:sz w:val="20"/>
                <w:szCs w:val="20"/>
              </w:rPr>
              <w:t>r</w:t>
            </w:r>
            <w:r w:rsidRPr="00925213">
              <w:rPr>
                <w:rFonts w:ascii="Calibri" w:hAnsi="Calibri" w:cs="Calibri"/>
                <w:sz w:val="20"/>
                <w:szCs w:val="20"/>
              </w:rPr>
              <w:t>t date</w:t>
            </w:r>
          </w:p>
        </w:tc>
        <w:tc>
          <w:tcPr>
            <w:tcW w:w="1316" w:type="dxa"/>
            <w:tcBorders>
              <w:bottom w:val="single" w:sz="4" w:space="0" w:color="FFFFFF" w:themeColor="background1"/>
            </w:tcBorders>
            <w:shd w:val="clear" w:color="auto" w:fill="AF272F" w:themeFill="accent4"/>
          </w:tcPr>
          <w:p w14:paraId="5322148E" w14:textId="77777777"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End date</w:t>
            </w:r>
          </w:p>
        </w:tc>
        <w:tc>
          <w:tcPr>
            <w:tcW w:w="2055" w:type="dxa"/>
            <w:tcBorders>
              <w:bottom w:val="single" w:sz="4" w:space="0" w:color="FFFFFF" w:themeColor="background1"/>
            </w:tcBorders>
            <w:shd w:val="clear" w:color="auto" w:fill="AF272F" w:themeFill="accent4"/>
          </w:tcPr>
          <w:p w14:paraId="5D7B5CCF" w14:textId="77777777" w:rsidR="005F54A8" w:rsidRPr="00925213" w:rsidRDefault="005F54A8" w:rsidP="00924707">
            <w:pPr>
              <w:pStyle w:val="ESTableheadingwhite"/>
              <w:jc w:val="right"/>
              <w:rPr>
                <w:rFonts w:ascii="Calibri" w:hAnsi="Calibri" w:cs="Calibri"/>
                <w:sz w:val="20"/>
                <w:szCs w:val="20"/>
              </w:rPr>
            </w:pPr>
            <w:r w:rsidRPr="00925213">
              <w:rPr>
                <w:rFonts w:ascii="Calibri" w:hAnsi="Calibri" w:cs="Calibri"/>
                <w:sz w:val="20"/>
                <w:szCs w:val="20"/>
              </w:rPr>
              <w:t xml:space="preserve">Total approved project fee </w:t>
            </w:r>
          </w:p>
          <w:p w14:paraId="60A44724" w14:textId="77777777" w:rsidR="005F54A8" w:rsidRPr="00925213" w:rsidRDefault="005F54A8" w:rsidP="00924707">
            <w:pPr>
              <w:pStyle w:val="ESTableheadingwhite"/>
              <w:jc w:val="right"/>
              <w:rPr>
                <w:rFonts w:ascii="Calibri" w:hAnsi="Calibri" w:cs="Calibri"/>
                <w:sz w:val="20"/>
                <w:szCs w:val="20"/>
              </w:rPr>
            </w:pPr>
            <w:r w:rsidRPr="00925213">
              <w:rPr>
                <w:rFonts w:ascii="Calibri" w:hAnsi="Calibri" w:cs="Calibri"/>
                <w:sz w:val="20"/>
                <w:szCs w:val="20"/>
              </w:rPr>
              <w:t>($ excl. GST)</w:t>
            </w:r>
          </w:p>
        </w:tc>
        <w:tc>
          <w:tcPr>
            <w:tcW w:w="1539" w:type="dxa"/>
            <w:gridSpan w:val="2"/>
            <w:tcBorders>
              <w:bottom w:val="single" w:sz="4" w:space="0" w:color="FFFFFF" w:themeColor="background1"/>
            </w:tcBorders>
            <w:shd w:val="clear" w:color="auto" w:fill="AF272F" w:themeFill="accent4"/>
          </w:tcPr>
          <w:p w14:paraId="194A1708" w14:textId="0B4592BC" w:rsidR="005F54A8" w:rsidRPr="00925213" w:rsidRDefault="005F54A8" w:rsidP="00924707">
            <w:pPr>
              <w:pStyle w:val="ESTableheadingwhite"/>
              <w:jc w:val="right"/>
              <w:rPr>
                <w:rFonts w:ascii="Calibri" w:hAnsi="Calibri" w:cs="Calibri"/>
                <w:sz w:val="20"/>
                <w:szCs w:val="20"/>
              </w:rPr>
            </w:pPr>
            <w:r w:rsidRPr="00925213">
              <w:rPr>
                <w:rFonts w:ascii="Calibri" w:hAnsi="Calibri" w:cs="Calibri"/>
                <w:sz w:val="20"/>
                <w:szCs w:val="20"/>
              </w:rPr>
              <w:t>Expenditure 202</w:t>
            </w:r>
            <w:r w:rsidR="00E61A61">
              <w:rPr>
                <w:rFonts w:ascii="Calibri" w:hAnsi="Calibri" w:cs="Calibri"/>
                <w:sz w:val="20"/>
                <w:szCs w:val="20"/>
              </w:rPr>
              <w:t>1</w:t>
            </w:r>
            <w:r w:rsidRPr="00925213">
              <w:rPr>
                <w:rFonts w:ascii="Calibri" w:hAnsi="Calibri" w:cs="Calibri"/>
                <w:sz w:val="20"/>
                <w:szCs w:val="20"/>
              </w:rPr>
              <w:t>–2</w:t>
            </w:r>
            <w:r w:rsidR="00E61A61">
              <w:rPr>
                <w:rFonts w:ascii="Calibri" w:hAnsi="Calibri" w:cs="Calibri"/>
                <w:sz w:val="20"/>
                <w:szCs w:val="20"/>
              </w:rPr>
              <w:t>0</w:t>
            </w:r>
            <w:r w:rsidRPr="00925213">
              <w:rPr>
                <w:rFonts w:ascii="Calibri" w:hAnsi="Calibri" w:cs="Calibri"/>
                <w:sz w:val="20"/>
                <w:szCs w:val="20"/>
              </w:rPr>
              <w:t xml:space="preserve"> </w:t>
            </w:r>
          </w:p>
          <w:p w14:paraId="4A625769" w14:textId="77777777" w:rsidR="005F54A8" w:rsidRPr="00925213" w:rsidRDefault="005F54A8" w:rsidP="00924707">
            <w:pPr>
              <w:pStyle w:val="ESTableheadingwhite"/>
              <w:jc w:val="right"/>
              <w:rPr>
                <w:rFonts w:ascii="Calibri" w:hAnsi="Calibri" w:cs="Calibri"/>
                <w:sz w:val="20"/>
                <w:szCs w:val="20"/>
              </w:rPr>
            </w:pPr>
            <w:r w:rsidRPr="00925213">
              <w:rPr>
                <w:rFonts w:ascii="Calibri" w:hAnsi="Calibri" w:cs="Calibri"/>
                <w:sz w:val="20"/>
                <w:szCs w:val="20"/>
              </w:rPr>
              <w:t>($ excl. GST)</w:t>
            </w:r>
          </w:p>
        </w:tc>
        <w:tc>
          <w:tcPr>
            <w:tcW w:w="1518" w:type="dxa"/>
            <w:tcBorders>
              <w:bottom w:val="single" w:sz="4" w:space="0" w:color="FFFFFF" w:themeColor="background1"/>
            </w:tcBorders>
            <w:shd w:val="clear" w:color="auto" w:fill="AF272F" w:themeFill="accent4"/>
          </w:tcPr>
          <w:p w14:paraId="39C03841" w14:textId="77777777" w:rsidR="005F54A8" w:rsidRPr="00925213" w:rsidRDefault="005F54A8" w:rsidP="00924707">
            <w:pPr>
              <w:pStyle w:val="ESTableheadingwhite"/>
              <w:jc w:val="right"/>
              <w:rPr>
                <w:rFonts w:ascii="Calibri" w:hAnsi="Calibri" w:cs="Calibri"/>
                <w:sz w:val="20"/>
                <w:szCs w:val="20"/>
              </w:rPr>
            </w:pPr>
            <w:r w:rsidRPr="00925213">
              <w:rPr>
                <w:rFonts w:ascii="Calibri" w:hAnsi="Calibri" w:cs="Calibri"/>
                <w:sz w:val="20"/>
                <w:szCs w:val="20"/>
              </w:rPr>
              <w:t xml:space="preserve">Future expenditure </w:t>
            </w:r>
          </w:p>
          <w:p w14:paraId="1E3AD8AD" w14:textId="77777777" w:rsidR="005F54A8" w:rsidRPr="00925213" w:rsidRDefault="005F54A8" w:rsidP="00924707">
            <w:pPr>
              <w:pStyle w:val="ESTableheadingwhite"/>
              <w:jc w:val="right"/>
              <w:rPr>
                <w:rFonts w:ascii="Calibri" w:hAnsi="Calibri" w:cs="Calibri"/>
                <w:sz w:val="20"/>
                <w:szCs w:val="20"/>
              </w:rPr>
            </w:pPr>
            <w:r w:rsidRPr="00925213">
              <w:rPr>
                <w:rFonts w:ascii="Calibri" w:hAnsi="Calibri" w:cs="Calibri"/>
                <w:sz w:val="20"/>
                <w:szCs w:val="20"/>
              </w:rPr>
              <w:t>($ excl. GST)</w:t>
            </w:r>
          </w:p>
        </w:tc>
      </w:tr>
      <w:tr w:rsidR="007D6BEC" w:rsidRPr="009423C3" w14:paraId="0F0B4FCC"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0CD17432" w14:textId="5C453C50" w:rsidR="007D6BEC" w:rsidRPr="00925213" w:rsidRDefault="007D6BEC" w:rsidP="00D006DC">
            <w:pPr>
              <w:pStyle w:val="ESTablebody"/>
              <w:rPr>
                <w:rFonts w:ascii="Calibri" w:hAnsi="Calibri" w:cs="Calibri"/>
                <w:sz w:val="18"/>
              </w:rPr>
            </w:pPr>
            <w:r>
              <w:rPr>
                <w:rFonts w:ascii="Calibri" w:hAnsi="Calibri" w:cs="Calibri"/>
                <w:color w:val="000000"/>
                <w:szCs w:val="20"/>
              </w:rPr>
              <w:t>ACIL ALLEN CONSULTING PTY LTD</w:t>
            </w:r>
          </w:p>
        </w:tc>
        <w:tc>
          <w:tcPr>
            <w:tcW w:w="3608" w:type="dxa"/>
            <w:tcBorders>
              <w:top w:val="single" w:sz="4" w:space="0" w:color="53565A" w:themeColor="accent5"/>
              <w:bottom w:val="single" w:sz="4" w:space="0" w:color="53565A" w:themeColor="accent5"/>
            </w:tcBorders>
            <w:vAlign w:val="center"/>
          </w:tcPr>
          <w:p w14:paraId="5A634B39" w14:textId="465E09AA" w:rsidR="007D6BEC" w:rsidRPr="00925213" w:rsidRDefault="007D6BEC" w:rsidP="00D006DC">
            <w:pPr>
              <w:pStyle w:val="ESTablebody"/>
              <w:rPr>
                <w:rFonts w:ascii="Calibri" w:hAnsi="Calibri" w:cs="Calibri"/>
                <w:sz w:val="18"/>
              </w:rPr>
            </w:pPr>
            <w:r>
              <w:rPr>
                <w:rFonts w:ascii="Calibri" w:hAnsi="Calibri" w:cs="Calibri"/>
                <w:color w:val="000000"/>
                <w:szCs w:val="20"/>
              </w:rPr>
              <w:t xml:space="preserve">Child Information Sharing Scheme </w:t>
            </w:r>
            <w:r w:rsidR="00EB10F1">
              <w:rPr>
                <w:rFonts w:ascii="Calibri" w:hAnsi="Calibri" w:cs="Calibri"/>
                <w:color w:val="000000"/>
                <w:szCs w:val="20"/>
              </w:rPr>
              <w:t>–</w:t>
            </w:r>
            <w:r>
              <w:rPr>
                <w:rFonts w:ascii="Calibri" w:hAnsi="Calibri" w:cs="Calibri"/>
                <w:color w:val="000000"/>
                <w:szCs w:val="20"/>
              </w:rPr>
              <w:t xml:space="preserve"> </w:t>
            </w:r>
            <w:r w:rsidR="00C33979">
              <w:rPr>
                <w:rFonts w:ascii="Calibri" w:hAnsi="Calibri" w:cs="Calibri"/>
                <w:color w:val="000000"/>
                <w:szCs w:val="20"/>
              </w:rPr>
              <w:t>2</w:t>
            </w:r>
            <w:r w:rsidR="00930ACA">
              <w:rPr>
                <w:rFonts w:ascii="Calibri" w:hAnsi="Calibri" w:cs="Calibri"/>
                <w:color w:val="000000"/>
                <w:szCs w:val="20"/>
              </w:rPr>
              <w:noBreakHyphen/>
            </w:r>
            <w:r>
              <w:rPr>
                <w:rFonts w:ascii="Calibri" w:hAnsi="Calibri" w:cs="Calibri"/>
                <w:color w:val="000000"/>
                <w:szCs w:val="20"/>
              </w:rPr>
              <w:t>year review</w:t>
            </w:r>
          </w:p>
        </w:tc>
        <w:tc>
          <w:tcPr>
            <w:tcW w:w="1227" w:type="dxa"/>
            <w:tcBorders>
              <w:top w:val="single" w:sz="4" w:space="0" w:color="53565A" w:themeColor="accent5"/>
              <w:bottom w:val="single" w:sz="4" w:space="0" w:color="53565A" w:themeColor="accent5"/>
            </w:tcBorders>
            <w:vAlign w:val="center"/>
          </w:tcPr>
          <w:p w14:paraId="2E49B83A" w14:textId="77AF7D6E" w:rsidR="007D6BEC" w:rsidRPr="00925213" w:rsidRDefault="007D6BEC" w:rsidP="00D006DC">
            <w:pPr>
              <w:pStyle w:val="ESTablebody"/>
              <w:rPr>
                <w:rFonts w:ascii="Calibri" w:hAnsi="Calibri" w:cs="Calibri"/>
                <w:sz w:val="18"/>
              </w:rPr>
            </w:pPr>
            <w:r>
              <w:rPr>
                <w:rFonts w:ascii="Calibri" w:hAnsi="Calibri" w:cs="Calibri"/>
                <w:color w:val="000000"/>
                <w:szCs w:val="20"/>
              </w:rPr>
              <w:t>3/09/2018</w:t>
            </w:r>
          </w:p>
        </w:tc>
        <w:tc>
          <w:tcPr>
            <w:tcW w:w="1316" w:type="dxa"/>
            <w:tcBorders>
              <w:top w:val="single" w:sz="4" w:space="0" w:color="53565A" w:themeColor="accent5"/>
              <w:bottom w:val="single" w:sz="4" w:space="0" w:color="53565A" w:themeColor="accent5"/>
            </w:tcBorders>
            <w:vAlign w:val="center"/>
          </w:tcPr>
          <w:p w14:paraId="5D2D5FD6" w14:textId="226BE0F8" w:rsidR="007D6BEC" w:rsidRPr="00925213" w:rsidRDefault="007D6BEC" w:rsidP="00D006DC">
            <w:pPr>
              <w:pStyle w:val="ESTablebody"/>
              <w:rPr>
                <w:rFonts w:ascii="Calibri" w:hAnsi="Calibri" w:cs="Calibri"/>
                <w:sz w:val="18"/>
              </w:rPr>
            </w:pPr>
            <w:r>
              <w:rPr>
                <w:rFonts w:ascii="Calibri" w:hAnsi="Calibri" w:cs="Calibri"/>
                <w:color w:val="000000"/>
                <w:szCs w:val="20"/>
              </w:rPr>
              <w:t>31/07/2021</w:t>
            </w:r>
          </w:p>
        </w:tc>
        <w:tc>
          <w:tcPr>
            <w:tcW w:w="2055" w:type="dxa"/>
            <w:tcBorders>
              <w:top w:val="single" w:sz="4" w:space="0" w:color="53565A" w:themeColor="accent5"/>
              <w:bottom w:val="single" w:sz="4" w:space="0" w:color="53565A" w:themeColor="accent5"/>
            </w:tcBorders>
            <w:vAlign w:val="center"/>
          </w:tcPr>
          <w:p w14:paraId="30C27B9F" w14:textId="698D3ABD" w:rsidR="007D6BEC" w:rsidRPr="00925213" w:rsidRDefault="007D6BEC" w:rsidP="007D6BEC">
            <w:pPr>
              <w:pStyle w:val="ESTablebody"/>
              <w:jc w:val="right"/>
              <w:rPr>
                <w:rFonts w:ascii="Calibri" w:hAnsi="Calibri" w:cs="Calibri"/>
                <w:sz w:val="18"/>
              </w:rPr>
            </w:pPr>
            <w:r>
              <w:rPr>
                <w:rFonts w:ascii="Calibri" w:hAnsi="Calibri" w:cs="Calibri"/>
                <w:color w:val="000000"/>
                <w:szCs w:val="20"/>
              </w:rPr>
              <w:t>561,081</w:t>
            </w:r>
          </w:p>
        </w:tc>
        <w:tc>
          <w:tcPr>
            <w:tcW w:w="1490" w:type="dxa"/>
            <w:tcBorders>
              <w:top w:val="single" w:sz="4" w:space="0" w:color="53565A" w:themeColor="accent5"/>
              <w:bottom w:val="single" w:sz="4" w:space="0" w:color="53565A" w:themeColor="accent5"/>
            </w:tcBorders>
            <w:vAlign w:val="center"/>
          </w:tcPr>
          <w:p w14:paraId="300D454D" w14:textId="04424D46" w:rsidR="007D6BEC" w:rsidRPr="00925213" w:rsidRDefault="007D6BEC" w:rsidP="007D6BEC">
            <w:pPr>
              <w:pStyle w:val="ESTablebody"/>
              <w:jc w:val="right"/>
              <w:rPr>
                <w:rFonts w:ascii="Calibri" w:hAnsi="Calibri" w:cs="Calibri"/>
                <w:sz w:val="18"/>
              </w:rPr>
            </w:pPr>
            <w:r>
              <w:rPr>
                <w:rFonts w:ascii="Calibri" w:hAnsi="Calibri" w:cs="Calibri"/>
                <w:color w:val="000000"/>
                <w:szCs w:val="20"/>
              </w:rPr>
              <w:t>196,973</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082859D7" w14:textId="0BC70EDC" w:rsidR="007D6BEC" w:rsidRPr="00925213" w:rsidRDefault="007D6BEC" w:rsidP="00D006DC">
            <w:pPr>
              <w:pStyle w:val="ESTablebody"/>
              <w:jc w:val="right"/>
              <w:rPr>
                <w:rFonts w:ascii="Calibri" w:hAnsi="Calibri" w:cs="Calibri"/>
                <w:sz w:val="18"/>
              </w:rPr>
            </w:pPr>
            <w:r>
              <w:rPr>
                <w:rFonts w:ascii="Calibri" w:hAnsi="Calibri" w:cs="Calibri"/>
              </w:rPr>
              <w:t>–</w:t>
            </w:r>
          </w:p>
        </w:tc>
      </w:tr>
      <w:tr w:rsidR="007D6BEC" w:rsidRPr="009423C3" w14:paraId="39B42A76"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000EB8C" w14:textId="5DFB7F86" w:rsidR="007D6BEC" w:rsidRPr="00925213" w:rsidRDefault="007D6BEC" w:rsidP="00D006DC">
            <w:pPr>
              <w:pStyle w:val="ESTablebody"/>
              <w:rPr>
                <w:rFonts w:ascii="Calibri" w:hAnsi="Calibri" w:cs="Calibri"/>
                <w:sz w:val="18"/>
              </w:rPr>
            </w:pPr>
            <w:r>
              <w:rPr>
                <w:rFonts w:ascii="Calibri" w:hAnsi="Calibri" w:cs="Calibri"/>
                <w:color w:val="000000"/>
                <w:szCs w:val="20"/>
              </w:rPr>
              <w:t>ACIL ALLEN CONSULTING PTY LTD</w:t>
            </w:r>
          </w:p>
        </w:tc>
        <w:tc>
          <w:tcPr>
            <w:tcW w:w="3608" w:type="dxa"/>
            <w:tcBorders>
              <w:top w:val="single" w:sz="4" w:space="0" w:color="53565A" w:themeColor="accent5"/>
              <w:bottom w:val="single" w:sz="4" w:space="0" w:color="53565A" w:themeColor="accent5"/>
            </w:tcBorders>
            <w:vAlign w:val="center"/>
          </w:tcPr>
          <w:p w14:paraId="7E593AAA" w14:textId="14582980" w:rsidR="007D6BEC" w:rsidRPr="00925213" w:rsidRDefault="007D6BEC" w:rsidP="00D006DC">
            <w:pPr>
              <w:pStyle w:val="ESTablebody"/>
              <w:rPr>
                <w:rFonts w:ascii="Calibri" w:hAnsi="Calibri" w:cs="Calibri"/>
                <w:sz w:val="18"/>
              </w:rPr>
            </w:pPr>
            <w:r>
              <w:rPr>
                <w:rFonts w:ascii="Calibri" w:hAnsi="Calibri" w:cs="Calibri"/>
                <w:color w:val="000000"/>
                <w:szCs w:val="20"/>
              </w:rPr>
              <w:t xml:space="preserve">Early Childhood Strategic Evaluation </w:t>
            </w:r>
          </w:p>
        </w:tc>
        <w:tc>
          <w:tcPr>
            <w:tcW w:w="1227" w:type="dxa"/>
            <w:tcBorders>
              <w:top w:val="single" w:sz="4" w:space="0" w:color="53565A" w:themeColor="accent5"/>
              <w:bottom w:val="single" w:sz="4" w:space="0" w:color="53565A" w:themeColor="accent5"/>
            </w:tcBorders>
            <w:vAlign w:val="center"/>
          </w:tcPr>
          <w:p w14:paraId="402C7FAC" w14:textId="153CC39B" w:rsidR="007D6BEC" w:rsidRPr="00925213" w:rsidRDefault="007D6BEC" w:rsidP="00D006DC">
            <w:pPr>
              <w:pStyle w:val="ESTablebody"/>
              <w:rPr>
                <w:rFonts w:ascii="Calibri" w:hAnsi="Calibri" w:cs="Calibri"/>
                <w:sz w:val="18"/>
              </w:rPr>
            </w:pPr>
            <w:r>
              <w:rPr>
                <w:rFonts w:ascii="Calibri" w:hAnsi="Calibri" w:cs="Calibri"/>
                <w:color w:val="000000"/>
                <w:szCs w:val="20"/>
              </w:rPr>
              <w:t>30/10/2018</w:t>
            </w:r>
          </w:p>
        </w:tc>
        <w:tc>
          <w:tcPr>
            <w:tcW w:w="1316" w:type="dxa"/>
            <w:tcBorders>
              <w:top w:val="single" w:sz="4" w:space="0" w:color="53565A" w:themeColor="accent5"/>
              <w:bottom w:val="single" w:sz="4" w:space="0" w:color="53565A" w:themeColor="accent5"/>
            </w:tcBorders>
            <w:vAlign w:val="center"/>
          </w:tcPr>
          <w:p w14:paraId="062AC354" w14:textId="5728DC50" w:rsidR="007D6BEC" w:rsidRPr="00925213" w:rsidRDefault="007D6BEC" w:rsidP="00D006DC">
            <w:pPr>
              <w:pStyle w:val="ESTablebody"/>
              <w:rPr>
                <w:rFonts w:ascii="Calibri" w:hAnsi="Calibri" w:cs="Calibri"/>
                <w:sz w:val="18"/>
              </w:rPr>
            </w:pPr>
            <w:r w:rsidRPr="006F2494">
              <w:rPr>
                <w:rFonts w:ascii="Calibri" w:hAnsi="Calibri" w:cs="Calibri"/>
                <w:color w:val="000000"/>
                <w:szCs w:val="20"/>
              </w:rPr>
              <w:t>30/09/2022</w:t>
            </w:r>
          </w:p>
        </w:tc>
        <w:tc>
          <w:tcPr>
            <w:tcW w:w="2055" w:type="dxa"/>
            <w:tcBorders>
              <w:top w:val="single" w:sz="4" w:space="0" w:color="53565A" w:themeColor="accent5"/>
              <w:bottom w:val="single" w:sz="4" w:space="0" w:color="53565A" w:themeColor="accent5"/>
            </w:tcBorders>
            <w:vAlign w:val="center"/>
          </w:tcPr>
          <w:p w14:paraId="319418D3" w14:textId="200B4D52" w:rsidR="007D6BEC" w:rsidRPr="00925213" w:rsidRDefault="007D6BEC" w:rsidP="007D6BEC">
            <w:pPr>
              <w:pStyle w:val="ESTablebody"/>
              <w:jc w:val="right"/>
              <w:rPr>
                <w:rFonts w:ascii="Calibri" w:hAnsi="Calibri" w:cs="Calibri"/>
                <w:sz w:val="18"/>
              </w:rPr>
            </w:pPr>
            <w:r>
              <w:rPr>
                <w:rFonts w:ascii="Calibri" w:hAnsi="Calibri" w:cs="Calibri"/>
                <w:color w:val="000000"/>
                <w:szCs w:val="20"/>
              </w:rPr>
              <w:t>1,335,280</w:t>
            </w:r>
          </w:p>
        </w:tc>
        <w:tc>
          <w:tcPr>
            <w:tcW w:w="1490" w:type="dxa"/>
            <w:tcBorders>
              <w:top w:val="single" w:sz="4" w:space="0" w:color="53565A" w:themeColor="accent5"/>
              <w:bottom w:val="single" w:sz="4" w:space="0" w:color="53565A" w:themeColor="accent5"/>
            </w:tcBorders>
            <w:vAlign w:val="center"/>
          </w:tcPr>
          <w:p w14:paraId="1989300B" w14:textId="1DD5D057" w:rsidR="007D6BEC" w:rsidRPr="00925213" w:rsidRDefault="007D6BEC" w:rsidP="007D6BEC">
            <w:pPr>
              <w:pStyle w:val="ESTablebody"/>
              <w:jc w:val="right"/>
              <w:rPr>
                <w:rFonts w:ascii="Calibri" w:hAnsi="Calibri" w:cs="Calibri"/>
                <w:sz w:val="18"/>
              </w:rPr>
            </w:pPr>
            <w:r>
              <w:rPr>
                <w:rFonts w:ascii="Calibri" w:hAnsi="Calibri" w:cs="Calibri"/>
                <w:color w:val="000000"/>
                <w:szCs w:val="20"/>
              </w:rPr>
              <w:t>331,170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3F04E439" w14:textId="6FCC8C6C" w:rsidR="007D6BEC" w:rsidRPr="00925213" w:rsidRDefault="007D6BEC" w:rsidP="00D006DC">
            <w:pPr>
              <w:pStyle w:val="ESTablebody"/>
              <w:jc w:val="right"/>
              <w:rPr>
                <w:rFonts w:ascii="Calibri" w:hAnsi="Calibri" w:cs="Calibri"/>
                <w:sz w:val="18"/>
              </w:rPr>
            </w:pPr>
            <w:r>
              <w:rPr>
                <w:rFonts w:ascii="Calibri" w:hAnsi="Calibri" w:cs="Calibri"/>
              </w:rPr>
              <w:t>–</w:t>
            </w:r>
          </w:p>
        </w:tc>
      </w:tr>
      <w:tr w:rsidR="00196E55" w:rsidRPr="009423C3" w14:paraId="01465FA8" w14:textId="77777777" w:rsidTr="00196E55">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6FE26478" w14:textId="1FAB0F0D" w:rsidR="00196E55" w:rsidRPr="00196E55" w:rsidRDefault="00196E55" w:rsidP="00196E55">
            <w:pPr>
              <w:pStyle w:val="ESTablebody"/>
              <w:rPr>
                <w:rFonts w:ascii="Calibri" w:hAnsi="Calibri" w:cs="Calibri"/>
                <w:color w:val="000000"/>
                <w:szCs w:val="20"/>
              </w:rPr>
            </w:pPr>
            <w:r w:rsidRPr="00196E55">
              <w:rPr>
                <w:rFonts w:ascii="Calibri" w:hAnsi="Calibri" w:cs="Calibri"/>
                <w:color w:val="000000"/>
                <w:szCs w:val="20"/>
              </w:rPr>
              <w:t>ACIL ALLEN CONSULTING PTY LTD</w:t>
            </w:r>
          </w:p>
        </w:tc>
        <w:tc>
          <w:tcPr>
            <w:tcW w:w="3608" w:type="dxa"/>
            <w:tcBorders>
              <w:top w:val="single" w:sz="4" w:space="0" w:color="53565A" w:themeColor="accent5"/>
              <w:bottom w:val="single" w:sz="4" w:space="0" w:color="53565A" w:themeColor="accent5"/>
            </w:tcBorders>
            <w:vAlign w:val="center"/>
          </w:tcPr>
          <w:p w14:paraId="5B355471" w14:textId="78E72E39" w:rsidR="00196E55" w:rsidRPr="00196E55" w:rsidRDefault="00196E55" w:rsidP="00196E55">
            <w:pPr>
              <w:pStyle w:val="ESTablebody"/>
              <w:rPr>
                <w:rFonts w:ascii="Calibri" w:hAnsi="Calibri" w:cs="Calibri"/>
                <w:color w:val="000000"/>
                <w:szCs w:val="20"/>
              </w:rPr>
            </w:pPr>
            <w:r w:rsidRPr="00196E55">
              <w:rPr>
                <w:rFonts w:ascii="Calibri" w:hAnsi="Calibri" w:cs="Calibri"/>
                <w:color w:val="000000"/>
                <w:szCs w:val="20"/>
              </w:rPr>
              <w:t>Development of pricing model for cost of training delivery</w:t>
            </w:r>
          </w:p>
        </w:tc>
        <w:tc>
          <w:tcPr>
            <w:tcW w:w="1227" w:type="dxa"/>
            <w:tcBorders>
              <w:top w:val="single" w:sz="4" w:space="0" w:color="53565A" w:themeColor="accent5"/>
              <w:bottom w:val="single" w:sz="4" w:space="0" w:color="53565A" w:themeColor="accent5"/>
            </w:tcBorders>
            <w:vAlign w:val="center"/>
          </w:tcPr>
          <w:p w14:paraId="27F54ED7" w14:textId="04340762" w:rsidR="00196E55" w:rsidRPr="00196E55" w:rsidRDefault="00196E55" w:rsidP="00196E55">
            <w:pPr>
              <w:pStyle w:val="ESTablebody"/>
              <w:rPr>
                <w:rFonts w:ascii="Calibri" w:hAnsi="Calibri" w:cs="Calibri"/>
                <w:color w:val="000000"/>
                <w:szCs w:val="20"/>
              </w:rPr>
            </w:pPr>
            <w:r w:rsidRPr="00196E55">
              <w:rPr>
                <w:rFonts w:ascii="Calibri" w:hAnsi="Calibri" w:cs="Calibri"/>
                <w:szCs w:val="20"/>
              </w:rPr>
              <w:t>13/07/2020</w:t>
            </w:r>
          </w:p>
        </w:tc>
        <w:tc>
          <w:tcPr>
            <w:tcW w:w="1316" w:type="dxa"/>
            <w:tcBorders>
              <w:top w:val="single" w:sz="4" w:space="0" w:color="53565A" w:themeColor="accent5"/>
              <w:bottom w:val="single" w:sz="4" w:space="0" w:color="53565A" w:themeColor="accent5"/>
            </w:tcBorders>
            <w:vAlign w:val="center"/>
          </w:tcPr>
          <w:p w14:paraId="08DE5524" w14:textId="5B0BE875" w:rsidR="00196E55" w:rsidRPr="00196E55" w:rsidRDefault="00196E55" w:rsidP="00196E55">
            <w:pPr>
              <w:pStyle w:val="ESTablebody"/>
              <w:rPr>
                <w:rFonts w:ascii="Calibri" w:hAnsi="Calibri" w:cs="Calibri"/>
                <w:color w:val="000000"/>
                <w:szCs w:val="20"/>
              </w:rPr>
            </w:pPr>
            <w:r w:rsidRPr="00196E55">
              <w:rPr>
                <w:rFonts w:ascii="Calibri" w:hAnsi="Calibri" w:cs="Calibri"/>
                <w:szCs w:val="20"/>
              </w:rPr>
              <w:t>31/12/2021</w:t>
            </w:r>
          </w:p>
        </w:tc>
        <w:tc>
          <w:tcPr>
            <w:tcW w:w="2055" w:type="dxa"/>
            <w:tcBorders>
              <w:top w:val="single" w:sz="4" w:space="0" w:color="53565A" w:themeColor="accent5"/>
              <w:bottom w:val="single" w:sz="4" w:space="0" w:color="53565A" w:themeColor="accent5"/>
            </w:tcBorders>
            <w:vAlign w:val="center"/>
          </w:tcPr>
          <w:p w14:paraId="5475010C" w14:textId="1234B72C" w:rsidR="00196E55" w:rsidRPr="00196E55" w:rsidRDefault="00196E55" w:rsidP="00196E55">
            <w:pPr>
              <w:pStyle w:val="ESTablebody"/>
              <w:jc w:val="right"/>
              <w:rPr>
                <w:rFonts w:ascii="Calibri" w:hAnsi="Calibri" w:cs="Calibri"/>
                <w:color w:val="000000"/>
                <w:szCs w:val="20"/>
              </w:rPr>
            </w:pPr>
            <w:r w:rsidRPr="00196E55">
              <w:rPr>
                <w:rFonts w:ascii="Calibri" w:hAnsi="Calibri" w:cs="Calibri"/>
                <w:szCs w:val="20"/>
              </w:rPr>
              <w:t>632,820</w:t>
            </w:r>
          </w:p>
        </w:tc>
        <w:tc>
          <w:tcPr>
            <w:tcW w:w="1490" w:type="dxa"/>
            <w:tcBorders>
              <w:top w:val="single" w:sz="4" w:space="0" w:color="53565A" w:themeColor="accent5"/>
              <w:bottom w:val="single" w:sz="4" w:space="0" w:color="53565A" w:themeColor="accent5"/>
            </w:tcBorders>
            <w:vAlign w:val="center"/>
          </w:tcPr>
          <w:p w14:paraId="27B60154" w14:textId="0B63CB2F" w:rsidR="00196E55" w:rsidRPr="00196E55" w:rsidRDefault="00196E55" w:rsidP="00196E55">
            <w:pPr>
              <w:pStyle w:val="ESTablebody"/>
              <w:jc w:val="right"/>
              <w:rPr>
                <w:rFonts w:ascii="Calibri" w:hAnsi="Calibri" w:cs="Calibri"/>
                <w:color w:val="000000"/>
                <w:szCs w:val="20"/>
              </w:rPr>
            </w:pPr>
            <w:r w:rsidRPr="00196E55">
              <w:rPr>
                <w:rFonts w:ascii="Calibri" w:hAnsi="Calibri" w:cs="Calibri"/>
                <w:szCs w:val="20"/>
              </w:rPr>
              <w:t>192,551</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0C5DB070" w14:textId="3113938F" w:rsidR="00196E55" w:rsidRPr="00196E55" w:rsidRDefault="00196E55" w:rsidP="00196E55">
            <w:pPr>
              <w:pStyle w:val="ESTablebody"/>
              <w:jc w:val="right"/>
              <w:rPr>
                <w:rFonts w:ascii="Calibri" w:hAnsi="Calibri" w:cs="Calibri"/>
                <w:color w:val="000000"/>
                <w:szCs w:val="20"/>
              </w:rPr>
            </w:pPr>
            <w:r w:rsidRPr="00196E55">
              <w:rPr>
                <w:rFonts w:ascii="Calibri" w:hAnsi="Calibri" w:cs="Calibri"/>
                <w:szCs w:val="20"/>
              </w:rPr>
              <w:t>–</w:t>
            </w:r>
          </w:p>
        </w:tc>
      </w:tr>
      <w:tr w:rsidR="007D6BEC" w:rsidRPr="009423C3" w14:paraId="3EFCAEEA"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FCDBCD8" w14:textId="26B1FFA9" w:rsidR="007D6BEC" w:rsidRPr="00925213" w:rsidRDefault="007D6BEC" w:rsidP="00D006DC">
            <w:pPr>
              <w:pStyle w:val="ESTablebody"/>
              <w:rPr>
                <w:rFonts w:ascii="Calibri" w:eastAsia="Times New Roman" w:hAnsi="Calibri" w:cs="Calibri"/>
                <w:color w:val="000000"/>
                <w:sz w:val="18"/>
                <w:lang w:eastAsia="en-AU"/>
              </w:rPr>
            </w:pPr>
            <w:r>
              <w:rPr>
                <w:rFonts w:ascii="Calibri" w:hAnsi="Calibri" w:cs="Calibri"/>
                <w:color w:val="000000"/>
                <w:szCs w:val="20"/>
              </w:rPr>
              <w:t>ACIL ALLEN CONSULTING PTY LTD</w:t>
            </w:r>
          </w:p>
        </w:tc>
        <w:tc>
          <w:tcPr>
            <w:tcW w:w="3608" w:type="dxa"/>
            <w:tcBorders>
              <w:top w:val="single" w:sz="4" w:space="0" w:color="53565A" w:themeColor="accent5"/>
              <w:bottom w:val="single" w:sz="4" w:space="0" w:color="53565A" w:themeColor="accent5"/>
            </w:tcBorders>
            <w:vAlign w:val="center"/>
          </w:tcPr>
          <w:p w14:paraId="22D28B5A" w14:textId="15A9CFB6" w:rsidR="007D6BEC" w:rsidRPr="00925213" w:rsidRDefault="007D6BEC" w:rsidP="00D006DC">
            <w:pPr>
              <w:pStyle w:val="ESTablebody"/>
              <w:rPr>
                <w:rFonts w:ascii="Calibri" w:eastAsia="Times New Roman" w:hAnsi="Calibri" w:cs="Calibri"/>
                <w:color w:val="000000"/>
                <w:sz w:val="18"/>
                <w:lang w:eastAsia="en-AU"/>
              </w:rPr>
            </w:pPr>
            <w:r>
              <w:rPr>
                <w:rFonts w:ascii="Calibri" w:hAnsi="Calibri" w:cs="Calibri"/>
                <w:color w:val="000000"/>
                <w:szCs w:val="20"/>
              </w:rPr>
              <w:t xml:space="preserve">Evaluation of the School Breakfast Clubs Expansion Program </w:t>
            </w:r>
          </w:p>
        </w:tc>
        <w:tc>
          <w:tcPr>
            <w:tcW w:w="1227" w:type="dxa"/>
            <w:tcBorders>
              <w:top w:val="single" w:sz="4" w:space="0" w:color="53565A" w:themeColor="accent5"/>
              <w:bottom w:val="single" w:sz="4" w:space="0" w:color="53565A" w:themeColor="accent5"/>
            </w:tcBorders>
            <w:vAlign w:val="center"/>
          </w:tcPr>
          <w:p w14:paraId="0238D038" w14:textId="2E924060" w:rsidR="007D6BEC" w:rsidRPr="00925213" w:rsidRDefault="007D6BEC" w:rsidP="00D006DC">
            <w:pPr>
              <w:pStyle w:val="ESTablebody"/>
              <w:rPr>
                <w:rFonts w:ascii="Calibri" w:eastAsia="Times New Roman" w:hAnsi="Calibri" w:cs="Calibri"/>
                <w:color w:val="000000"/>
                <w:sz w:val="18"/>
                <w:lang w:eastAsia="en-AU"/>
              </w:rPr>
            </w:pPr>
            <w:r>
              <w:rPr>
                <w:rFonts w:ascii="Calibri" w:hAnsi="Calibri" w:cs="Calibri"/>
                <w:color w:val="000000"/>
                <w:szCs w:val="20"/>
              </w:rPr>
              <w:t>13/11/2020</w:t>
            </w:r>
          </w:p>
        </w:tc>
        <w:tc>
          <w:tcPr>
            <w:tcW w:w="1316" w:type="dxa"/>
            <w:tcBorders>
              <w:top w:val="single" w:sz="4" w:space="0" w:color="53565A" w:themeColor="accent5"/>
              <w:bottom w:val="single" w:sz="4" w:space="0" w:color="53565A" w:themeColor="accent5"/>
            </w:tcBorders>
            <w:vAlign w:val="center"/>
          </w:tcPr>
          <w:p w14:paraId="5898A39F" w14:textId="3BBC72C0" w:rsidR="007D6BEC" w:rsidRPr="00925213" w:rsidRDefault="007D6BEC" w:rsidP="00D006DC">
            <w:pPr>
              <w:pStyle w:val="ESTablebody"/>
              <w:rPr>
                <w:rFonts w:ascii="Calibri" w:eastAsia="Times New Roman" w:hAnsi="Calibri" w:cs="Calibri"/>
                <w:color w:val="000000"/>
                <w:sz w:val="18"/>
                <w:lang w:eastAsia="en-AU"/>
              </w:rPr>
            </w:pPr>
            <w:r w:rsidRPr="006F2494">
              <w:rPr>
                <w:rFonts w:ascii="Calibri" w:hAnsi="Calibri" w:cs="Calibri"/>
                <w:color w:val="000000"/>
                <w:szCs w:val="20"/>
              </w:rPr>
              <w:t>30/09/2022</w:t>
            </w:r>
          </w:p>
        </w:tc>
        <w:tc>
          <w:tcPr>
            <w:tcW w:w="2055" w:type="dxa"/>
            <w:tcBorders>
              <w:top w:val="single" w:sz="4" w:space="0" w:color="53565A" w:themeColor="accent5"/>
              <w:bottom w:val="single" w:sz="4" w:space="0" w:color="53565A" w:themeColor="accent5"/>
            </w:tcBorders>
            <w:vAlign w:val="center"/>
          </w:tcPr>
          <w:p w14:paraId="72C9FC34" w14:textId="40C4C3D0" w:rsidR="007D6BEC" w:rsidRPr="00925213" w:rsidRDefault="007D6BEC" w:rsidP="007D6BEC">
            <w:pPr>
              <w:pStyle w:val="ESTablebody"/>
              <w:jc w:val="right"/>
              <w:rPr>
                <w:rFonts w:ascii="Calibri" w:eastAsia="Times New Roman" w:hAnsi="Calibri" w:cs="Calibri"/>
                <w:color w:val="000000"/>
                <w:sz w:val="18"/>
                <w:lang w:eastAsia="en-AU"/>
              </w:rPr>
            </w:pPr>
            <w:r>
              <w:rPr>
                <w:rFonts w:ascii="Calibri" w:hAnsi="Calibri" w:cs="Calibri"/>
                <w:color w:val="000000"/>
                <w:szCs w:val="20"/>
              </w:rPr>
              <w:t>362,676</w:t>
            </w:r>
          </w:p>
        </w:tc>
        <w:tc>
          <w:tcPr>
            <w:tcW w:w="1490" w:type="dxa"/>
            <w:tcBorders>
              <w:top w:val="single" w:sz="4" w:space="0" w:color="53565A" w:themeColor="accent5"/>
              <w:bottom w:val="single" w:sz="4" w:space="0" w:color="53565A" w:themeColor="accent5"/>
            </w:tcBorders>
            <w:vAlign w:val="center"/>
          </w:tcPr>
          <w:p w14:paraId="49DD47E2" w14:textId="1E7FEAC4" w:rsidR="007D6BEC" w:rsidRPr="00925213" w:rsidRDefault="007D6BEC" w:rsidP="007D6BEC">
            <w:pPr>
              <w:pStyle w:val="ESTablebody"/>
              <w:jc w:val="right"/>
              <w:rPr>
                <w:rFonts w:ascii="Calibri" w:eastAsia="Times New Roman" w:hAnsi="Calibri" w:cs="Calibri"/>
                <w:color w:val="000000"/>
                <w:sz w:val="18"/>
                <w:lang w:eastAsia="en-AU"/>
              </w:rPr>
            </w:pPr>
            <w:r>
              <w:rPr>
                <w:rFonts w:ascii="Calibri" w:hAnsi="Calibri" w:cs="Calibri"/>
                <w:color w:val="000000"/>
                <w:szCs w:val="20"/>
              </w:rPr>
              <w:t>237,273</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491B7FA5" w14:textId="5B98A4B2" w:rsidR="007D6BEC" w:rsidRPr="00925213" w:rsidRDefault="007D6BEC" w:rsidP="00D006DC">
            <w:pPr>
              <w:pStyle w:val="ESTablebody"/>
              <w:jc w:val="right"/>
              <w:rPr>
                <w:rFonts w:ascii="Calibri" w:eastAsia="Times New Roman" w:hAnsi="Calibri" w:cs="Calibri"/>
                <w:color w:val="000000"/>
                <w:sz w:val="18"/>
                <w:lang w:eastAsia="en-AU"/>
              </w:rPr>
            </w:pPr>
            <w:r>
              <w:rPr>
                <w:rFonts w:ascii="Calibri" w:hAnsi="Calibri" w:cs="Calibri"/>
                <w:color w:val="000000"/>
                <w:szCs w:val="20"/>
              </w:rPr>
              <w:t>97,040</w:t>
            </w:r>
          </w:p>
        </w:tc>
      </w:tr>
      <w:tr w:rsidR="007D6BEC" w:rsidRPr="009423C3" w14:paraId="78E6A152"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7ECF15E7" w14:textId="6433DD06" w:rsidR="007D6BEC" w:rsidRPr="00925213" w:rsidRDefault="007D6BEC" w:rsidP="00D006DC">
            <w:pPr>
              <w:pStyle w:val="ESTablebody"/>
              <w:rPr>
                <w:rFonts w:ascii="Calibri" w:eastAsia="Times New Roman" w:hAnsi="Calibri" w:cs="Calibri"/>
                <w:color w:val="000000"/>
                <w:sz w:val="18"/>
                <w:lang w:eastAsia="en-AU"/>
              </w:rPr>
            </w:pPr>
            <w:r>
              <w:rPr>
                <w:rFonts w:ascii="Calibri" w:hAnsi="Calibri" w:cs="Calibri"/>
                <w:color w:val="000000"/>
                <w:szCs w:val="20"/>
              </w:rPr>
              <w:t>ACIL ALLEN CONSULTING PTY LTD</w:t>
            </w:r>
          </w:p>
        </w:tc>
        <w:tc>
          <w:tcPr>
            <w:tcW w:w="3608" w:type="dxa"/>
            <w:tcBorders>
              <w:top w:val="single" w:sz="4" w:space="0" w:color="53565A" w:themeColor="accent5"/>
              <w:bottom w:val="single" w:sz="4" w:space="0" w:color="53565A" w:themeColor="accent5"/>
            </w:tcBorders>
            <w:vAlign w:val="center"/>
          </w:tcPr>
          <w:p w14:paraId="69884962" w14:textId="34B30BDE" w:rsidR="007D6BEC" w:rsidRPr="00925213" w:rsidRDefault="007D6BEC" w:rsidP="00D006DC">
            <w:pPr>
              <w:pStyle w:val="ESTablebody"/>
              <w:rPr>
                <w:rFonts w:ascii="Calibri" w:eastAsia="Times New Roman" w:hAnsi="Calibri" w:cs="Calibri"/>
                <w:color w:val="000000"/>
                <w:sz w:val="18"/>
                <w:lang w:eastAsia="en-AU"/>
              </w:rPr>
            </w:pPr>
            <w:r>
              <w:rPr>
                <w:rFonts w:ascii="Calibri" w:hAnsi="Calibri" w:cs="Calibri"/>
                <w:color w:val="000000"/>
                <w:szCs w:val="20"/>
              </w:rPr>
              <w:t>Development of Clean Economy Workforce Development Strategy</w:t>
            </w:r>
          </w:p>
        </w:tc>
        <w:tc>
          <w:tcPr>
            <w:tcW w:w="1227" w:type="dxa"/>
            <w:tcBorders>
              <w:top w:val="single" w:sz="4" w:space="0" w:color="53565A" w:themeColor="accent5"/>
              <w:bottom w:val="single" w:sz="4" w:space="0" w:color="53565A" w:themeColor="accent5"/>
            </w:tcBorders>
            <w:vAlign w:val="center"/>
          </w:tcPr>
          <w:p w14:paraId="2C742838" w14:textId="53DB1193" w:rsidR="007D6BEC" w:rsidRPr="00925213" w:rsidRDefault="007D6BEC" w:rsidP="00D006DC">
            <w:pPr>
              <w:pStyle w:val="ESTablebody"/>
              <w:rPr>
                <w:rFonts w:ascii="Calibri" w:eastAsia="Times New Roman" w:hAnsi="Calibri" w:cs="Calibri"/>
                <w:color w:val="000000"/>
                <w:sz w:val="18"/>
                <w:lang w:eastAsia="en-AU"/>
              </w:rPr>
            </w:pPr>
            <w:r>
              <w:rPr>
                <w:rFonts w:ascii="Calibri" w:hAnsi="Calibri" w:cs="Calibri"/>
                <w:color w:val="000000"/>
                <w:szCs w:val="20"/>
              </w:rPr>
              <w:t>30/09/2021</w:t>
            </w:r>
          </w:p>
        </w:tc>
        <w:tc>
          <w:tcPr>
            <w:tcW w:w="1316" w:type="dxa"/>
            <w:tcBorders>
              <w:top w:val="single" w:sz="4" w:space="0" w:color="53565A" w:themeColor="accent5"/>
              <w:bottom w:val="single" w:sz="4" w:space="0" w:color="53565A" w:themeColor="accent5"/>
            </w:tcBorders>
            <w:vAlign w:val="center"/>
          </w:tcPr>
          <w:p w14:paraId="7F37AA3B" w14:textId="163E0AA6" w:rsidR="007D6BEC" w:rsidRPr="00925213" w:rsidRDefault="007D6BEC" w:rsidP="00D006DC">
            <w:pPr>
              <w:pStyle w:val="ESTablebody"/>
              <w:rPr>
                <w:rFonts w:ascii="Calibri" w:eastAsia="Times New Roman" w:hAnsi="Calibri" w:cs="Calibri"/>
                <w:color w:val="000000"/>
                <w:sz w:val="18"/>
                <w:lang w:eastAsia="en-AU"/>
              </w:rPr>
            </w:pPr>
            <w:r w:rsidRPr="006F2494">
              <w:rPr>
                <w:rFonts w:ascii="Calibri" w:hAnsi="Calibri" w:cs="Calibri"/>
                <w:color w:val="000000"/>
                <w:szCs w:val="20"/>
              </w:rPr>
              <w:t>29/10/2022</w:t>
            </w:r>
          </w:p>
        </w:tc>
        <w:tc>
          <w:tcPr>
            <w:tcW w:w="2055" w:type="dxa"/>
            <w:tcBorders>
              <w:top w:val="single" w:sz="4" w:space="0" w:color="53565A" w:themeColor="accent5"/>
              <w:bottom w:val="single" w:sz="4" w:space="0" w:color="53565A" w:themeColor="accent5"/>
            </w:tcBorders>
            <w:vAlign w:val="center"/>
          </w:tcPr>
          <w:p w14:paraId="158A9AFD" w14:textId="309CA543" w:rsidR="007D6BEC" w:rsidRPr="00925213" w:rsidRDefault="007D6BEC" w:rsidP="007D6BEC">
            <w:pPr>
              <w:pStyle w:val="ESTablebody"/>
              <w:jc w:val="right"/>
              <w:rPr>
                <w:rFonts w:ascii="Calibri" w:eastAsia="Times New Roman" w:hAnsi="Calibri" w:cs="Calibri"/>
                <w:color w:val="000000"/>
                <w:sz w:val="18"/>
                <w:lang w:eastAsia="en-AU"/>
              </w:rPr>
            </w:pPr>
            <w:r>
              <w:rPr>
                <w:rFonts w:ascii="Calibri" w:hAnsi="Calibri" w:cs="Calibri"/>
                <w:color w:val="000000"/>
                <w:szCs w:val="20"/>
              </w:rPr>
              <w:t>756,300</w:t>
            </w:r>
          </w:p>
        </w:tc>
        <w:tc>
          <w:tcPr>
            <w:tcW w:w="1490" w:type="dxa"/>
            <w:tcBorders>
              <w:top w:val="single" w:sz="4" w:space="0" w:color="53565A" w:themeColor="accent5"/>
              <w:bottom w:val="single" w:sz="4" w:space="0" w:color="53565A" w:themeColor="accent5"/>
            </w:tcBorders>
            <w:vAlign w:val="center"/>
          </w:tcPr>
          <w:p w14:paraId="016891A3" w14:textId="43EE58AD" w:rsidR="007D6BEC" w:rsidRPr="00925213" w:rsidRDefault="007D6BEC" w:rsidP="007D6BEC">
            <w:pPr>
              <w:pStyle w:val="ESTablebody"/>
              <w:jc w:val="right"/>
              <w:rPr>
                <w:rFonts w:ascii="Calibri" w:eastAsia="Times New Roman" w:hAnsi="Calibri" w:cs="Calibri"/>
                <w:color w:val="000000"/>
                <w:sz w:val="18"/>
                <w:lang w:eastAsia="en-AU"/>
              </w:rPr>
            </w:pPr>
            <w:r>
              <w:rPr>
                <w:rFonts w:ascii="Calibri" w:hAnsi="Calibri" w:cs="Calibri"/>
                <w:color w:val="000000"/>
                <w:szCs w:val="20"/>
              </w:rPr>
              <w:t>666,568</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23A7D6C2" w14:textId="53D81CA5" w:rsidR="007D6BEC" w:rsidRPr="00925213" w:rsidRDefault="007D6BEC" w:rsidP="00D006DC">
            <w:pPr>
              <w:pStyle w:val="ESTablebody"/>
              <w:jc w:val="right"/>
              <w:rPr>
                <w:rFonts w:ascii="Calibri" w:eastAsia="Times New Roman" w:hAnsi="Calibri" w:cs="Calibri"/>
                <w:color w:val="000000"/>
                <w:sz w:val="18"/>
                <w:lang w:eastAsia="en-AU"/>
              </w:rPr>
            </w:pPr>
            <w:r>
              <w:rPr>
                <w:rFonts w:ascii="Calibri" w:hAnsi="Calibri" w:cs="Calibri"/>
                <w:color w:val="000000"/>
                <w:szCs w:val="20"/>
              </w:rPr>
              <w:t>89,732</w:t>
            </w:r>
          </w:p>
        </w:tc>
      </w:tr>
      <w:tr w:rsidR="007D6BEC" w:rsidRPr="009423C3" w14:paraId="2FDE1167"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2C7D21E" w14:textId="39507F9B"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ACIL ALLEN CONSULTING PTY LTD</w:t>
            </w:r>
          </w:p>
        </w:tc>
        <w:tc>
          <w:tcPr>
            <w:tcW w:w="3608" w:type="dxa"/>
            <w:tcBorders>
              <w:top w:val="single" w:sz="4" w:space="0" w:color="53565A" w:themeColor="accent5"/>
              <w:bottom w:val="single" w:sz="4" w:space="0" w:color="53565A" w:themeColor="accent5"/>
            </w:tcBorders>
            <w:vAlign w:val="center"/>
          </w:tcPr>
          <w:p w14:paraId="06D4ACC8" w14:textId="603C20E4"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Review of support systems for children with disability, developmental delay or complex medical needs to engage in early childhood education and care</w:t>
            </w:r>
          </w:p>
        </w:tc>
        <w:tc>
          <w:tcPr>
            <w:tcW w:w="1227" w:type="dxa"/>
            <w:tcBorders>
              <w:top w:val="single" w:sz="4" w:space="0" w:color="53565A" w:themeColor="accent5"/>
              <w:bottom w:val="single" w:sz="4" w:space="0" w:color="53565A" w:themeColor="accent5"/>
            </w:tcBorders>
            <w:vAlign w:val="center"/>
          </w:tcPr>
          <w:p w14:paraId="27F52D01" w14:textId="7DC6C4E2"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29/09/2021</w:t>
            </w:r>
          </w:p>
        </w:tc>
        <w:tc>
          <w:tcPr>
            <w:tcW w:w="1316" w:type="dxa"/>
            <w:tcBorders>
              <w:top w:val="single" w:sz="4" w:space="0" w:color="53565A" w:themeColor="accent5"/>
              <w:bottom w:val="single" w:sz="4" w:space="0" w:color="53565A" w:themeColor="accent5"/>
            </w:tcBorders>
            <w:vAlign w:val="center"/>
          </w:tcPr>
          <w:p w14:paraId="03CC499F" w14:textId="4D7C0E2F"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31/12/2021</w:t>
            </w:r>
          </w:p>
        </w:tc>
        <w:tc>
          <w:tcPr>
            <w:tcW w:w="2055" w:type="dxa"/>
            <w:tcBorders>
              <w:top w:val="single" w:sz="4" w:space="0" w:color="53565A" w:themeColor="accent5"/>
              <w:bottom w:val="single" w:sz="4" w:space="0" w:color="53565A" w:themeColor="accent5"/>
            </w:tcBorders>
            <w:vAlign w:val="center"/>
          </w:tcPr>
          <w:p w14:paraId="4F310C76" w14:textId="2F183379"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260,453</w:t>
            </w:r>
          </w:p>
        </w:tc>
        <w:tc>
          <w:tcPr>
            <w:tcW w:w="1490" w:type="dxa"/>
            <w:tcBorders>
              <w:top w:val="single" w:sz="4" w:space="0" w:color="53565A" w:themeColor="accent5"/>
              <w:bottom w:val="single" w:sz="4" w:space="0" w:color="53565A" w:themeColor="accent5"/>
            </w:tcBorders>
            <w:vAlign w:val="center"/>
          </w:tcPr>
          <w:p w14:paraId="27B7F172" w14:textId="70C07B8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260,453</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6B66F70" w14:textId="0643550F"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342505C5"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754E5D9A" w14:textId="222E5D16"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ASPL AUSTRALIA PTY LTD</w:t>
            </w:r>
          </w:p>
        </w:tc>
        <w:tc>
          <w:tcPr>
            <w:tcW w:w="3608" w:type="dxa"/>
            <w:tcBorders>
              <w:top w:val="single" w:sz="4" w:space="0" w:color="53565A" w:themeColor="accent5"/>
              <w:bottom w:val="single" w:sz="4" w:space="0" w:color="53565A" w:themeColor="accent5"/>
            </w:tcBorders>
            <w:vAlign w:val="center"/>
          </w:tcPr>
          <w:p w14:paraId="5A69DE32" w14:textId="4335E79B"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Development of V</w:t>
            </w:r>
            <w:r w:rsidR="00091D1F">
              <w:rPr>
                <w:rFonts w:ascii="Calibri" w:hAnsi="Calibri" w:cs="Calibri"/>
                <w:color w:val="000000"/>
                <w:szCs w:val="20"/>
              </w:rPr>
              <w:t xml:space="preserve">ictorian </w:t>
            </w:r>
            <w:r>
              <w:rPr>
                <w:rFonts w:ascii="Calibri" w:hAnsi="Calibri" w:cs="Calibri"/>
                <w:color w:val="000000"/>
                <w:szCs w:val="20"/>
              </w:rPr>
              <w:t>P</w:t>
            </w:r>
            <w:r w:rsidR="00091D1F">
              <w:rPr>
                <w:rFonts w:ascii="Calibri" w:hAnsi="Calibri" w:cs="Calibri"/>
                <w:color w:val="000000"/>
                <w:szCs w:val="20"/>
              </w:rPr>
              <w:t xml:space="preserve">ublic </w:t>
            </w:r>
            <w:r>
              <w:rPr>
                <w:rFonts w:ascii="Calibri" w:hAnsi="Calibri" w:cs="Calibri"/>
                <w:color w:val="000000"/>
                <w:szCs w:val="20"/>
              </w:rPr>
              <w:t>S</w:t>
            </w:r>
            <w:r w:rsidR="00091D1F">
              <w:rPr>
                <w:rFonts w:ascii="Calibri" w:hAnsi="Calibri" w:cs="Calibri"/>
                <w:color w:val="000000"/>
                <w:szCs w:val="20"/>
              </w:rPr>
              <w:t>ector</w:t>
            </w:r>
            <w:r>
              <w:rPr>
                <w:rFonts w:ascii="Calibri" w:hAnsi="Calibri" w:cs="Calibri"/>
                <w:color w:val="000000"/>
                <w:szCs w:val="20"/>
              </w:rPr>
              <w:t xml:space="preserve"> </w:t>
            </w:r>
            <w:r w:rsidR="00091D1F">
              <w:rPr>
                <w:rFonts w:ascii="Calibri" w:hAnsi="Calibri" w:cs="Calibri"/>
                <w:color w:val="000000"/>
                <w:szCs w:val="20"/>
              </w:rPr>
              <w:t>S</w:t>
            </w:r>
            <w:r>
              <w:rPr>
                <w:rFonts w:ascii="Calibri" w:hAnsi="Calibri" w:cs="Calibri"/>
                <w:color w:val="000000"/>
                <w:szCs w:val="20"/>
              </w:rPr>
              <w:t xml:space="preserve">trategic </w:t>
            </w:r>
            <w:r w:rsidR="00091D1F">
              <w:rPr>
                <w:rFonts w:ascii="Calibri" w:hAnsi="Calibri" w:cs="Calibri"/>
                <w:color w:val="000000"/>
                <w:szCs w:val="20"/>
              </w:rPr>
              <w:t>W</w:t>
            </w:r>
            <w:r>
              <w:rPr>
                <w:rFonts w:ascii="Calibri" w:hAnsi="Calibri" w:cs="Calibri"/>
                <w:color w:val="000000"/>
                <w:szCs w:val="20"/>
              </w:rPr>
              <w:t xml:space="preserve">orkforce </w:t>
            </w:r>
            <w:r w:rsidR="00091D1F">
              <w:rPr>
                <w:rFonts w:ascii="Calibri" w:hAnsi="Calibri" w:cs="Calibri"/>
                <w:color w:val="000000"/>
                <w:szCs w:val="20"/>
              </w:rPr>
              <w:t>P</w:t>
            </w:r>
            <w:r>
              <w:rPr>
                <w:rFonts w:ascii="Calibri" w:hAnsi="Calibri" w:cs="Calibri"/>
                <w:color w:val="000000"/>
                <w:szCs w:val="20"/>
              </w:rPr>
              <w:t>lan</w:t>
            </w:r>
          </w:p>
        </w:tc>
        <w:tc>
          <w:tcPr>
            <w:tcW w:w="1227" w:type="dxa"/>
            <w:tcBorders>
              <w:top w:val="single" w:sz="4" w:space="0" w:color="53565A" w:themeColor="accent5"/>
              <w:bottom w:val="single" w:sz="4" w:space="0" w:color="53565A" w:themeColor="accent5"/>
            </w:tcBorders>
            <w:vAlign w:val="center"/>
          </w:tcPr>
          <w:p w14:paraId="2A7E0ABE" w14:textId="44E0E95E"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29/11/2021</w:t>
            </w:r>
          </w:p>
        </w:tc>
        <w:tc>
          <w:tcPr>
            <w:tcW w:w="1316" w:type="dxa"/>
            <w:tcBorders>
              <w:top w:val="single" w:sz="4" w:space="0" w:color="53565A" w:themeColor="accent5"/>
              <w:bottom w:val="single" w:sz="4" w:space="0" w:color="53565A" w:themeColor="accent5"/>
            </w:tcBorders>
            <w:vAlign w:val="center"/>
          </w:tcPr>
          <w:p w14:paraId="406EE80D" w14:textId="0365990A"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2/05/2022</w:t>
            </w:r>
          </w:p>
        </w:tc>
        <w:tc>
          <w:tcPr>
            <w:tcW w:w="2055" w:type="dxa"/>
            <w:tcBorders>
              <w:top w:val="single" w:sz="4" w:space="0" w:color="53565A" w:themeColor="accent5"/>
              <w:bottom w:val="single" w:sz="4" w:space="0" w:color="53565A" w:themeColor="accent5"/>
            </w:tcBorders>
            <w:vAlign w:val="center"/>
          </w:tcPr>
          <w:p w14:paraId="79C90A12" w14:textId="445A1B0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77,273</w:t>
            </w:r>
          </w:p>
        </w:tc>
        <w:tc>
          <w:tcPr>
            <w:tcW w:w="1490" w:type="dxa"/>
            <w:tcBorders>
              <w:top w:val="single" w:sz="4" w:space="0" w:color="53565A" w:themeColor="accent5"/>
              <w:bottom w:val="single" w:sz="4" w:space="0" w:color="53565A" w:themeColor="accent5"/>
            </w:tcBorders>
            <w:vAlign w:val="center"/>
          </w:tcPr>
          <w:p w14:paraId="30943C17" w14:textId="4ED0294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77,727</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41D21965" w14:textId="347F0D61"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1F749CB3"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0B5B1463" w14:textId="01450A0D"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COUNCIL FOR EDUCATIONAL RESEARCH (ACER)</w:t>
            </w:r>
          </w:p>
        </w:tc>
        <w:tc>
          <w:tcPr>
            <w:tcW w:w="3608" w:type="dxa"/>
            <w:tcBorders>
              <w:top w:val="single" w:sz="4" w:space="0" w:color="53565A" w:themeColor="accent5"/>
              <w:bottom w:val="single" w:sz="4" w:space="0" w:color="53565A" w:themeColor="accent5"/>
            </w:tcBorders>
            <w:vAlign w:val="center"/>
          </w:tcPr>
          <w:p w14:paraId="4029C7D2" w14:textId="509F3611"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Evaluation of Middle Years Literacy and Numeracy Support Initiative </w:t>
            </w:r>
          </w:p>
        </w:tc>
        <w:tc>
          <w:tcPr>
            <w:tcW w:w="1227" w:type="dxa"/>
            <w:tcBorders>
              <w:top w:val="single" w:sz="4" w:space="0" w:color="53565A" w:themeColor="accent5"/>
              <w:bottom w:val="single" w:sz="4" w:space="0" w:color="53565A" w:themeColor="accent5"/>
            </w:tcBorders>
            <w:vAlign w:val="center"/>
          </w:tcPr>
          <w:p w14:paraId="1DE3A36D" w14:textId="06E9FD80"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1/10/2019</w:t>
            </w:r>
          </w:p>
        </w:tc>
        <w:tc>
          <w:tcPr>
            <w:tcW w:w="1316" w:type="dxa"/>
            <w:tcBorders>
              <w:top w:val="single" w:sz="4" w:space="0" w:color="53565A" w:themeColor="accent5"/>
              <w:bottom w:val="single" w:sz="4" w:space="0" w:color="53565A" w:themeColor="accent5"/>
            </w:tcBorders>
            <w:vAlign w:val="center"/>
          </w:tcPr>
          <w:p w14:paraId="410141CC" w14:textId="59AED5D7"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31/12/2022</w:t>
            </w:r>
          </w:p>
        </w:tc>
        <w:tc>
          <w:tcPr>
            <w:tcW w:w="2055" w:type="dxa"/>
            <w:tcBorders>
              <w:top w:val="single" w:sz="4" w:space="0" w:color="53565A" w:themeColor="accent5"/>
              <w:bottom w:val="single" w:sz="4" w:space="0" w:color="53565A" w:themeColor="accent5"/>
            </w:tcBorders>
            <w:vAlign w:val="center"/>
          </w:tcPr>
          <w:p w14:paraId="68460799" w14:textId="0FFA5733"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1,053,594</w:t>
            </w:r>
          </w:p>
        </w:tc>
        <w:tc>
          <w:tcPr>
            <w:tcW w:w="1490" w:type="dxa"/>
            <w:tcBorders>
              <w:top w:val="single" w:sz="4" w:space="0" w:color="53565A" w:themeColor="accent5"/>
              <w:bottom w:val="single" w:sz="4" w:space="0" w:color="53565A" w:themeColor="accent5"/>
            </w:tcBorders>
            <w:vAlign w:val="center"/>
          </w:tcPr>
          <w:p w14:paraId="619E6646" w14:textId="3D755D19"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247,235</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14C688A3" w14:textId="60C03D47"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143,761</w:t>
            </w:r>
          </w:p>
        </w:tc>
      </w:tr>
      <w:tr w:rsidR="007D6BEC" w:rsidRPr="009423C3" w14:paraId="6716BFC2"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57AC3D71" w14:textId="390C974E"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COUNCIL FOR EDUCATIONAL RESEARCH (ACER)</w:t>
            </w:r>
          </w:p>
        </w:tc>
        <w:tc>
          <w:tcPr>
            <w:tcW w:w="3608" w:type="dxa"/>
            <w:tcBorders>
              <w:top w:val="single" w:sz="4" w:space="0" w:color="53565A" w:themeColor="accent5"/>
              <w:bottom w:val="single" w:sz="4" w:space="0" w:color="53565A" w:themeColor="accent5"/>
            </w:tcBorders>
            <w:vAlign w:val="center"/>
          </w:tcPr>
          <w:p w14:paraId="05BDFDA8" w14:textId="36E47C6E"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Evaluation of the School-</w:t>
            </w:r>
            <w:r w:rsidR="00091D1F">
              <w:rPr>
                <w:rFonts w:ascii="Calibri" w:hAnsi="Calibri" w:cs="Calibri"/>
                <w:color w:val="000000"/>
                <w:szCs w:val="20"/>
              </w:rPr>
              <w:t>b</w:t>
            </w:r>
            <w:r>
              <w:rPr>
                <w:rFonts w:ascii="Calibri" w:hAnsi="Calibri" w:cs="Calibri"/>
                <w:color w:val="000000"/>
                <w:szCs w:val="20"/>
              </w:rPr>
              <w:t xml:space="preserve">ased Executive Class Principals </w:t>
            </w:r>
            <w:r w:rsidR="00091D1F">
              <w:rPr>
                <w:rFonts w:ascii="Calibri" w:hAnsi="Calibri" w:cs="Calibri"/>
                <w:color w:val="000000"/>
                <w:szCs w:val="20"/>
              </w:rPr>
              <w:t>I</w:t>
            </w:r>
            <w:r>
              <w:rPr>
                <w:rFonts w:ascii="Calibri" w:hAnsi="Calibri" w:cs="Calibri"/>
                <w:color w:val="000000"/>
                <w:szCs w:val="20"/>
              </w:rPr>
              <w:t xml:space="preserve">nitiative </w:t>
            </w:r>
          </w:p>
        </w:tc>
        <w:tc>
          <w:tcPr>
            <w:tcW w:w="1227" w:type="dxa"/>
            <w:tcBorders>
              <w:top w:val="single" w:sz="4" w:space="0" w:color="53565A" w:themeColor="accent5"/>
              <w:bottom w:val="single" w:sz="4" w:space="0" w:color="53565A" w:themeColor="accent5"/>
            </w:tcBorders>
            <w:vAlign w:val="center"/>
          </w:tcPr>
          <w:p w14:paraId="64B8D532" w14:textId="5572D10E"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23/07/2020</w:t>
            </w:r>
          </w:p>
        </w:tc>
        <w:tc>
          <w:tcPr>
            <w:tcW w:w="1316" w:type="dxa"/>
            <w:tcBorders>
              <w:top w:val="single" w:sz="4" w:space="0" w:color="53565A" w:themeColor="accent5"/>
              <w:bottom w:val="single" w:sz="4" w:space="0" w:color="53565A" w:themeColor="accent5"/>
            </w:tcBorders>
            <w:vAlign w:val="center"/>
          </w:tcPr>
          <w:p w14:paraId="21D7BDBA" w14:textId="30CAEBC4"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30/06/2024</w:t>
            </w:r>
          </w:p>
        </w:tc>
        <w:tc>
          <w:tcPr>
            <w:tcW w:w="2055" w:type="dxa"/>
            <w:tcBorders>
              <w:top w:val="single" w:sz="4" w:space="0" w:color="53565A" w:themeColor="accent5"/>
              <w:bottom w:val="single" w:sz="4" w:space="0" w:color="53565A" w:themeColor="accent5"/>
            </w:tcBorders>
            <w:vAlign w:val="center"/>
          </w:tcPr>
          <w:p w14:paraId="6C9644E3" w14:textId="2D0175AA"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699,982</w:t>
            </w:r>
          </w:p>
        </w:tc>
        <w:tc>
          <w:tcPr>
            <w:tcW w:w="1490" w:type="dxa"/>
            <w:tcBorders>
              <w:top w:val="single" w:sz="4" w:space="0" w:color="53565A" w:themeColor="accent5"/>
              <w:bottom w:val="single" w:sz="4" w:space="0" w:color="53565A" w:themeColor="accent5"/>
            </w:tcBorders>
            <w:vAlign w:val="center"/>
          </w:tcPr>
          <w:p w14:paraId="5BDD9AC5" w14:textId="58A09487"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165,132</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F875D64" w14:textId="547CECE7"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385,692</w:t>
            </w:r>
          </w:p>
        </w:tc>
      </w:tr>
      <w:tr w:rsidR="007D6BEC" w:rsidRPr="009423C3" w14:paraId="49A4D300"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25C86C6E" w14:textId="5975465B"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CENTRE FOR EXCELLENCE IN CHILD+FAMILY WELFARE INC </w:t>
            </w:r>
          </w:p>
        </w:tc>
        <w:tc>
          <w:tcPr>
            <w:tcW w:w="3608" w:type="dxa"/>
            <w:tcBorders>
              <w:top w:val="single" w:sz="4" w:space="0" w:color="53565A" w:themeColor="accent5"/>
              <w:bottom w:val="single" w:sz="4" w:space="0" w:color="53565A" w:themeColor="accent5"/>
            </w:tcBorders>
            <w:vAlign w:val="center"/>
          </w:tcPr>
          <w:p w14:paraId="14F490D4" w14:textId="178AE0E9"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Development of program to improve access to the Early Years, for vulnerable children with a focus on kindergarten</w:t>
            </w:r>
          </w:p>
        </w:tc>
        <w:tc>
          <w:tcPr>
            <w:tcW w:w="1227" w:type="dxa"/>
            <w:tcBorders>
              <w:top w:val="single" w:sz="4" w:space="0" w:color="53565A" w:themeColor="accent5"/>
              <w:bottom w:val="single" w:sz="4" w:space="0" w:color="53565A" w:themeColor="accent5"/>
            </w:tcBorders>
            <w:vAlign w:val="center"/>
          </w:tcPr>
          <w:p w14:paraId="0564D8D4" w14:textId="71D51EBC"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1/08/2021</w:t>
            </w:r>
          </w:p>
        </w:tc>
        <w:tc>
          <w:tcPr>
            <w:tcW w:w="1316" w:type="dxa"/>
            <w:tcBorders>
              <w:top w:val="single" w:sz="4" w:space="0" w:color="53565A" w:themeColor="accent5"/>
              <w:bottom w:val="single" w:sz="4" w:space="0" w:color="53565A" w:themeColor="accent5"/>
            </w:tcBorders>
            <w:vAlign w:val="center"/>
          </w:tcPr>
          <w:p w14:paraId="08DEFF42" w14:textId="180913DA"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31/08/2022</w:t>
            </w:r>
          </w:p>
        </w:tc>
        <w:tc>
          <w:tcPr>
            <w:tcW w:w="2055" w:type="dxa"/>
            <w:tcBorders>
              <w:top w:val="single" w:sz="4" w:space="0" w:color="53565A" w:themeColor="accent5"/>
              <w:bottom w:val="single" w:sz="4" w:space="0" w:color="53565A" w:themeColor="accent5"/>
            </w:tcBorders>
            <w:vAlign w:val="center"/>
          </w:tcPr>
          <w:p w14:paraId="6DF329F7" w14:textId="6E078D5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150,000</w:t>
            </w:r>
          </w:p>
        </w:tc>
        <w:tc>
          <w:tcPr>
            <w:tcW w:w="1490" w:type="dxa"/>
            <w:tcBorders>
              <w:top w:val="single" w:sz="4" w:space="0" w:color="53565A" w:themeColor="accent5"/>
              <w:bottom w:val="single" w:sz="4" w:space="0" w:color="53565A" w:themeColor="accent5"/>
            </w:tcBorders>
            <w:vAlign w:val="center"/>
          </w:tcPr>
          <w:p w14:paraId="249DE244" w14:textId="6D3C8F71"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99,000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7FE1628" w14:textId="7487394A"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51,000</w:t>
            </w:r>
          </w:p>
        </w:tc>
      </w:tr>
      <w:tr w:rsidR="007D6BEC" w:rsidRPr="009423C3" w14:paraId="13485945"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533F7201" w14:textId="62013C2A"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DANDOLO INTERNATIONAL PTY LTD</w:t>
            </w:r>
          </w:p>
        </w:tc>
        <w:tc>
          <w:tcPr>
            <w:tcW w:w="3608" w:type="dxa"/>
            <w:tcBorders>
              <w:top w:val="single" w:sz="4" w:space="0" w:color="53565A" w:themeColor="accent5"/>
              <w:bottom w:val="single" w:sz="4" w:space="0" w:color="53565A" w:themeColor="accent5"/>
            </w:tcBorders>
            <w:vAlign w:val="center"/>
          </w:tcPr>
          <w:p w14:paraId="44056362" w14:textId="063292B0"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Design of </w:t>
            </w:r>
            <w:r w:rsidR="002D6FB1">
              <w:rPr>
                <w:rFonts w:ascii="Calibri" w:hAnsi="Calibri" w:cs="Calibri"/>
                <w:color w:val="000000"/>
                <w:szCs w:val="20"/>
              </w:rPr>
              <w:t>the Victorian Academy of Teaching and Leadership</w:t>
            </w:r>
            <w:r>
              <w:rPr>
                <w:rFonts w:ascii="Calibri" w:hAnsi="Calibri" w:cs="Calibri"/>
                <w:color w:val="000000"/>
                <w:szCs w:val="20"/>
              </w:rPr>
              <w:t xml:space="preserve"> operating model</w:t>
            </w:r>
          </w:p>
        </w:tc>
        <w:tc>
          <w:tcPr>
            <w:tcW w:w="1227" w:type="dxa"/>
            <w:tcBorders>
              <w:top w:val="single" w:sz="4" w:space="0" w:color="53565A" w:themeColor="accent5"/>
              <w:bottom w:val="single" w:sz="4" w:space="0" w:color="53565A" w:themeColor="accent5"/>
            </w:tcBorders>
            <w:vAlign w:val="center"/>
          </w:tcPr>
          <w:p w14:paraId="1DC28A55" w14:textId="689BFFB1"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14/12/2020</w:t>
            </w:r>
          </w:p>
        </w:tc>
        <w:tc>
          <w:tcPr>
            <w:tcW w:w="1316" w:type="dxa"/>
            <w:tcBorders>
              <w:top w:val="single" w:sz="4" w:space="0" w:color="53565A" w:themeColor="accent5"/>
              <w:bottom w:val="single" w:sz="4" w:space="0" w:color="53565A" w:themeColor="accent5"/>
            </w:tcBorders>
            <w:vAlign w:val="center"/>
          </w:tcPr>
          <w:p w14:paraId="4B41AFA7" w14:textId="43AD1A25"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14/01/2022</w:t>
            </w:r>
          </w:p>
        </w:tc>
        <w:tc>
          <w:tcPr>
            <w:tcW w:w="2055" w:type="dxa"/>
            <w:tcBorders>
              <w:top w:val="single" w:sz="4" w:space="0" w:color="53565A" w:themeColor="accent5"/>
              <w:bottom w:val="single" w:sz="4" w:space="0" w:color="53565A" w:themeColor="accent5"/>
            </w:tcBorders>
            <w:vAlign w:val="center"/>
          </w:tcPr>
          <w:p w14:paraId="31FC6C2A" w14:textId="113C4D30"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312,611</w:t>
            </w:r>
          </w:p>
        </w:tc>
        <w:tc>
          <w:tcPr>
            <w:tcW w:w="1490" w:type="dxa"/>
            <w:tcBorders>
              <w:top w:val="single" w:sz="4" w:space="0" w:color="53565A" w:themeColor="accent5"/>
              <w:bottom w:val="single" w:sz="4" w:space="0" w:color="53565A" w:themeColor="accent5"/>
            </w:tcBorders>
            <w:vAlign w:val="center"/>
          </w:tcPr>
          <w:p w14:paraId="3BCE6093" w14:textId="68222CC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11,770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775BAEA8" w14:textId="3D3CCF5C"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540983A2"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599577D1" w14:textId="4639A172"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ACCESS ECONOMICS</w:t>
            </w:r>
          </w:p>
        </w:tc>
        <w:tc>
          <w:tcPr>
            <w:tcW w:w="3608" w:type="dxa"/>
            <w:tcBorders>
              <w:top w:val="single" w:sz="4" w:space="0" w:color="53565A" w:themeColor="accent5"/>
              <w:bottom w:val="single" w:sz="4" w:space="0" w:color="53565A" w:themeColor="accent5"/>
            </w:tcBorders>
            <w:vAlign w:val="center"/>
          </w:tcPr>
          <w:p w14:paraId="56227F44" w14:textId="2BF3697B"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Business case for expansion and targeting of </w:t>
            </w:r>
            <w:r w:rsidRPr="00F85B37">
              <w:rPr>
                <w:rFonts w:ascii="Calibri" w:hAnsi="Calibri" w:cs="Calibri"/>
                <w:color w:val="000000"/>
                <w:szCs w:val="20"/>
              </w:rPr>
              <w:t>Adult, Community and Further Education</w:t>
            </w:r>
            <w:r>
              <w:rPr>
                <w:rFonts w:ascii="Calibri" w:hAnsi="Calibri" w:cs="Calibri"/>
                <w:color w:val="000000"/>
                <w:szCs w:val="20"/>
              </w:rPr>
              <w:t xml:space="preserve"> Board-funded pre-accredited training programs and professional development </w:t>
            </w:r>
          </w:p>
        </w:tc>
        <w:tc>
          <w:tcPr>
            <w:tcW w:w="1227" w:type="dxa"/>
            <w:tcBorders>
              <w:top w:val="single" w:sz="4" w:space="0" w:color="53565A" w:themeColor="accent5"/>
              <w:bottom w:val="single" w:sz="4" w:space="0" w:color="53565A" w:themeColor="accent5"/>
            </w:tcBorders>
            <w:vAlign w:val="center"/>
          </w:tcPr>
          <w:p w14:paraId="04793497" w14:textId="34227012"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17/01/2022</w:t>
            </w:r>
          </w:p>
        </w:tc>
        <w:tc>
          <w:tcPr>
            <w:tcW w:w="1316" w:type="dxa"/>
            <w:tcBorders>
              <w:top w:val="single" w:sz="4" w:space="0" w:color="53565A" w:themeColor="accent5"/>
              <w:bottom w:val="single" w:sz="4" w:space="0" w:color="53565A" w:themeColor="accent5"/>
            </w:tcBorders>
            <w:vAlign w:val="center"/>
          </w:tcPr>
          <w:p w14:paraId="38E33303" w14:textId="28323AF5"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15/06/2022</w:t>
            </w:r>
          </w:p>
        </w:tc>
        <w:tc>
          <w:tcPr>
            <w:tcW w:w="2055" w:type="dxa"/>
            <w:tcBorders>
              <w:top w:val="single" w:sz="4" w:space="0" w:color="53565A" w:themeColor="accent5"/>
              <w:bottom w:val="single" w:sz="4" w:space="0" w:color="53565A" w:themeColor="accent5"/>
            </w:tcBorders>
            <w:vAlign w:val="center"/>
          </w:tcPr>
          <w:p w14:paraId="7F28CFBB" w14:textId="16BA41A2"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134,358</w:t>
            </w:r>
          </w:p>
        </w:tc>
        <w:tc>
          <w:tcPr>
            <w:tcW w:w="1490" w:type="dxa"/>
            <w:tcBorders>
              <w:top w:val="single" w:sz="4" w:space="0" w:color="53565A" w:themeColor="accent5"/>
              <w:bottom w:val="single" w:sz="4" w:space="0" w:color="53565A" w:themeColor="accent5"/>
            </w:tcBorders>
            <w:vAlign w:val="center"/>
          </w:tcPr>
          <w:p w14:paraId="5BB62A60" w14:textId="51DACC47"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64,358</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76847F03" w14:textId="50DB4D48"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56296436"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0C0BCD46" w14:textId="7E52A4E0"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ACCESS ECONOMICS</w:t>
            </w:r>
          </w:p>
        </w:tc>
        <w:tc>
          <w:tcPr>
            <w:tcW w:w="3608" w:type="dxa"/>
            <w:tcBorders>
              <w:top w:val="single" w:sz="4" w:space="0" w:color="53565A" w:themeColor="accent5"/>
              <w:bottom w:val="single" w:sz="4" w:space="0" w:color="53565A" w:themeColor="accent5"/>
            </w:tcBorders>
            <w:vAlign w:val="center"/>
          </w:tcPr>
          <w:p w14:paraId="3BCEADBA" w14:textId="438C1F95"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Evaluation of the funding and support model for students with disability </w:t>
            </w:r>
          </w:p>
        </w:tc>
        <w:tc>
          <w:tcPr>
            <w:tcW w:w="1227" w:type="dxa"/>
            <w:tcBorders>
              <w:top w:val="single" w:sz="4" w:space="0" w:color="53565A" w:themeColor="accent5"/>
              <w:bottom w:val="single" w:sz="4" w:space="0" w:color="53565A" w:themeColor="accent5"/>
            </w:tcBorders>
            <w:vAlign w:val="center"/>
          </w:tcPr>
          <w:p w14:paraId="02EB945D" w14:textId="71A47ADB"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25/06/2021</w:t>
            </w:r>
          </w:p>
        </w:tc>
        <w:tc>
          <w:tcPr>
            <w:tcW w:w="1316" w:type="dxa"/>
            <w:tcBorders>
              <w:top w:val="single" w:sz="4" w:space="0" w:color="53565A" w:themeColor="accent5"/>
              <w:bottom w:val="single" w:sz="4" w:space="0" w:color="53565A" w:themeColor="accent5"/>
            </w:tcBorders>
            <w:vAlign w:val="center"/>
          </w:tcPr>
          <w:p w14:paraId="22A75475" w14:textId="4E0A1AB2"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31/12/2024</w:t>
            </w:r>
          </w:p>
        </w:tc>
        <w:tc>
          <w:tcPr>
            <w:tcW w:w="2055" w:type="dxa"/>
            <w:tcBorders>
              <w:top w:val="single" w:sz="4" w:space="0" w:color="53565A" w:themeColor="accent5"/>
              <w:bottom w:val="single" w:sz="4" w:space="0" w:color="53565A" w:themeColor="accent5"/>
            </w:tcBorders>
            <w:vAlign w:val="center"/>
          </w:tcPr>
          <w:p w14:paraId="085FC77B" w14:textId="742E1BA8"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1,147,765</w:t>
            </w:r>
          </w:p>
        </w:tc>
        <w:tc>
          <w:tcPr>
            <w:tcW w:w="1490" w:type="dxa"/>
            <w:tcBorders>
              <w:top w:val="single" w:sz="4" w:space="0" w:color="53565A" w:themeColor="accent5"/>
              <w:bottom w:val="single" w:sz="4" w:space="0" w:color="53565A" w:themeColor="accent5"/>
            </w:tcBorders>
            <w:vAlign w:val="center"/>
          </w:tcPr>
          <w:p w14:paraId="5D745BED" w14:textId="08A7C847"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344,330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3F76D4F" w14:textId="4737EE4F"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803,435</w:t>
            </w:r>
          </w:p>
        </w:tc>
      </w:tr>
      <w:tr w:rsidR="007D6BEC" w:rsidRPr="009423C3" w14:paraId="1F845485"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0CF656C5" w14:textId="71778A78"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ACCESS ECONOMICS</w:t>
            </w:r>
          </w:p>
        </w:tc>
        <w:tc>
          <w:tcPr>
            <w:tcW w:w="3608" w:type="dxa"/>
            <w:tcBorders>
              <w:top w:val="single" w:sz="4" w:space="0" w:color="53565A" w:themeColor="accent5"/>
              <w:bottom w:val="single" w:sz="4" w:space="0" w:color="53565A" w:themeColor="accent5"/>
            </w:tcBorders>
            <w:vAlign w:val="center"/>
          </w:tcPr>
          <w:p w14:paraId="616B6D4D" w14:textId="1208073F"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w:t>
            </w:r>
            <w:proofErr w:type="spellStart"/>
            <w:r>
              <w:rPr>
                <w:rFonts w:ascii="Calibri" w:hAnsi="Calibri" w:cs="Calibri"/>
                <w:color w:val="000000"/>
                <w:szCs w:val="20"/>
              </w:rPr>
              <w:t>conceptualisation</w:t>
            </w:r>
            <w:proofErr w:type="spellEnd"/>
            <w:r>
              <w:rPr>
                <w:rFonts w:ascii="Calibri" w:hAnsi="Calibri" w:cs="Calibri"/>
                <w:color w:val="000000"/>
                <w:szCs w:val="20"/>
              </w:rPr>
              <w:t xml:space="preserve"> of capacity support for the Framework for Improving Student Outcomes </w:t>
            </w:r>
          </w:p>
        </w:tc>
        <w:tc>
          <w:tcPr>
            <w:tcW w:w="1227" w:type="dxa"/>
            <w:tcBorders>
              <w:top w:val="single" w:sz="4" w:space="0" w:color="53565A" w:themeColor="accent5"/>
              <w:bottom w:val="single" w:sz="4" w:space="0" w:color="53565A" w:themeColor="accent5"/>
            </w:tcBorders>
            <w:vAlign w:val="center"/>
          </w:tcPr>
          <w:p w14:paraId="714D037A" w14:textId="590AB3DB"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7/06/2021</w:t>
            </w:r>
          </w:p>
        </w:tc>
        <w:tc>
          <w:tcPr>
            <w:tcW w:w="1316" w:type="dxa"/>
            <w:tcBorders>
              <w:top w:val="single" w:sz="4" w:space="0" w:color="53565A" w:themeColor="accent5"/>
              <w:bottom w:val="single" w:sz="4" w:space="0" w:color="53565A" w:themeColor="accent5"/>
            </w:tcBorders>
            <w:vAlign w:val="center"/>
          </w:tcPr>
          <w:p w14:paraId="328B5DBA" w14:textId="0AA2CCB3"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30/09/2021</w:t>
            </w:r>
          </w:p>
        </w:tc>
        <w:tc>
          <w:tcPr>
            <w:tcW w:w="2055" w:type="dxa"/>
            <w:tcBorders>
              <w:top w:val="single" w:sz="4" w:space="0" w:color="53565A" w:themeColor="accent5"/>
              <w:bottom w:val="single" w:sz="4" w:space="0" w:color="53565A" w:themeColor="accent5"/>
            </w:tcBorders>
            <w:vAlign w:val="center"/>
          </w:tcPr>
          <w:p w14:paraId="27976C88" w14:textId="49B504B3"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151,875</w:t>
            </w:r>
          </w:p>
        </w:tc>
        <w:tc>
          <w:tcPr>
            <w:tcW w:w="1490" w:type="dxa"/>
            <w:tcBorders>
              <w:top w:val="single" w:sz="4" w:space="0" w:color="53565A" w:themeColor="accent5"/>
              <w:bottom w:val="single" w:sz="4" w:space="0" w:color="53565A" w:themeColor="accent5"/>
            </w:tcBorders>
            <w:vAlign w:val="center"/>
          </w:tcPr>
          <w:p w14:paraId="772B6D94" w14:textId="5998A8D0"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151,875</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817AE3E" w14:textId="4BFB14B2"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3ACEBB6C"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32AB3D8C" w14:textId="6B36487D"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ACCESS ECONOMICS</w:t>
            </w:r>
          </w:p>
        </w:tc>
        <w:tc>
          <w:tcPr>
            <w:tcW w:w="3608" w:type="dxa"/>
            <w:tcBorders>
              <w:top w:val="single" w:sz="4" w:space="0" w:color="53565A" w:themeColor="accent5"/>
              <w:bottom w:val="single" w:sz="4" w:space="0" w:color="53565A" w:themeColor="accent5"/>
            </w:tcBorders>
            <w:vAlign w:val="center"/>
          </w:tcPr>
          <w:p w14:paraId="6E64E56B" w14:textId="1C87C1BF"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Evaluation of the Student Excellence Program </w:t>
            </w:r>
          </w:p>
        </w:tc>
        <w:tc>
          <w:tcPr>
            <w:tcW w:w="1227" w:type="dxa"/>
            <w:tcBorders>
              <w:top w:val="single" w:sz="4" w:space="0" w:color="53565A" w:themeColor="accent5"/>
              <w:bottom w:val="single" w:sz="4" w:space="0" w:color="53565A" w:themeColor="accent5"/>
            </w:tcBorders>
            <w:vAlign w:val="center"/>
          </w:tcPr>
          <w:p w14:paraId="2FC2379A" w14:textId="1F208A3D"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15/07/2021</w:t>
            </w:r>
          </w:p>
        </w:tc>
        <w:tc>
          <w:tcPr>
            <w:tcW w:w="1316" w:type="dxa"/>
            <w:tcBorders>
              <w:top w:val="single" w:sz="4" w:space="0" w:color="53565A" w:themeColor="accent5"/>
              <w:bottom w:val="single" w:sz="4" w:space="0" w:color="53565A" w:themeColor="accent5"/>
            </w:tcBorders>
            <w:vAlign w:val="center"/>
          </w:tcPr>
          <w:p w14:paraId="48DBE0FE" w14:textId="3E64156F"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31/08/2022</w:t>
            </w:r>
          </w:p>
        </w:tc>
        <w:tc>
          <w:tcPr>
            <w:tcW w:w="2055" w:type="dxa"/>
            <w:tcBorders>
              <w:top w:val="single" w:sz="4" w:space="0" w:color="53565A" w:themeColor="accent5"/>
              <w:bottom w:val="single" w:sz="4" w:space="0" w:color="53565A" w:themeColor="accent5"/>
            </w:tcBorders>
            <w:vAlign w:val="center"/>
          </w:tcPr>
          <w:p w14:paraId="36534624" w14:textId="69BE82F0"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364,073</w:t>
            </w:r>
          </w:p>
        </w:tc>
        <w:tc>
          <w:tcPr>
            <w:tcW w:w="1490" w:type="dxa"/>
            <w:tcBorders>
              <w:top w:val="single" w:sz="4" w:space="0" w:color="53565A" w:themeColor="accent5"/>
              <w:bottom w:val="single" w:sz="4" w:space="0" w:color="53565A" w:themeColor="accent5"/>
            </w:tcBorders>
            <w:vAlign w:val="center"/>
          </w:tcPr>
          <w:p w14:paraId="33B6B310" w14:textId="69BC0AE8"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180,756</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03003A71" w14:textId="1A8178BA"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183,317</w:t>
            </w:r>
          </w:p>
        </w:tc>
      </w:tr>
      <w:tr w:rsidR="007D6BEC" w:rsidRPr="009423C3" w14:paraId="49903A25"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27F8E4D2" w14:textId="325BCFAC"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ACCESS ECONOMICS</w:t>
            </w:r>
          </w:p>
        </w:tc>
        <w:tc>
          <w:tcPr>
            <w:tcW w:w="3608" w:type="dxa"/>
            <w:tcBorders>
              <w:top w:val="single" w:sz="4" w:space="0" w:color="53565A" w:themeColor="accent5"/>
              <w:bottom w:val="single" w:sz="4" w:space="0" w:color="53565A" w:themeColor="accent5"/>
            </w:tcBorders>
            <w:vAlign w:val="center"/>
          </w:tcPr>
          <w:p w14:paraId="126F1AD1" w14:textId="073ABB33"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Evaluation of the Early Childhood Language Program</w:t>
            </w:r>
          </w:p>
        </w:tc>
        <w:tc>
          <w:tcPr>
            <w:tcW w:w="1227" w:type="dxa"/>
            <w:tcBorders>
              <w:top w:val="single" w:sz="4" w:space="0" w:color="53565A" w:themeColor="accent5"/>
              <w:bottom w:val="single" w:sz="4" w:space="0" w:color="53565A" w:themeColor="accent5"/>
            </w:tcBorders>
            <w:vAlign w:val="center"/>
          </w:tcPr>
          <w:p w14:paraId="4B648530" w14:textId="732C5277"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24/08/2020</w:t>
            </w:r>
          </w:p>
        </w:tc>
        <w:tc>
          <w:tcPr>
            <w:tcW w:w="1316" w:type="dxa"/>
            <w:tcBorders>
              <w:top w:val="single" w:sz="4" w:space="0" w:color="53565A" w:themeColor="accent5"/>
              <w:bottom w:val="single" w:sz="4" w:space="0" w:color="53565A" w:themeColor="accent5"/>
            </w:tcBorders>
            <w:vAlign w:val="center"/>
          </w:tcPr>
          <w:p w14:paraId="6A56644B" w14:textId="06648F41" w:rsidR="007D6BEC" w:rsidRPr="008442BC" w:rsidRDefault="007D6BE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31/12/2022</w:t>
            </w:r>
          </w:p>
        </w:tc>
        <w:tc>
          <w:tcPr>
            <w:tcW w:w="2055" w:type="dxa"/>
            <w:tcBorders>
              <w:top w:val="single" w:sz="4" w:space="0" w:color="53565A" w:themeColor="accent5"/>
              <w:bottom w:val="single" w:sz="4" w:space="0" w:color="53565A" w:themeColor="accent5"/>
            </w:tcBorders>
            <w:vAlign w:val="center"/>
          </w:tcPr>
          <w:p w14:paraId="0F5273A1" w14:textId="5BFFC99D"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783,771</w:t>
            </w:r>
          </w:p>
        </w:tc>
        <w:tc>
          <w:tcPr>
            <w:tcW w:w="1490" w:type="dxa"/>
            <w:tcBorders>
              <w:top w:val="single" w:sz="4" w:space="0" w:color="53565A" w:themeColor="accent5"/>
              <w:bottom w:val="single" w:sz="4" w:space="0" w:color="53565A" w:themeColor="accent5"/>
            </w:tcBorders>
            <w:vAlign w:val="center"/>
          </w:tcPr>
          <w:p w14:paraId="692AADEB" w14:textId="6771D8F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368,519</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255F06AF" w14:textId="6EF0C60D"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163,926</w:t>
            </w:r>
          </w:p>
        </w:tc>
      </w:tr>
      <w:tr w:rsidR="00322722" w:rsidRPr="009423C3" w14:paraId="1CEEE86F" w14:textId="77777777" w:rsidTr="00BE7F2A">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50601598" w14:textId="113044C8"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color w:val="000000"/>
                <w:szCs w:val="20"/>
              </w:rPr>
              <w:t>DELOITTE ACCESS ECONOMICS</w:t>
            </w:r>
          </w:p>
        </w:tc>
        <w:tc>
          <w:tcPr>
            <w:tcW w:w="3608" w:type="dxa"/>
            <w:tcBorders>
              <w:top w:val="single" w:sz="4" w:space="0" w:color="53565A" w:themeColor="accent5"/>
              <w:bottom w:val="single" w:sz="4" w:space="0" w:color="53565A" w:themeColor="accent5"/>
            </w:tcBorders>
          </w:tcPr>
          <w:p w14:paraId="11294FEC" w14:textId="1B7885A9"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szCs w:val="20"/>
              </w:rPr>
              <w:t>Evaluation of Tutor Learning and Family Engagement</w:t>
            </w:r>
          </w:p>
        </w:tc>
        <w:tc>
          <w:tcPr>
            <w:tcW w:w="1227" w:type="dxa"/>
            <w:tcBorders>
              <w:top w:val="single" w:sz="4" w:space="0" w:color="53565A" w:themeColor="accent5"/>
              <w:bottom w:val="single" w:sz="4" w:space="0" w:color="53565A" w:themeColor="accent5"/>
            </w:tcBorders>
          </w:tcPr>
          <w:p w14:paraId="78EBD331" w14:textId="38208B63"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szCs w:val="20"/>
              </w:rPr>
              <w:t>09/03/2021</w:t>
            </w:r>
          </w:p>
        </w:tc>
        <w:tc>
          <w:tcPr>
            <w:tcW w:w="1316" w:type="dxa"/>
            <w:tcBorders>
              <w:top w:val="single" w:sz="4" w:space="0" w:color="53565A" w:themeColor="accent5"/>
              <w:bottom w:val="single" w:sz="4" w:space="0" w:color="53565A" w:themeColor="accent5"/>
            </w:tcBorders>
          </w:tcPr>
          <w:p w14:paraId="0A12036D" w14:textId="53903732"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szCs w:val="20"/>
              </w:rPr>
              <w:t>30/06/2022</w:t>
            </w:r>
          </w:p>
        </w:tc>
        <w:tc>
          <w:tcPr>
            <w:tcW w:w="2055" w:type="dxa"/>
            <w:tcBorders>
              <w:top w:val="single" w:sz="4" w:space="0" w:color="53565A" w:themeColor="accent5"/>
              <w:bottom w:val="single" w:sz="4" w:space="0" w:color="53565A" w:themeColor="accent5"/>
            </w:tcBorders>
          </w:tcPr>
          <w:p w14:paraId="701A338D" w14:textId="46CE51DB" w:rsidR="00322722" w:rsidRPr="00322722" w:rsidRDefault="00322722" w:rsidP="00322722">
            <w:pPr>
              <w:pStyle w:val="ESTablebody"/>
              <w:jc w:val="right"/>
              <w:rPr>
                <w:rFonts w:ascii="Calibri" w:hAnsi="Calibri" w:cs="Calibri"/>
                <w:color w:val="000000"/>
                <w:szCs w:val="20"/>
              </w:rPr>
            </w:pPr>
            <w:r w:rsidRPr="00322722">
              <w:rPr>
                <w:rFonts w:ascii="Calibri" w:hAnsi="Calibri" w:cs="Calibri"/>
                <w:szCs w:val="20"/>
              </w:rPr>
              <w:t>723,570</w:t>
            </w:r>
          </w:p>
        </w:tc>
        <w:tc>
          <w:tcPr>
            <w:tcW w:w="1490" w:type="dxa"/>
            <w:tcBorders>
              <w:top w:val="single" w:sz="4" w:space="0" w:color="53565A" w:themeColor="accent5"/>
              <w:bottom w:val="single" w:sz="4" w:space="0" w:color="53565A" w:themeColor="accent5"/>
            </w:tcBorders>
          </w:tcPr>
          <w:p w14:paraId="3838A8F3" w14:textId="7427177F" w:rsidR="00322722" w:rsidRPr="00322722" w:rsidRDefault="00322722" w:rsidP="00322722">
            <w:pPr>
              <w:pStyle w:val="ESTablebody"/>
              <w:jc w:val="right"/>
              <w:rPr>
                <w:rFonts w:ascii="Calibri" w:hAnsi="Calibri" w:cs="Calibri"/>
                <w:color w:val="000000"/>
                <w:szCs w:val="20"/>
              </w:rPr>
            </w:pPr>
            <w:r w:rsidRPr="00322722">
              <w:rPr>
                <w:rFonts w:ascii="Calibri" w:hAnsi="Calibri" w:cs="Calibri"/>
                <w:szCs w:val="20"/>
              </w:rPr>
              <w:t>373,258</w:t>
            </w:r>
          </w:p>
        </w:tc>
        <w:tc>
          <w:tcPr>
            <w:tcW w:w="1567" w:type="dxa"/>
            <w:gridSpan w:val="2"/>
            <w:tcBorders>
              <w:top w:val="single" w:sz="4" w:space="0" w:color="53565A" w:themeColor="accent5"/>
              <w:bottom w:val="single" w:sz="4" w:space="0" w:color="53565A" w:themeColor="accent5"/>
            </w:tcBorders>
            <w:shd w:val="clear" w:color="auto" w:fill="auto"/>
          </w:tcPr>
          <w:p w14:paraId="70B64E83" w14:textId="1ABD5448" w:rsidR="00322722" w:rsidRPr="00322722" w:rsidRDefault="00322722" w:rsidP="00322722">
            <w:pPr>
              <w:pStyle w:val="ESTablebody"/>
              <w:jc w:val="right"/>
              <w:rPr>
                <w:rFonts w:ascii="Calibri" w:hAnsi="Calibri" w:cs="Calibri"/>
                <w:szCs w:val="20"/>
              </w:rPr>
            </w:pPr>
            <w:r w:rsidRPr="00322722">
              <w:rPr>
                <w:rFonts w:ascii="Calibri" w:hAnsi="Calibri" w:cs="Calibri"/>
                <w:szCs w:val="20"/>
              </w:rPr>
              <w:t>22,508</w:t>
            </w:r>
          </w:p>
        </w:tc>
      </w:tr>
      <w:tr w:rsidR="00322722" w:rsidRPr="009423C3" w14:paraId="707C62D8" w14:textId="77777777" w:rsidTr="00BE7F2A">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0199DECF" w14:textId="03CB7232"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color w:val="000000"/>
                <w:szCs w:val="20"/>
              </w:rPr>
              <w:t>DELOITTE ACCESS ECONOMICS</w:t>
            </w:r>
          </w:p>
        </w:tc>
        <w:tc>
          <w:tcPr>
            <w:tcW w:w="3608" w:type="dxa"/>
            <w:tcBorders>
              <w:top w:val="single" w:sz="4" w:space="0" w:color="53565A" w:themeColor="accent5"/>
              <w:bottom w:val="single" w:sz="4" w:space="0" w:color="53565A" w:themeColor="accent5"/>
            </w:tcBorders>
          </w:tcPr>
          <w:p w14:paraId="07055EE7" w14:textId="2B44778A"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szCs w:val="20"/>
              </w:rPr>
              <w:t>National VET reform financial analysis</w:t>
            </w:r>
          </w:p>
        </w:tc>
        <w:tc>
          <w:tcPr>
            <w:tcW w:w="1227" w:type="dxa"/>
            <w:tcBorders>
              <w:top w:val="single" w:sz="4" w:space="0" w:color="53565A" w:themeColor="accent5"/>
              <w:bottom w:val="single" w:sz="4" w:space="0" w:color="53565A" w:themeColor="accent5"/>
            </w:tcBorders>
          </w:tcPr>
          <w:p w14:paraId="74168421" w14:textId="5EA25806"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szCs w:val="20"/>
              </w:rPr>
              <w:t>05/05/2021</w:t>
            </w:r>
          </w:p>
        </w:tc>
        <w:tc>
          <w:tcPr>
            <w:tcW w:w="1316" w:type="dxa"/>
            <w:tcBorders>
              <w:top w:val="single" w:sz="4" w:space="0" w:color="53565A" w:themeColor="accent5"/>
              <w:bottom w:val="single" w:sz="4" w:space="0" w:color="53565A" w:themeColor="accent5"/>
            </w:tcBorders>
          </w:tcPr>
          <w:p w14:paraId="1ED7E4E2" w14:textId="1517B660" w:rsidR="00322722" w:rsidRPr="00322722" w:rsidRDefault="00322722" w:rsidP="00322722">
            <w:pPr>
              <w:pStyle w:val="ESTablebody"/>
              <w:rPr>
                <w:rFonts w:ascii="Calibri" w:eastAsia="Times New Roman" w:hAnsi="Calibri" w:cs="Calibri"/>
                <w:color w:val="000000"/>
                <w:szCs w:val="20"/>
                <w:lang w:val="en-AU" w:eastAsia="en-AU"/>
              </w:rPr>
            </w:pPr>
            <w:r w:rsidRPr="00322722">
              <w:rPr>
                <w:rFonts w:ascii="Calibri" w:hAnsi="Calibri" w:cs="Calibri"/>
                <w:szCs w:val="20"/>
              </w:rPr>
              <w:t>20/06/2022</w:t>
            </w:r>
          </w:p>
        </w:tc>
        <w:tc>
          <w:tcPr>
            <w:tcW w:w="2055" w:type="dxa"/>
            <w:tcBorders>
              <w:top w:val="single" w:sz="4" w:space="0" w:color="53565A" w:themeColor="accent5"/>
              <w:bottom w:val="single" w:sz="4" w:space="0" w:color="53565A" w:themeColor="accent5"/>
            </w:tcBorders>
          </w:tcPr>
          <w:p w14:paraId="5B7469C6" w14:textId="6C570C6B" w:rsidR="00322722" w:rsidRPr="00322722" w:rsidRDefault="00322722" w:rsidP="00322722">
            <w:pPr>
              <w:pStyle w:val="ESTablebody"/>
              <w:jc w:val="right"/>
              <w:rPr>
                <w:rFonts w:ascii="Calibri" w:hAnsi="Calibri" w:cs="Calibri"/>
                <w:color w:val="000000"/>
                <w:szCs w:val="20"/>
              </w:rPr>
            </w:pPr>
            <w:r w:rsidRPr="00322722">
              <w:rPr>
                <w:rFonts w:ascii="Calibri" w:hAnsi="Calibri" w:cs="Calibri"/>
                <w:szCs w:val="20"/>
              </w:rPr>
              <w:t>700,579</w:t>
            </w:r>
          </w:p>
        </w:tc>
        <w:tc>
          <w:tcPr>
            <w:tcW w:w="1490" w:type="dxa"/>
            <w:tcBorders>
              <w:top w:val="single" w:sz="4" w:space="0" w:color="53565A" w:themeColor="accent5"/>
              <w:bottom w:val="single" w:sz="4" w:space="0" w:color="53565A" w:themeColor="accent5"/>
            </w:tcBorders>
          </w:tcPr>
          <w:p w14:paraId="1C0AA933" w14:textId="628462E6" w:rsidR="00322722" w:rsidRPr="00322722" w:rsidRDefault="00322722" w:rsidP="00322722">
            <w:pPr>
              <w:pStyle w:val="ESTablebody"/>
              <w:jc w:val="right"/>
              <w:rPr>
                <w:rFonts w:ascii="Calibri" w:hAnsi="Calibri" w:cs="Calibri"/>
                <w:color w:val="000000"/>
                <w:szCs w:val="20"/>
              </w:rPr>
            </w:pPr>
            <w:r w:rsidRPr="00322722">
              <w:rPr>
                <w:rFonts w:ascii="Calibri" w:hAnsi="Calibri" w:cs="Calibri"/>
                <w:szCs w:val="20"/>
              </w:rPr>
              <w:t>428,525</w:t>
            </w:r>
          </w:p>
        </w:tc>
        <w:tc>
          <w:tcPr>
            <w:tcW w:w="1567" w:type="dxa"/>
            <w:gridSpan w:val="2"/>
            <w:tcBorders>
              <w:top w:val="single" w:sz="4" w:space="0" w:color="53565A" w:themeColor="accent5"/>
              <w:bottom w:val="single" w:sz="4" w:space="0" w:color="53565A" w:themeColor="accent5"/>
            </w:tcBorders>
            <w:shd w:val="clear" w:color="auto" w:fill="auto"/>
          </w:tcPr>
          <w:p w14:paraId="6009BBF4" w14:textId="0BD2FF7A" w:rsidR="00322722" w:rsidRPr="00322722" w:rsidRDefault="00322722" w:rsidP="00322722">
            <w:pPr>
              <w:pStyle w:val="ESTablebody"/>
              <w:jc w:val="right"/>
              <w:rPr>
                <w:rFonts w:ascii="Calibri" w:hAnsi="Calibri" w:cs="Calibri"/>
                <w:szCs w:val="20"/>
              </w:rPr>
            </w:pPr>
            <w:r w:rsidRPr="00322722">
              <w:rPr>
                <w:rFonts w:ascii="Calibri" w:hAnsi="Calibri" w:cs="Calibri"/>
                <w:szCs w:val="20"/>
              </w:rPr>
              <w:t>116,150</w:t>
            </w:r>
          </w:p>
        </w:tc>
      </w:tr>
      <w:tr w:rsidR="007D6BEC" w:rsidRPr="009423C3" w14:paraId="419C45B3"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3D137DBA" w14:textId="4D96B9D1"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DELOITTE CONSULTING PTY LIMITED</w:t>
            </w:r>
          </w:p>
        </w:tc>
        <w:tc>
          <w:tcPr>
            <w:tcW w:w="3608" w:type="dxa"/>
            <w:tcBorders>
              <w:top w:val="single" w:sz="4" w:space="0" w:color="53565A" w:themeColor="accent5"/>
              <w:bottom w:val="single" w:sz="4" w:space="0" w:color="53565A" w:themeColor="accent5"/>
            </w:tcBorders>
            <w:vAlign w:val="center"/>
          </w:tcPr>
          <w:p w14:paraId="2FCB0BB5" w14:textId="2A63765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Workforce analysis to support the introduction of the Schools Mental Health Fund Menu</w:t>
            </w:r>
          </w:p>
        </w:tc>
        <w:tc>
          <w:tcPr>
            <w:tcW w:w="1227" w:type="dxa"/>
            <w:tcBorders>
              <w:top w:val="single" w:sz="4" w:space="0" w:color="53565A" w:themeColor="accent5"/>
              <w:bottom w:val="single" w:sz="4" w:space="0" w:color="53565A" w:themeColor="accent5"/>
            </w:tcBorders>
            <w:vAlign w:val="center"/>
          </w:tcPr>
          <w:p w14:paraId="1B8CEF01" w14:textId="44BFEBA1"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02/08/2021 </w:t>
            </w:r>
          </w:p>
        </w:tc>
        <w:tc>
          <w:tcPr>
            <w:tcW w:w="1316" w:type="dxa"/>
            <w:tcBorders>
              <w:top w:val="single" w:sz="4" w:space="0" w:color="53565A" w:themeColor="accent5"/>
              <w:bottom w:val="single" w:sz="4" w:space="0" w:color="53565A" w:themeColor="accent5"/>
            </w:tcBorders>
            <w:vAlign w:val="center"/>
          </w:tcPr>
          <w:p w14:paraId="08B9C173" w14:textId="11BF5B47"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03/09/2021 </w:t>
            </w:r>
          </w:p>
        </w:tc>
        <w:tc>
          <w:tcPr>
            <w:tcW w:w="2055" w:type="dxa"/>
            <w:tcBorders>
              <w:top w:val="single" w:sz="4" w:space="0" w:color="53565A" w:themeColor="accent5"/>
              <w:bottom w:val="single" w:sz="4" w:space="0" w:color="53565A" w:themeColor="accent5"/>
            </w:tcBorders>
            <w:vAlign w:val="center"/>
          </w:tcPr>
          <w:p w14:paraId="593F0236" w14:textId="4A90514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80,000</w:t>
            </w:r>
          </w:p>
        </w:tc>
        <w:tc>
          <w:tcPr>
            <w:tcW w:w="1490" w:type="dxa"/>
            <w:tcBorders>
              <w:top w:val="single" w:sz="4" w:space="0" w:color="53565A" w:themeColor="accent5"/>
              <w:bottom w:val="single" w:sz="4" w:space="0" w:color="53565A" w:themeColor="accent5"/>
            </w:tcBorders>
            <w:vAlign w:val="center"/>
          </w:tcPr>
          <w:p w14:paraId="6144BC9D" w14:textId="6A8AD6EF"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80,000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2504BB90" w14:textId="4A0F93F9"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613231BE"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71F44B3B" w14:textId="7B55C7BD"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DELOITTE TOUCHE TOHMATSU</w:t>
            </w:r>
          </w:p>
        </w:tc>
        <w:tc>
          <w:tcPr>
            <w:tcW w:w="3608" w:type="dxa"/>
            <w:tcBorders>
              <w:top w:val="single" w:sz="4" w:space="0" w:color="53565A" w:themeColor="accent5"/>
              <w:bottom w:val="single" w:sz="4" w:space="0" w:color="53565A" w:themeColor="accent5"/>
            </w:tcBorders>
            <w:vAlign w:val="center"/>
          </w:tcPr>
          <w:p w14:paraId="43F6F7EA" w14:textId="24DC8D3B"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Enhancing operational levers to strengthen the impact of supports provided through regions to school </w:t>
            </w:r>
          </w:p>
        </w:tc>
        <w:tc>
          <w:tcPr>
            <w:tcW w:w="1227" w:type="dxa"/>
            <w:tcBorders>
              <w:top w:val="single" w:sz="4" w:space="0" w:color="53565A" w:themeColor="accent5"/>
              <w:bottom w:val="single" w:sz="4" w:space="0" w:color="53565A" w:themeColor="accent5"/>
            </w:tcBorders>
            <w:vAlign w:val="center"/>
          </w:tcPr>
          <w:p w14:paraId="7491B1FB" w14:textId="3C22D5B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26/04/2021</w:t>
            </w:r>
          </w:p>
        </w:tc>
        <w:tc>
          <w:tcPr>
            <w:tcW w:w="1316" w:type="dxa"/>
            <w:tcBorders>
              <w:top w:val="single" w:sz="4" w:space="0" w:color="53565A" w:themeColor="accent5"/>
              <w:bottom w:val="single" w:sz="4" w:space="0" w:color="53565A" w:themeColor="accent5"/>
            </w:tcBorders>
            <w:vAlign w:val="center"/>
          </w:tcPr>
          <w:p w14:paraId="1465F28E" w14:textId="1F6EB48A"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29/12/2021</w:t>
            </w:r>
          </w:p>
        </w:tc>
        <w:tc>
          <w:tcPr>
            <w:tcW w:w="2055" w:type="dxa"/>
            <w:tcBorders>
              <w:top w:val="single" w:sz="4" w:space="0" w:color="53565A" w:themeColor="accent5"/>
              <w:bottom w:val="single" w:sz="4" w:space="0" w:color="53565A" w:themeColor="accent5"/>
            </w:tcBorders>
            <w:vAlign w:val="center"/>
          </w:tcPr>
          <w:p w14:paraId="2616FB8B" w14:textId="07F2FDB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458,300</w:t>
            </w:r>
          </w:p>
        </w:tc>
        <w:tc>
          <w:tcPr>
            <w:tcW w:w="1490" w:type="dxa"/>
            <w:tcBorders>
              <w:top w:val="single" w:sz="4" w:space="0" w:color="53565A" w:themeColor="accent5"/>
              <w:bottom w:val="single" w:sz="4" w:space="0" w:color="53565A" w:themeColor="accent5"/>
            </w:tcBorders>
            <w:vAlign w:val="center"/>
          </w:tcPr>
          <w:p w14:paraId="5ABCC1AF" w14:textId="472078BA"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228,560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165F4DA3" w14:textId="40CAA83B"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3E3F69D8"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5DAB2375" w14:textId="31E06330"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ERNST AND YOUNG</w:t>
            </w:r>
          </w:p>
        </w:tc>
        <w:tc>
          <w:tcPr>
            <w:tcW w:w="3608" w:type="dxa"/>
            <w:tcBorders>
              <w:top w:val="single" w:sz="4" w:space="0" w:color="53565A" w:themeColor="accent5"/>
              <w:bottom w:val="single" w:sz="4" w:space="0" w:color="53565A" w:themeColor="accent5"/>
            </w:tcBorders>
            <w:vAlign w:val="center"/>
          </w:tcPr>
          <w:p w14:paraId="097C2CC1" w14:textId="016E9785" w:rsidR="007D6BEC" w:rsidRPr="008442BC" w:rsidRDefault="00091D1F"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Development of </w:t>
            </w:r>
            <w:r w:rsidR="007D6BEC" w:rsidRPr="00FE4F4F">
              <w:rPr>
                <w:rFonts w:ascii="Calibri" w:eastAsia="Times New Roman" w:hAnsi="Calibri" w:cs="Calibri"/>
                <w:color w:val="000000"/>
                <w:szCs w:val="20"/>
                <w:lang w:val="en-AU" w:eastAsia="en-AU"/>
              </w:rPr>
              <w:t>Melton Business Case</w:t>
            </w:r>
          </w:p>
        </w:tc>
        <w:tc>
          <w:tcPr>
            <w:tcW w:w="1227" w:type="dxa"/>
            <w:tcBorders>
              <w:top w:val="single" w:sz="4" w:space="0" w:color="53565A" w:themeColor="accent5"/>
              <w:bottom w:val="single" w:sz="4" w:space="0" w:color="53565A" w:themeColor="accent5"/>
            </w:tcBorders>
            <w:vAlign w:val="center"/>
          </w:tcPr>
          <w:p w14:paraId="7BCD9524" w14:textId="17EA8AA0"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20/08/2021</w:t>
            </w:r>
          </w:p>
        </w:tc>
        <w:tc>
          <w:tcPr>
            <w:tcW w:w="1316" w:type="dxa"/>
            <w:tcBorders>
              <w:top w:val="single" w:sz="4" w:space="0" w:color="53565A" w:themeColor="accent5"/>
              <w:bottom w:val="single" w:sz="4" w:space="0" w:color="53565A" w:themeColor="accent5"/>
            </w:tcBorders>
            <w:vAlign w:val="center"/>
          </w:tcPr>
          <w:p w14:paraId="18DF8CA7" w14:textId="1BD4E495"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31/03/2022</w:t>
            </w:r>
          </w:p>
        </w:tc>
        <w:tc>
          <w:tcPr>
            <w:tcW w:w="2055" w:type="dxa"/>
            <w:tcBorders>
              <w:top w:val="single" w:sz="4" w:space="0" w:color="53565A" w:themeColor="accent5"/>
              <w:bottom w:val="single" w:sz="4" w:space="0" w:color="53565A" w:themeColor="accent5"/>
            </w:tcBorders>
            <w:vAlign w:val="center"/>
          </w:tcPr>
          <w:p w14:paraId="53239ED6" w14:textId="5D6E3B13"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204,899</w:t>
            </w:r>
          </w:p>
        </w:tc>
        <w:tc>
          <w:tcPr>
            <w:tcW w:w="1490" w:type="dxa"/>
            <w:tcBorders>
              <w:top w:val="single" w:sz="4" w:space="0" w:color="53565A" w:themeColor="accent5"/>
              <w:bottom w:val="single" w:sz="4" w:space="0" w:color="53565A" w:themeColor="accent5"/>
            </w:tcBorders>
            <w:vAlign w:val="center"/>
          </w:tcPr>
          <w:p w14:paraId="18914C1D" w14:textId="078F3A40"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168,535</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1921BC3F" w14:textId="165A1CA7" w:rsidR="007D6BEC" w:rsidRPr="008442BC" w:rsidRDefault="007D6BEC" w:rsidP="00D006DC">
            <w:pPr>
              <w:pStyle w:val="ESTablebody"/>
              <w:jc w:val="right"/>
              <w:rPr>
                <w:rFonts w:ascii="Calibri" w:eastAsia="Times New Roman" w:hAnsi="Calibri" w:cs="Calibri"/>
                <w:color w:val="000000"/>
                <w:szCs w:val="20"/>
                <w:lang w:val="en-AU" w:eastAsia="en-AU"/>
              </w:rPr>
            </w:pPr>
            <w:r w:rsidRPr="00452D19">
              <w:rPr>
                <w:rFonts w:ascii="Calibri" w:hAnsi="Calibri" w:cs="Calibri"/>
              </w:rPr>
              <w:t>–</w:t>
            </w:r>
          </w:p>
        </w:tc>
      </w:tr>
      <w:tr w:rsidR="007D6BEC" w:rsidRPr="009423C3" w14:paraId="26878E52"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21CC5CB6" w14:textId="68C450B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KPMG AUSTRALIA</w:t>
            </w:r>
          </w:p>
        </w:tc>
        <w:tc>
          <w:tcPr>
            <w:tcW w:w="3608" w:type="dxa"/>
            <w:tcBorders>
              <w:top w:val="single" w:sz="4" w:space="0" w:color="53565A" w:themeColor="accent5"/>
              <w:bottom w:val="single" w:sz="4" w:space="0" w:color="53565A" w:themeColor="accent5"/>
            </w:tcBorders>
            <w:vAlign w:val="center"/>
          </w:tcPr>
          <w:p w14:paraId="380D7268" w14:textId="4E5A6C61"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Corporate services initiatives </w:t>
            </w:r>
          </w:p>
        </w:tc>
        <w:tc>
          <w:tcPr>
            <w:tcW w:w="1227" w:type="dxa"/>
            <w:tcBorders>
              <w:top w:val="single" w:sz="4" w:space="0" w:color="53565A" w:themeColor="accent5"/>
              <w:bottom w:val="single" w:sz="4" w:space="0" w:color="53565A" w:themeColor="accent5"/>
            </w:tcBorders>
            <w:vAlign w:val="center"/>
          </w:tcPr>
          <w:p w14:paraId="76EAD3C6" w14:textId="7DFC9987"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10/02/2020</w:t>
            </w:r>
          </w:p>
        </w:tc>
        <w:tc>
          <w:tcPr>
            <w:tcW w:w="1316" w:type="dxa"/>
            <w:tcBorders>
              <w:top w:val="single" w:sz="4" w:space="0" w:color="53565A" w:themeColor="accent5"/>
              <w:bottom w:val="single" w:sz="4" w:space="0" w:color="53565A" w:themeColor="accent5"/>
            </w:tcBorders>
            <w:vAlign w:val="center"/>
          </w:tcPr>
          <w:p w14:paraId="29CB4486" w14:textId="5E9ADD82"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31/03/2022</w:t>
            </w:r>
          </w:p>
        </w:tc>
        <w:tc>
          <w:tcPr>
            <w:tcW w:w="2055" w:type="dxa"/>
            <w:tcBorders>
              <w:top w:val="single" w:sz="4" w:space="0" w:color="53565A" w:themeColor="accent5"/>
              <w:bottom w:val="single" w:sz="4" w:space="0" w:color="53565A" w:themeColor="accent5"/>
            </w:tcBorders>
            <w:vAlign w:val="center"/>
          </w:tcPr>
          <w:p w14:paraId="76108A3D" w14:textId="3375E96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3,247,744</w:t>
            </w:r>
          </w:p>
        </w:tc>
        <w:tc>
          <w:tcPr>
            <w:tcW w:w="1490" w:type="dxa"/>
            <w:tcBorders>
              <w:top w:val="single" w:sz="4" w:space="0" w:color="53565A" w:themeColor="accent5"/>
              <w:bottom w:val="single" w:sz="4" w:space="0" w:color="53565A" w:themeColor="accent5"/>
            </w:tcBorders>
            <w:vAlign w:val="center"/>
          </w:tcPr>
          <w:p w14:paraId="739443E3" w14:textId="6D8AE82C"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2,596,640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19FD53E1" w14:textId="0C558282" w:rsidR="007D6BEC" w:rsidRPr="008442BC" w:rsidRDefault="007D6BEC" w:rsidP="00D006DC">
            <w:pPr>
              <w:pStyle w:val="ESTablebody"/>
              <w:jc w:val="right"/>
              <w:rPr>
                <w:rFonts w:ascii="Calibri" w:eastAsia="Times New Roman" w:hAnsi="Calibri" w:cs="Calibri"/>
                <w:color w:val="000000"/>
                <w:szCs w:val="20"/>
                <w:lang w:val="en-AU" w:eastAsia="en-AU"/>
              </w:rPr>
            </w:pPr>
            <w:r w:rsidRPr="00452D19">
              <w:rPr>
                <w:rFonts w:ascii="Calibri" w:hAnsi="Calibri" w:cs="Calibri"/>
              </w:rPr>
              <w:t>–</w:t>
            </w:r>
          </w:p>
        </w:tc>
      </w:tr>
      <w:tr w:rsidR="007D6BEC" w:rsidRPr="009423C3" w14:paraId="1B38C3BB"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396BA061" w14:textId="4B1C532F"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KPMG AUSTRALIA</w:t>
            </w:r>
          </w:p>
        </w:tc>
        <w:tc>
          <w:tcPr>
            <w:tcW w:w="3608" w:type="dxa"/>
            <w:tcBorders>
              <w:top w:val="single" w:sz="4" w:space="0" w:color="53565A" w:themeColor="accent5"/>
              <w:bottom w:val="single" w:sz="4" w:space="0" w:color="53565A" w:themeColor="accent5"/>
            </w:tcBorders>
            <w:vAlign w:val="center"/>
          </w:tcPr>
          <w:p w14:paraId="70F472BE" w14:textId="18B0198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Review of the operating funding model of Tech Schools </w:t>
            </w:r>
          </w:p>
        </w:tc>
        <w:tc>
          <w:tcPr>
            <w:tcW w:w="1227" w:type="dxa"/>
            <w:tcBorders>
              <w:top w:val="single" w:sz="4" w:space="0" w:color="53565A" w:themeColor="accent5"/>
              <w:bottom w:val="single" w:sz="4" w:space="0" w:color="53565A" w:themeColor="accent5"/>
            </w:tcBorders>
            <w:vAlign w:val="center"/>
          </w:tcPr>
          <w:p w14:paraId="6CE2C421" w14:textId="36D1159B"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11/01/2021</w:t>
            </w:r>
          </w:p>
        </w:tc>
        <w:tc>
          <w:tcPr>
            <w:tcW w:w="1316" w:type="dxa"/>
            <w:tcBorders>
              <w:top w:val="single" w:sz="4" w:space="0" w:color="53565A" w:themeColor="accent5"/>
              <w:bottom w:val="single" w:sz="4" w:space="0" w:color="53565A" w:themeColor="accent5"/>
            </w:tcBorders>
            <w:vAlign w:val="center"/>
          </w:tcPr>
          <w:p w14:paraId="528B0F69" w14:textId="0E36BDEB"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17/09/2021</w:t>
            </w:r>
          </w:p>
        </w:tc>
        <w:tc>
          <w:tcPr>
            <w:tcW w:w="2055" w:type="dxa"/>
            <w:tcBorders>
              <w:top w:val="single" w:sz="4" w:space="0" w:color="53565A" w:themeColor="accent5"/>
              <w:bottom w:val="single" w:sz="4" w:space="0" w:color="53565A" w:themeColor="accent5"/>
            </w:tcBorders>
            <w:vAlign w:val="center"/>
          </w:tcPr>
          <w:p w14:paraId="3BDB1EDD" w14:textId="7CDBD411"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122,455</w:t>
            </w:r>
          </w:p>
        </w:tc>
        <w:tc>
          <w:tcPr>
            <w:tcW w:w="1490" w:type="dxa"/>
            <w:tcBorders>
              <w:top w:val="single" w:sz="4" w:space="0" w:color="53565A" w:themeColor="accent5"/>
              <w:bottom w:val="single" w:sz="4" w:space="0" w:color="53565A" w:themeColor="accent5"/>
            </w:tcBorders>
            <w:vAlign w:val="center"/>
          </w:tcPr>
          <w:p w14:paraId="603BD774" w14:textId="3D5C19C8"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9,000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72C56ECE" w14:textId="0C4501FF" w:rsidR="007D6BEC" w:rsidRPr="008442BC" w:rsidRDefault="007D6BEC" w:rsidP="00D006DC">
            <w:pPr>
              <w:pStyle w:val="ESTablebody"/>
              <w:jc w:val="right"/>
              <w:rPr>
                <w:rFonts w:ascii="Calibri" w:eastAsia="Times New Roman" w:hAnsi="Calibri" w:cs="Calibri"/>
                <w:color w:val="000000"/>
                <w:szCs w:val="20"/>
                <w:lang w:val="en-AU" w:eastAsia="en-AU"/>
              </w:rPr>
            </w:pPr>
            <w:r w:rsidRPr="00452D19">
              <w:rPr>
                <w:rFonts w:ascii="Calibri" w:hAnsi="Calibri" w:cs="Calibri"/>
              </w:rPr>
              <w:t>–</w:t>
            </w:r>
          </w:p>
        </w:tc>
      </w:tr>
      <w:tr w:rsidR="007D6BEC" w:rsidRPr="009423C3" w14:paraId="5BFC5A3A"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6BB9B02D" w14:textId="0D22EAE6"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KPMG AUSTRALIA</w:t>
            </w:r>
          </w:p>
        </w:tc>
        <w:tc>
          <w:tcPr>
            <w:tcW w:w="3608" w:type="dxa"/>
            <w:tcBorders>
              <w:top w:val="single" w:sz="4" w:space="0" w:color="53565A" w:themeColor="accent5"/>
              <w:bottom w:val="single" w:sz="4" w:space="0" w:color="53565A" w:themeColor="accent5"/>
            </w:tcBorders>
            <w:vAlign w:val="center"/>
          </w:tcPr>
          <w:p w14:paraId="4DA8A6FB" w14:textId="0F9A253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Development of a strategic Digital Roadmap for Schools – 10 Year Horizon</w:t>
            </w:r>
          </w:p>
        </w:tc>
        <w:tc>
          <w:tcPr>
            <w:tcW w:w="1227" w:type="dxa"/>
            <w:tcBorders>
              <w:top w:val="single" w:sz="4" w:space="0" w:color="53565A" w:themeColor="accent5"/>
              <w:bottom w:val="single" w:sz="4" w:space="0" w:color="53565A" w:themeColor="accent5"/>
            </w:tcBorders>
            <w:vAlign w:val="center"/>
          </w:tcPr>
          <w:p w14:paraId="5A1AD61B" w14:textId="27936B0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20/05/2021</w:t>
            </w:r>
          </w:p>
        </w:tc>
        <w:tc>
          <w:tcPr>
            <w:tcW w:w="1316" w:type="dxa"/>
            <w:tcBorders>
              <w:top w:val="single" w:sz="4" w:space="0" w:color="53565A" w:themeColor="accent5"/>
              <w:bottom w:val="single" w:sz="4" w:space="0" w:color="53565A" w:themeColor="accent5"/>
            </w:tcBorders>
            <w:vAlign w:val="center"/>
          </w:tcPr>
          <w:p w14:paraId="5294AB5D" w14:textId="5D7DCB86"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30/11/2021</w:t>
            </w:r>
          </w:p>
        </w:tc>
        <w:tc>
          <w:tcPr>
            <w:tcW w:w="2055" w:type="dxa"/>
            <w:tcBorders>
              <w:top w:val="single" w:sz="4" w:space="0" w:color="53565A" w:themeColor="accent5"/>
              <w:bottom w:val="single" w:sz="4" w:space="0" w:color="53565A" w:themeColor="accent5"/>
            </w:tcBorders>
            <w:vAlign w:val="center"/>
          </w:tcPr>
          <w:p w14:paraId="2C7EFBA8" w14:textId="2995CE2E"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792,909</w:t>
            </w:r>
          </w:p>
        </w:tc>
        <w:tc>
          <w:tcPr>
            <w:tcW w:w="1490" w:type="dxa"/>
            <w:tcBorders>
              <w:top w:val="single" w:sz="4" w:space="0" w:color="53565A" w:themeColor="accent5"/>
              <w:bottom w:val="single" w:sz="4" w:space="0" w:color="53565A" w:themeColor="accent5"/>
            </w:tcBorders>
            <w:vAlign w:val="center"/>
          </w:tcPr>
          <w:p w14:paraId="1E8932F3" w14:textId="4C8DCC90"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772,605</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107462BB" w14:textId="5D1D41E1" w:rsidR="007D6BEC" w:rsidRPr="008442BC" w:rsidRDefault="007D6BEC" w:rsidP="00D006DC">
            <w:pPr>
              <w:pStyle w:val="ESTablebody"/>
              <w:jc w:val="right"/>
              <w:rPr>
                <w:rFonts w:ascii="Calibri" w:eastAsia="Times New Roman" w:hAnsi="Calibri" w:cs="Calibri"/>
                <w:color w:val="000000"/>
                <w:szCs w:val="20"/>
                <w:lang w:val="en-AU" w:eastAsia="en-AU"/>
              </w:rPr>
            </w:pPr>
            <w:r w:rsidRPr="00452D19">
              <w:rPr>
                <w:rFonts w:ascii="Calibri" w:hAnsi="Calibri" w:cs="Calibri"/>
              </w:rPr>
              <w:t>–</w:t>
            </w:r>
          </w:p>
        </w:tc>
      </w:tr>
      <w:tr w:rsidR="007D6BEC" w:rsidRPr="009423C3" w14:paraId="0DA28124"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7B1E490B" w14:textId="3B31DDF7"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KPMG AUSTRALIA</w:t>
            </w:r>
          </w:p>
        </w:tc>
        <w:tc>
          <w:tcPr>
            <w:tcW w:w="3608" w:type="dxa"/>
            <w:tcBorders>
              <w:top w:val="single" w:sz="4" w:space="0" w:color="53565A" w:themeColor="accent5"/>
              <w:bottom w:val="single" w:sz="4" w:space="0" w:color="53565A" w:themeColor="accent5"/>
            </w:tcBorders>
            <w:vAlign w:val="center"/>
          </w:tcPr>
          <w:p w14:paraId="53E5335D" w14:textId="031D1710" w:rsidR="007D6BEC" w:rsidRPr="008442BC" w:rsidRDefault="007D6BEC"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S</w:t>
            </w:r>
            <w:r w:rsidRPr="00FE4F4F">
              <w:rPr>
                <w:rFonts w:ascii="Calibri" w:eastAsia="Times New Roman" w:hAnsi="Calibri" w:cs="Calibri"/>
                <w:color w:val="000000"/>
                <w:szCs w:val="20"/>
                <w:lang w:val="en-AU" w:eastAsia="en-AU"/>
              </w:rPr>
              <w:t>ubmission on the Swinburne Prahran Campus</w:t>
            </w:r>
          </w:p>
        </w:tc>
        <w:tc>
          <w:tcPr>
            <w:tcW w:w="1227" w:type="dxa"/>
            <w:tcBorders>
              <w:top w:val="single" w:sz="4" w:space="0" w:color="53565A" w:themeColor="accent5"/>
              <w:bottom w:val="single" w:sz="4" w:space="0" w:color="53565A" w:themeColor="accent5"/>
            </w:tcBorders>
            <w:vAlign w:val="center"/>
          </w:tcPr>
          <w:p w14:paraId="1AF0671B" w14:textId="0E0A7B7C"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21/06/2021</w:t>
            </w:r>
          </w:p>
        </w:tc>
        <w:tc>
          <w:tcPr>
            <w:tcW w:w="1316" w:type="dxa"/>
            <w:tcBorders>
              <w:top w:val="single" w:sz="4" w:space="0" w:color="53565A" w:themeColor="accent5"/>
              <w:bottom w:val="single" w:sz="4" w:space="0" w:color="53565A" w:themeColor="accent5"/>
            </w:tcBorders>
            <w:vAlign w:val="center"/>
          </w:tcPr>
          <w:p w14:paraId="13B03501" w14:textId="43300024"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20/09/2021</w:t>
            </w:r>
          </w:p>
        </w:tc>
        <w:tc>
          <w:tcPr>
            <w:tcW w:w="2055" w:type="dxa"/>
            <w:tcBorders>
              <w:top w:val="single" w:sz="4" w:space="0" w:color="53565A" w:themeColor="accent5"/>
              <w:bottom w:val="single" w:sz="4" w:space="0" w:color="53565A" w:themeColor="accent5"/>
            </w:tcBorders>
            <w:vAlign w:val="center"/>
          </w:tcPr>
          <w:p w14:paraId="69EE11B2" w14:textId="15212614"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181,818</w:t>
            </w:r>
          </w:p>
        </w:tc>
        <w:tc>
          <w:tcPr>
            <w:tcW w:w="1490" w:type="dxa"/>
            <w:tcBorders>
              <w:top w:val="single" w:sz="4" w:space="0" w:color="53565A" w:themeColor="accent5"/>
              <w:bottom w:val="single" w:sz="4" w:space="0" w:color="53565A" w:themeColor="accent5"/>
            </w:tcBorders>
            <w:vAlign w:val="center"/>
          </w:tcPr>
          <w:p w14:paraId="6D29CB8D" w14:textId="31F5A150"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181,818</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7772E405" w14:textId="1B7F934C" w:rsidR="007D6BEC" w:rsidRPr="008442BC" w:rsidRDefault="007D6BEC" w:rsidP="00D006DC">
            <w:pPr>
              <w:pStyle w:val="ESTablebody"/>
              <w:jc w:val="right"/>
              <w:rPr>
                <w:rFonts w:ascii="Calibri" w:eastAsia="Times New Roman" w:hAnsi="Calibri" w:cs="Calibri"/>
                <w:color w:val="000000"/>
                <w:szCs w:val="20"/>
                <w:lang w:val="en-AU" w:eastAsia="en-AU"/>
              </w:rPr>
            </w:pPr>
            <w:r w:rsidRPr="00452D19">
              <w:rPr>
                <w:rFonts w:ascii="Calibri" w:hAnsi="Calibri" w:cs="Calibri"/>
              </w:rPr>
              <w:t>–</w:t>
            </w:r>
          </w:p>
        </w:tc>
      </w:tr>
      <w:tr w:rsidR="007D6BEC" w:rsidRPr="009423C3" w14:paraId="0E888B71"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2E40F628" w14:textId="79993AC7"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KPMG AUSTRALIA</w:t>
            </w:r>
          </w:p>
        </w:tc>
        <w:tc>
          <w:tcPr>
            <w:tcW w:w="3608" w:type="dxa"/>
            <w:tcBorders>
              <w:top w:val="single" w:sz="4" w:space="0" w:color="53565A" w:themeColor="accent5"/>
              <w:bottom w:val="single" w:sz="4" w:space="0" w:color="53565A" w:themeColor="accent5"/>
            </w:tcBorders>
            <w:vAlign w:val="center"/>
          </w:tcPr>
          <w:p w14:paraId="0D30193A" w14:textId="3B8351B2" w:rsidR="007D6BEC" w:rsidRPr="008442BC" w:rsidRDefault="007D6BEC"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Evaluation </w:t>
            </w:r>
            <w:r w:rsidRPr="00FE4F4F">
              <w:rPr>
                <w:rFonts w:ascii="Calibri" w:eastAsia="Times New Roman" w:hAnsi="Calibri" w:cs="Calibri"/>
                <w:color w:val="000000"/>
                <w:szCs w:val="20"/>
                <w:lang w:val="en-AU" w:eastAsia="en-AU"/>
              </w:rPr>
              <w:t xml:space="preserve">program logic mapping and theories of change for the Victorian Universities Support Package </w:t>
            </w:r>
            <w:r w:rsidR="00091D1F">
              <w:rPr>
                <w:rFonts w:ascii="Calibri" w:eastAsia="Times New Roman" w:hAnsi="Calibri" w:cs="Calibri"/>
                <w:color w:val="000000"/>
                <w:szCs w:val="20"/>
                <w:lang w:val="en-AU" w:eastAsia="en-AU"/>
              </w:rPr>
              <w:t>P</w:t>
            </w:r>
            <w:r w:rsidRPr="00FE4F4F">
              <w:rPr>
                <w:rFonts w:ascii="Calibri" w:eastAsia="Times New Roman" w:hAnsi="Calibri" w:cs="Calibri"/>
                <w:color w:val="000000"/>
                <w:szCs w:val="20"/>
                <w:lang w:val="en-AU" w:eastAsia="en-AU"/>
              </w:rPr>
              <w:t>rogram</w:t>
            </w:r>
          </w:p>
        </w:tc>
        <w:tc>
          <w:tcPr>
            <w:tcW w:w="1227" w:type="dxa"/>
            <w:tcBorders>
              <w:top w:val="single" w:sz="4" w:space="0" w:color="53565A" w:themeColor="accent5"/>
              <w:bottom w:val="single" w:sz="4" w:space="0" w:color="53565A" w:themeColor="accent5"/>
            </w:tcBorders>
            <w:vAlign w:val="center"/>
          </w:tcPr>
          <w:p w14:paraId="09447E7F" w14:textId="3231A25F"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15/12/2021</w:t>
            </w:r>
          </w:p>
        </w:tc>
        <w:tc>
          <w:tcPr>
            <w:tcW w:w="1316" w:type="dxa"/>
            <w:tcBorders>
              <w:top w:val="single" w:sz="4" w:space="0" w:color="53565A" w:themeColor="accent5"/>
              <w:bottom w:val="single" w:sz="4" w:space="0" w:color="53565A" w:themeColor="accent5"/>
            </w:tcBorders>
            <w:vAlign w:val="center"/>
          </w:tcPr>
          <w:p w14:paraId="23B578FF" w14:textId="352EF2F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11/03/2022</w:t>
            </w:r>
          </w:p>
        </w:tc>
        <w:tc>
          <w:tcPr>
            <w:tcW w:w="2055" w:type="dxa"/>
            <w:tcBorders>
              <w:top w:val="single" w:sz="4" w:space="0" w:color="53565A" w:themeColor="accent5"/>
              <w:bottom w:val="single" w:sz="4" w:space="0" w:color="53565A" w:themeColor="accent5"/>
            </w:tcBorders>
            <w:vAlign w:val="center"/>
          </w:tcPr>
          <w:p w14:paraId="03EFA495" w14:textId="51787032"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32,166</w:t>
            </w:r>
          </w:p>
        </w:tc>
        <w:tc>
          <w:tcPr>
            <w:tcW w:w="1490" w:type="dxa"/>
            <w:tcBorders>
              <w:top w:val="single" w:sz="4" w:space="0" w:color="53565A" w:themeColor="accent5"/>
              <w:bottom w:val="single" w:sz="4" w:space="0" w:color="53565A" w:themeColor="accent5"/>
            </w:tcBorders>
            <w:vAlign w:val="center"/>
          </w:tcPr>
          <w:p w14:paraId="1B89A8B8" w14:textId="6A3C4EF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32,166</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0B1A645A" w14:textId="7D897A05" w:rsidR="007D6BEC" w:rsidRPr="008442BC" w:rsidRDefault="007D6BEC" w:rsidP="00D006DC">
            <w:pPr>
              <w:pStyle w:val="ESTablebody"/>
              <w:jc w:val="right"/>
              <w:rPr>
                <w:rFonts w:ascii="Calibri" w:eastAsia="Times New Roman" w:hAnsi="Calibri" w:cs="Calibri"/>
                <w:color w:val="000000"/>
                <w:szCs w:val="20"/>
                <w:lang w:val="en-AU" w:eastAsia="en-AU"/>
              </w:rPr>
            </w:pPr>
            <w:r w:rsidRPr="00452D19">
              <w:rPr>
                <w:rFonts w:ascii="Calibri" w:hAnsi="Calibri" w:cs="Calibri"/>
              </w:rPr>
              <w:t>–</w:t>
            </w:r>
          </w:p>
        </w:tc>
      </w:tr>
      <w:tr w:rsidR="007D6BEC" w:rsidRPr="009423C3" w14:paraId="43EA167C"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275A311D" w14:textId="7E983016"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LEARNING FIRST GROUP PTY LTD</w:t>
            </w:r>
          </w:p>
        </w:tc>
        <w:tc>
          <w:tcPr>
            <w:tcW w:w="3608" w:type="dxa"/>
            <w:tcBorders>
              <w:top w:val="single" w:sz="4" w:space="0" w:color="53565A" w:themeColor="accent5"/>
              <w:bottom w:val="single" w:sz="4" w:space="0" w:color="53565A" w:themeColor="accent5"/>
            </w:tcBorders>
            <w:vAlign w:val="center"/>
          </w:tcPr>
          <w:p w14:paraId="4A1AEED1" w14:textId="2F79B60D"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Re-conceptualisation of the Framework for Improving Student Outcomes</w:t>
            </w:r>
          </w:p>
        </w:tc>
        <w:tc>
          <w:tcPr>
            <w:tcW w:w="1227" w:type="dxa"/>
            <w:tcBorders>
              <w:top w:val="single" w:sz="4" w:space="0" w:color="53565A" w:themeColor="accent5"/>
              <w:bottom w:val="single" w:sz="4" w:space="0" w:color="53565A" w:themeColor="accent5"/>
            </w:tcBorders>
            <w:vAlign w:val="center"/>
          </w:tcPr>
          <w:p w14:paraId="06489422" w14:textId="6B49E683"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24/05/2021</w:t>
            </w:r>
          </w:p>
        </w:tc>
        <w:tc>
          <w:tcPr>
            <w:tcW w:w="1316" w:type="dxa"/>
            <w:tcBorders>
              <w:top w:val="single" w:sz="4" w:space="0" w:color="53565A" w:themeColor="accent5"/>
              <w:bottom w:val="single" w:sz="4" w:space="0" w:color="53565A" w:themeColor="accent5"/>
            </w:tcBorders>
            <w:vAlign w:val="center"/>
          </w:tcPr>
          <w:p w14:paraId="2967856A" w14:textId="0D1D2EF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30/09/2021</w:t>
            </w:r>
          </w:p>
        </w:tc>
        <w:tc>
          <w:tcPr>
            <w:tcW w:w="2055" w:type="dxa"/>
            <w:tcBorders>
              <w:top w:val="single" w:sz="4" w:space="0" w:color="53565A" w:themeColor="accent5"/>
              <w:bottom w:val="single" w:sz="4" w:space="0" w:color="53565A" w:themeColor="accent5"/>
            </w:tcBorders>
            <w:vAlign w:val="center"/>
          </w:tcPr>
          <w:p w14:paraId="0375FBAB" w14:textId="02E38664"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250,011</w:t>
            </w:r>
          </w:p>
        </w:tc>
        <w:tc>
          <w:tcPr>
            <w:tcW w:w="1490" w:type="dxa"/>
            <w:tcBorders>
              <w:top w:val="single" w:sz="4" w:space="0" w:color="53565A" w:themeColor="accent5"/>
              <w:bottom w:val="single" w:sz="4" w:space="0" w:color="53565A" w:themeColor="accent5"/>
            </w:tcBorders>
            <w:vAlign w:val="center"/>
          </w:tcPr>
          <w:p w14:paraId="60447F86" w14:textId="45FD999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210,000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3EDD1E8E" w14:textId="0C19C366" w:rsidR="007D6BEC" w:rsidRPr="008442BC" w:rsidRDefault="007D6BEC" w:rsidP="00D006DC">
            <w:pPr>
              <w:pStyle w:val="ESTablebody"/>
              <w:jc w:val="right"/>
              <w:rPr>
                <w:rFonts w:ascii="Calibri" w:eastAsia="Times New Roman" w:hAnsi="Calibri" w:cs="Calibri"/>
                <w:color w:val="000000"/>
                <w:szCs w:val="20"/>
                <w:lang w:val="en-AU" w:eastAsia="en-AU"/>
              </w:rPr>
            </w:pPr>
            <w:r w:rsidRPr="00452D19">
              <w:rPr>
                <w:rFonts w:ascii="Calibri" w:hAnsi="Calibri" w:cs="Calibri"/>
              </w:rPr>
              <w:t>–</w:t>
            </w:r>
          </w:p>
        </w:tc>
      </w:tr>
      <w:tr w:rsidR="007D6BEC" w:rsidRPr="009423C3" w14:paraId="0352D558"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066D7847" w14:textId="3159BF5F"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NOUS GROUP PTY LTD</w:t>
            </w:r>
          </w:p>
        </w:tc>
        <w:tc>
          <w:tcPr>
            <w:tcW w:w="3608" w:type="dxa"/>
            <w:tcBorders>
              <w:top w:val="single" w:sz="4" w:space="0" w:color="53565A" w:themeColor="accent5"/>
              <w:bottom w:val="single" w:sz="4" w:space="0" w:color="53565A" w:themeColor="accent5"/>
            </w:tcBorders>
            <w:vAlign w:val="center"/>
          </w:tcPr>
          <w:p w14:paraId="30ABFE7B" w14:textId="0CA52E34"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Evaluation of the Place</w:t>
            </w:r>
            <w:r w:rsidR="00930ACA">
              <w:rPr>
                <w:rFonts w:ascii="Calibri" w:eastAsia="Times New Roman" w:hAnsi="Calibri" w:cs="Calibri"/>
                <w:color w:val="000000"/>
                <w:szCs w:val="20"/>
                <w:lang w:val="en-AU" w:eastAsia="en-AU"/>
              </w:rPr>
              <w:noBreakHyphen/>
            </w:r>
            <w:r w:rsidRPr="00FE4F4F">
              <w:rPr>
                <w:rFonts w:ascii="Calibri" w:eastAsia="Times New Roman" w:hAnsi="Calibri" w:cs="Calibri"/>
                <w:color w:val="000000"/>
                <w:szCs w:val="20"/>
                <w:lang w:val="en-AU" w:eastAsia="en-AU"/>
              </w:rPr>
              <w:t xml:space="preserve">Based Partnerships Initiative </w:t>
            </w:r>
          </w:p>
        </w:tc>
        <w:tc>
          <w:tcPr>
            <w:tcW w:w="1227" w:type="dxa"/>
            <w:tcBorders>
              <w:top w:val="single" w:sz="4" w:space="0" w:color="53565A" w:themeColor="accent5"/>
              <w:bottom w:val="single" w:sz="4" w:space="0" w:color="53565A" w:themeColor="accent5"/>
            </w:tcBorders>
            <w:vAlign w:val="center"/>
          </w:tcPr>
          <w:p w14:paraId="514E817C" w14:textId="7914615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16/10/2020</w:t>
            </w:r>
          </w:p>
        </w:tc>
        <w:tc>
          <w:tcPr>
            <w:tcW w:w="1316" w:type="dxa"/>
            <w:tcBorders>
              <w:top w:val="single" w:sz="4" w:space="0" w:color="53565A" w:themeColor="accent5"/>
              <w:bottom w:val="single" w:sz="4" w:space="0" w:color="53565A" w:themeColor="accent5"/>
            </w:tcBorders>
            <w:vAlign w:val="center"/>
          </w:tcPr>
          <w:p w14:paraId="4BCA52DB" w14:textId="1DE84FE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30/12/2023</w:t>
            </w:r>
          </w:p>
        </w:tc>
        <w:tc>
          <w:tcPr>
            <w:tcW w:w="2055" w:type="dxa"/>
            <w:tcBorders>
              <w:top w:val="single" w:sz="4" w:space="0" w:color="53565A" w:themeColor="accent5"/>
              <w:bottom w:val="single" w:sz="4" w:space="0" w:color="53565A" w:themeColor="accent5"/>
            </w:tcBorders>
            <w:vAlign w:val="center"/>
          </w:tcPr>
          <w:p w14:paraId="2BD9691C" w14:textId="060CA682"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327,273</w:t>
            </w:r>
          </w:p>
        </w:tc>
        <w:tc>
          <w:tcPr>
            <w:tcW w:w="1490" w:type="dxa"/>
            <w:tcBorders>
              <w:top w:val="single" w:sz="4" w:space="0" w:color="53565A" w:themeColor="accent5"/>
              <w:bottom w:val="single" w:sz="4" w:space="0" w:color="53565A" w:themeColor="accent5"/>
            </w:tcBorders>
            <w:vAlign w:val="center"/>
          </w:tcPr>
          <w:p w14:paraId="4EA230EF" w14:textId="2EF4C25F"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53,030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3F3C31E4" w14:textId="60E19369" w:rsidR="007D6BEC" w:rsidRPr="008442BC" w:rsidRDefault="007D6BEC" w:rsidP="00D006DC">
            <w:pPr>
              <w:pStyle w:val="ESTablebody"/>
              <w:jc w:val="right"/>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230,05</w:t>
            </w:r>
            <w:r>
              <w:rPr>
                <w:rFonts w:ascii="Calibri" w:eastAsia="Times New Roman" w:hAnsi="Calibri" w:cs="Calibri"/>
                <w:color w:val="000000"/>
                <w:szCs w:val="20"/>
                <w:lang w:val="en-AU" w:eastAsia="en-AU"/>
              </w:rPr>
              <w:t>4</w:t>
            </w:r>
          </w:p>
        </w:tc>
      </w:tr>
      <w:tr w:rsidR="007D6BEC" w:rsidRPr="009423C3" w14:paraId="7BE62156"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1BCF3875" w14:textId="5F2F2E7A"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NOUS GROUP PTY LTD</w:t>
            </w:r>
          </w:p>
        </w:tc>
        <w:tc>
          <w:tcPr>
            <w:tcW w:w="3608" w:type="dxa"/>
            <w:tcBorders>
              <w:top w:val="single" w:sz="4" w:space="0" w:color="53565A" w:themeColor="accent5"/>
              <w:bottom w:val="single" w:sz="4" w:space="0" w:color="53565A" w:themeColor="accent5"/>
            </w:tcBorders>
            <w:vAlign w:val="center"/>
          </w:tcPr>
          <w:p w14:paraId="77B5AFC7" w14:textId="3016E8DF" w:rsidR="007D6BEC" w:rsidRPr="008442BC" w:rsidRDefault="007D6BEC"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Development of</w:t>
            </w:r>
            <w:r w:rsidRPr="00FE4F4F">
              <w:rPr>
                <w:rFonts w:ascii="Calibri" w:eastAsia="Times New Roman" w:hAnsi="Calibri" w:cs="Calibri"/>
                <w:color w:val="000000"/>
                <w:szCs w:val="20"/>
                <w:lang w:val="en-AU" w:eastAsia="en-AU"/>
              </w:rPr>
              <w:t xml:space="preserve"> ‘Skills Solutions’ model for seven priority sectors</w:t>
            </w:r>
          </w:p>
        </w:tc>
        <w:tc>
          <w:tcPr>
            <w:tcW w:w="1227" w:type="dxa"/>
            <w:tcBorders>
              <w:top w:val="single" w:sz="4" w:space="0" w:color="53565A" w:themeColor="accent5"/>
              <w:bottom w:val="single" w:sz="4" w:space="0" w:color="53565A" w:themeColor="accent5"/>
            </w:tcBorders>
            <w:vAlign w:val="center"/>
          </w:tcPr>
          <w:p w14:paraId="10255CE2" w14:textId="79F071B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12/04/2022</w:t>
            </w:r>
          </w:p>
        </w:tc>
        <w:tc>
          <w:tcPr>
            <w:tcW w:w="1316" w:type="dxa"/>
            <w:tcBorders>
              <w:top w:val="single" w:sz="4" w:space="0" w:color="53565A" w:themeColor="accent5"/>
              <w:bottom w:val="single" w:sz="4" w:space="0" w:color="53565A" w:themeColor="accent5"/>
            </w:tcBorders>
            <w:vAlign w:val="center"/>
          </w:tcPr>
          <w:p w14:paraId="0468F9AF" w14:textId="1847C7B0"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29/07/2022</w:t>
            </w:r>
          </w:p>
        </w:tc>
        <w:tc>
          <w:tcPr>
            <w:tcW w:w="2055" w:type="dxa"/>
            <w:tcBorders>
              <w:top w:val="single" w:sz="4" w:space="0" w:color="53565A" w:themeColor="accent5"/>
              <w:bottom w:val="single" w:sz="4" w:space="0" w:color="53565A" w:themeColor="accent5"/>
            </w:tcBorders>
            <w:vAlign w:val="center"/>
          </w:tcPr>
          <w:p w14:paraId="4A3F6F2A" w14:textId="47766B8F"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175,000</w:t>
            </w:r>
          </w:p>
        </w:tc>
        <w:tc>
          <w:tcPr>
            <w:tcW w:w="1490" w:type="dxa"/>
            <w:tcBorders>
              <w:top w:val="single" w:sz="4" w:space="0" w:color="53565A" w:themeColor="accent5"/>
              <w:bottom w:val="single" w:sz="4" w:space="0" w:color="53565A" w:themeColor="accent5"/>
            </w:tcBorders>
            <w:vAlign w:val="center"/>
          </w:tcPr>
          <w:p w14:paraId="7E9867C2" w14:textId="6AD168AC"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175,000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37D184F3" w14:textId="7D49BEF3" w:rsidR="007D6BEC" w:rsidRPr="008442BC" w:rsidRDefault="007D6BEC" w:rsidP="00D006DC">
            <w:pPr>
              <w:pStyle w:val="ESTablebody"/>
              <w:jc w:val="right"/>
              <w:rPr>
                <w:rFonts w:ascii="Calibri" w:eastAsia="Times New Roman" w:hAnsi="Calibri" w:cs="Calibri"/>
                <w:color w:val="000000"/>
                <w:szCs w:val="20"/>
                <w:lang w:val="en-AU" w:eastAsia="en-AU"/>
              </w:rPr>
            </w:pPr>
            <w:r w:rsidRPr="00BA6D54">
              <w:rPr>
                <w:rFonts w:ascii="Calibri" w:hAnsi="Calibri" w:cs="Calibri"/>
              </w:rPr>
              <w:t>–</w:t>
            </w:r>
          </w:p>
        </w:tc>
      </w:tr>
      <w:tr w:rsidR="007D6BEC" w:rsidRPr="009423C3" w14:paraId="4576DCEE"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699CFE3" w14:textId="1E0FD6B2"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NOUS GROUP PTY LTD</w:t>
            </w:r>
          </w:p>
        </w:tc>
        <w:tc>
          <w:tcPr>
            <w:tcW w:w="3608" w:type="dxa"/>
            <w:tcBorders>
              <w:top w:val="single" w:sz="4" w:space="0" w:color="53565A" w:themeColor="accent5"/>
              <w:bottom w:val="single" w:sz="4" w:space="0" w:color="53565A" w:themeColor="accent5"/>
            </w:tcBorders>
            <w:vAlign w:val="center"/>
          </w:tcPr>
          <w:p w14:paraId="15C903D2" w14:textId="60AC319F" w:rsidR="007D6BEC" w:rsidRPr="008442BC" w:rsidRDefault="007D6BEC"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Analysis, advice and options on </w:t>
            </w:r>
            <w:r w:rsidRPr="005051FF">
              <w:rPr>
                <w:rFonts w:ascii="Calibri" w:eastAsia="Times New Roman" w:hAnsi="Calibri" w:cs="Calibri"/>
                <w:color w:val="000000"/>
                <w:szCs w:val="20"/>
                <w:lang w:val="en-AU" w:eastAsia="en-AU"/>
              </w:rPr>
              <w:t>Department of Education and Training</w:t>
            </w:r>
            <w:r>
              <w:rPr>
                <w:rFonts w:ascii="Calibri" w:eastAsia="Times New Roman" w:hAnsi="Calibri" w:cs="Calibri"/>
                <w:color w:val="000000"/>
                <w:szCs w:val="20"/>
                <w:lang w:val="en-AU" w:eastAsia="en-AU"/>
              </w:rPr>
              <w:t xml:space="preserve"> entities</w:t>
            </w:r>
          </w:p>
        </w:tc>
        <w:tc>
          <w:tcPr>
            <w:tcW w:w="1227" w:type="dxa"/>
            <w:tcBorders>
              <w:top w:val="single" w:sz="4" w:space="0" w:color="53565A" w:themeColor="accent5"/>
              <w:bottom w:val="single" w:sz="4" w:space="0" w:color="53565A" w:themeColor="accent5"/>
            </w:tcBorders>
            <w:vAlign w:val="center"/>
          </w:tcPr>
          <w:p w14:paraId="5BA44649" w14:textId="48F87B20" w:rsidR="007D6BEC" w:rsidRPr="008442BC" w:rsidRDefault="007D6BEC"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25/03/2022</w:t>
            </w:r>
            <w:r w:rsidRPr="00FE4F4F">
              <w:rPr>
                <w:rFonts w:ascii="Calibri" w:eastAsia="Times New Roman" w:hAnsi="Calibri" w:cs="Calibri"/>
                <w:color w:val="000000"/>
                <w:szCs w:val="20"/>
                <w:lang w:val="en-AU" w:eastAsia="en-AU"/>
              </w:rPr>
              <w:t> </w:t>
            </w:r>
          </w:p>
        </w:tc>
        <w:tc>
          <w:tcPr>
            <w:tcW w:w="1316" w:type="dxa"/>
            <w:tcBorders>
              <w:top w:val="single" w:sz="4" w:space="0" w:color="53565A" w:themeColor="accent5"/>
              <w:bottom w:val="single" w:sz="4" w:space="0" w:color="53565A" w:themeColor="accent5"/>
            </w:tcBorders>
            <w:vAlign w:val="center"/>
          </w:tcPr>
          <w:p w14:paraId="482944CC" w14:textId="7F9856B5"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w:t>
            </w:r>
            <w:r>
              <w:rPr>
                <w:rFonts w:ascii="Calibri" w:eastAsia="Times New Roman" w:hAnsi="Calibri" w:cs="Calibri"/>
                <w:color w:val="000000"/>
                <w:szCs w:val="20"/>
                <w:lang w:val="en-AU" w:eastAsia="en-AU"/>
              </w:rPr>
              <w:t>31/05/2022</w:t>
            </w:r>
          </w:p>
        </w:tc>
        <w:tc>
          <w:tcPr>
            <w:tcW w:w="2055" w:type="dxa"/>
            <w:tcBorders>
              <w:top w:val="single" w:sz="4" w:space="0" w:color="53565A" w:themeColor="accent5"/>
              <w:bottom w:val="single" w:sz="4" w:space="0" w:color="53565A" w:themeColor="accent5"/>
            </w:tcBorders>
            <w:vAlign w:val="center"/>
          </w:tcPr>
          <w:p w14:paraId="72411D9F" w14:textId="59E008A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100,000 </w:t>
            </w:r>
          </w:p>
        </w:tc>
        <w:tc>
          <w:tcPr>
            <w:tcW w:w="1490" w:type="dxa"/>
            <w:tcBorders>
              <w:top w:val="single" w:sz="4" w:space="0" w:color="53565A" w:themeColor="accent5"/>
              <w:bottom w:val="single" w:sz="4" w:space="0" w:color="53565A" w:themeColor="accent5"/>
            </w:tcBorders>
            <w:vAlign w:val="center"/>
          </w:tcPr>
          <w:p w14:paraId="471A62F5" w14:textId="09B72E6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77,800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A533721" w14:textId="61D02977" w:rsidR="007D6BEC" w:rsidRPr="008442BC" w:rsidRDefault="007D6BEC" w:rsidP="00D006DC">
            <w:pPr>
              <w:pStyle w:val="ESTablebody"/>
              <w:jc w:val="right"/>
              <w:rPr>
                <w:rFonts w:ascii="Calibri" w:eastAsia="Times New Roman" w:hAnsi="Calibri" w:cs="Calibri"/>
                <w:color w:val="000000"/>
                <w:szCs w:val="20"/>
                <w:lang w:val="en-AU" w:eastAsia="en-AU"/>
              </w:rPr>
            </w:pPr>
            <w:r w:rsidRPr="00BA6D54">
              <w:rPr>
                <w:rFonts w:ascii="Calibri" w:hAnsi="Calibri" w:cs="Calibri"/>
              </w:rPr>
              <w:t>–</w:t>
            </w:r>
          </w:p>
        </w:tc>
      </w:tr>
      <w:tr w:rsidR="007D6BEC" w:rsidRPr="009423C3" w14:paraId="34417E1D"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7C067E88" w14:textId="4EE661EB"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PAXTON PARTNERS</w:t>
            </w:r>
          </w:p>
        </w:tc>
        <w:tc>
          <w:tcPr>
            <w:tcW w:w="3608" w:type="dxa"/>
            <w:tcBorders>
              <w:top w:val="single" w:sz="4" w:space="0" w:color="53565A" w:themeColor="accent5"/>
              <w:bottom w:val="single" w:sz="4" w:space="0" w:color="53565A" w:themeColor="accent5"/>
            </w:tcBorders>
            <w:vAlign w:val="center"/>
          </w:tcPr>
          <w:p w14:paraId="20313313" w14:textId="77476270"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Impact evaluation to improve health, </w:t>
            </w:r>
            <w:proofErr w:type="gramStart"/>
            <w:r w:rsidRPr="00FE4F4F">
              <w:rPr>
                <w:rFonts w:ascii="Calibri" w:eastAsia="Times New Roman" w:hAnsi="Calibri" w:cs="Calibri"/>
                <w:color w:val="000000"/>
                <w:szCs w:val="20"/>
                <w:lang w:val="en-AU" w:eastAsia="en-AU"/>
              </w:rPr>
              <w:t>safety</w:t>
            </w:r>
            <w:proofErr w:type="gramEnd"/>
            <w:r w:rsidRPr="00FE4F4F">
              <w:rPr>
                <w:rFonts w:ascii="Calibri" w:eastAsia="Times New Roman" w:hAnsi="Calibri" w:cs="Calibri"/>
                <w:color w:val="000000"/>
                <w:szCs w:val="20"/>
                <w:lang w:val="en-AU" w:eastAsia="en-AU"/>
              </w:rPr>
              <w:t xml:space="preserve"> and wellbeing and to reduce administrative burden for schools</w:t>
            </w:r>
          </w:p>
        </w:tc>
        <w:tc>
          <w:tcPr>
            <w:tcW w:w="1227" w:type="dxa"/>
            <w:tcBorders>
              <w:top w:val="single" w:sz="4" w:space="0" w:color="53565A" w:themeColor="accent5"/>
              <w:bottom w:val="single" w:sz="4" w:space="0" w:color="53565A" w:themeColor="accent5"/>
            </w:tcBorders>
            <w:vAlign w:val="center"/>
          </w:tcPr>
          <w:p w14:paraId="1A81298F" w14:textId="08985C60"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5/08/2019</w:t>
            </w:r>
          </w:p>
        </w:tc>
        <w:tc>
          <w:tcPr>
            <w:tcW w:w="1316" w:type="dxa"/>
            <w:tcBorders>
              <w:top w:val="single" w:sz="4" w:space="0" w:color="53565A" w:themeColor="accent5"/>
              <w:bottom w:val="single" w:sz="4" w:space="0" w:color="53565A" w:themeColor="accent5"/>
            </w:tcBorders>
            <w:vAlign w:val="center"/>
          </w:tcPr>
          <w:p w14:paraId="68241BA1" w14:textId="581C81C0"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20/12/2021</w:t>
            </w:r>
          </w:p>
        </w:tc>
        <w:tc>
          <w:tcPr>
            <w:tcW w:w="2055" w:type="dxa"/>
            <w:tcBorders>
              <w:top w:val="single" w:sz="4" w:space="0" w:color="53565A" w:themeColor="accent5"/>
              <w:bottom w:val="single" w:sz="4" w:space="0" w:color="53565A" w:themeColor="accent5"/>
            </w:tcBorders>
            <w:vAlign w:val="center"/>
          </w:tcPr>
          <w:p w14:paraId="4C44D0AB" w14:textId="49DEFD5B"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372,460</w:t>
            </w:r>
          </w:p>
        </w:tc>
        <w:tc>
          <w:tcPr>
            <w:tcW w:w="1490" w:type="dxa"/>
            <w:tcBorders>
              <w:top w:val="single" w:sz="4" w:space="0" w:color="53565A" w:themeColor="accent5"/>
              <w:bottom w:val="single" w:sz="4" w:space="0" w:color="53565A" w:themeColor="accent5"/>
            </w:tcBorders>
            <w:vAlign w:val="center"/>
          </w:tcPr>
          <w:p w14:paraId="07062084" w14:textId="47DD05AA"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9,320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111A2D1D" w14:textId="155FE2A7" w:rsidR="007D6BEC" w:rsidRPr="008442BC" w:rsidRDefault="007D6BEC" w:rsidP="00D006DC">
            <w:pPr>
              <w:pStyle w:val="ESTablebody"/>
              <w:jc w:val="right"/>
              <w:rPr>
                <w:rFonts w:ascii="Calibri" w:eastAsia="Times New Roman" w:hAnsi="Calibri" w:cs="Calibri"/>
                <w:color w:val="000000"/>
                <w:szCs w:val="20"/>
                <w:lang w:val="en-AU" w:eastAsia="en-AU"/>
              </w:rPr>
            </w:pPr>
            <w:r w:rsidRPr="00BA6D54">
              <w:rPr>
                <w:rFonts w:ascii="Calibri" w:hAnsi="Calibri" w:cs="Calibri"/>
              </w:rPr>
              <w:t>–</w:t>
            </w:r>
          </w:p>
        </w:tc>
      </w:tr>
      <w:tr w:rsidR="007D6BEC" w:rsidRPr="009423C3" w14:paraId="55018995"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F8FEA70" w14:textId="3B46353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PORTABLE AUSTRALIA PTY LTD</w:t>
            </w:r>
          </w:p>
        </w:tc>
        <w:tc>
          <w:tcPr>
            <w:tcW w:w="3608" w:type="dxa"/>
            <w:tcBorders>
              <w:top w:val="single" w:sz="4" w:space="0" w:color="53565A" w:themeColor="accent5"/>
              <w:bottom w:val="single" w:sz="4" w:space="0" w:color="53565A" w:themeColor="accent5"/>
            </w:tcBorders>
            <w:vAlign w:val="center"/>
          </w:tcPr>
          <w:p w14:paraId="5F21A49A" w14:textId="0F74A314"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Research into the factors influencing the school choices of high-ability girls, particularly selective entry high school enrolment </w:t>
            </w:r>
          </w:p>
        </w:tc>
        <w:tc>
          <w:tcPr>
            <w:tcW w:w="1227" w:type="dxa"/>
            <w:tcBorders>
              <w:top w:val="single" w:sz="4" w:space="0" w:color="53565A" w:themeColor="accent5"/>
              <w:bottom w:val="single" w:sz="4" w:space="0" w:color="53565A" w:themeColor="accent5"/>
            </w:tcBorders>
            <w:vAlign w:val="center"/>
          </w:tcPr>
          <w:p w14:paraId="28B48096" w14:textId="08A0E1CD"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29/11/2021</w:t>
            </w:r>
          </w:p>
        </w:tc>
        <w:tc>
          <w:tcPr>
            <w:tcW w:w="1316" w:type="dxa"/>
            <w:tcBorders>
              <w:top w:val="single" w:sz="4" w:space="0" w:color="53565A" w:themeColor="accent5"/>
              <w:bottom w:val="single" w:sz="4" w:space="0" w:color="53565A" w:themeColor="accent5"/>
            </w:tcBorders>
            <w:vAlign w:val="center"/>
          </w:tcPr>
          <w:p w14:paraId="2FB5CFC3" w14:textId="1F033D6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29/04/2022</w:t>
            </w:r>
          </w:p>
        </w:tc>
        <w:tc>
          <w:tcPr>
            <w:tcW w:w="2055" w:type="dxa"/>
            <w:tcBorders>
              <w:top w:val="single" w:sz="4" w:space="0" w:color="53565A" w:themeColor="accent5"/>
              <w:bottom w:val="single" w:sz="4" w:space="0" w:color="53565A" w:themeColor="accent5"/>
            </w:tcBorders>
            <w:vAlign w:val="center"/>
          </w:tcPr>
          <w:p w14:paraId="6CF03A70" w14:textId="7C14B954"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268,108</w:t>
            </w:r>
          </w:p>
        </w:tc>
        <w:tc>
          <w:tcPr>
            <w:tcW w:w="1490" w:type="dxa"/>
            <w:tcBorders>
              <w:top w:val="single" w:sz="4" w:space="0" w:color="53565A" w:themeColor="accent5"/>
              <w:bottom w:val="single" w:sz="4" w:space="0" w:color="53565A" w:themeColor="accent5"/>
            </w:tcBorders>
            <w:vAlign w:val="center"/>
          </w:tcPr>
          <w:p w14:paraId="56FEC948" w14:textId="7FC8C134"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268,108</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077CACE5" w14:textId="1A323077" w:rsidR="007D6BEC" w:rsidRPr="008442BC" w:rsidRDefault="007D6BEC" w:rsidP="00D006DC">
            <w:pPr>
              <w:pStyle w:val="ESTablebody"/>
              <w:jc w:val="right"/>
              <w:rPr>
                <w:rFonts w:ascii="Calibri" w:eastAsia="Times New Roman" w:hAnsi="Calibri" w:cs="Calibri"/>
                <w:color w:val="000000"/>
                <w:szCs w:val="20"/>
                <w:lang w:val="en-AU" w:eastAsia="en-AU"/>
              </w:rPr>
            </w:pPr>
            <w:r w:rsidRPr="00A07D44">
              <w:rPr>
                <w:rFonts w:ascii="Calibri" w:hAnsi="Calibri" w:cs="Calibri"/>
              </w:rPr>
              <w:t>–</w:t>
            </w:r>
          </w:p>
        </w:tc>
      </w:tr>
      <w:tr w:rsidR="007D6BEC" w:rsidRPr="009423C3" w14:paraId="715E415D"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2E3B43A0" w14:textId="28C82DD2"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PRICEWATERHOUSE COOPERS</w:t>
            </w:r>
          </w:p>
        </w:tc>
        <w:tc>
          <w:tcPr>
            <w:tcW w:w="3608" w:type="dxa"/>
            <w:tcBorders>
              <w:top w:val="single" w:sz="4" w:space="0" w:color="53565A" w:themeColor="accent5"/>
              <w:bottom w:val="single" w:sz="4" w:space="0" w:color="53565A" w:themeColor="accent5"/>
            </w:tcBorders>
            <w:vAlign w:val="center"/>
          </w:tcPr>
          <w:p w14:paraId="329E2E43" w14:textId="2292AB6E" w:rsidR="007D6BEC" w:rsidRPr="008442BC" w:rsidRDefault="007D6BEC"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A</w:t>
            </w:r>
            <w:r w:rsidRPr="00FE4F4F">
              <w:rPr>
                <w:rFonts w:ascii="Calibri" w:eastAsia="Times New Roman" w:hAnsi="Calibri" w:cs="Calibri"/>
                <w:color w:val="000000"/>
                <w:szCs w:val="20"/>
                <w:lang w:val="en-AU" w:eastAsia="en-AU"/>
              </w:rPr>
              <w:t xml:space="preserve">nnual review of the Free TAFE for Priority Courses list </w:t>
            </w:r>
          </w:p>
        </w:tc>
        <w:tc>
          <w:tcPr>
            <w:tcW w:w="1227" w:type="dxa"/>
            <w:tcBorders>
              <w:top w:val="single" w:sz="4" w:space="0" w:color="53565A" w:themeColor="accent5"/>
              <w:bottom w:val="single" w:sz="4" w:space="0" w:color="53565A" w:themeColor="accent5"/>
            </w:tcBorders>
            <w:vAlign w:val="center"/>
          </w:tcPr>
          <w:p w14:paraId="796191B5" w14:textId="6FC76224"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26/05/2021</w:t>
            </w:r>
          </w:p>
        </w:tc>
        <w:tc>
          <w:tcPr>
            <w:tcW w:w="1316" w:type="dxa"/>
            <w:tcBorders>
              <w:top w:val="single" w:sz="4" w:space="0" w:color="53565A" w:themeColor="accent5"/>
              <w:bottom w:val="single" w:sz="4" w:space="0" w:color="53565A" w:themeColor="accent5"/>
            </w:tcBorders>
            <w:vAlign w:val="center"/>
          </w:tcPr>
          <w:p w14:paraId="2F1FD6FF" w14:textId="4F0CEE5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31/08/2021</w:t>
            </w:r>
          </w:p>
        </w:tc>
        <w:tc>
          <w:tcPr>
            <w:tcW w:w="2055" w:type="dxa"/>
            <w:tcBorders>
              <w:top w:val="single" w:sz="4" w:space="0" w:color="53565A" w:themeColor="accent5"/>
              <w:bottom w:val="single" w:sz="4" w:space="0" w:color="53565A" w:themeColor="accent5"/>
            </w:tcBorders>
            <w:vAlign w:val="center"/>
          </w:tcPr>
          <w:p w14:paraId="7387D36B" w14:textId="13A5BDFB"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87,740</w:t>
            </w:r>
          </w:p>
        </w:tc>
        <w:tc>
          <w:tcPr>
            <w:tcW w:w="1490" w:type="dxa"/>
            <w:tcBorders>
              <w:top w:val="single" w:sz="4" w:space="0" w:color="53565A" w:themeColor="accent5"/>
              <w:bottom w:val="single" w:sz="4" w:space="0" w:color="53565A" w:themeColor="accent5"/>
            </w:tcBorders>
            <w:vAlign w:val="center"/>
          </w:tcPr>
          <w:p w14:paraId="3CC6A775" w14:textId="42872817"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57,048</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2C130973" w14:textId="6E88CF6E" w:rsidR="007D6BEC" w:rsidRPr="008442BC" w:rsidRDefault="007D6BEC" w:rsidP="00D006DC">
            <w:pPr>
              <w:pStyle w:val="ESTablebody"/>
              <w:jc w:val="right"/>
              <w:rPr>
                <w:rFonts w:ascii="Calibri" w:eastAsia="Times New Roman" w:hAnsi="Calibri" w:cs="Calibri"/>
                <w:color w:val="000000"/>
                <w:szCs w:val="20"/>
                <w:lang w:val="en-AU" w:eastAsia="en-AU"/>
              </w:rPr>
            </w:pPr>
            <w:r w:rsidRPr="00A07D44">
              <w:rPr>
                <w:rFonts w:ascii="Calibri" w:hAnsi="Calibri" w:cs="Calibri"/>
              </w:rPr>
              <w:t>–</w:t>
            </w:r>
          </w:p>
        </w:tc>
      </w:tr>
      <w:tr w:rsidR="007D6BEC" w:rsidRPr="009423C3" w14:paraId="628F5013"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7FE7CA7" w14:textId="5AF4DF4A"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PROJECT MANAGEMENT PARTNERS PTY LIMITED</w:t>
            </w:r>
          </w:p>
        </w:tc>
        <w:tc>
          <w:tcPr>
            <w:tcW w:w="3608" w:type="dxa"/>
            <w:tcBorders>
              <w:top w:val="single" w:sz="4" w:space="0" w:color="53565A" w:themeColor="accent5"/>
              <w:bottom w:val="single" w:sz="4" w:space="0" w:color="53565A" w:themeColor="accent5"/>
            </w:tcBorders>
            <w:vAlign w:val="center"/>
          </w:tcPr>
          <w:p w14:paraId="0900F3DB" w14:textId="3DAE2312"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Review </w:t>
            </w:r>
            <w:r>
              <w:rPr>
                <w:rFonts w:ascii="Calibri" w:eastAsia="Times New Roman" w:hAnsi="Calibri" w:cs="Calibri"/>
                <w:color w:val="000000"/>
                <w:szCs w:val="20"/>
                <w:lang w:val="en-AU" w:eastAsia="en-AU"/>
              </w:rPr>
              <w:t xml:space="preserve">of </w:t>
            </w:r>
            <w:r w:rsidR="00091D1F">
              <w:rPr>
                <w:rFonts w:ascii="Calibri" w:eastAsia="Times New Roman" w:hAnsi="Calibri" w:cs="Calibri"/>
                <w:color w:val="000000"/>
                <w:szCs w:val="20"/>
                <w:lang w:val="en-AU" w:eastAsia="en-AU"/>
              </w:rPr>
              <w:t>g</w:t>
            </w:r>
            <w:r w:rsidRPr="00FE4F4F">
              <w:rPr>
                <w:rFonts w:ascii="Calibri" w:eastAsia="Times New Roman" w:hAnsi="Calibri" w:cs="Calibri"/>
                <w:color w:val="000000"/>
                <w:szCs w:val="20"/>
                <w:lang w:val="en-AU" w:eastAsia="en-AU"/>
              </w:rPr>
              <w:t xml:space="preserve">overnance </w:t>
            </w:r>
            <w:r w:rsidR="00091D1F">
              <w:rPr>
                <w:rFonts w:ascii="Calibri" w:eastAsia="Times New Roman" w:hAnsi="Calibri" w:cs="Calibri"/>
                <w:color w:val="000000"/>
                <w:szCs w:val="20"/>
                <w:lang w:val="en-AU" w:eastAsia="en-AU"/>
              </w:rPr>
              <w:t>a</w:t>
            </w:r>
            <w:r w:rsidRPr="00FE4F4F">
              <w:rPr>
                <w:rFonts w:ascii="Calibri" w:eastAsia="Times New Roman" w:hAnsi="Calibri" w:cs="Calibri"/>
                <w:color w:val="000000"/>
                <w:szCs w:val="20"/>
                <w:lang w:val="en-AU" w:eastAsia="en-AU"/>
              </w:rPr>
              <w:t>rrangements for Student Administration Program</w:t>
            </w:r>
          </w:p>
        </w:tc>
        <w:tc>
          <w:tcPr>
            <w:tcW w:w="1227" w:type="dxa"/>
            <w:tcBorders>
              <w:top w:val="single" w:sz="4" w:space="0" w:color="53565A" w:themeColor="accent5"/>
              <w:bottom w:val="single" w:sz="4" w:space="0" w:color="53565A" w:themeColor="accent5"/>
            </w:tcBorders>
            <w:vAlign w:val="center"/>
          </w:tcPr>
          <w:p w14:paraId="0497BC3A" w14:textId="13FF1647"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1/07/2021</w:t>
            </w:r>
          </w:p>
        </w:tc>
        <w:tc>
          <w:tcPr>
            <w:tcW w:w="1316" w:type="dxa"/>
            <w:tcBorders>
              <w:top w:val="single" w:sz="4" w:space="0" w:color="53565A" w:themeColor="accent5"/>
              <w:bottom w:val="single" w:sz="4" w:space="0" w:color="53565A" w:themeColor="accent5"/>
            </w:tcBorders>
            <w:vAlign w:val="center"/>
          </w:tcPr>
          <w:p w14:paraId="4C1CC23B" w14:textId="3C066DD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4/03/2022</w:t>
            </w:r>
          </w:p>
        </w:tc>
        <w:tc>
          <w:tcPr>
            <w:tcW w:w="2055" w:type="dxa"/>
            <w:tcBorders>
              <w:top w:val="single" w:sz="4" w:space="0" w:color="53565A" w:themeColor="accent5"/>
              <w:bottom w:val="single" w:sz="4" w:space="0" w:color="53565A" w:themeColor="accent5"/>
            </w:tcBorders>
            <w:vAlign w:val="center"/>
          </w:tcPr>
          <w:p w14:paraId="06541E04" w14:textId="3841B01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26,400</w:t>
            </w:r>
          </w:p>
        </w:tc>
        <w:tc>
          <w:tcPr>
            <w:tcW w:w="1490" w:type="dxa"/>
            <w:tcBorders>
              <w:top w:val="single" w:sz="4" w:space="0" w:color="53565A" w:themeColor="accent5"/>
              <w:bottom w:val="single" w:sz="4" w:space="0" w:color="53565A" w:themeColor="accent5"/>
            </w:tcBorders>
            <w:vAlign w:val="center"/>
          </w:tcPr>
          <w:p w14:paraId="641024FE" w14:textId="4F50867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26,400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A67FE30" w14:textId="0CF6780B" w:rsidR="007D6BEC" w:rsidRPr="008442BC" w:rsidRDefault="007D6BEC" w:rsidP="00D006DC">
            <w:pPr>
              <w:pStyle w:val="ESTablebody"/>
              <w:jc w:val="right"/>
              <w:rPr>
                <w:rFonts w:ascii="Calibri" w:eastAsia="Times New Roman" w:hAnsi="Calibri" w:cs="Calibri"/>
                <w:color w:val="000000"/>
                <w:szCs w:val="20"/>
                <w:lang w:val="en-AU" w:eastAsia="en-AU"/>
              </w:rPr>
            </w:pPr>
            <w:r w:rsidRPr="00A07D44">
              <w:rPr>
                <w:rFonts w:ascii="Calibri" w:hAnsi="Calibri" w:cs="Calibri"/>
              </w:rPr>
              <w:t>–</w:t>
            </w:r>
          </w:p>
        </w:tc>
      </w:tr>
      <w:tr w:rsidR="007D6BEC" w:rsidRPr="009423C3" w14:paraId="2BA16D50"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2EFFE489" w14:textId="6F02A00F"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SENATESHJ</w:t>
            </w:r>
          </w:p>
        </w:tc>
        <w:tc>
          <w:tcPr>
            <w:tcW w:w="3608" w:type="dxa"/>
            <w:tcBorders>
              <w:top w:val="single" w:sz="4" w:space="0" w:color="53565A" w:themeColor="accent5"/>
              <w:bottom w:val="single" w:sz="4" w:space="0" w:color="53565A" w:themeColor="accent5"/>
            </w:tcBorders>
            <w:vAlign w:val="center"/>
          </w:tcPr>
          <w:p w14:paraId="29EF2A5F" w14:textId="395E5C53" w:rsidR="000E4031" w:rsidRPr="008442BC" w:rsidRDefault="000E4031"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S</w:t>
            </w:r>
            <w:r w:rsidRPr="000E4031">
              <w:rPr>
                <w:rFonts w:ascii="Calibri" w:eastAsia="Times New Roman" w:hAnsi="Calibri" w:cs="Calibri"/>
                <w:color w:val="000000"/>
                <w:szCs w:val="20"/>
                <w:lang w:val="en-AU" w:eastAsia="en-AU"/>
              </w:rPr>
              <w:t xml:space="preserve">upporting policy cohesion for </w:t>
            </w:r>
            <w:proofErr w:type="spellStart"/>
            <w:r w:rsidRPr="000E4031">
              <w:rPr>
                <w:rFonts w:ascii="Calibri" w:eastAsia="Times New Roman" w:hAnsi="Calibri" w:cs="Calibri"/>
                <w:color w:val="000000"/>
                <w:szCs w:val="20"/>
                <w:lang w:val="en-AU" w:eastAsia="en-AU"/>
              </w:rPr>
              <w:t>Koorie</w:t>
            </w:r>
            <w:proofErr w:type="spellEnd"/>
            <w:r w:rsidRPr="000E4031">
              <w:rPr>
                <w:rFonts w:ascii="Calibri" w:eastAsia="Times New Roman" w:hAnsi="Calibri" w:cs="Calibri"/>
                <w:color w:val="000000"/>
                <w:szCs w:val="20"/>
                <w:lang w:val="en-AU" w:eastAsia="en-AU"/>
              </w:rPr>
              <w:t xml:space="preserve"> outcomes and preparation for </w:t>
            </w:r>
            <w:proofErr w:type="spellStart"/>
            <w:r w:rsidRPr="000E4031">
              <w:rPr>
                <w:rFonts w:ascii="Calibri" w:eastAsia="Times New Roman" w:hAnsi="Calibri" w:cs="Calibri"/>
                <w:color w:val="000000"/>
                <w:szCs w:val="20"/>
                <w:lang w:val="en-AU" w:eastAsia="en-AU"/>
              </w:rPr>
              <w:t>Yoorrook</w:t>
            </w:r>
            <w:proofErr w:type="spellEnd"/>
            <w:r w:rsidRPr="000E4031">
              <w:rPr>
                <w:rFonts w:ascii="Calibri" w:eastAsia="Times New Roman" w:hAnsi="Calibri" w:cs="Calibri"/>
                <w:color w:val="000000"/>
                <w:szCs w:val="20"/>
                <w:lang w:val="en-AU" w:eastAsia="en-AU"/>
              </w:rPr>
              <w:t xml:space="preserve"> and Treaty</w:t>
            </w:r>
          </w:p>
        </w:tc>
        <w:tc>
          <w:tcPr>
            <w:tcW w:w="1227" w:type="dxa"/>
            <w:tcBorders>
              <w:top w:val="single" w:sz="4" w:space="0" w:color="53565A" w:themeColor="accent5"/>
              <w:bottom w:val="single" w:sz="4" w:space="0" w:color="53565A" w:themeColor="accent5"/>
            </w:tcBorders>
            <w:vAlign w:val="center"/>
          </w:tcPr>
          <w:p w14:paraId="573946BE" w14:textId="29289ECC"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17/10/2021</w:t>
            </w:r>
          </w:p>
        </w:tc>
        <w:tc>
          <w:tcPr>
            <w:tcW w:w="1316" w:type="dxa"/>
            <w:tcBorders>
              <w:top w:val="single" w:sz="4" w:space="0" w:color="53565A" w:themeColor="accent5"/>
              <w:bottom w:val="single" w:sz="4" w:space="0" w:color="53565A" w:themeColor="accent5"/>
            </w:tcBorders>
            <w:vAlign w:val="center"/>
          </w:tcPr>
          <w:p w14:paraId="4B5BC4C2" w14:textId="1660C597"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1/07/2022</w:t>
            </w:r>
          </w:p>
        </w:tc>
        <w:tc>
          <w:tcPr>
            <w:tcW w:w="2055" w:type="dxa"/>
            <w:tcBorders>
              <w:top w:val="single" w:sz="4" w:space="0" w:color="53565A" w:themeColor="accent5"/>
              <w:bottom w:val="single" w:sz="4" w:space="0" w:color="53565A" w:themeColor="accent5"/>
            </w:tcBorders>
            <w:vAlign w:val="center"/>
          </w:tcPr>
          <w:p w14:paraId="1A98293C" w14:textId="2AABB395"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29,520</w:t>
            </w:r>
          </w:p>
        </w:tc>
        <w:tc>
          <w:tcPr>
            <w:tcW w:w="1490" w:type="dxa"/>
            <w:tcBorders>
              <w:top w:val="single" w:sz="4" w:space="0" w:color="53565A" w:themeColor="accent5"/>
              <w:bottom w:val="single" w:sz="4" w:space="0" w:color="53565A" w:themeColor="accent5"/>
            </w:tcBorders>
            <w:vAlign w:val="center"/>
          </w:tcPr>
          <w:p w14:paraId="5A72A5B5" w14:textId="7E509A4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29,520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7B4BF275" w14:textId="3FC97C8C" w:rsidR="007D6BEC" w:rsidRPr="008442BC" w:rsidRDefault="007D6BEC" w:rsidP="00D006DC">
            <w:pPr>
              <w:pStyle w:val="ESTablebody"/>
              <w:jc w:val="right"/>
              <w:rPr>
                <w:rFonts w:ascii="Calibri" w:eastAsia="Times New Roman" w:hAnsi="Calibri" w:cs="Calibri"/>
                <w:color w:val="000000"/>
                <w:szCs w:val="20"/>
                <w:lang w:val="en-AU" w:eastAsia="en-AU"/>
              </w:rPr>
            </w:pPr>
            <w:r w:rsidRPr="00A07D44">
              <w:rPr>
                <w:rFonts w:ascii="Calibri" w:hAnsi="Calibri" w:cs="Calibri"/>
              </w:rPr>
              <w:t>–</w:t>
            </w:r>
          </w:p>
        </w:tc>
      </w:tr>
      <w:tr w:rsidR="007D6BEC" w:rsidRPr="009423C3" w14:paraId="6505318C"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6AEB64CF" w14:textId="140DAB34"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SGS ECONOMICS AND PLANNING</w:t>
            </w:r>
          </w:p>
        </w:tc>
        <w:tc>
          <w:tcPr>
            <w:tcW w:w="3608" w:type="dxa"/>
            <w:tcBorders>
              <w:top w:val="single" w:sz="4" w:space="0" w:color="53565A" w:themeColor="accent5"/>
              <w:bottom w:val="single" w:sz="4" w:space="0" w:color="53565A" w:themeColor="accent5"/>
            </w:tcBorders>
            <w:vAlign w:val="center"/>
          </w:tcPr>
          <w:p w14:paraId="638755BA" w14:textId="0A8982F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Development of a TAFE Asset Strategy</w:t>
            </w:r>
          </w:p>
        </w:tc>
        <w:tc>
          <w:tcPr>
            <w:tcW w:w="1227" w:type="dxa"/>
            <w:tcBorders>
              <w:top w:val="single" w:sz="4" w:space="0" w:color="53565A" w:themeColor="accent5"/>
              <w:bottom w:val="single" w:sz="4" w:space="0" w:color="53565A" w:themeColor="accent5"/>
            </w:tcBorders>
            <w:vAlign w:val="center"/>
          </w:tcPr>
          <w:p w14:paraId="59F0BC93" w14:textId="68BC1F7D"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28/03/2022</w:t>
            </w:r>
          </w:p>
        </w:tc>
        <w:tc>
          <w:tcPr>
            <w:tcW w:w="1316" w:type="dxa"/>
            <w:tcBorders>
              <w:top w:val="single" w:sz="4" w:space="0" w:color="53565A" w:themeColor="accent5"/>
              <w:bottom w:val="single" w:sz="4" w:space="0" w:color="53565A" w:themeColor="accent5"/>
            </w:tcBorders>
            <w:vAlign w:val="center"/>
          </w:tcPr>
          <w:p w14:paraId="037F44D9" w14:textId="1410EF0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21/12/2022</w:t>
            </w:r>
          </w:p>
        </w:tc>
        <w:tc>
          <w:tcPr>
            <w:tcW w:w="2055" w:type="dxa"/>
            <w:tcBorders>
              <w:top w:val="single" w:sz="4" w:space="0" w:color="53565A" w:themeColor="accent5"/>
              <w:bottom w:val="single" w:sz="4" w:space="0" w:color="53565A" w:themeColor="accent5"/>
            </w:tcBorders>
            <w:vAlign w:val="center"/>
          </w:tcPr>
          <w:p w14:paraId="4480EC75" w14:textId="0444CAE1"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148,046</w:t>
            </w:r>
          </w:p>
        </w:tc>
        <w:tc>
          <w:tcPr>
            <w:tcW w:w="1490" w:type="dxa"/>
            <w:tcBorders>
              <w:top w:val="single" w:sz="4" w:space="0" w:color="53565A" w:themeColor="accent5"/>
              <w:bottom w:val="single" w:sz="4" w:space="0" w:color="53565A" w:themeColor="accent5"/>
            </w:tcBorders>
            <w:vAlign w:val="center"/>
          </w:tcPr>
          <w:p w14:paraId="20FC241D" w14:textId="3A936AA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118,437</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04023DB0" w14:textId="591302DC" w:rsidR="007D6BEC" w:rsidRPr="008442BC" w:rsidRDefault="007D6BEC" w:rsidP="00D006DC">
            <w:pPr>
              <w:pStyle w:val="ESTablebody"/>
              <w:jc w:val="right"/>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29,609</w:t>
            </w:r>
          </w:p>
        </w:tc>
      </w:tr>
      <w:tr w:rsidR="007D6BEC" w:rsidRPr="009423C3" w14:paraId="6B8B0A7A"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134AB2EF" w14:textId="50165B1F"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SYNERGISTIQ PTY LTD</w:t>
            </w:r>
          </w:p>
        </w:tc>
        <w:tc>
          <w:tcPr>
            <w:tcW w:w="3608" w:type="dxa"/>
            <w:tcBorders>
              <w:top w:val="single" w:sz="4" w:space="0" w:color="53565A" w:themeColor="accent5"/>
              <w:bottom w:val="single" w:sz="4" w:space="0" w:color="53565A" w:themeColor="accent5"/>
            </w:tcBorders>
            <w:vAlign w:val="center"/>
          </w:tcPr>
          <w:p w14:paraId="33BF43F5" w14:textId="04B29BD1"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Development of Professional Learning Framework</w:t>
            </w:r>
          </w:p>
        </w:tc>
        <w:tc>
          <w:tcPr>
            <w:tcW w:w="1227" w:type="dxa"/>
            <w:tcBorders>
              <w:top w:val="single" w:sz="4" w:space="0" w:color="53565A" w:themeColor="accent5"/>
              <w:bottom w:val="single" w:sz="4" w:space="0" w:color="53565A" w:themeColor="accent5"/>
            </w:tcBorders>
            <w:vAlign w:val="center"/>
          </w:tcPr>
          <w:p w14:paraId="4B9ECC45" w14:textId="53105573"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18/05/2021</w:t>
            </w:r>
          </w:p>
        </w:tc>
        <w:tc>
          <w:tcPr>
            <w:tcW w:w="1316" w:type="dxa"/>
            <w:tcBorders>
              <w:top w:val="single" w:sz="4" w:space="0" w:color="53565A" w:themeColor="accent5"/>
              <w:bottom w:val="single" w:sz="4" w:space="0" w:color="53565A" w:themeColor="accent5"/>
            </w:tcBorders>
            <w:vAlign w:val="center"/>
          </w:tcPr>
          <w:p w14:paraId="260F4ABC" w14:textId="25D2E129" w:rsidR="007D6BEC" w:rsidRPr="008442BC" w:rsidRDefault="00911ECD"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30</w:t>
            </w:r>
            <w:r w:rsidR="007D6BEC" w:rsidRPr="00FE4F4F">
              <w:rPr>
                <w:rFonts w:ascii="Calibri" w:eastAsia="Times New Roman" w:hAnsi="Calibri" w:cs="Calibri"/>
                <w:color w:val="000000"/>
                <w:szCs w:val="20"/>
                <w:lang w:val="en-AU" w:eastAsia="en-AU"/>
              </w:rPr>
              <w:t>/</w:t>
            </w:r>
            <w:r>
              <w:rPr>
                <w:rFonts w:ascii="Calibri" w:eastAsia="Times New Roman" w:hAnsi="Calibri" w:cs="Calibri"/>
                <w:color w:val="000000"/>
                <w:szCs w:val="20"/>
                <w:lang w:val="en-AU" w:eastAsia="en-AU"/>
              </w:rPr>
              <w:t>11</w:t>
            </w:r>
            <w:r w:rsidR="007D6BEC" w:rsidRPr="00FE4F4F">
              <w:rPr>
                <w:rFonts w:ascii="Calibri" w:eastAsia="Times New Roman" w:hAnsi="Calibri" w:cs="Calibri"/>
                <w:color w:val="000000"/>
                <w:szCs w:val="20"/>
                <w:lang w:val="en-AU" w:eastAsia="en-AU"/>
              </w:rPr>
              <w:t>/2021</w:t>
            </w:r>
          </w:p>
        </w:tc>
        <w:tc>
          <w:tcPr>
            <w:tcW w:w="2055" w:type="dxa"/>
            <w:tcBorders>
              <w:top w:val="single" w:sz="4" w:space="0" w:color="53565A" w:themeColor="accent5"/>
              <w:bottom w:val="single" w:sz="4" w:space="0" w:color="53565A" w:themeColor="accent5"/>
            </w:tcBorders>
            <w:vAlign w:val="center"/>
          </w:tcPr>
          <w:p w14:paraId="33B2D5B4" w14:textId="7AC4E4B7"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136,504</w:t>
            </w:r>
          </w:p>
        </w:tc>
        <w:tc>
          <w:tcPr>
            <w:tcW w:w="1490" w:type="dxa"/>
            <w:tcBorders>
              <w:top w:val="single" w:sz="4" w:space="0" w:color="53565A" w:themeColor="accent5"/>
              <w:bottom w:val="single" w:sz="4" w:space="0" w:color="53565A" w:themeColor="accent5"/>
            </w:tcBorders>
            <w:vAlign w:val="center"/>
          </w:tcPr>
          <w:p w14:paraId="6EBD3833" w14:textId="51F7F74B"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68,252</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6C21E640" w14:textId="680BD77A"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0CFC783D"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501DD372" w14:textId="3C0F650D"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SYNERGISTIQ PTY LTD</w:t>
            </w:r>
          </w:p>
        </w:tc>
        <w:tc>
          <w:tcPr>
            <w:tcW w:w="3608" w:type="dxa"/>
            <w:tcBorders>
              <w:top w:val="single" w:sz="4" w:space="0" w:color="53565A" w:themeColor="accent5"/>
              <w:bottom w:val="single" w:sz="4" w:space="0" w:color="53565A" w:themeColor="accent5"/>
            </w:tcBorders>
            <w:vAlign w:val="center"/>
          </w:tcPr>
          <w:p w14:paraId="23459043" w14:textId="35A4787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2021 Department-wide Inclusive Education Professional Learning Needs Analysis </w:t>
            </w:r>
          </w:p>
        </w:tc>
        <w:tc>
          <w:tcPr>
            <w:tcW w:w="1227" w:type="dxa"/>
            <w:tcBorders>
              <w:top w:val="single" w:sz="4" w:space="0" w:color="53565A" w:themeColor="accent5"/>
              <w:bottom w:val="single" w:sz="4" w:space="0" w:color="53565A" w:themeColor="accent5"/>
            </w:tcBorders>
            <w:vAlign w:val="center"/>
          </w:tcPr>
          <w:p w14:paraId="3EBC17A2" w14:textId="01AE57C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19/07/2021</w:t>
            </w:r>
          </w:p>
        </w:tc>
        <w:tc>
          <w:tcPr>
            <w:tcW w:w="1316" w:type="dxa"/>
            <w:tcBorders>
              <w:top w:val="single" w:sz="4" w:space="0" w:color="53565A" w:themeColor="accent5"/>
              <w:bottom w:val="single" w:sz="4" w:space="0" w:color="53565A" w:themeColor="accent5"/>
            </w:tcBorders>
            <w:vAlign w:val="center"/>
          </w:tcPr>
          <w:p w14:paraId="50E36BA8" w14:textId="186A5260"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28/12/2022</w:t>
            </w:r>
          </w:p>
        </w:tc>
        <w:tc>
          <w:tcPr>
            <w:tcW w:w="2055" w:type="dxa"/>
            <w:tcBorders>
              <w:top w:val="single" w:sz="4" w:space="0" w:color="53565A" w:themeColor="accent5"/>
              <w:bottom w:val="single" w:sz="4" w:space="0" w:color="53565A" w:themeColor="accent5"/>
            </w:tcBorders>
            <w:vAlign w:val="center"/>
          </w:tcPr>
          <w:p w14:paraId="3FA5E2A6" w14:textId="3A85FBD7"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136,265</w:t>
            </w:r>
          </w:p>
        </w:tc>
        <w:tc>
          <w:tcPr>
            <w:tcW w:w="1490" w:type="dxa"/>
            <w:tcBorders>
              <w:top w:val="single" w:sz="4" w:space="0" w:color="53565A" w:themeColor="accent5"/>
              <w:bottom w:val="single" w:sz="4" w:space="0" w:color="53565A" w:themeColor="accent5"/>
            </w:tcBorders>
            <w:vAlign w:val="center"/>
          </w:tcPr>
          <w:p w14:paraId="59F4D33E" w14:textId="4C21A666"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104,923</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2058E2AB" w14:textId="3F802BE9" w:rsidR="007D6BEC" w:rsidRPr="008442BC" w:rsidRDefault="007D6BEC" w:rsidP="00D006DC">
            <w:pPr>
              <w:pStyle w:val="ESTablebody"/>
              <w:jc w:val="right"/>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31,342</w:t>
            </w:r>
          </w:p>
        </w:tc>
      </w:tr>
      <w:tr w:rsidR="007D6BEC" w:rsidRPr="009423C3" w14:paraId="39FD40F0"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C9D85E4" w14:textId="17A63D3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UNIVERSITY OF MELBOURNE</w:t>
            </w:r>
          </w:p>
        </w:tc>
        <w:tc>
          <w:tcPr>
            <w:tcW w:w="3608" w:type="dxa"/>
            <w:tcBorders>
              <w:top w:val="single" w:sz="4" w:space="0" w:color="53565A" w:themeColor="accent5"/>
              <w:bottom w:val="single" w:sz="4" w:space="0" w:color="53565A" w:themeColor="accent5"/>
            </w:tcBorders>
            <w:vAlign w:val="center"/>
          </w:tcPr>
          <w:p w14:paraId="52264B7A" w14:textId="5F8829B3"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Monitoring and evaluation of the Differentiated Support for School Improvement initiatives </w:t>
            </w:r>
          </w:p>
        </w:tc>
        <w:tc>
          <w:tcPr>
            <w:tcW w:w="1227" w:type="dxa"/>
            <w:tcBorders>
              <w:top w:val="single" w:sz="4" w:space="0" w:color="53565A" w:themeColor="accent5"/>
              <w:bottom w:val="single" w:sz="4" w:space="0" w:color="53565A" w:themeColor="accent5"/>
            </w:tcBorders>
            <w:vAlign w:val="center"/>
          </w:tcPr>
          <w:p w14:paraId="222A6462" w14:textId="05B48F06"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3/01/2018</w:t>
            </w:r>
          </w:p>
        </w:tc>
        <w:tc>
          <w:tcPr>
            <w:tcW w:w="1316" w:type="dxa"/>
            <w:tcBorders>
              <w:top w:val="single" w:sz="4" w:space="0" w:color="53565A" w:themeColor="accent5"/>
              <w:bottom w:val="single" w:sz="4" w:space="0" w:color="53565A" w:themeColor="accent5"/>
            </w:tcBorders>
            <w:vAlign w:val="center"/>
          </w:tcPr>
          <w:p w14:paraId="4F59CE01" w14:textId="7ADF883B"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31/03/2022</w:t>
            </w:r>
          </w:p>
        </w:tc>
        <w:tc>
          <w:tcPr>
            <w:tcW w:w="2055" w:type="dxa"/>
            <w:tcBorders>
              <w:top w:val="single" w:sz="4" w:space="0" w:color="53565A" w:themeColor="accent5"/>
              <w:bottom w:val="single" w:sz="4" w:space="0" w:color="53565A" w:themeColor="accent5"/>
            </w:tcBorders>
            <w:vAlign w:val="center"/>
          </w:tcPr>
          <w:p w14:paraId="4340E45D" w14:textId="1927D5F8"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1,484,436</w:t>
            </w:r>
          </w:p>
        </w:tc>
        <w:tc>
          <w:tcPr>
            <w:tcW w:w="1490" w:type="dxa"/>
            <w:tcBorders>
              <w:top w:val="single" w:sz="4" w:space="0" w:color="53565A" w:themeColor="accent5"/>
              <w:bottom w:val="single" w:sz="4" w:space="0" w:color="53565A" w:themeColor="accent5"/>
            </w:tcBorders>
            <w:vAlign w:val="center"/>
          </w:tcPr>
          <w:p w14:paraId="2B85A21F" w14:textId="79D6D334"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32,828</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40A94D0A" w14:textId="6FFE96D3" w:rsidR="007D6BEC" w:rsidRPr="008442BC" w:rsidRDefault="007D6BEC" w:rsidP="00D006DC">
            <w:pPr>
              <w:pStyle w:val="ESTablebody"/>
              <w:jc w:val="right"/>
              <w:rPr>
                <w:rFonts w:ascii="Calibri" w:eastAsia="Times New Roman" w:hAnsi="Calibri" w:cs="Calibri"/>
                <w:color w:val="000000"/>
                <w:szCs w:val="20"/>
                <w:lang w:val="en-AU" w:eastAsia="en-AU"/>
              </w:rPr>
            </w:pPr>
            <w:r>
              <w:rPr>
                <w:rFonts w:ascii="Calibri" w:hAnsi="Calibri" w:cs="Calibri"/>
              </w:rPr>
              <w:t>–</w:t>
            </w:r>
          </w:p>
        </w:tc>
      </w:tr>
      <w:tr w:rsidR="007D6BEC" w:rsidRPr="009423C3" w14:paraId="7DCB5900"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43B11BE4" w14:textId="72A562D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UNIVERSITY OF MELBOURNE</w:t>
            </w:r>
          </w:p>
        </w:tc>
        <w:tc>
          <w:tcPr>
            <w:tcW w:w="3608" w:type="dxa"/>
            <w:tcBorders>
              <w:top w:val="single" w:sz="4" w:space="0" w:color="53565A" w:themeColor="accent5"/>
              <w:bottom w:val="single" w:sz="4" w:space="0" w:color="53565A" w:themeColor="accent5"/>
            </w:tcBorders>
            <w:vAlign w:val="center"/>
          </w:tcPr>
          <w:p w14:paraId="7C87D876" w14:textId="4DCDDB4C"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School Readiness Funding Review</w:t>
            </w:r>
          </w:p>
        </w:tc>
        <w:tc>
          <w:tcPr>
            <w:tcW w:w="1227" w:type="dxa"/>
            <w:tcBorders>
              <w:top w:val="single" w:sz="4" w:space="0" w:color="53565A" w:themeColor="accent5"/>
              <w:bottom w:val="single" w:sz="4" w:space="0" w:color="53565A" w:themeColor="accent5"/>
            </w:tcBorders>
            <w:vAlign w:val="center"/>
          </w:tcPr>
          <w:p w14:paraId="02881085" w14:textId="6D62E2ED"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12/07/2021</w:t>
            </w:r>
          </w:p>
        </w:tc>
        <w:tc>
          <w:tcPr>
            <w:tcW w:w="1316" w:type="dxa"/>
            <w:tcBorders>
              <w:top w:val="single" w:sz="4" w:space="0" w:color="53565A" w:themeColor="accent5"/>
              <w:bottom w:val="single" w:sz="4" w:space="0" w:color="53565A" w:themeColor="accent5"/>
            </w:tcBorders>
            <w:vAlign w:val="center"/>
          </w:tcPr>
          <w:p w14:paraId="38EE764A" w14:textId="05A882A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31/08/2022</w:t>
            </w:r>
          </w:p>
        </w:tc>
        <w:tc>
          <w:tcPr>
            <w:tcW w:w="2055" w:type="dxa"/>
            <w:tcBorders>
              <w:top w:val="single" w:sz="4" w:space="0" w:color="53565A" w:themeColor="accent5"/>
              <w:bottom w:val="single" w:sz="4" w:space="0" w:color="53565A" w:themeColor="accent5"/>
            </w:tcBorders>
            <w:vAlign w:val="center"/>
          </w:tcPr>
          <w:p w14:paraId="2F3CC2A9" w14:textId="37415F54"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309,798</w:t>
            </w:r>
          </w:p>
        </w:tc>
        <w:tc>
          <w:tcPr>
            <w:tcW w:w="1490" w:type="dxa"/>
            <w:tcBorders>
              <w:top w:val="single" w:sz="4" w:space="0" w:color="53565A" w:themeColor="accent5"/>
              <w:bottom w:val="single" w:sz="4" w:space="0" w:color="53565A" w:themeColor="accent5"/>
            </w:tcBorders>
            <w:vAlign w:val="center"/>
          </w:tcPr>
          <w:p w14:paraId="4904ACB4" w14:textId="418B4EED"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93,304</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53625107" w14:textId="0DDBBC33" w:rsidR="007D6BEC" w:rsidRPr="008442BC" w:rsidRDefault="007D6BEC" w:rsidP="00D006DC">
            <w:pPr>
              <w:pStyle w:val="ESTablebody"/>
              <w:jc w:val="right"/>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216,49</w:t>
            </w:r>
            <w:r>
              <w:rPr>
                <w:rFonts w:ascii="Calibri" w:eastAsia="Times New Roman" w:hAnsi="Calibri" w:cs="Calibri"/>
                <w:color w:val="000000"/>
                <w:szCs w:val="20"/>
                <w:lang w:val="en-AU" w:eastAsia="en-AU"/>
              </w:rPr>
              <w:t>4</w:t>
            </w:r>
          </w:p>
        </w:tc>
      </w:tr>
      <w:tr w:rsidR="007D6BEC" w:rsidRPr="009423C3" w14:paraId="5B093AF4"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7D223E92" w14:textId="3790B7E2"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UNIVERSITY OF MELBOURNE</w:t>
            </w:r>
          </w:p>
        </w:tc>
        <w:tc>
          <w:tcPr>
            <w:tcW w:w="3608" w:type="dxa"/>
            <w:tcBorders>
              <w:top w:val="single" w:sz="4" w:space="0" w:color="53565A" w:themeColor="accent5"/>
              <w:bottom w:val="single" w:sz="4" w:space="0" w:color="53565A" w:themeColor="accent5"/>
            </w:tcBorders>
            <w:vAlign w:val="center"/>
          </w:tcPr>
          <w:p w14:paraId="25C764B2" w14:textId="45EB2C6C"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 xml:space="preserve">Evaluation of the Literacy and Numeracy Strategy </w:t>
            </w:r>
          </w:p>
        </w:tc>
        <w:tc>
          <w:tcPr>
            <w:tcW w:w="1227" w:type="dxa"/>
            <w:tcBorders>
              <w:top w:val="single" w:sz="4" w:space="0" w:color="53565A" w:themeColor="accent5"/>
              <w:bottom w:val="single" w:sz="4" w:space="0" w:color="53565A" w:themeColor="accent5"/>
            </w:tcBorders>
            <w:vAlign w:val="center"/>
          </w:tcPr>
          <w:p w14:paraId="6D6ECBAA" w14:textId="6A140479"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29/01/2019</w:t>
            </w:r>
          </w:p>
        </w:tc>
        <w:tc>
          <w:tcPr>
            <w:tcW w:w="1316" w:type="dxa"/>
            <w:tcBorders>
              <w:top w:val="single" w:sz="4" w:space="0" w:color="53565A" w:themeColor="accent5"/>
              <w:bottom w:val="single" w:sz="4" w:space="0" w:color="53565A" w:themeColor="accent5"/>
            </w:tcBorders>
            <w:vAlign w:val="center"/>
          </w:tcPr>
          <w:p w14:paraId="4E883224" w14:textId="1CFC7C9C"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30/06/2022</w:t>
            </w:r>
          </w:p>
        </w:tc>
        <w:tc>
          <w:tcPr>
            <w:tcW w:w="2055" w:type="dxa"/>
            <w:tcBorders>
              <w:top w:val="single" w:sz="4" w:space="0" w:color="53565A" w:themeColor="accent5"/>
              <w:bottom w:val="single" w:sz="4" w:space="0" w:color="53565A" w:themeColor="accent5"/>
            </w:tcBorders>
            <w:vAlign w:val="center"/>
          </w:tcPr>
          <w:p w14:paraId="59F872CE" w14:textId="2C8F1874"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805,402</w:t>
            </w:r>
          </w:p>
        </w:tc>
        <w:tc>
          <w:tcPr>
            <w:tcW w:w="1490" w:type="dxa"/>
            <w:tcBorders>
              <w:top w:val="single" w:sz="4" w:space="0" w:color="53565A" w:themeColor="accent5"/>
              <w:bottom w:val="single" w:sz="4" w:space="0" w:color="53565A" w:themeColor="accent5"/>
            </w:tcBorders>
            <w:vAlign w:val="center"/>
          </w:tcPr>
          <w:p w14:paraId="2B593FF9" w14:textId="7863F3FC"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73,655</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19F805F5" w14:textId="428D9E7C" w:rsidR="007D6BEC" w:rsidRPr="008442BC" w:rsidRDefault="007D6BEC" w:rsidP="00D006DC">
            <w:pPr>
              <w:pStyle w:val="ESTablebody"/>
              <w:jc w:val="right"/>
              <w:rPr>
                <w:rFonts w:ascii="Calibri" w:eastAsia="Times New Roman" w:hAnsi="Calibri" w:cs="Calibri"/>
                <w:color w:val="000000"/>
                <w:szCs w:val="20"/>
                <w:lang w:val="en-AU" w:eastAsia="en-AU"/>
              </w:rPr>
            </w:pPr>
            <w:r w:rsidRPr="00E007CE">
              <w:rPr>
                <w:rFonts w:ascii="Calibri" w:hAnsi="Calibri" w:cs="Calibri"/>
              </w:rPr>
              <w:t>–</w:t>
            </w:r>
          </w:p>
        </w:tc>
      </w:tr>
      <w:tr w:rsidR="007D6BEC" w:rsidRPr="009423C3" w14:paraId="6141AC31" w14:textId="77777777" w:rsidTr="00D006DC">
        <w:trPr>
          <w:cantSplit/>
          <w:trHeight w:val="473"/>
        </w:trPr>
        <w:tc>
          <w:tcPr>
            <w:tcW w:w="2955" w:type="dxa"/>
            <w:tcBorders>
              <w:top w:val="single" w:sz="4" w:space="0" w:color="53565A" w:themeColor="accent5"/>
              <w:bottom w:val="single" w:sz="4" w:space="0" w:color="53565A" w:themeColor="accent5"/>
            </w:tcBorders>
            <w:shd w:val="clear" w:color="auto" w:fill="auto"/>
            <w:vAlign w:val="center"/>
          </w:tcPr>
          <w:p w14:paraId="0C279044" w14:textId="48568458"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VICTORIA UNIVERSITY</w:t>
            </w:r>
          </w:p>
        </w:tc>
        <w:tc>
          <w:tcPr>
            <w:tcW w:w="3608" w:type="dxa"/>
            <w:tcBorders>
              <w:top w:val="single" w:sz="4" w:space="0" w:color="53565A" w:themeColor="accent5"/>
              <w:bottom w:val="single" w:sz="4" w:space="0" w:color="53565A" w:themeColor="accent5"/>
            </w:tcBorders>
            <w:vAlign w:val="center"/>
          </w:tcPr>
          <w:p w14:paraId="64D62A36" w14:textId="3A1FF5DE"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Review of the R</w:t>
            </w:r>
            <w:r>
              <w:rPr>
                <w:rFonts w:ascii="Calibri" w:eastAsia="Times New Roman" w:hAnsi="Calibri" w:cs="Calibri"/>
                <w:color w:val="000000"/>
                <w:szCs w:val="20"/>
                <w:lang w:val="en-AU" w:eastAsia="en-AU"/>
              </w:rPr>
              <w:t xml:space="preserve">egistered </w:t>
            </w:r>
            <w:r w:rsidRPr="00FE4F4F">
              <w:rPr>
                <w:rFonts w:ascii="Calibri" w:eastAsia="Times New Roman" w:hAnsi="Calibri" w:cs="Calibri"/>
                <w:color w:val="000000"/>
                <w:szCs w:val="20"/>
                <w:lang w:val="en-AU" w:eastAsia="en-AU"/>
              </w:rPr>
              <w:t>T</w:t>
            </w:r>
            <w:r>
              <w:rPr>
                <w:rFonts w:ascii="Calibri" w:eastAsia="Times New Roman" w:hAnsi="Calibri" w:cs="Calibri"/>
                <w:color w:val="000000"/>
                <w:szCs w:val="20"/>
                <w:lang w:val="en-AU" w:eastAsia="en-AU"/>
              </w:rPr>
              <w:t xml:space="preserve">raining </w:t>
            </w:r>
            <w:r w:rsidRPr="00FE4F4F">
              <w:rPr>
                <w:rFonts w:ascii="Calibri" w:eastAsia="Times New Roman" w:hAnsi="Calibri" w:cs="Calibri"/>
                <w:color w:val="000000"/>
                <w:szCs w:val="20"/>
                <w:lang w:val="en-AU" w:eastAsia="en-AU"/>
              </w:rPr>
              <w:t>O</w:t>
            </w:r>
            <w:r>
              <w:rPr>
                <w:rFonts w:ascii="Calibri" w:eastAsia="Times New Roman" w:hAnsi="Calibri" w:cs="Calibri"/>
                <w:color w:val="000000"/>
                <w:szCs w:val="20"/>
                <w:lang w:val="en-AU" w:eastAsia="en-AU"/>
              </w:rPr>
              <w:t>rganisation</w:t>
            </w:r>
            <w:r w:rsidRPr="00FE4F4F">
              <w:rPr>
                <w:rFonts w:ascii="Calibri" w:eastAsia="Times New Roman" w:hAnsi="Calibri" w:cs="Calibri"/>
                <w:color w:val="000000"/>
                <w:szCs w:val="20"/>
                <w:lang w:val="en-AU" w:eastAsia="en-AU"/>
              </w:rPr>
              <w:t xml:space="preserve"> performance indicators framework</w:t>
            </w:r>
          </w:p>
        </w:tc>
        <w:tc>
          <w:tcPr>
            <w:tcW w:w="1227" w:type="dxa"/>
            <w:tcBorders>
              <w:top w:val="single" w:sz="4" w:space="0" w:color="53565A" w:themeColor="accent5"/>
              <w:bottom w:val="single" w:sz="4" w:space="0" w:color="53565A" w:themeColor="accent5"/>
            </w:tcBorders>
            <w:vAlign w:val="center"/>
          </w:tcPr>
          <w:p w14:paraId="071E4B96" w14:textId="77280D94"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22/06/2021</w:t>
            </w:r>
          </w:p>
        </w:tc>
        <w:tc>
          <w:tcPr>
            <w:tcW w:w="1316" w:type="dxa"/>
            <w:tcBorders>
              <w:top w:val="single" w:sz="4" w:space="0" w:color="53565A" w:themeColor="accent5"/>
              <w:bottom w:val="single" w:sz="4" w:space="0" w:color="53565A" w:themeColor="accent5"/>
            </w:tcBorders>
            <w:vAlign w:val="center"/>
          </w:tcPr>
          <w:p w14:paraId="30467789" w14:textId="569DCEFD" w:rsidR="007D6BEC" w:rsidRPr="008442BC" w:rsidRDefault="007D6BEC" w:rsidP="00D006DC">
            <w:pPr>
              <w:pStyle w:val="ESTablebody"/>
              <w:rPr>
                <w:rFonts w:ascii="Calibri" w:eastAsia="Times New Roman" w:hAnsi="Calibri" w:cs="Calibri"/>
                <w:color w:val="000000"/>
                <w:szCs w:val="20"/>
                <w:lang w:val="en-AU" w:eastAsia="en-AU"/>
              </w:rPr>
            </w:pPr>
            <w:r w:rsidRPr="00FE4F4F">
              <w:rPr>
                <w:rFonts w:ascii="Calibri" w:eastAsia="Times New Roman" w:hAnsi="Calibri" w:cs="Calibri"/>
                <w:color w:val="000000"/>
                <w:szCs w:val="20"/>
                <w:lang w:val="en-AU" w:eastAsia="en-AU"/>
              </w:rPr>
              <w:t>30/09/2021</w:t>
            </w:r>
          </w:p>
        </w:tc>
        <w:tc>
          <w:tcPr>
            <w:tcW w:w="2055" w:type="dxa"/>
            <w:tcBorders>
              <w:top w:val="single" w:sz="4" w:space="0" w:color="53565A" w:themeColor="accent5"/>
              <w:bottom w:val="single" w:sz="4" w:space="0" w:color="53565A" w:themeColor="accent5"/>
            </w:tcBorders>
            <w:vAlign w:val="center"/>
          </w:tcPr>
          <w:p w14:paraId="1A648589" w14:textId="23871843"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34,350</w:t>
            </w:r>
          </w:p>
        </w:tc>
        <w:tc>
          <w:tcPr>
            <w:tcW w:w="1490" w:type="dxa"/>
            <w:tcBorders>
              <w:top w:val="single" w:sz="4" w:space="0" w:color="53565A" w:themeColor="accent5"/>
              <w:bottom w:val="single" w:sz="4" w:space="0" w:color="53565A" w:themeColor="accent5"/>
            </w:tcBorders>
            <w:vAlign w:val="center"/>
          </w:tcPr>
          <w:p w14:paraId="1D63862E" w14:textId="5C66432C" w:rsidR="007D6BEC" w:rsidRPr="008442BC" w:rsidRDefault="007D6BEC" w:rsidP="007D6BE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34,350</w:t>
            </w:r>
          </w:p>
        </w:tc>
        <w:tc>
          <w:tcPr>
            <w:tcW w:w="1567" w:type="dxa"/>
            <w:gridSpan w:val="2"/>
            <w:tcBorders>
              <w:top w:val="single" w:sz="4" w:space="0" w:color="53565A" w:themeColor="accent5"/>
              <w:bottom w:val="single" w:sz="4" w:space="0" w:color="53565A" w:themeColor="accent5"/>
            </w:tcBorders>
            <w:shd w:val="clear" w:color="auto" w:fill="auto"/>
            <w:vAlign w:val="center"/>
          </w:tcPr>
          <w:p w14:paraId="0E1F490A" w14:textId="4FB0E68D" w:rsidR="007D6BEC" w:rsidRPr="008442BC" w:rsidRDefault="007D6BEC" w:rsidP="00D006DC">
            <w:pPr>
              <w:pStyle w:val="ESTablebody"/>
              <w:jc w:val="right"/>
              <w:rPr>
                <w:rFonts w:ascii="Calibri" w:eastAsia="Times New Roman" w:hAnsi="Calibri" w:cs="Calibri"/>
                <w:color w:val="000000"/>
                <w:szCs w:val="20"/>
                <w:lang w:val="en-AU" w:eastAsia="en-AU"/>
              </w:rPr>
            </w:pPr>
            <w:r w:rsidRPr="00E007CE">
              <w:rPr>
                <w:rFonts w:ascii="Calibri" w:hAnsi="Calibri" w:cs="Calibri"/>
              </w:rPr>
              <w:t>–</w:t>
            </w:r>
          </w:p>
        </w:tc>
      </w:tr>
    </w:tbl>
    <w:p w14:paraId="3DE7ABB9" w14:textId="77777777" w:rsidR="00D34D92" w:rsidRPr="00925213" w:rsidRDefault="00D34D92" w:rsidP="00D34D92">
      <w:pPr>
        <w:pStyle w:val="ESTableintroheading"/>
        <w:rPr>
          <w:rFonts w:ascii="Calibri" w:hAnsi="Calibri" w:cs="Calibri"/>
        </w:rPr>
      </w:pPr>
    </w:p>
    <w:p w14:paraId="4F18DE5B" w14:textId="77777777" w:rsidR="000A737C" w:rsidRPr="00925213" w:rsidRDefault="000A737C" w:rsidP="000A737C">
      <w:pPr>
        <w:pStyle w:val="ESTableintroheading"/>
        <w:rPr>
          <w:rFonts w:ascii="Calibri" w:hAnsi="Calibri" w:cs="Calibri"/>
        </w:rPr>
        <w:sectPr w:rsidR="000A737C" w:rsidRPr="00925213" w:rsidSect="00F02ECF">
          <w:pgSz w:w="16840" w:h="11900" w:orient="landscape"/>
          <w:pgMar w:top="1418" w:right="1440" w:bottom="1134" w:left="1440" w:header="708" w:footer="708" w:gutter="0"/>
          <w:cols w:space="708"/>
          <w:docGrid w:linePitch="360"/>
        </w:sectPr>
      </w:pPr>
    </w:p>
    <w:p w14:paraId="62CA4A81" w14:textId="0281F822" w:rsidR="00D34D92" w:rsidRPr="00925213" w:rsidRDefault="00D34D92" w:rsidP="000A737C">
      <w:pPr>
        <w:pStyle w:val="ESTableintroheading"/>
        <w:rPr>
          <w:rFonts w:ascii="Calibri" w:hAnsi="Calibri" w:cs="Calibri"/>
        </w:rPr>
      </w:pPr>
      <w:r w:rsidRPr="00925213">
        <w:rPr>
          <w:rFonts w:ascii="Calibri" w:hAnsi="Calibri" w:cs="Calibri"/>
        </w:rPr>
        <w:t>Contractor expenditure</w:t>
      </w:r>
    </w:p>
    <w:tbl>
      <w:tblPr>
        <w:tblStyle w:val="TableGrid"/>
        <w:tblW w:w="499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Contractors engaged , Services provided, Expenditure ($ excluding GST)"/>
      </w:tblPr>
      <w:tblGrid>
        <w:gridCol w:w="3823"/>
        <w:gridCol w:w="4096"/>
        <w:gridCol w:w="1417"/>
      </w:tblGrid>
      <w:tr w:rsidR="00D34D92" w:rsidRPr="009423C3" w14:paraId="79E6B1A3" w14:textId="77777777" w:rsidTr="001244A4">
        <w:trPr>
          <w:cantSplit/>
          <w:trHeight w:val="183"/>
          <w:tblHeader/>
        </w:trPr>
        <w:tc>
          <w:tcPr>
            <w:tcW w:w="3823" w:type="dxa"/>
            <w:tcBorders>
              <w:bottom w:val="single" w:sz="4" w:space="0" w:color="FFFFFF" w:themeColor="background1"/>
            </w:tcBorders>
            <w:shd w:val="clear" w:color="auto" w:fill="AF272F"/>
          </w:tcPr>
          <w:p w14:paraId="05992F34" w14:textId="02BBB938" w:rsidR="00D34D92" w:rsidRPr="00925213" w:rsidRDefault="00D34D92" w:rsidP="00D34D92">
            <w:pPr>
              <w:pStyle w:val="ESTableheadingwhite"/>
              <w:rPr>
                <w:rFonts w:ascii="Calibri" w:hAnsi="Calibri" w:cs="Calibri"/>
                <w:sz w:val="20"/>
                <w:szCs w:val="20"/>
              </w:rPr>
            </w:pPr>
            <w:r w:rsidRPr="00925213">
              <w:rPr>
                <w:rFonts w:ascii="Calibri" w:hAnsi="Calibri" w:cs="Calibri"/>
                <w:sz w:val="20"/>
                <w:szCs w:val="20"/>
              </w:rPr>
              <w:t>Contractor</w:t>
            </w:r>
            <w:r w:rsidRPr="00925213">
              <w:rPr>
                <w:rStyle w:val="FootnoteReference"/>
                <w:rFonts w:ascii="Calibri" w:hAnsi="Calibri" w:cs="Calibri"/>
                <w:sz w:val="20"/>
                <w:szCs w:val="20"/>
              </w:rPr>
              <w:footnoteReference w:id="2"/>
            </w:r>
          </w:p>
        </w:tc>
        <w:tc>
          <w:tcPr>
            <w:tcW w:w="4096" w:type="dxa"/>
            <w:tcBorders>
              <w:bottom w:val="single" w:sz="4" w:space="0" w:color="FFFFFF" w:themeColor="background1"/>
            </w:tcBorders>
            <w:shd w:val="clear" w:color="auto" w:fill="AF272F" w:themeFill="accent4"/>
          </w:tcPr>
          <w:p w14:paraId="60B4866D" w14:textId="77777777" w:rsidR="00D34D92" w:rsidRPr="00925213" w:rsidRDefault="00D34D92" w:rsidP="00D34D92">
            <w:pPr>
              <w:pStyle w:val="ESTableheadingwhite"/>
              <w:rPr>
                <w:rFonts w:ascii="Calibri" w:hAnsi="Calibri" w:cs="Calibri"/>
                <w:sz w:val="20"/>
                <w:szCs w:val="20"/>
              </w:rPr>
            </w:pPr>
            <w:r w:rsidRPr="00925213">
              <w:rPr>
                <w:rFonts w:ascii="Calibri" w:hAnsi="Calibri" w:cs="Calibri"/>
                <w:sz w:val="20"/>
                <w:szCs w:val="20"/>
              </w:rPr>
              <w:t>Category of services provided</w:t>
            </w:r>
          </w:p>
        </w:tc>
        <w:tc>
          <w:tcPr>
            <w:tcW w:w="1417" w:type="dxa"/>
            <w:tcBorders>
              <w:bottom w:val="single" w:sz="4" w:space="0" w:color="FFFFFF" w:themeColor="background1"/>
            </w:tcBorders>
            <w:shd w:val="clear" w:color="auto" w:fill="AF272F" w:themeFill="accent4"/>
          </w:tcPr>
          <w:p w14:paraId="0895E7B5" w14:textId="77777777" w:rsidR="00D34D92" w:rsidRPr="00925213" w:rsidRDefault="00D34D92" w:rsidP="00D34D92">
            <w:pPr>
              <w:pStyle w:val="ESTableheadingwhite"/>
              <w:rPr>
                <w:rFonts w:ascii="Calibri" w:hAnsi="Calibri" w:cs="Calibri"/>
                <w:sz w:val="20"/>
                <w:szCs w:val="20"/>
              </w:rPr>
            </w:pPr>
            <w:r w:rsidRPr="00925213">
              <w:rPr>
                <w:rFonts w:ascii="Calibri" w:hAnsi="Calibri" w:cs="Calibri"/>
                <w:sz w:val="20"/>
                <w:szCs w:val="20"/>
              </w:rPr>
              <w:t>Expenditure ($ excluding GST)</w:t>
            </w:r>
          </w:p>
        </w:tc>
      </w:tr>
      <w:tr w:rsidR="00D006DC" w:rsidRPr="009423C3" w14:paraId="6C1ED7A7" w14:textId="77777777" w:rsidTr="001244A4">
        <w:trPr>
          <w:cantSplit/>
          <w:trHeight w:val="353"/>
        </w:trPr>
        <w:tc>
          <w:tcPr>
            <w:tcW w:w="3823" w:type="dxa"/>
            <w:tcBorders>
              <w:top w:val="single" w:sz="4" w:space="0" w:color="FFFFFF" w:themeColor="background1"/>
              <w:bottom w:val="single" w:sz="4" w:space="0" w:color="auto"/>
            </w:tcBorders>
            <w:shd w:val="clear" w:color="auto" w:fill="auto"/>
            <w:vAlign w:val="center"/>
          </w:tcPr>
          <w:p w14:paraId="2239C4D6" w14:textId="712F4BF1" w:rsidR="00D006DC" w:rsidRPr="00925213" w:rsidRDefault="00D006DC" w:rsidP="00D006DC">
            <w:pPr>
              <w:pStyle w:val="ESTablebody"/>
              <w:rPr>
                <w:rFonts w:ascii="Calibri" w:hAnsi="Calibri" w:cs="Calibri"/>
                <w:szCs w:val="20"/>
              </w:rPr>
            </w:pPr>
            <w:r>
              <w:rPr>
                <w:rFonts w:ascii="Calibri" w:hAnsi="Calibri" w:cs="Calibri"/>
                <w:color w:val="000000"/>
                <w:szCs w:val="20"/>
              </w:rPr>
              <w:t>3D COMM PTY LTD</w:t>
            </w:r>
          </w:p>
        </w:tc>
        <w:tc>
          <w:tcPr>
            <w:tcW w:w="4096" w:type="dxa"/>
            <w:tcBorders>
              <w:top w:val="single" w:sz="4" w:space="0" w:color="FFFFFF" w:themeColor="background1"/>
              <w:bottom w:val="single" w:sz="4" w:space="0" w:color="auto"/>
            </w:tcBorders>
            <w:vAlign w:val="center"/>
          </w:tcPr>
          <w:p w14:paraId="1D40FAB8" w14:textId="3E81460D" w:rsidR="00D006DC" w:rsidRPr="00925213" w:rsidRDefault="00D006DC" w:rsidP="00D006DC">
            <w:pPr>
              <w:pStyle w:val="ESTablebody"/>
              <w:rPr>
                <w:rFonts w:ascii="Calibri" w:hAnsi="Calibri" w:cs="Calibri"/>
                <w:szCs w:val="20"/>
                <w:lang w:val="en-AU"/>
              </w:rPr>
            </w:pPr>
            <w:r>
              <w:rPr>
                <w:rFonts w:ascii="Calibri" w:hAnsi="Calibri" w:cs="Calibri"/>
                <w:color w:val="000000"/>
                <w:szCs w:val="20"/>
              </w:rPr>
              <w:t>Publishing, printing, promotions and communications or marketing services</w:t>
            </w:r>
          </w:p>
        </w:tc>
        <w:tc>
          <w:tcPr>
            <w:tcW w:w="1417" w:type="dxa"/>
            <w:tcBorders>
              <w:top w:val="single" w:sz="4" w:space="0" w:color="FFFFFF" w:themeColor="background1"/>
              <w:bottom w:val="single" w:sz="4" w:space="0" w:color="auto"/>
            </w:tcBorders>
            <w:shd w:val="clear" w:color="auto" w:fill="auto"/>
            <w:vAlign w:val="center"/>
          </w:tcPr>
          <w:p w14:paraId="60DF286D" w14:textId="006930FA" w:rsidR="00D006DC" w:rsidRPr="00925213" w:rsidRDefault="00D006DC" w:rsidP="00D006DC">
            <w:pPr>
              <w:pStyle w:val="ESTablebody"/>
              <w:jc w:val="right"/>
              <w:rPr>
                <w:rFonts w:ascii="Calibri" w:hAnsi="Calibri" w:cs="Calibri"/>
                <w:szCs w:val="20"/>
              </w:rPr>
            </w:pPr>
            <w:r>
              <w:rPr>
                <w:rFonts w:ascii="Calibri" w:hAnsi="Calibri" w:cs="Calibri"/>
                <w:color w:val="000000"/>
                <w:szCs w:val="20"/>
              </w:rPr>
              <w:t>10,800</w:t>
            </w:r>
          </w:p>
        </w:tc>
      </w:tr>
      <w:tr w:rsidR="00D006DC" w:rsidRPr="009423C3" w14:paraId="0962C1A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6441DBF" w14:textId="5E888889" w:rsidR="00D006DC" w:rsidRPr="00925213" w:rsidRDefault="00D006DC" w:rsidP="00D006DC">
            <w:pPr>
              <w:pStyle w:val="ESTablebody"/>
              <w:rPr>
                <w:rFonts w:ascii="Calibri" w:hAnsi="Calibri" w:cs="Calibri"/>
                <w:szCs w:val="20"/>
              </w:rPr>
            </w:pPr>
            <w:r>
              <w:rPr>
                <w:rFonts w:ascii="Calibri" w:hAnsi="Calibri" w:cs="Calibri"/>
                <w:color w:val="000000"/>
                <w:szCs w:val="20"/>
              </w:rPr>
              <w:t>ABLESIDE PTY LTD</w:t>
            </w:r>
          </w:p>
        </w:tc>
        <w:tc>
          <w:tcPr>
            <w:tcW w:w="4096" w:type="dxa"/>
            <w:tcBorders>
              <w:top w:val="single" w:sz="4" w:space="0" w:color="auto"/>
              <w:bottom w:val="single" w:sz="4" w:space="0" w:color="auto"/>
            </w:tcBorders>
            <w:vAlign w:val="center"/>
          </w:tcPr>
          <w:p w14:paraId="2E3620CC" w14:textId="5E83653B" w:rsidR="00D006DC" w:rsidRPr="00925213" w:rsidRDefault="00F84AAA" w:rsidP="00D006DC">
            <w:pPr>
              <w:pStyle w:val="ESTablebody"/>
              <w:rPr>
                <w:rFonts w:ascii="Calibri" w:hAnsi="Calibri" w:cs="Calibri"/>
                <w:szCs w:val="20"/>
                <w:lang w:val="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6D95080D" w14:textId="6C83D4D8" w:rsidR="00D006DC" w:rsidRPr="00925213" w:rsidRDefault="00D006DC" w:rsidP="00D006DC">
            <w:pPr>
              <w:pStyle w:val="ESTablebody"/>
              <w:jc w:val="right"/>
              <w:rPr>
                <w:rFonts w:ascii="Calibri" w:hAnsi="Calibri" w:cs="Calibri"/>
                <w:szCs w:val="20"/>
              </w:rPr>
            </w:pPr>
            <w:r>
              <w:rPr>
                <w:rFonts w:ascii="Calibri" w:hAnsi="Calibri" w:cs="Calibri"/>
                <w:color w:val="000000"/>
                <w:szCs w:val="20"/>
              </w:rPr>
              <w:t>1,818</w:t>
            </w:r>
          </w:p>
        </w:tc>
      </w:tr>
      <w:tr w:rsidR="00D006DC" w:rsidRPr="009423C3" w14:paraId="691B825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ACD381" w14:textId="18894633" w:rsidR="00D006DC" w:rsidRPr="00925213" w:rsidRDefault="00D006DC" w:rsidP="00D006DC">
            <w:pPr>
              <w:pStyle w:val="ESTablebody"/>
              <w:rPr>
                <w:rFonts w:ascii="Calibri" w:hAnsi="Calibri" w:cs="Calibri"/>
                <w:szCs w:val="20"/>
              </w:rPr>
            </w:pPr>
            <w:r>
              <w:rPr>
                <w:rFonts w:ascii="Calibri" w:hAnsi="Calibri" w:cs="Calibri"/>
                <w:color w:val="000000"/>
                <w:szCs w:val="20"/>
              </w:rPr>
              <w:t>ABOVE THE BARRE TUTUS</w:t>
            </w:r>
          </w:p>
        </w:tc>
        <w:tc>
          <w:tcPr>
            <w:tcW w:w="4096" w:type="dxa"/>
            <w:tcBorders>
              <w:top w:val="single" w:sz="4" w:space="0" w:color="auto"/>
              <w:bottom w:val="single" w:sz="4" w:space="0" w:color="auto"/>
            </w:tcBorders>
            <w:vAlign w:val="center"/>
          </w:tcPr>
          <w:p w14:paraId="7D3AC48A" w14:textId="6556E35F" w:rsidR="00D006DC" w:rsidRPr="00925213" w:rsidRDefault="00D006DC" w:rsidP="00D006DC">
            <w:pPr>
              <w:pStyle w:val="ESTablebody"/>
              <w:rPr>
                <w:rFonts w:ascii="Calibri" w:hAnsi="Calibri" w:cs="Calibri"/>
                <w:szCs w:val="20"/>
                <w:lang w:val="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92E9AD" w14:textId="515DB357" w:rsidR="00D006DC" w:rsidRPr="00925213" w:rsidRDefault="00D006DC" w:rsidP="00D006DC">
            <w:pPr>
              <w:pStyle w:val="ESTablebody"/>
              <w:jc w:val="right"/>
              <w:rPr>
                <w:rFonts w:ascii="Calibri" w:hAnsi="Calibri" w:cs="Calibri"/>
                <w:szCs w:val="20"/>
              </w:rPr>
            </w:pPr>
            <w:r>
              <w:rPr>
                <w:rFonts w:ascii="Calibri" w:hAnsi="Calibri" w:cs="Calibri"/>
                <w:color w:val="000000"/>
                <w:szCs w:val="20"/>
              </w:rPr>
              <w:t>23,300</w:t>
            </w:r>
          </w:p>
        </w:tc>
      </w:tr>
      <w:tr w:rsidR="00D006DC" w:rsidRPr="009423C3" w14:paraId="17C91AF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63298D" w14:textId="12B5E5CD" w:rsidR="00D006DC" w:rsidRPr="00925213" w:rsidRDefault="00D006DC" w:rsidP="00D006DC">
            <w:pPr>
              <w:pStyle w:val="ESTablebody"/>
              <w:rPr>
                <w:rFonts w:ascii="Calibri" w:eastAsia="Times New Roman" w:hAnsi="Calibri" w:cs="Calibri"/>
                <w:szCs w:val="20"/>
                <w:lang w:eastAsia="en-AU"/>
              </w:rPr>
            </w:pPr>
            <w:r>
              <w:rPr>
                <w:rFonts w:ascii="Calibri" w:hAnsi="Calibri" w:cs="Calibri"/>
                <w:color w:val="000000"/>
                <w:szCs w:val="20"/>
              </w:rPr>
              <w:t>ACCENTURE AUSTRALIA LTD</w:t>
            </w:r>
          </w:p>
        </w:tc>
        <w:tc>
          <w:tcPr>
            <w:tcW w:w="4096" w:type="dxa"/>
            <w:tcBorders>
              <w:top w:val="single" w:sz="4" w:space="0" w:color="auto"/>
              <w:bottom w:val="single" w:sz="4" w:space="0" w:color="auto"/>
            </w:tcBorders>
            <w:vAlign w:val="center"/>
          </w:tcPr>
          <w:p w14:paraId="7A3DF50A" w14:textId="6D164EF7" w:rsidR="00D006DC" w:rsidRPr="00925213" w:rsidRDefault="00F84AAA" w:rsidP="00D006DC">
            <w:pPr>
              <w:pStyle w:val="ESTablebody"/>
              <w:rPr>
                <w:rFonts w:ascii="Calibri" w:eastAsia="Times New Roman" w:hAnsi="Calibri" w:cs="Calibri"/>
                <w:szCs w:val="20"/>
                <w:lang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5EE7346" w14:textId="44C02529" w:rsidR="00D006DC" w:rsidRPr="00925213" w:rsidRDefault="00D006DC" w:rsidP="00D006DC">
            <w:pPr>
              <w:pStyle w:val="ESTablebody"/>
              <w:jc w:val="right"/>
              <w:rPr>
                <w:rFonts w:ascii="Calibri" w:eastAsia="Times New Roman" w:hAnsi="Calibri" w:cs="Calibri"/>
                <w:szCs w:val="20"/>
                <w:lang w:eastAsia="en-AU"/>
              </w:rPr>
            </w:pPr>
            <w:r>
              <w:rPr>
                <w:rFonts w:ascii="Calibri" w:hAnsi="Calibri" w:cs="Calibri"/>
                <w:color w:val="000000"/>
                <w:szCs w:val="20"/>
              </w:rPr>
              <w:t>1,537,243</w:t>
            </w:r>
          </w:p>
        </w:tc>
      </w:tr>
      <w:tr w:rsidR="00D006DC" w:rsidRPr="009423C3" w14:paraId="362EC3C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1C946E" w14:textId="1A5E7342" w:rsidR="00D006DC" w:rsidRPr="00925213" w:rsidRDefault="00D006DC" w:rsidP="00D006DC">
            <w:pPr>
              <w:pStyle w:val="ESTablebody"/>
              <w:rPr>
                <w:rFonts w:ascii="Calibri" w:eastAsia="Times New Roman" w:hAnsi="Calibri" w:cs="Calibri"/>
                <w:szCs w:val="20"/>
                <w:lang w:eastAsia="en-AU"/>
              </w:rPr>
            </w:pPr>
            <w:r>
              <w:rPr>
                <w:rFonts w:ascii="Calibri" w:hAnsi="Calibri" w:cs="Calibri"/>
                <w:color w:val="000000"/>
                <w:szCs w:val="20"/>
              </w:rPr>
              <w:t>ACCESS INNOVATION MEDIA PTY LIMITED</w:t>
            </w:r>
          </w:p>
        </w:tc>
        <w:tc>
          <w:tcPr>
            <w:tcW w:w="4096" w:type="dxa"/>
            <w:tcBorders>
              <w:top w:val="single" w:sz="4" w:space="0" w:color="auto"/>
              <w:bottom w:val="single" w:sz="4" w:space="0" w:color="auto"/>
            </w:tcBorders>
            <w:vAlign w:val="center"/>
          </w:tcPr>
          <w:p w14:paraId="78770EDB" w14:textId="34786AE4" w:rsidR="00D006DC" w:rsidRPr="00925213" w:rsidRDefault="00D006DC" w:rsidP="00D006DC">
            <w:pPr>
              <w:pStyle w:val="ESTablebody"/>
              <w:rPr>
                <w:rFonts w:ascii="Calibri" w:eastAsia="Times New Roman" w:hAnsi="Calibri" w:cs="Calibri"/>
                <w:szCs w:val="20"/>
                <w:lang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A81F208" w14:textId="0AA98459" w:rsidR="00D006DC" w:rsidRPr="00925213" w:rsidRDefault="00D006DC" w:rsidP="00D006DC">
            <w:pPr>
              <w:pStyle w:val="ESTablebody"/>
              <w:jc w:val="right"/>
              <w:rPr>
                <w:rFonts w:ascii="Calibri" w:eastAsia="Times New Roman" w:hAnsi="Calibri" w:cs="Calibri"/>
                <w:szCs w:val="20"/>
                <w:lang w:eastAsia="en-AU"/>
              </w:rPr>
            </w:pPr>
            <w:r>
              <w:rPr>
                <w:rFonts w:ascii="Calibri" w:hAnsi="Calibri" w:cs="Calibri"/>
                <w:color w:val="000000"/>
                <w:szCs w:val="20"/>
              </w:rPr>
              <w:t>17,364</w:t>
            </w:r>
          </w:p>
        </w:tc>
      </w:tr>
      <w:tr w:rsidR="00D006DC" w:rsidRPr="009423C3" w14:paraId="461686B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B1A2700" w14:textId="244703C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ACCESS TESTING PTY LTD</w:t>
            </w:r>
          </w:p>
        </w:tc>
        <w:tc>
          <w:tcPr>
            <w:tcW w:w="4096" w:type="dxa"/>
            <w:tcBorders>
              <w:top w:val="single" w:sz="4" w:space="0" w:color="auto"/>
              <w:bottom w:val="single" w:sz="4" w:space="0" w:color="auto"/>
            </w:tcBorders>
            <w:vAlign w:val="center"/>
          </w:tcPr>
          <w:p w14:paraId="7557062F" w14:textId="5369B586" w:rsidR="00D006DC" w:rsidRPr="00DA70B7"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6953B74" w14:textId="1965BEA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229,397</w:t>
            </w:r>
          </w:p>
        </w:tc>
      </w:tr>
      <w:tr w:rsidR="00D006DC" w:rsidRPr="009423C3" w14:paraId="5469B40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93AEF72" w14:textId="6F4FF8D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ACHPER VICTORIAN BRANCH</w:t>
            </w:r>
          </w:p>
        </w:tc>
        <w:tc>
          <w:tcPr>
            <w:tcW w:w="4096" w:type="dxa"/>
            <w:tcBorders>
              <w:top w:val="single" w:sz="4" w:space="0" w:color="auto"/>
              <w:bottom w:val="single" w:sz="4" w:space="0" w:color="auto"/>
            </w:tcBorders>
            <w:vAlign w:val="center"/>
          </w:tcPr>
          <w:p w14:paraId="1500E7DF" w14:textId="7CF38FC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Education </w:t>
            </w:r>
            <w:r w:rsidR="00F84AAA">
              <w:rPr>
                <w:rFonts w:ascii="Calibri" w:hAnsi="Calibri" w:cs="Calibri"/>
                <w:color w:val="000000"/>
                <w:szCs w:val="20"/>
              </w:rPr>
              <w:t>s</w:t>
            </w:r>
            <w:r>
              <w:rPr>
                <w:rFonts w:ascii="Calibri" w:hAnsi="Calibri" w:cs="Calibri"/>
                <w:color w:val="000000"/>
                <w:szCs w:val="20"/>
              </w:rPr>
              <w:t>ervices</w:t>
            </w:r>
          </w:p>
        </w:tc>
        <w:tc>
          <w:tcPr>
            <w:tcW w:w="1417" w:type="dxa"/>
            <w:tcBorders>
              <w:top w:val="single" w:sz="4" w:space="0" w:color="auto"/>
              <w:bottom w:val="single" w:sz="4" w:space="0" w:color="auto"/>
            </w:tcBorders>
            <w:shd w:val="clear" w:color="auto" w:fill="auto"/>
            <w:vAlign w:val="center"/>
          </w:tcPr>
          <w:p w14:paraId="5ECC085D" w14:textId="471FDA3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2,624,283</w:t>
            </w:r>
          </w:p>
        </w:tc>
      </w:tr>
      <w:tr w:rsidR="00D006DC" w:rsidRPr="009423C3" w14:paraId="69337E0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62C14A8" w14:textId="2C03EDB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ACIL ALLEN CONSULTING PTY LTD</w:t>
            </w:r>
          </w:p>
        </w:tc>
        <w:tc>
          <w:tcPr>
            <w:tcW w:w="4096" w:type="dxa"/>
            <w:tcBorders>
              <w:top w:val="single" w:sz="4" w:space="0" w:color="auto"/>
              <w:bottom w:val="single" w:sz="4" w:space="0" w:color="auto"/>
            </w:tcBorders>
            <w:vAlign w:val="center"/>
          </w:tcPr>
          <w:p w14:paraId="14216001" w14:textId="2DC254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F6CBA49" w14:textId="24059AF0" w:rsidR="00D006DC" w:rsidRPr="008457E1" w:rsidRDefault="00322722" w:rsidP="00D006DC">
            <w:pPr>
              <w:pStyle w:val="ESTablebody"/>
              <w:jc w:val="right"/>
              <w:rPr>
                <w:rFonts w:ascii="Calibri" w:eastAsia="Times New Roman" w:hAnsi="Calibri" w:cs="Calibri"/>
                <w:color w:val="000000"/>
                <w:szCs w:val="20"/>
                <w:lang w:val="en-AU" w:eastAsia="en-AU"/>
              </w:rPr>
            </w:pPr>
            <w:r w:rsidRPr="00322722">
              <w:rPr>
                <w:rFonts w:ascii="Calibri" w:hAnsi="Calibri" w:cs="Calibri"/>
                <w:color w:val="000000"/>
                <w:szCs w:val="20"/>
              </w:rPr>
              <w:t>969,965</w:t>
            </w:r>
          </w:p>
        </w:tc>
      </w:tr>
      <w:tr w:rsidR="00D006DC" w:rsidRPr="009423C3" w14:paraId="270B36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775AD06" w14:textId="20F0E82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ACTIV8 TECHNOLOGIES PTY LTD</w:t>
            </w:r>
          </w:p>
        </w:tc>
        <w:tc>
          <w:tcPr>
            <w:tcW w:w="4096" w:type="dxa"/>
            <w:tcBorders>
              <w:top w:val="single" w:sz="4" w:space="0" w:color="auto"/>
              <w:bottom w:val="single" w:sz="4" w:space="0" w:color="auto"/>
            </w:tcBorders>
            <w:vAlign w:val="center"/>
          </w:tcPr>
          <w:p w14:paraId="787BB603" w14:textId="36ADD12E"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D029497" w14:textId="06F718C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140,868</w:t>
            </w:r>
          </w:p>
        </w:tc>
      </w:tr>
      <w:tr w:rsidR="00D006DC" w:rsidRPr="009423C3" w14:paraId="7FA0C28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2F12D1" w14:textId="507F6F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ADAM BARBARA JEAN</w:t>
            </w:r>
          </w:p>
        </w:tc>
        <w:tc>
          <w:tcPr>
            <w:tcW w:w="4096" w:type="dxa"/>
            <w:tcBorders>
              <w:top w:val="single" w:sz="4" w:space="0" w:color="auto"/>
              <w:bottom w:val="single" w:sz="4" w:space="0" w:color="auto"/>
            </w:tcBorders>
            <w:vAlign w:val="center"/>
          </w:tcPr>
          <w:p w14:paraId="4CF1DCE0" w14:textId="43E7507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5B36E70" w14:textId="1C06895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3,348</w:t>
            </w:r>
          </w:p>
        </w:tc>
      </w:tr>
      <w:tr w:rsidR="00D006DC" w:rsidRPr="009423C3" w14:paraId="60ED85C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554DC29" w14:textId="41CFE3F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ADECCO AUSTRALIA PTY LTD</w:t>
            </w:r>
          </w:p>
        </w:tc>
        <w:tc>
          <w:tcPr>
            <w:tcW w:w="4096" w:type="dxa"/>
            <w:tcBorders>
              <w:top w:val="single" w:sz="4" w:space="0" w:color="auto"/>
              <w:bottom w:val="single" w:sz="4" w:space="0" w:color="auto"/>
            </w:tcBorders>
            <w:vAlign w:val="center"/>
          </w:tcPr>
          <w:p w14:paraId="338F069C" w14:textId="5F68486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10FD4FDD" w14:textId="3EAE659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2,340,126</w:t>
            </w:r>
          </w:p>
        </w:tc>
      </w:tr>
      <w:tr w:rsidR="00D006DC" w:rsidRPr="009423C3" w14:paraId="7153EE0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3333CB4" w14:textId="437B56D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ADVANCED TRAINING PTY LTD</w:t>
            </w:r>
          </w:p>
        </w:tc>
        <w:tc>
          <w:tcPr>
            <w:tcW w:w="4096" w:type="dxa"/>
            <w:tcBorders>
              <w:top w:val="single" w:sz="4" w:space="0" w:color="auto"/>
              <w:bottom w:val="single" w:sz="4" w:space="0" w:color="auto"/>
            </w:tcBorders>
            <w:vAlign w:val="center"/>
          </w:tcPr>
          <w:p w14:paraId="2FAC8B73" w14:textId="3BEB89C0"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096E8E40" w14:textId="46F6224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17,937</w:t>
            </w:r>
          </w:p>
        </w:tc>
      </w:tr>
      <w:tr w:rsidR="00D006DC" w:rsidRPr="009423C3" w14:paraId="654F5C3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BE0BA39" w14:textId="6B8D16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AERIAL CONSULTANCY PTY LTD</w:t>
            </w:r>
          </w:p>
        </w:tc>
        <w:tc>
          <w:tcPr>
            <w:tcW w:w="4096" w:type="dxa"/>
            <w:tcBorders>
              <w:top w:val="single" w:sz="4" w:space="0" w:color="auto"/>
              <w:bottom w:val="single" w:sz="4" w:space="0" w:color="auto"/>
            </w:tcBorders>
            <w:vAlign w:val="center"/>
          </w:tcPr>
          <w:p w14:paraId="3754F174" w14:textId="1E9281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0BFB353" w14:textId="75869FB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26,000</w:t>
            </w:r>
          </w:p>
        </w:tc>
      </w:tr>
      <w:tr w:rsidR="00D006DC" w:rsidRPr="009423C3" w14:paraId="10A9D19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921E8C" w14:textId="48AB358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AG COOMBS ADVISORY PTY LTD</w:t>
            </w:r>
          </w:p>
        </w:tc>
        <w:tc>
          <w:tcPr>
            <w:tcW w:w="4096" w:type="dxa"/>
            <w:tcBorders>
              <w:top w:val="single" w:sz="4" w:space="0" w:color="auto"/>
              <w:bottom w:val="single" w:sz="4" w:space="0" w:color="auto"/>
            </w:tcBorders>
            <w:vAlign w:val="center"/>
          </w:tcPr>
          <w:p w14:paraId="70AAB5E6" w14:textId="6B327A6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60113EF9" w14:textId="0A8E97E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3,099</w:t>
            </w:r>
          </w:p>
        </w:tc>
      </w:tr>
      <w:tr w:rsidR="00D006DC" w:rsidRPr="009423C3" w14:paraId="4F41589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DD96BDC" w14:textId="1B65AA9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ALEXANDER KATHERINE</w:t>
            </w:r>
          </w:p>
        </w:tc>
        <w:tc>
          <w:tcPr>
            <w:tcW w:w="4096" w:type="dxa"/>
            <w:tcBorders>
              <w:top w:val="single" w:sz="4" w:space="0" w:color="auto"/>
              <w:bottom w:val="single" w:sz="4" w:space="0" w:color="auto"/>
            </w:tcBorders>
            <w:vAlign w:val="center"/>
          </w:tcPr>
          <w:p w14:paraId="790BBBFF" w14:textId="264F505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38271D" w14:textId="4BCA8E8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5,850</w:t>
            </w:r>
          </w:p>
        </w:tc>
      </w:tr>
      <w:tr w:rsidR="00D006DC" w:rsidRPr="009423C3" w14:paraId="550D527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8F005D4" w14:textId="34CB62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ALLEN AND CLARKE CONSULTING PTY LTD</w:t>
            </w:r>
          </w:p>
        </w:tc>
        <w:tc>
          <w:tcPr>
            <w:tcW w:w="4096" w:type="dxa"/>
            <w:tcBorders>
              <w:top w:val="single" w:sz="4" w:space="0" w:color="auto"/>
              <w:bottom w:val="single" w:sz="4" w:space="0" w:color="auto"/>
            </w:tcBorders>
            <w:vAlign w:val="center"/>
          </w:tcPr>
          <w:p w14:paraId="4B1C443F" w14:textId="798A15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6730180" w14:textId="4156908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28,679</w:t>
            </w:r>
          </w:p>
        </w:tc>
      </w:tr>
      <w:tr w:rsidR="00D006DC" w:rsidRPr="009423C3" w14:paraId="6C18EA9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212CDD" w14:textId="30F462B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ALTUS GROUP CONSULTING PTY LIMITED</w:t>
            </w:r>
          </w:p>
        </w:tc>
        <w:tc>
          <w:tcPr>
            <w:tcW w:w="4096" w:type="dxa"/>
            <w:tcBorders>
              <w:top w:val="single" w:sz="4" w:space="0" w:color="auto"/>
              <w:bottom w:val="single" w:sz="4" w:space="0" w:color="auto"/>
            </w:tcBorders>
            <w:vAlign w:val="center"/>
          </w:tcPr>
          <w:p w14:paraId="42C31CBC" w14:textId="2A7CCD9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323B47" w14:textId="10E901E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1,800</w:t>
            </w:r>
          </w:p>
        </w:tc>
      </w:tr>
      <w:tr w:rsidR="00D006DC" w:rsidRPr="009423C3" w14:paraId="38725FE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2ED3805" w14:textId="55FA32F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ALYSHIA MONACO</w:t>
            </w:r>
          </w:p>
        </w:tc>
        <w:tc>
          <w:tcPr>
            <w:tcW w:w="4096" w:type="dxa"/>
            <w:tcBorders>
              <w:top w:val="single" w:sz="4" w:space="0" w:color="auto"/>
              <w:bottom w:val="single" w:sz="4" w:space="0" w:color="auto"/>
            </w:tcBorders>
            <w:vAlign w:val="center"/>
          </w:tcPr>
          <w:p w14:paraId="318AC719" w14:textId="7A82DF5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404D529" w14:textId="09BFC94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2,360</w:t>
            </w:r>
          </w:p>
        </w:tc>
      </w:tr>
      <w:tr w:rsidR="00D006DC" w:rsidRPr="009423C3" w14:paraId="3CFAC9E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D540B7" w14:textId="1D988DC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AMANDA MCGRAW</w:t>
            </w:r>
          </w:p>
        </w:tc>
        <w:tc>
          <w:tcPr>
            <w:tcW w:w="4096" w:type="dxa"/>
            <w:tcBorders>
              <w:top w:val="single" w:sz="4" w:space="0" w:color="auto"/>
              <w:bottom w:val="single" w:sz="4" w:space="0" w:color="auto"/>
            </w:tcBorders>
            <w:vAlign w:val="center"/>
          </w:tcPr>
          <w:p w14:paraId="0E205745" w14:textId="0083792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9C09AAE" w14:textId="4ECBF56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32,000</w:t>
            </w:r>
          </w:p>
        </w:tc>
      </w:tr>
      <w:tr w:rsidR="00D006DC" w:rsidRPr="009423C3" w14:paraId="2BD8452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C212BDC" w14:textId="0191822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AMAZE INCORPORATED</w:t>
            </w:r>
          </w:p>
        </w:tc>
        <w:tc>
          <w:tcPr>
            <w:tcW w:w="4096" w:type="dxa"/>
            <w:tcBorders>
              <w:top w:val="single" w:sz="4" w:space="0" w:color="auto"/>
              <w:bottom w:val="single" w:sz="4" w:space="0" w:color="auto"/>
            </w:tcBorders>
            <w:vAlign w:val="center"/>
          </w:tcPr>
          <w:p w14:paraId="1F9CA1EB" w14:textId="4639DC8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6FC65BF" w14:textId="34CE8EF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3,432</w:t>
            </w:r>
          </w:p>
        </w:tc>
      </w:tr>
      <w:tr w:rsidR="00D006DC" w:rsidRPr="009423C3" w14:paraId="049A238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2E0B651" w14:textId="734EC60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AMAZON WEB SERVICES</w:t>
            </w:r>
          </w:p>
        </w:tc>
        <w:tc>
          <w:tcPr>
            <w:tcW w:w="4096" w:type="dxa"/>
            <w:tcBorders>
              <w:top w:val="single" w:sz="4" w:space="0" w:color="auto"/>
              <w:bottom w:val="single" w:sz="4" w:space="0" w:color="auto"/>
            </w:tcBorders>
            <w:vAlign w:val="center"/>
          </w:tcPr>
          <w:p w14:paraId="21BF052A" w14:textId="0D0F1704"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835D787" w14:textId="767119E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7,449</w:t>
            </w:r>
          </w:p>
        </w:tc>
      </w:tr>
      <w:tr w:rsidR="00D006DC" w:rsidRPr="009423C3" w14:paraId="430E845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851781D" w14:textId="6BFAB79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ANDREW BRIAN CHAPPELL</w:t>
            </w:r>
          </w:p>
        </w:tc>
        <w:tc>
          <w:tcPr>
            <w:tcW w:w="4096" w:type="dxa"/>
            <w:tcBorders>
              <w:top w:val="single" w:sz="4" w:space="0" w:color="auto"/>
              <w:bottom w:val="single" w:sz="4" w:space="0" w:color="auto"/>
            </w:tcBorders>
            <w:vAlign w:val="center"/>
          </w:tcPr>
          <w:p w14:paraId="5879BF5C" w14:textId="0C61D03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1AF098F" w14:textId="1F7E401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8,395</w:t>
            </w:r>
          </w:p>
        </w:tc>
      </w:tr>
      <w:tr w:rsidR="00D006DC" w:rsidRPr="009423C3" w14:paraId="3B1B74E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EF721AC" w14:textId="496CEE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ANDREW FULLER &amp; ASSOCIATES PTY LTD</w:t>
            </w:r>
          </w:p>
        </w:tc>
        <w:tc>
          <w:tcPr>
            <w:tcW w:w="4096" w:type="dxa"/>
            <w:tcBorders>
              <w:top w:val="single" w:sz="4" w:space="0" w:color="auto"/>
              <w:bottom w:val="single" w:sz="4" w:space="0" w:color="auto"/>
            </w:tcBorders>
            <w:vAlign w:val="center"/>
          </w:tcPr>
          <w:p w14:paraId="09D37BD6" w14:textId="72F9DC9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14264A3" w14:textId="76902EB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9,091</w:t>
            </w:r>
          </w:p>
        </w:tc>
      </w:tr>
      <w:tr w:rsidR="00D006DC" w:rsidRPr="009423C3" w14:paraId="191BB44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000DBA" w14:textId="145D4CF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ANDREW JOSEPH FERO-KOVASSY</w:t>
            </w:r>
          </w:p>
        </w:tc>
        <w:tc>
          <w:tcPr>
            <w:tcW w:w="4096" w:type="dxa"/>
            <w:tcBorders>
              <w:top w:val="single" w:sz="4" w:space="0" w:color="auto"/>
              <w:bottom w:val="single" w:sz="4" w:space="0" w:color="auto"/>
            </w:tcBorders>
            <w:vAlign w:val="center"/>
          </w:tcPr>
          <w:p w14:paraId="5B1B6CF0" w14:textId="5A5D9C6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62F2142" w14:textId="5445257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3,750</w:t>
            </w:r>
          </w:p>
        </w:tc>
      </w:tr>
      <w:tr w:rsidR="00D006DC" w:rsidRPr="009423C3" w14:paraId="6218B93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E0A0D9" w14:textId="7BBBBD4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ANGELA ELIZABETH COX</w:t>
            </w:r>
          </w:p>
        </w:tc>
        <w:tc>
          <w:tcPr>
            <w:tcW w:w="4096" w:type="dxa"/>
            <w:tcBorders>
              <w:top w:val="single" w:sz="4" w:space="0" w:color="auto"/>
              <w:bottom w:val="single" w:sz="4" w:space="0" w:color="auto"/>
            </w:tcBorders>
            <w:vAlign w:val="center"/>
          </w:tcPr>
          <w:p w14:paraId="02878B7D" w14:textId="6C58D4E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Financial, accounting, audit, taxation, risk management, insurance service</w:t>
            </w:r>
          </w:p>
        </w:tc>
        <w:tc>
          <w:tcPr>
            <w:tcW w:w="1417" w:type="dxa"/>
            <w:tcBorders>
              <w:top w:val="single" w:sz="4" w:space="0" w:color="auto"/>
              <w:bottom w:val="single" w:sz="4" w:space="0" w:color="auto"/>
            </w:tcBorders>
            <w:shd w:val="clear" w:color="auto" w:fill="auto"/>
            <w:vAlign w:val="center"/>
          </w:tcPr>
          <w:p w14:paraId="24FEE80B" w14:textId="26EBD39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4,590</w:t>
            </w:r>
          </w:p>
        </w:tc>
      </w:tr>
      <w:tr w:rsidR="00D006DC" w:rsidRPr="009423C3" w14:paraId="0CB6AFB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986BEA2" w14:textId="4022356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ANGLICARE VICTORIA</w:t>
            </w:r>
          </w:p>
        </w:tc>
        <w:tc>
          <w:tcPr>
            <w:tcW w:w="4096" w:type="dxa"/>
            <w:tcBorders>
              <w:top w:val="single" w:sz="4" w:space="0" w:color="auto"/>
              <w:bottom w:val="single" w:sz="4" w:space="0" w:color="auto"/>
            </w:tcBorders>
            <w:vAlign w:val="center"/>
          </w:tcPr>
          <w:p w14:paraId="714C4183" w14:textId="7B689F6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57A37AD" w14:textId="77B8994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95,039</w:t>
            </w:r>
          </w:p>
        </w:tc>
      </w:tr>
      <w:tr w:rsidR="00D006DC" w:rsidRPr="009423C3" w14:paraId="60AC56D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7F6DA5" w14:textId="7FDCDE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ANNA ELIZABETH FASOLO</w:t>
            </w:r>
          </w:p>
        </w:tc>
        <w:tc>
          <w:tcPr>
            <w:tcW w:w="4096" w:type="dxa"/>
            <w:tcBorders>
              <w:top w:val="single" w:sz="4" w:space="0" w:color="auto"/>
              <w:bottom w:val="single" w:sz="4" w:space="0" w:color="auto"/>
            </w:tcBorders>
            <w:vAlign w:val="center"/>
          </w:tcPr>
          <w:p w14:paraId="4E9E4A4D" w14:textId="574A3CD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9955360" w14:textId="560DF05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7,000</w:t>
            </w:r>
          </w:p>
        </w:tc>
      </w:tr>
      <w:tr w:rsidR="00D006DC" w:rsidRPr="009423C3" w14:paraId="6F7FA4A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E8BCB65" w14:textId="6FC9C4F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ANNE DALTON + ASSOCIATES</w:t>
            </w:r>
          </w:p>
        </w:tc>
        <w:tc>
          <w:tcPr>
            <w:tcW w:w="4096" w:type="dxa"/>
            <w:tcBorders>
              <w:top w:val="single" w:sz="4" w:space="0" w:color="auto"/>
              <w:bottom w:val="single" w:sz="4" w:space="0" w:color="auto"/>
            </w:tcBorders>
            <w:vAlign w:val="center"/>
          </w:tcPr>
          <w:p w14:paraId="6406CD5D" w14:textId="2A97357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Financial, accounting, audit, taxation, risk management, insurance service</w:t>
            </w:r>
          </w:p>
        </w:tc>
        <w:tc>
          <w:tcPr>
            <w:tcW w:w="1417" w:type="dxa"/>
            <w:tcBorders>
              <w:top w:val="single" w:sz="4" w:space="0" w:color="auto"/>
              <w:bottom w:val="single" w:sz="4" w:space="0" w:color="auto"/>
            </w:tcBorders>
            <w:shd w:val="clear" w:color="auto" w:fill="auto"/>
            <w:vAlign w:val="center"/>
          </w:tcPr>
          <w:p w14:paraId="7401434C" w14:textId="05EBE7F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2,406</w:t>
            </w:r>
          </w:p>
        </w:tc>
      </w:tr>
      <w:tr w:rsidR="00D006DC" w:rsidRPr="009423C3" w14:paraId="155F376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DBB598" w14:textId="462D886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ANZUK EDUCATION SERVICES PTY LTD</w:t>
            </w:r>
          </w:p>
        </w:tc>
        <w:tc>
          <w:tcPr>
            <w:tcW w:w="4096" w:type="dxa"/>
            <w:tcBorders>
              <w:top w:val="single" w:sz="4" w:space="0" w:color="auto"/>
              <w:bottom w:val="single" w:sz="4" w:space="0" w:color="auto"/>
            </w:tcBorders>
            <w:vAlign w:val="center"/>
          </w:tcPr>
          <w:p w14:paraId="1DD23A80" w14:textId="5BD6A35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251AEF68" w14:textId="54445AB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390,651</w:t>
            </w:r>
          </w:p>
        </w:tc>
      </w:tr>
      <w:tr w:rsidR="00D006DC" w:rsidRPr="009423C3" w14:paraId="100985A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0DC72D6" w14:textId="5D58840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ARCBLUE CONSULTING (AUS) PTY LTD</w:t>
            </w:r>
          </w:p>
        </w:tc>
        <w:tc>
          <w:tcPr>
            <w:tcW w:w="4096" w:type="dxa"/>
            <w:tcBorders>
              <w:top w:val="single" w:sz="4" w:space="0" w:color="auto"/>
              <w:bottom w:val="single" w:sz="4" w:space="0" w:color="auto"/>
            </w:tcBorders>
            <w:vAlign w:val="center"/>
          </w:tcPr>
          <w:p w14:paraId="242E331E" w14:textId="4B3825D3"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1B6BC24B" w14:textId="245018F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46,018</w:t>
            </w:r>
          </w:p>
        </w:tc>
      </w:tr>
      <w:tr w:rsidR="00D006DC" w:rsidRPr="009423C3" w14:paraId="5C74BFF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8596E63" w14:textId="2FD9EA8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ARCH CREATIVE</w:t>
            </w:r>
          </w:p>
        </w:tc>
        <w:tc>
          <w:tcPr>
            <w:tcW w:w="4096" w:type="dxa"/>
            <w:tcBorders>
              <w:top w:val="single" w:sz="4" w:space="0" w:color="auto"/>
              <w:bottom w:val="single" w:sz="4" w:space="0" w:color="auto"/>
            </w:tcBorders>
            <w:vAlign w:val="center"/>
          </w:tcPr>
          <w:p w14:paraId="79ECA0D1" w14:textId="56065A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5E27A26" w14:textId="4CDC721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2,025</w:t>
            </w:r>
          </w:p>
        </w:tc>
      </w:tr>
      <w:tr w:rsidR="00D006DC" w:rsidRPr="009423C3" w14:paraId="5F3D7F4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5F587D5" w14:textId="4012F88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ARINCO (VIC) PTY LTD</w:t>
            </w:r>
          </w:p>
        </w:tc>
        <w:tc>
          <w:tcPr>
            <w:tcW w:w="4096" w:type="dxa"/>
            <w:tcBorders>
              <w:top w:val="single" w:sz="4" w:space="0" w:color="auto"/>
              <w:bottom w:val="single" w:sz="4" w:space="0" w:color="auto"/>
            </w:tcBorders>
            <w:vAlign w:val="center"/>
          </w:tcPr>
          <w:p w14:paraId="376897B9" w14:textId="7515D328"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42916787" w14:textId="43D4F9C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92,800</w:t>
            </w:r>
          </w:p>
        </w:tc>
      </w:tr>
      <w:tr w:rsidR="00D006DC" w:rsidRPr="009423C3" w14:paraId="0836E94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548D3CF" w14:textId="5C7EA2E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ARKINSTALL MARK EDWARD</w:t>
            </w:r>
          </w:p>
        </w:tc>
        <w:tc>
          <w:tcPr>
            <w:tcW w:w="4096" w:type="dxa"/>
            <w:tcBorders>
              <w:top w:val="single" w:sz="4" w:space="0" w:color="auto"/>
              <w:bottom w:val="single" w:sz="4" w:space="0" w:color="auto"/>
            </w:tcBorders>
            <w:vAlign w:val="center"/>
          </w:tcPr>
          <w:p w14:paraId="65F28031" w14:textId="3166597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232CC965" w14:textId="5E02B0C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4,930</w:t>
            </w:r>
          </w:p>
        </w:tc>
      </w:tr>
      <w:tr w:rsidR="00D006DC" w:rsidRPr="009423C3" w14:paraId="4849B32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D9F39FB" w14:textId="28458B9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ARLO SOFTWARE LIMITED</w:t>
            </w:r>
          </w:p>
        </w:tc>
        <w:tc>
          <w:tcPr>
            <w:tcW w:w="4096" w:type="dxa"/>
            <w:tcBorders>
              <w:top w:val="single" w:sz="4" w:space="0" w:color="auto"/>
              <w:bottom w:val="single" w:sz="4" w:space="0" w:color="auto"/>
            </w:tcBorders>
            <w:vAlign w:val="center"/>
          </w:tcPr>
          <w:p w14:paraId="20802415" w14:textId="3A8D5064"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6EF5018F" w14:textId="7B20045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1,986</w:t>
            </w:r>
          </w:p>
        </w:tc>
      </w:tr>
      <w:tr w:rsidR="00D006DC" w:rsidRPr="009423C3" w14:paraId="2FEEF4A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E6B924C" w14:textId="1653699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ARTD PTY LTD</w:t>
            </w:r>
          </w:p>
        </w:tc>
        <w:tc>
          <w:tcPr>
            <w:tcW w:w="4096" w:type="dxa"/>
            <w:tcBorders>
              <w:top w:val="single" w:sz="4" w:space="0" w:color="auto"/>
              <w:bottom w:val="single" w:sz="4" w:space="0" w:color="auto"/>
            </w:tcBorders>
            <w:vAlign w:val="center"/>
          </w:tcPr>
          <w:p w14:paraId="0FD85C5B" w14:textId="190622D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A5BD45D" w14:textId="1B7458C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139,844</w:t>
            </w:r>
          </w:p>
        </w:tc>
      </w:tr>
      <w:tr w:rsidR="00D006DC" w:rsidRPr="009423C3" w14:paraId="58619D4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D2CE16A" w14:textId="597F3BC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ARTHUR H ROGERS</w:t>
            </w:r>
          </w:p>
        </w:tc>
        <w:tc>
          <w:tcPr>
            <w:tcW w:w="4096" w:type="dxa"/>
            <w:tcBorders>
              <w:top w:val="single" w:sz="4" w:space="0" w:color="auto"/>
              <w:bottom w:val="single" w:sz="4" w:space="0" w:color="auto"/>
            </w:tcBorders>
            <w:vAlign w:val="center"/>
          </w:tcPr>
          <w:p w14:paraId="3DD0A089" w14:textId="0125784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7AB7985" w14:textId="1583B84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2,255</w:t>
            </w:r>
          </w:p>
        </w:tc>
      </w:tr>
      <w:tr w:rsidR="00D006DC" w:rsidRPr="009423C3" w14:paraId="1335488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3DCD02B" w14:textId="79411AA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ASG GROUP LIMITED</w:t>
            </w:r>
          </w:p>
        </w:tc>
        <w:tc>
          <w:tcPr>
            <w:tcW w:w="4096" w:type="dxa"/>
            <w:tcBorders>
              <w:top w:val="single" w:sz="4" w:space="0" w:color="auto"/>
              <w:bottom w:val="single" w:sz="4" w:space="0" w:color="auto"/>
            </w:tcBorders>
            <w:vAlign w:val="center"/>
          </w:tcPr>
          <w:p w14:paraId="392ACDC0" w14:textId="13F1E60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A240735" w14:textId="5379176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297,436</w:t>
            </w:r>
          </w:p>
        </w:tc>
      </w:tr>
      <w:tr w:rsidR="00D006DC" w:rsidRPr="009423C3" w14:paraId="23CAFA8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E2C5FCC" w14:textId="6782B63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ASSOCIATED PUBLIC SCHOOLS OF VICTORIA</w:t>
            </w:r>
          </w:p>
        </w:tc>
        <w:tc>
          <w:tcPr>
            <w:tcW w:w="4096" w:type="dxa"/>
            <w:tcBorders>
              <w:top w:val="single" w:sz="4" w:space="0" w:color="auto"/>
              <w:bottom w:val="single" w:sz="4" w:space="0" w:color="auto"/>
            </w:tcBorders>
            <w:vAlign w:val="center"/>
          </w:tcPr>
          <w:p w14:paraId="0763FF83" w14:textId="1C95048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24DF55F" w14:textId="1BDB200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7,165</w:t>
            </w:r>
          </w:p>
        </w:tc>
      </w:tr>
      <w:tr w:rsidR="00D006DC" w:rsidRPr="009423C3" w14:paraId="1FE3B01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CF8FB28" w14:textId="4069ACB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AUCKLAND UNISERVICES LIMITED</w:t>
            </w:r>
          </w:p>
        </w:tc>
        <w:tc>
          <w:tcPr>
            <w:tcW w:w="4096" w:type="dxa"/>
            <w:tcBorders>
              <w:top w:val="single" w:sz="4" w:space="0" w:color="auto"/>
              <w:bottom w:val="single" w:sz="4" w:space="0" w:color="auto"/>
            </w:tcBorders>
            <w:vAlign w:val="center"/>
          </w:tcPr>
          <w:p w14:paraId="36C814A2" w14:textId="595EB970"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34CC624B" w14:textId="48A32C5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31,627</w:t>
            </w:r>
          </w:p>
        </w:tc>
      </w:tr>
      <w:tr w:rsidR="00D006DC" w:rsidRPr="009423C3" w14:paraId="2D0CCBF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CE80C58" w14:textId="36E907F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AUSLAN SERVICES PTY LTD</w:t>
            </w:r>
          </w:p>
        </w:tc>
        <w:tc>
          <w:tcPr>
            <w:tcW w:w="4096" w:type="dxa"/>
            <w:tcBorders>
              <w:top w:val="single" w:sz="4" w:space="0" w:color="auto"/>
              <w:bottom w:val="single" w:sz="4" w:space="0" w:color="auto"/>
            </w:tcBorders>
            <w:vAlign w:val="center"/>
          </w:tcPr>
          <w:p w14:paraId="6D2E7491" w14:textId="24E4041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2A3ACE65" w14:textId="5A7EEE3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1,942</w:t>
            </w:r>
          </w:p>
        </w:tc>
      </w:tr>
      <w:tr w:rsidR="00D006DC" w:rsidRPr="009423C3" w14:paraId="1E36DF4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F88875" w14:textId="5286268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AUSPICIOUS ARTS PROJECTS INC</w:t>
            </w:r>
          </w:p>
        </w:tc>
        <w:tc>
          <w:tcPr>
            <w:tcW w:w="4096" w:type="dxa"/>
            <w:tcBorders>
              <w:top w:val="single" w:sz="4" w:space="0" w:color="auto"/>
              <w:bottom w:val="single" w:sz="4" w:space="0" w:color="auto"/>
            </w:tcBorders>
            <w:vAlign w:val="center"/>
          </w:tcPr>
          <w:p w14:paraId="7F97DB46" w14:textId="7F80BB6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FC40669" w14:textId="08A1EDE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38,299</w:t>
            </w:r>
          </w:p>
        </w:tc>
      </w:tr>
      <w:tr w:rsidR="00D006DC" w:rsidRPr="009423C3" w14:paraId="61633E0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A1FBD38" w14:textId="47318E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AUSTRALASIAN SOCIETY OF CLINICAL IMMUNOLOGY AND ALLERGY LIMITED</w:t>
            </w:r>
          </w:p>
        </w:tc>
        <w:tc>
          <w:tcPr>
            <w:tcW w:w="4096" w:type="dxa"/>
            <w:tcBorders>
              <w:top w:val="single" w:sz="4" w:space="0" w:color="auto"/>
              <w:bottom w:val="single" w:sz="4" w:space="0" w:color="auto"/>
            </w:tcBorders>
            <w:vAlign w:val="center"/>
          </w:tcPr>
          <w:p w14:paraId="6EAAE9CE" w14:textId="5321FF0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DD86339" w14:textId="5A4185A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30,000</w:t>
            </w:r>
          </w:p>
        </w:tc>
      </w:tr>
      <w:tr w:rsidR="00D006DC" w:rsidRPr="009423C3" w14:paraId="403BE8C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74F4E7D" w14:textId="1EB08CB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BUREAU OF STATISTICS (MELB)</w:t>
            </w:r>
          </w:p>
        </w:tc>
        <w:tc>
          <w:tcPr>
            <w:tcW w:w="4096" w:type="dxa"/>
            <w:tcBorders>
              <w:top w:val="single" w:sz="4" w:space="0" w:color="auto"/>
              <w:bottom w:val="single" w:sz="4" w:space="0" w:color="auto"/>
            </w:tcBorders>
            <w:vAlign w:val="center"/>
          </w:tcPr>
          <w:p w14:paraId="7882D0DF" w14:textId="7614164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D93F572" w14:textId="7BA7D05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1,164</w:t>
            </w:r>
          </w:p>
        </w:tc>
      </w:tr>
      <w:tr w:rsidR="00D006DC" w:rsidRPr="009423C3" w14:paraId="58B979D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55D4C37" w14:textId="6FF1D56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CATHOLIC UNIVERSITY LIMITED</w:t>
            </w:r>
          </w:p>
        </w:tc>
        <w:tc>
          <w:tcPr>
            <w:tcW w:w="4096" w:type="dxa"/>
            <w:tcBorders>
              <w:top w:val="single" w:sz="4" w:space="0" w:color="auto"/>
              <w:bottom w:val="single" w:sz="4" w:space="0" w:color="auto"/>
            </w:tcBorders>
            <w:vAlign w:val="center"/>
          </w:tcPr>
          <w:p w14:paraId="7741CFD7" w14:textId="7E018F66"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32CF6098" w14:textId="06453ED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152,668</w:t>
            </w:r>
          </w:p>
        </w:tc>
      </w:tr>
      <w:tr w:rsidR="00D006DC" w:rsidRPr="009423C3" w14:paraId="47C2F18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84FA89" w14:textId="2987D47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CHILDHOOD FOUNDATION</w:t>
            </w:r>
          </w:p>
        </w:tc>
        <w:tc>
          <w:tcPr>
            <w:tcW w:w="4096" w:type="dxa"/>
            <w:tcBorders>
              <w:top w:val="single" w:sz="4" w:space="0" w:color="auto"/>
              <w:bottom w:val="single" w:sz="4" w:space="0" w:color="auto"/>
            </w:tcBorders>
            <w:vAlign w:val="center"/>
          </w:tcPr>
          <w:p w14:paraId="2E8C3F26" w14:textId="5AEE61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55F656D" w14:textId="0632572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24,760</w:t>
            </w:r>
          </w:p>
        </w:tc>
      </w:tr>
      <w:tr w:rsidR="00D006DC" w:rsidRPr="009423C3" w14:paraId="03F480D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99E8119" w14:textId="5445E24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CHILDHOOD TRAUMA GROUP PTY LTD</w:t>
            </w:r>
          </w:p>
        </w:tc>
        <w:tc>
          <w:tcPr>
            <w:tcW w:w="4096" w:type="dxa"/>
            <w:tcBorders>
              <w:top w:val="single" w:sz="4" w:space="0" w:color="auto"/>
              <w:bottom w:val="single" w:sz="4" w:space="0" w:color="auto"/>
            </w:tcBorders>
            <w:vAlign w:val="center"/>
          </w:tcPr>
          <w:p w14:paraId="30CB8954" w14:textId="1807CF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B602EEA" w14:textId="7EB2792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25,228</w:t>
            </w:r>
          </w:p>
        </w:tc>
      </w:tr>
      <w:tr w:rsidR="00D006DC" w:rsidRPr="009423C3" w14:paraId="0A7BFFE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6A514C4" w14:textId="1FDE2BE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CHILDRENS EDUCATION AND CARE QUALITY AUTHORITY</w:t>
            </w:r>
          </w:p>
        </w:tc>
        <w:tc>
          <w:tcPr>
            <w:tcW w:w="4096" w:type="dxa"/>
            <w:tcBorders>
              <w:top w:val="single" w:sz="4" w:space="0" w:color="auto"/>
              <w:bottom w:val="single" w:sz="4" w:space="0" w:color="auto"/>
            </w:tcBorders>
            <w:vAlign w:val="center"/>
          </w:tcPr>
          <w:p w14:paraId="461A87C2" w14:textId="6CCECF6E"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02D6EE2E" w14:textId="23868D1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676,760</w:t>
            </w:r>
          </w:p>
        </w:tc>
      </w:tr>
      <w:tr w:rsidR="00D006DC" w:rsidRPr="009423C3" w14:paraId="35F79FA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21411D0" w14:textId="7BDF517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COLLEGE OF RURAL AND REMOTE MEDICINE</w:t>
            </w:r>
          </w:p>
        </w:tc>
        <w:tc>
          <w:tcPr>
            <w:tcW w:w="4096" w:type="dxa"/>
            <w:tcBorders>
              <w:top w:val="single" w:sz="4" w:space="0" w:color="auto"/>
              <w:bottom w:val="single" w:sz="4" w:space="0" w:color="auto"/>
            </w:tcBorders>
            <w:vAlign w:val="center"/>
          </w:tcPr>
          <w:p w14:paraId="66FC3670" w14:textId="60D82D49"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74C14817" w14:textId="3E2EA29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23,750</w:t>
            </w:r>
          </w:p>
        </w:tc>
      </w:tr>
      <w:tr w:rsidR="00D006DC" w:rsidRPr="009423C3" w14:paraId="16144B7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7B4A8E6" w14:textId="1E1FB9A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COUNCIL FOR EDUCATIONAL RESEARCH (ACER)</w:t>
            </w:r>
          </w:p>
        </w:tc>
        <w:tc>
          <w:tcPr>
            <w:tcW w:w="4096" w:type="dxa"/>
            <w:tcBorders>
              <w:top w:val="single" w:sz="4" w:space="0" w:color="auto"/>
              <w:bottom w:val="single" w:sz="4" w:space="0" w:color="auto"/>
            </w:tcBorders>
            <w:vAlign w:val="center"/>
          </w:tcPr>
          <w:p w14:paraId="68C07A96" w14:textId="4222ADE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B2BB039" w14:textId="4776A6D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510,777</w:t>
            </w:r>
          </w:p>
        </w:tc>
      </w:tr>
      <w:tr w:rsidR="00D006DC" w:rsidRPr="009423C3" w14:paraId="2A6BDD5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3A0802F" w14:textId="2DEBBF8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HEALTHCARE ASSOCIATES PTY LTD</w:t>
            </w:r>
          </w:p>
        </w:tc>
        <w:tc>
          <w:tcPr>
            <w:tcW w:w="4096" w:type="dxa"/>
            <w:tcBorders>
              <w:top w:val="single" w:sz="4" w:space="0" w:color="auto"/>
              <w:bottom w:val="single" w:sz="4" w:space="0" w:color="auto"/>
            </w:tcBorders>
            <w:vAlign w:val="center"/>
          </w:tcPr>
          <w:p w14:paraId="5F623E06" w14:textId="482073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6F259CC" w14:textId="1FFE585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2,841,696</w:t>
            </w:r>
          </w:p>
        </w:tc>
      </w:tr>
      <w:tr w:rsidR="00D006DC" w:rsidRPr="009423C3" w14:paraId="4CED72E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7176AF0" w14:textId="7B90EE0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NETWORK ON DISABILITY LTD</w:t>
            </w:r>
          </w:p>
        </w:tc>
        <w:tc>
          <w:tcPr>
            <w:tcW w:w="4096" w:type="dxa"/>
            <w:tcBorders>
              <w:top w:val="single" w:sz="4" w:space="0" w:color="auto"/>
              <w:bottom w:val="single" w:sz="4" w:space="0" w:color="auto"/>
            </w:tcBorders>
            <w:vAlign w:val="center"/>
          </w:tcPr>
          <w:p w14:paraId="286E373B" w14:textId="32D45965"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27499532" w14:textId="40EAFCB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15,200</w:t>
            </w:r>
          </w:p>
        </w:tc>
      </w:tr>
      <w:tr w:rsidR="00D006DC" w:rsidRPr="009423C3" w14:paraId="199F5AB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C5F1783" w14:textId="11EEABD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SURVEY RESEARCH GROUP PTY LTD</w:t>
            </w:r>
          </w:p>
        </w:tc>
        <w:tc>
          <w:tcPr>
            <w:tcW w:w="4096" w:type="dxa"/>
            <w:tcBorders>
              <w:top w:val="single" w:sz="4" w:space="0" w:color="auto"/>
              <w:bottom w:val="single" w:sz="4" w:space="0" w:color="auto"/>
            </w:tcBorders>
            <w:vAlign w:val="center"/>
          </w:tcPr>
          <w:p w14:paraId="7715CA83" w14:textId="0C4325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A070033" w14:textId="06F07A2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71,405</w:t>
            </w:r>
          </w:p>
        </w:tc>
      </w:tr>
      <w:tr w:rsidR="00D006DC" w:rsidRPr="009423C3" w14:paraId="2F11D7C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1676B62" w14:textId="528AE04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AUSTRALIAN TRAINING PRODUCTS PTY LTD</w:t>
            </w:r>
          </w:p>
        </w:tc>
        <w:tc>
          <w:tcPr>
            <w:tcW w:w="4096" w:type="dxa"/>
            <w:tcBorders>
              <w:top w:val="single" w:sz="4" w:space="0" w:color="auto"/>
              <w:bottom w:val="single" w:sz="4" w:space="0" w:color="auto"/>
            </w:tcBorders>
            <w:vAlign w:val="center"/>
          </w:tcPr>
          <w:p w14:paraId="478F46B9" w14:textId="34CA701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E9902EB" w14:textId="553ADE9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321,120</w:t>
            </w:r>
          </w:p>
        </w:tc>
      </w:tr>
      <w:tr w:rsidR="00D006DC" w:rsidRPr="009423C3" w14:paraId="21EB45C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909290" w14:textId="4E7A6EE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AUTISM BEHAVIOURAL INTERVENTION ASSOCIATION INC</w:t>
            </w:r>
          </w:p>
        </w:tc>
        <w:tc>
          <w:tcPr>
            <w:tcW w:w="4096" w:type="dxa"/>
            <w:tcBorders>
              <w:top w:val="single" w:sz="4" w:space="0" w:color="auto"/>
              <w:bottom w:val="single" w:sz="4" w:space="0" w:color="auto"/>
            </w:tcBorders>
            <w:vAlign w:val="center"/>
          </w:tcPr>
          <w:p w14:paraId="775375E7" w14:textId="49FE175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7DF05B8" w14:textId="33D1787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23,960</w:t>
            </w:r>
          </w:p>
        </w:tc>
      </w:tr>
      <w:tr w:rsidR="00D006DC" w:rsidRPr="009423C3" w14:paraId="386DEF6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9E0A647" w14:textId="060802C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AUTISM PARTNERSHIP PTY LTD</w:t>
            </w:r>
          </w:p>
        </w:tc>
        <w:tc>
          <w:tcPr>
            <w:tcW w:w="4096" w:type="dxa"/>
            <w:tcBorders>
              <w:top w:val="single" w:sz="4" w:space="0" w:color="auto"/>
              <w:bottom w:val="single" w:sz="4" w:space="0" w:color="auto"/>
            </w:tcBorders>
            <w:vAlign w:val="center"/>
          </w:tcPr>
          <w:p w14:paraId="1A57DA78" w14:textId="7C5EEB3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764FDEB" w14:textId="6073CC1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111,090</w:t>
            </w:r>
          </w:p>
        </w:tc>
      </w:tr>
      <w:tr w:rsidR="00D006DC" w:rsidRPr="009423C3" w14:paraId="2913098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C86CDE9" w14:textId="556A7B0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AUTOMATIC DATA PROCESSING LIMITED</w:t>
            </w:r>
          </w:p>
        </w:tc>
        <w:tc>
          <w:tcPr>
            <w:tcW w:w="4096" w:type="dxa"/>
            <w:tcBorders>
              <w:top w:val="single" w:sz="4" w:space="0" w:color="auto"/>
              <w:bottom w:val="single" w:sz="4" w:space="0" w:color="auto"/>
            </w:tcBorders>
            <w:vAlign w:val="center"/>
          </w:tcPr>
          <w:p w14:paraId="0A964F05" w14:textId="70FEBD7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3623188" w14:textId="77B77D1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401,386</w:t>
            </w:r>
          </w:p>
        </w:tc>
      </w:tr>
      <w:tr w:rsidR="00D006DC" w:rsidRPr="009423C3" w14:paraId="513DB06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61085C" w14:textId="55467C6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AWARD FORCE PTY LTD</w:t>
            </w:r>
          </w:p>
        </w:tc>
        <w:tc>
          <w:tcPr>
            <w:tcW w:w="4096" w:type="dxa"/>
            <w:tcBorders>
              <w:top w:val="single" w:sz="4" w:space="0" w:color="auto"/>
              <w:bottom w:val="single" w:sz="4" w:space="0" w:color="auto"/>
            </w:tcBorders>
            <w:vAlign w:val="center"/>
          </w:tcPr>
          <w:p w14:paraId="578A917B" w14:textId="6DF89414"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79FBF046" w14:textId="23F211E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5,090</w:t>
            </w:r>
          </w:p>
        </w:tc>
      </w:tr>
      <w:tr w:rsidR="00D006DC" w:rsidRPr="009423C3" w14:paraId="6F0A5E9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6A54CBD" w14:textId="18A4C5C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AXISAGILE PTY LTD</w:t>
            </w:r>
          </w:p>
        </w:tc>
        <w:tc>
          <w:tcPr>
            <w:tcW w:w="4096" w:type="dxa"/>
            <w:tcBorders>
              <w:top w:val="single" w:sz="4" w:space="0" w:color="auto"/>
              <w:bottom w:val="single" w:sz="4" w:space="0" w:color="auto"/>
            </w:tcBorders>
            <w:vAlign w:val="center"/>
          </w:tcPr>
          <w:p w14:paraId="4E7DC906" w14:textId="2E17A320"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4A95C744" w14:textId="3EB5289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6,153</w:t>
            </w:r>
          </w:p>
        </w:tc>
      </w:tr>
      <w:tr w:rsidR="00D006DC" w:rsidRPr="009423C3" w14:paraId="7F5E279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DC5784" w14:textId="46E2A7F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BAMBLETT ALFRED</w:t>
            </w:r>
          </w:p>
        </w:tc>
        <w:tc>
          <w:tcPr>
            <w:tcW w:w="4096" w:type="dxa"/>
            <w:tcBorders>
              <w:top w:val="single" w:sz="4" w:space="0" w:color="auto"/>
              <w:bottom w:val="single" w:sz="4" w:space="0" w:color="auto"/>
            </w:tcBorders>
            <w:vAlign w:val="center"/>
          </w:tcPr>
          <w:p w14:paraId="4F1662DB" w14:textId="005234F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8DB47CC" w14:textId="6CC62B0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1,200</w:t>
            </w:r>
          </w:p>
        </w:tc>
      </w:tr>
      <w:tr w:rsidR="00D006DC" w:rsidRPr="009423C3" w14:paraId="43B4E35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219476" w14:textId="096DF38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BARON CONSULTING PTY LTD</w:t>
            </w:r>
          </w:p>
        </w:tc>
        <w:tc>
          <w:tcPr>
            <w:tcW w:w="4096" w:type="dxa"/>
            <w:tcBorders>
              <w:top w:val="single" w:sz="4" w:space="0" w:color="auto"/>
              <w:bottom w:val="single" w:sz="4" w:space="0" w:color="auto"/>
            </w:tcBorders>
            <w:vAlign w:val="center"/>
          </w:tcPr>
          <w:p w14:paraId="55494D28" w14:textId="5A2462A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821CCA6" w14:textId="40E8732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17,500</w:t>
            </w:r>
          </w:p>
        </w:tc>
      </w:tr>
      <w:tr w:rsidR="00D006DC" w:rsidRPr="009423C3" w14:paraId="0A20670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D82046E" w14:textId="3095C5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BARRINGTON CENTRE PTY LTD</w:t>
            </w:r>
          </w:p>
        </w:tc>
        <w:tc>
          <w:tcPr>
            <w:tcW w:w="4096" w:type="dxa"/>
            <w:tcBorders>
              <w:top w:val="single" w:sz="4" w:space="0" w:color="auto"/>
              <w:bottom w:val="single" w:sz="4" w:space="0" w:color="auto"/>
            </w:tcBorders>
            <w:vAlign w:val="center"/>
          </w:tcPr>
          <w:p w14:paraId="4FF0AD8D" w14:textId="7CC5C94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F3EDFE6" w14:textId="4AC6F76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8,375</w:t>
            </w:r>
          </w:p>
        </w:tc>
      </w:tr>
      <w:tr w:rsidR="00D006DC" w:rsidRPr="009423C3" w14:paraId="103F530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81E382A" w14:textId="4E0E82E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BARRY DERRICK</w:t>
            </w:r>
          </w:p>
        </w:tc>
        <w:tc>
          <w:tcPr>
            <w:tcW w:w="4096" w:type="dxa"/>
            <w:tcBorders>
              <w:top w:val="single" w:sz="4" w:space="0" w:color="auto"/>
              <w:bottom w:val="single" w:sz="4" w:space="0" w:color="auto"/>
            </w:tcBorders>
            <w:vAlign w:val="center"/>
          </w:tcPr>
          <w:p w14:paraId="5A5D5FF3" w14:textId="1DC00F1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36CC10" w14:textId="6C0FA9E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4,440</w:t>
            </w:r>
          </w:p>
        </w:tc>
      </w:tr>
      <w:tr w:rsidR="00D006DC" w:rsidRPr="009423C3" w14:paraId="580D93A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615636" w14:textId="2FF657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BEAKER AND FLINT</w:t>
            </w:r>
          </w:p>
        </w:tc>
        <w:tc>
          <w:tcPr>
            <w:tcW w:w="4096" w:type="dxa"/>
            <w:tcBorders>
              <w:top w:val="single" w:sz="4" w:space="0" w:color="auto"/>
              <w:bottom w:val="single" w:sz="4" w:space="0" w:color="auto"/>
            </w:tcBorders>
            <w:vAlign w:val="center"/>
          </w:tcPr>
          <w:p w14:paraId="79353C91" w14:textId="10A756C4"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A61768C" w14:textId="056DCDB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295,964</w:t>
            </w:r>
          </w:p>
        </w:tc>
      </w:tr>
      <w:tr w:rsidR="00D006DC" w:rsidRPr="009423C3" w14:paraId="462CED1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BE7443E" w14:textId="607A6B8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BECAUSE BRAND EXPERIENCE PTY LTD</w:t>
            </w:r>
          </w:p>
        </w:tc>
        <w:tc>
          <w:tcPr>
            <w:tcW w:w="4096" w:type="dxa"/>
            <w:tcBorders>
              <w:top w:val="single" w:sz="4" w:space="0" w:color="auto"/>
              <w:bottom w:val="single" w:sz="4" w:space="0" w:color="auto"/>
            </w:tcBorders>
            <w:vAlign w:val="center"/>
          </w:tcPr>
          <w:p w14:paraId="1231C3AF" w14:textId="537B154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1A2CDD27" w14:textId="33EBD70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64,196</w:t>
            </w:r>
          </w:p>
        </w:tc>
      </w:tr>
      <w:tr w:rsidR="00D006DC" w:rsidRPr="009423C3" w14:paraId="446E8EB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48FA574" w14:textId="79A3FA2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BECKON MEDIA PTY LTD</w:t>
            </w:r>
          </w:p>
        </w:tc>
        <w:tc>
          <w:tcPr>
            <w:tcW w:w="4096" w:type="dxa"/>
            <w:tcBorders>
              <w:top w:val="single" w:sz="4" w:space="0" w:color="auto"/>
              <w:bottom w:val="single" w:sz="4" w:space="0" w:color="auto"/>
            </w:tcBorders>
            <w:vAlign w:val="center"/>
          </w:tcPr>
          <w:p w14:paraId="55CB2BC8" w14:textId="22C0C49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E5B6CEC" w14:textId="5842E2F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50,624</w:t>
            </w:r>
          </w:p>
        </w:tc>
      </w:tr>
      <w:tr w:rsidR="00D006DC" w:rsidRPr="009423C3" w14:paraId="559DAA7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0653155" w14:textId="190B1A1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BEHAVIOURAL ARCHITECTS AUSTRALIA PTY LTD</w:t>
            </w:r>
          </w:p>
        </w:tc>
        <w:tc>
          <w:tcPr>
            <w:tcW w:w="4096" w:type="dxa"/>
            <w:tcBorders>
              <w:top w:val="single" w:sz="4" w:space="0" w:color="auto"/>
              <w:bottom w:val="single" w:sz="4" w:space="0" w:color="auto"/>
            </w:tcBorders>
            <w:vAlign w:val="center"/>
          </w:tcPr>
          <w:p w14:paraId="25226E96" w14:textId="59F3D85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4F928C4" w14:textId="7ABE629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69,508</w:t>
            </w:r>
          </w:p>
        </w:tc>
      </w:tr>
      <w:tr w:rsidR="00D006DC" w:rsidRPr="009423C3" w14:paraId="628D1B9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CA25B99" w14:textId="74D9C39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BEING HERD PTY LTD</w:t>
            </w:r>
          </w:p>
        </w:tc>
        <w:tc>
          <w:tcPr>
            <w:tcW w:w="4096" w:type="dxa"/>
            <w:tcBorders>
              <w:top w:val="single" w:sz="4" w:space="0" w:color="auto"/>
              <w:bottom w:val="single" w:sz="4" w:space="0" w:color="auto"/>
            </w:tcBorders>
            <w:vAlign w:val="center"/>
          </w:tcPr>
          <w:p w14:paraId="1BA0BC6C" w14:textId="507E2C4E"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00694BC9" w14:textId="2957836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21,760</w:t>
            </w:r>
          </w:p>
        </w:tc>
      </w:tr>
      <w:tr w:rsidR="00D006DC" w:rsidRPr="009423C3" w14:paraId="628AAE3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69155A" w14:textId="1D5836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BELMONT NATASHA LEIGH</w:t>
            </w:r>
          </w:p>
        </w:tc>
        <w:tc>
          <w:tcPr>
            <w:tcW w:w="4096" w:type="dxa"/>
            <w:tcBorders>
              <w:top w:val="single" w:sz="4" w:space="0" w:color="auto"/>
              <w:bottom w:val="single" w:sz="4" w:space="0" w:color="auto"/>
            </w:tcBorders>
            <w:vAlign w:val="center"/>
          </w:tcPr>
          <w:p w14:paraId="0C64F238" w14:textId="5C201B5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7ACFDA0" w14:textId="56C5FCF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7,125</w:t>
            </w:r>
          </w:p>
        </w:tc>
      </w:tr>
      <w:tr w:rsidR="00D006DC" w:rsidRPr="009423C3" w14:paraId="0E3A39A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D49DAE0" w14:textId="0487B06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BENDIGO SCIENCE AND TECHNOLOGY MUSEUM INC</w:t>
            </w:r>
          </w:p>
        </w:tc>
        <w:tc>
          <w:tcPr>
            <w:tcW w:w="4096" w:type="dxa"/>
            <w:tcBorders>
              <w:top w:val="single" w:sz="4" w:space="0" w:color="auto"/>
              <w:bottom w:val="single" w:sz="4" w:space="0" w:color="auto"/>
            </w:tcBorders>
            <w:vAlign w:val="center"/>
          </w:tcPr>
          <w:p w14:paraId="155EC95A" w14:textId="648763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05F2C7A" w14:textId="3904819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79,818</w:t>
            </w:r>
          </w:p>
        </w:tc>
      </w:tr>
      <w:tr w:rsidR="00D006DC" w:rsidRPr="009423C3" w14:paraId="58B6CDF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AC2CD40" w14:textId="7CEBEFE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BENESTAR GROUP PTY LTD</w:t>
            </w:r>
          </w:p>
        </w:tc>
        <w:tc>
          <w:tcPr>
            <w:tcW w:w="4096" w:type="dxa"/>
            <w:tcBorders>
              <w:top w:val="single" w:sz="4" w:space="0" w:color="auto"/>
              <w:bottom w:val="single" w:sz="4" w:space="0" w:color="auto"/>
            </w:tcBorders>
            <w:vAlign w:val="center"/>
          </w:tcPr>
          <w:p w14:paraId="4E490DAE" w14:textId="025FEC7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9EA898" w14:textId="34FEEF2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9,000</w:t>
            </w:r>
          </w:p>
        </w:tc>
      </w:tr>
      <w:tr w:rsidR="00D006DC" w:rsidRPr="009423C3" w14:paraId="609DDD9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09965C" w14:textId="3328F91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BENNETT LAWRENCE AND FENN</w:t>
            </w:r>
          </w:p>
        </w:tc>
        <w:tc>
          <w:tcPr>
            <w:tcW w:w="4096" w:type="dxa"/>
            <w:tcBorders>
              <w:top w:val="single" w:sz="4" w:space="0" w:color="auto"/>
              <w:bottom w:val="single" w:sz="4" w:space="0" w:color="auto"/>
            </w:tcBorders>
            <w:vAlign w:val="center"/>
          </w:tcPr>
          <w:p w14:paraId="22DA48C0" w14:textId="45E9D7D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B25B502" w14:textId="370AABE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14,000</w:t>
            </w:r>
          </w:p>
        </w:tc>
      </w:tr>
      <w:tr w:rsidR="00D006DC" w:rsidRPr="009423C3" w14:paraId="6A79CEF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34B288D" w14:textId="2F70768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BETTERIDGE LEGAL CONSULTING</w:t>
            </w:r>
          </w:p>
        </w:tc>
        <w:tc>
          <w:tcPr>
            <w:tcW w:w="4096" w:type="dxa"/>
            <w:tcBorders>
              <w:top w:val="single" w:sz="4" w:space="0" w:color="auto"/>
              <w:bottom w:val="single" w:sz="4" w:space="0" w:color="auto"/>
            </w:tcBorders>
            <w:vAlign w:val="center"/>
          </w:tcPr>
          <w:p w14:paraId="155F6744" w14:textId="087F33A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8095E78" w14:textId="12EDE3D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30,957</w:t>
            </w:r>
          </w:p>
        </w:tc>
      </w:tr>
      <w:tr w:rsidR="00D006DC" w:rsidRPr="009423C3" w14:paraId="54E15B8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070FAF" w14:textId="4B49815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BEVERIDGE WILLIAMS AND CO PTY LTD</w:t>
            </w:r>
          </w:p>
        </w:tc>
        <w:tc>
          <w:tcPr>
            <w:tcW w:w="4096" w:type="dxa"/>
            <w:tcBorders>
              <w:top w:val="single" w:sz="4" w:space="0" w:color="auto"/>
              <w:bottom w:val="single" w:sz="4" w:space="0" w:color="auto"/>
            </w:tcBorders>
            <w:vAlign w:val="center"/>
          </w:tcPr>
          <w:p w14:paraId="4FF1A0DD" w14:textId="5DF4048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3B51488" w14:textId="755F918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4,900</w:t>
            </w:r>
          </w:p>
        </w:tc>
      </w:tr>
      <w:tr w:rsidR="00D006DC" w:rsidRPr="009423C3" w14:paraId="3C4E3F1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80433F" w14:textId="6E5ECEF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BEVINGTON CONSULTING PTY LTD</w:t>
            </w:r>
          </w:p>
        </w:tc>
        <w:tc>
          <w:tcPr>
            <w:tcW w:w="4096" w:type="dxa"/>
            <w:tcBorders>
              <w:top w:val="single" w:sz="4" w:space="0" w:color="auto"/>
              <w:bottom w:val="single" w:sz="4" w:space="0" w:color="auto"/>
            </w:tcBorders>
            <w:vAlign w:val="center"/>
          </w:tcPr>
          <w:p w14:paraId="27A0AA7F" w14:textId="4637D64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9B97F1C" w14:textId="6724C40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149,440</w:t>
            </w:r>
          </w:p>
        </w:tc>
      </w:tr>
      <w:tr w:rsidR="00D006DC" w:rsidRPr="009423C3" w14:paraId="0C07C57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0D85BF5" w14:textId="08801C2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BEYOND WEB SOLUTIONS</w:t>
            </w:r>
          </w:p>
        </w:tc>
        <w:tc>
          <w:tcPr>
            <w:tcW w:w="4096" w:type="dxa"/>
            <w:tcBorders>
              <w:top w:val="single" w:sz="4" w:space="0" w:color="auto"/>
              <w:bottom w:val="single" w:sz="4" w:space="0" w:color="auto"/>
            </w:tcBorders>
            <w:vAlign w:val="center"/>
          </w:tcPr>
          <w:p w14:paraId="274C9BB9" w14:textId="17305BD4"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40FEDA41" w14:textId="598926C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3,600</w:t>
            </w:r>
          </w:p>
        </w:tc>
      </w:tr>
      <w:tr w:rsidR="00D006DC" w:rsidRPr="009423C3" w14:paraId="7DF0DBD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12FDFAB" w14:textId="7DA24F8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BGGROUPAU PTY LTD</w:t>
            </w:r>
          </w:p>
        </w:tc>
        <w:tc>
          <w:tcPr>
            <w:tcW w:w="4096" w:type="dxa"/>
            <w:tcBorders>
              <w:top w:val="single" w:sz="4" w:space="0" w:color="auto"/>
              <w:bottom w:val="single" w:sz="4" w:space="0" w:color="auto"/>
            </w:tcBorders>
            <w:vAlign w:val="center"/>
          </w:tcPr>
          <w:p w14:paraId="44A470BF" w14:textId="56D1CB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7386301E" w14:textId="498094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1,850</w:t>
            </w:r>
          </w:p>
        </w:tc>
      </w:tr>
      <w:tr w:rsidR="00D006DC" w:rsidRPr="009423C3" w14:paraId="0FE1CD6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C2ECB82" w14:textId="64C72F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BIG CANVAS PTY LTD</w:t>
            </w:r>
          </w:p>
        </w:tc>
        <w:tc>
          <w:tcPr>
            <w:tcW w:w="4096" w:type="dxa"/>
            <w:tcBorders>
              <w:top w:val="single" w:sz="4" w:space="0" w:color="auto"/>
              <w:bottom w:val="single" w:sz="4" w:space="0" w:color="auto"/>
            </w:tcBorders>
            <w:vAlign w:val="center"/>
          </w:tcPr>
          <w:p w14:paraId="4A41EC34" w14:textId="4875812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5E0F66A6" w14:textId="5EE7F46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113,062</w:t>
            </w:r>
          </w:p>
        </w:tc>
      </w:tr>
      <w:tr w:rsidR="00D006DC" w:rsidRPr="009423C3" w14:paraId="4E4A7BB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913C0F" w14:textId="0398FC3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BIG SKY CORPORATE PTY LTD</w:t>
            </w:r>
          </w:p>
        </w:tc>
        <w:tc>
          <w:tcPr>
            <w:tcW w:w="4096" w:type="dxa"/>
            <w:tcBorders>
              <w:top w:val="single" w:sz="4" w:space="0" w:color="auto"/>
              <w:bottom w:val="single" w:sz="4" w:space="0" w:color="auto"/>
            </w:tcBorders>
            <w:vAlign w:val="center"/>
          </w:tcPr>
          <w:p w14:paraId="32B9F746" w14:textId="1F0FFB0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234FFA85" w14:textId="431D445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26,500</w:t>
            </w:r>
          </w:p>
        </w:tc>
      </w:tr>
      <w:tr w:rsidR="00D006DC" w:rsidRPr="009423C3" w14:paraId="252CB18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A79B6B6" w14:textId="54D34B1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BILL HUNT CONSULTANCY SERVICES</w:t>
            </w:r>
          </w:p>
        </w:tc>
        <w:tc>
          <w:tcPr>
            <w:tcW w:w="4096" w:type="dxa"/>
            <w:tcBorders>
              <w:top w:val="single" w:sz="4" w:space="0" w:color="auto"/>
              <w:bottom w:val="single" w:sz="4" w:space="0" w:color="auto"/>
            </w:tcBorders>
            <w:vAlign w:val="center"/>
          </w:tcPr>
          <w:p w14:paraId="4A632EAC" w14:textId="48F4A5D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A024C0F" w14:textId="6C8C20C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17,396</w:t>
            </w:r>
          </w:p>
        </w:tc>
      </w:tr>
      <w:tr w:rsidR="00D006DC" w:rsidRPr="009423C3" w14:paraId="699B05A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EA3F005" w14:textId="56D3023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BILLI-JAI FASANO</w:t>
            </w:r>
          </w:p>
        </w:tc>
        <w:tc>
          <w:tcPr>
            <w:tcW w:w="4096" w:type="dxa"/>
            <w:tcBorders>
              <w:top w:val="single" w:sz="4" w:space="0" w:color="auto"/>
              <w:bottom w:val="single" w:sz="4" w:space="0" w:color="auto"/>
            </w:tcBorders>
            <w:vAlign w:val="center"/>
          </w:tcPr>
          <w:p w14:paraId="323BD772" w14:textId="78088BD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CC4EBE8" w14:textId="7AE96FB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2,160</w:t>
            </w:r>
          </w:p>
        </w:tc>
      </w:tr>
      <w:tr w:rsidR="00D006DC" w:rsidRPr="009423C3" w14:paraId="42B735F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351130" w14:textId="6870FEE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BLUEDOG PRODUCTIONS (VIC) PTY. LTD.</w:t>
            </w:r>
          </w:p>
        </w:tc>
        <w:tc>
          <w:tcPr>
            <w:tcW w:w="4096" w:type="dxa"/>
            <w:tcBorders>
              <w:top w:val="single" w:sz="4" w:space="0" w:color="auto"/>
              <w:bottom w:val="single" w:sz="4" w:space="0" w:color="auto"/>
            </w:tcBorders>
            <w:vAlign w:val="center"/>
          </w:tcPr>
          <w:p w14:paraId="3DE154C0" w14:textId="51EEC76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87D1C66" w14:textId="5064365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14,806</w:t>
            </w:r>
          </w:p>
        </w:tc>
      </w:tr>
      <w:tr w:rsidR="00D006DC" w:rsidRPr="009423C3" w14:paraId="00A1B4D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99D43EF" w14:textId="2F86BBB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BOOKED OUT AGENCY PTY LTD</w:t>
            </w:r>
          </w:p>
        </w:tc>
        <w:tc>
          <w:tcPr>
            <w:tcW w:w="4096" w:type="dxa"/>
            <w:tcBorders>
              <w:top w:val="single" w:sz="4" w:space="0" w:color="auto"/>
              <w:bottom w:val="single" w:sz="4" w:space="0" w:color="auto"/>
            </w:tcBorders>
            <w:vAlign w:val="center"/>
          </w:tcPr>
          <w:p w14:paraId="7143D215" w14:textId="5EDB65B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1DF5A8D" w14:textId="21D922D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7,250</w:t>
            </w:r>
          </w:p>
        </w:tc>
      </w:tr>
      <w:tr w:rsidR="00D006DC" w:rsidRPr="009423C3" w14:paraId="0E03536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A40309" w14:textId="2219C53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BOX HILL INSTITUTE</w:t>
            </w:r>
          </w:p>
        </w:tc>
        <w:tc>
          <w:tcPr>
            <w:tcW w:w="4096" w:type="dxa"/>
            <w:tcBorders>
              <w:top w:val="single" w:sz="4" w:space="0" w:color="auto"/>
              <w:bottom w:val="single" w:sz="4" w:space="0" w:color="auto"/>
            </w:tcBorders>
            <w:vAlign w:val="center"/>
          </w:tcPr>
          <w:p w14:paraId="6D154310" w14:textId="47F47C44"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63BABD76" w14:textId="6FD4A12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16,500</w:t>
            </w:r>
          </w:p>
        </w:tc>
      </w:tr>
      <w:tr w:rsidR="00D006DC" w:rsidRPr="009423C3" w14:paraId="09CA4A8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A4443B" w14:textId="4B3754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BRAND BEAGLE PTY LTD</w:t>
            </w:r>
          </w:p>
        </w:tc>
        <w:tc>
          <w:tcPr>
            <w:tcW w:w="4096" w:type="dxa"/>
            <w:tcBorders>
              <w:top w:val="single" w:sz="4" w:space="0" w:color="auto"/>
              <w:bottom w:val="single" w:sz="4" w:space="0" w:color="auto"/>
            </w:tcBorders>
            <w:vAlign w:val="center"/>
          </w:tcPr>
          <w:p w14:paraId="28DA57CA" w14:textId="24A4F1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B669761" w14:textId="66CAF91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47,990</w:t>
            </w:r>
          </w:p>
        </w:tc>
      </w:tr>
      <w:tr w:rsidR="00D006DC" w:rsidRPr="009423C3" w14:paraId="7636B04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998178" w14:textId="13C2851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BRASH CONSULTING</w:t>
            </w:r>
          </w:p>
        </w:tc>
        <w:tc>
          <w:tcPr>
            <w:tcW w:w="4096" w:type="dxa"/>
            <w:tcBorders>
              <w:top w:val="single" w:sz="4" w:space="0" w:color="auto"/>
              <w:bottom w:val="single" w:sz="4" w:space="0" w:color="auto"/>
            </w:tcBorders>
            <w:vAlign w:val="center"/>
          </w:tcPr>
          <w:p w14:paraId="0C08B86E" w14:textId="2879148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59813A6" w14:textId="48166AD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19,075</w:t>
            </w:r>
          </w:p>
        </w:tc>
      </w:tr>
      <w:tr w:rsidR="00D006DC" w:rsidRPr="009423C3" w14:paraId="07CDB19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B157FFE" w14:textId="1F0CCE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BRIAN GAUNT</w:t>
            </w:r>
          </w:p>
        </w:tc>
        <w:tc>
          <w:tcPr>
            <w:tcW w:w="4096" w:type="dxa"/>
            <w:tcBorders>
              <w:top w:val="single" w:sz="4" w:space="0" w:color="auto"/>
              <w:bottom w:val="single" w:sz="4" w:space="0" w:color="auto"/>
            </w:tcBorders>
            <w:vAlign w:val="center"/>
          </w:tcPr>
          <w:p w14:paraId="72DBF1D6" w14:textId="496C709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AD99247" w14:textId="6027ED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58,159</w:t>
            </w:r>
          </w:p>
        </w:tc>
      </w:tr>
      <w:tr w:rsidR="00D006DC" w:rsidRPr="009423C3" w14:paraId="291B668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922DB2C" w14:textId="76C88A4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BRIDGE RESOLUTIONS</w:t>
            </w:r>
          </w:p>
        </w:tc>
        <w:tc>
          <w:tcPr>
            <w:tcW w:w="4096" w:type="dxa"/>
            <w:tcBorders>
              <w:top w:val="single" w:sz="4" w:space="0" w:color="auto"/>
              <w:bottom w:val="single" w:sz="4" w:space="0" w:color="auto"/>
            </w:tcBorders>
            <w:vAlign w:val="center"/>
          </w:tcPr>
          <w:p w14:paraId="493F27B6" w14:textId="066CB82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6E34D5B" w14:textId="13E28B2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9,600</w:t>
            </w:r>
          </w:p>
        </w:tc>
      </w:tr>
      <w:tr w:rsidR="00D006DC" w:rsidRPr="009423C3" w14:paraId="2D22A2D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B3984BE" w14:textId="750184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BRIGHT ADVENTURE COMPANY PTY LTD</w:t>
            </w:r>
          </w:p>
        </w:tc>
        <w:tc>
          <w:tcPr>
            <w:tcW w:w="4096" w:type="dxa"/>
            <w:tcBorders>
              <w:top w:val="single" w:sz="4" w:space="0" w:color="auto"/>
              <w:bottom w:val="single" w:sz="4" w:space="0" w:color="auto"/>
            </w:tcBorders>
            <w:vAlign w:val="center"/>
          </w:tcPr>
          <w:p w14:paraId="08A620E1" w14:textId="5646FB3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847FF86" w14:textId="7C1FB59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2,350</w:t>
            </w:r>
          </w:p>
        </w:tc>
      </w:tr>
      <w:tr w:rsidR="00D006DC" w:rsidRPr="009423C3" w14:paraId="485BF59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4CD6F1E" w14:textId="6786F29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BROADBENT MEDIA SERVICES</w:t>
            </w:r>
          </w:p>
        </w:tc>
        <w:tc>
          <w:tcPr>
            <w:tcW w:w="4096" w:type="dxa"/>
            <w:tcBorders>
              <w:top w:val="single" w:sz="4" w:space="0" w:color="auto"/>
              <w:bottom w:val="single" w:sz="4" w:space="0" w:color="auto"/>
            </w:tcBorders>
            <w:vAlign w:val="center"/>
          </w:tcPr>
          <w:p w14:paraId="782C8C0A" w14:textId="3F1591A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0055A09" w14:textId="398184B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4,500</w:t>
            </w:r>
          </w:p>
        </w:tc>
      </w:tr>
      <w:tr w:rsidR="00D006DC" w:rsidRPr="009423C3" w14:paraId="3041B3B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AE99865" w14:textId="38CE350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BROTHERHOOD OF ST LAURENCE</w:t>
            </w:r>
          </w:p>
        </w:tc>
        <w:tc>
          <w:tcPr>
            <w:tcW w:w="4096" w:type="dxa"/>
            <w:tcBorders>
              <w:top w:val="single" w:sz="4" w:space="0" w:color="auto"/>
              <w:bottom w:val="single" w:sz="4" w:space="0" w:color="auto"/>
            </w:tcBorders>
            <w:vAlign w:val="center"/>
          </w:tcPr>
          <w:p w14:paraId="3E881BCE" w14:textId="59D53CB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69F81C2" w14:textId="6487E76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66,192</w:t>
            </w:r>
          </w:p>
        </w:tc>
      </w:tr>
      <w:tr w:rsidR="00D006DC" w:rsidRPr="009423C3" w14:paraId="73B6F68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3991F57" w14:textId="4CC5B5A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BTS AUSTRALASIA PTY LTD</w:t>
            </w:r>
          </w:p>
        </w:tc>
        <w:tc>
          <w:tcPr>
            <w:tcW w:w="4096" w:type="dxa"/>
            <w:tcBorders>
              <w:top w:val="single" w:sz="4" w:space="0" w:color="auto"/>
              <w:bottom w:val="single" w:sz="4" w:space="0" w:color="auto"/>
            </w:tcBorders>
            <w:vAlign w:val="center"/>
          </w:tcPr>
          <w:p w14:paraId="045449F7" w14:textId="032C5029"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0A637C9" w14:textId="6881A7D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396,876</w:t>
            </w:r>
          </w:p>
        </w:tc>
      </w:tr>
      <w:tr w:rsidR="00D006DC" w:rsidRPr="009423C3" w14:paraId="6225290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BFA6A44" w14:textId="5111DF1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BUNDYI GIRRI CONSULTING PTY LTD</w:t>
            </w:r>
          </w:p>
        </w:tc>
        <w:tc>
          <w:tcPr>
            <w:tcW w:w="4096" w:type="dxa"/>
            <w:tcBorders>
              <w:top w:val="single" w:sz="4" w:space="0" w:color="auto"/>
              <w:bottom w:val="single" w:sz="4" w:space="0" w:color="auto"/>
            </w:tcBorders>
            <w:vAlign w:val="center"/>
          </w:tcPr>
          <w:p w14:paraId="60CB935C" w14:textId="35A76CD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CE11665" w14:textId="7307298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12,190</w:t>
            </w:r>
          </w:p>
        </w:tc>
      </w:tr>
      <w:tr w:rsidR="00D006DC" w:rsidRPr="009423C3" w14:paraId="63B5C23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1F3E1A" w14:textId="74D10D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BUNURONG LAND COUNCIL ABORIGINAL CORPORATION</w:t>
            </w:r>
          </w:p>
        </w:tc>
        <w:tc>
          <w:tcPr>
            <w:tcW w:w="4096" w:type="dxa"/>
            <w:tcBorders>
              <w:top w:val="single" w:sz="4" w:space="0" w:color="auto"/>
              <w:bottom w:val="single" w:sz="4" w:space="0" w:color="auto"/>
            </w:tcBorders>
            <w:vAlign w:val="center"/>
          </w:tcPr>
          <w:p w14:paraId="5F9E1C26" w14:textId="12FD630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FAABA31" w14:textId="1DCC8ED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4,400</w:t>
            </w:r>
          </w:p>
        </w:tc>
      </w:tr>
      <w:tr w:rsidR="00D006DC" w:rsidRPr="009423C3" w14:paraId="5200079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EE89EB5" w14:textId="4B9151C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BURGESS MAREE</w:t>
            </w:r>
          </w:p>
        </w:tc>
        <w:tc>
          <w:tcPr>
            <w:tcW w:w="4096" w:type="dxa"/>
            <w:tcBorders>
              <w:top w:val="single" w:sz="4" w:space="0" w:color="auto"/>
              <w:bottom w:val="single" w:sz="4" w:space="0" w:color="auto"/>
            </w:tcBorders>
            <w:vAlign w:val="center"/>
          </w:tcPr>
          <w:p w14:paraId="4D1D60B7" w14:textId="20FC3B6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B1439F3" w14:textId="077FCA0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6,000</w:t>
            </w:r>
          </w:p>
        </w:tc>
      </w:tr>
      <w:tr w:rsidR="00D006DC" w:rsidRPr="009423C3" w14:paraId="118C206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62F8C9C" w14:textId="4C75CE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BURNING GLASS INTERNATIONAL INC</w:t>
            </w:r>
          </w:p>
        </w:tc>
        <w:tc>
          <w:tcPr>
            <w:tcW w:w="4096" w:type="dxa"/>
            <w:tcBorders>
              <w:top w:val="single" w:sz="4" w:space="0" w:color="auto"/>
              <w:bottom w:val="single" w:sz="4" w:space="0" w:color="auto"/>
            </w:tcBorders>
            <w:vAlign w:val="center"/>
          </w:tcPr>
          <w:p w14:paraId="49322054" w14:textId="6012CBE5"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230F0052" w14:textId="47ABA4F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484,800</w:t>
            </w:r>
          </w:p>
        </w:tc>
      </w:tr>
      <w:tr w:rsidR="00D006DC" w:rsidRPr="009423C3" w14:paraId="15AEFF4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7C40EB9" w14:textId="1EE3AD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BURNINGHOUSE</w:t>
            </w:r>
          </w:p>
        </w:tc>
        <w:tc>
          <w:tcPr>
            <w:tcW w:w="4096" w:type="dxa"/>
            <w:tcBorders>
              <w:top w:val="single" w:sz="4" w:space="0" w:color="auto"/>
              <w:bottom w:val="single" w:sz="4" w:space="0" w:color="auto"/>
            </w:tcBorders>
            <w:vAlign w:val="center"/>
          </w:tcPr>
          <w:p w14:paraId="477599FC" w14:textId="1F71F2E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5A13D08" w14:textId="71818B4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40,984</w:t>
            </w:r>
          </w:p>
        </w:tc>
      </w:tr>
      <w:tr w:rsidR="00D006DC" w:rsidRPr="009423C3" w14:paraId="7FA12B1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583F013" w14:textId="11C9BF9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BUSINESS MANAGERS VICTORIA INC</w:t>
            </w:r>
          </w:p>
        </w:tc>
        <w:tc>
          <w:tcPr>
            <w:tcW w:w="4096" w:type="dxa"/>
            <w:tcBorders>
              <w:top w:val="single" w:sz="4" w:space="0" w:color="auto"/>
              <w:bottom w:val="single" w:sz="4" w:space="0" w:color="auto"/>
            </w:tcBorders>
            <w:vAlign w:val="center"/>
          </w:tcPr>
          <w:p w14:paraId="619E0C53" w14:textId="03C814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74BBD13" w14:textId="2DB7A97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25,000</w:t>
            </w:r>
          </w:p>
        </w:tc>
      </w:tr>
      <w:tr w:rsidR="00D006DC" w:rsidRPr="009423C3" w14:paraId="063E123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FFCDA0" w14:textId="79EC544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BWM ISOBAR PTY LTD</w:t>
            </w:r>
          </w:p>
        </w:tc>
        <w:tc>
          <w:tcPr>
            <w:tcW w:w="4096" w:type="dxa"/>
            <w:tcBorders>
              <w:top w:val="single" w:sz="4" w:space="0" w:color="auto"/>
              <w:bottom w:val="single" w:sz="4" w:space="0" w:color="auto"/>
            </w:tcBorders>
            <w:vAlign w:val="center"/>
          </w:tcPr>
          <w:p w14:paraId="44806817" w14:textId="7A69134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260297" w14:textId="2C15B10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295,944</w:t>
            </w:r>
          </w:p>
        </w:tc>
      </w:tr>
      <w:tr w:rsidR="00D006DC" w:rsidRPr="009423C3" w14:paraId="768DF44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4E1DD4" w14:textId="573668A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 TODD AND J A TODD</w:t>
            </w:r>
          </w:p>
        </w:tc>
        <w:tc>
          <w:tcPr>
            <w:tcW w:w="4096" w:type="dxa"/>
            <w:tcBorders>
              <w:top w:val="single" w:sz="4" w:space="0" w:color="auto"/>
              <w:bottom w:val="single" w:sz="4" w:space="0" w:color="auto"/>
            </w:tcBorders>
            <w:vAlign w:val="center"/>
          </w:tcPr>
          <w:p w14:paraId="4DDB10ED" w14:textId="6035C766"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682535CD" w14:textId="0512BB7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63,500</w:t>
            </w:r>
          </w:p>
        </w:tc>
      </w:tr>
      <w:tr w:rsidR="00D006DC" w:rsidRPr="009423C3" w14:paraId="4D22012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EE13CD5" w14:textId="3AAF118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C4 BUSINESS SOLUTIONS</w:t>
            </w:r>
          </w:p>
        </w:tc>
        <w:tc>
          <w:tcPr>
            <w:tcW w:w="4096" w:type="dxa"/>
            <w:tcBorders>
              <w:top w:val="single" w:sz="4" w:space="0" w:color="auto"/>
              <w:bottom w:val="single" w:sz="4" w:space="0" w:color="auto"/>
            </w:tcBorders>
            <w:vAlign w:val="center"/>
          </w:tcPr>
          <w:p w14:paraId="61E786BA" w14:textId="401EBBF9"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0A287520" w14:textId="6AEB5C8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35,295</w:t>
            </w:r>
          </w:p>
        </w:tc>
      </w:tr>
      <w:tr w:rsidR="00D006DC" w:rsidRPr="009423C3" w14:paraId="242CA11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92F54F" w14:textId="62492A6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CAHILL HELEN</w:t>
            </w:r>
          </w:p>
        </w:tc>
        <w:tc>
          <w:tcPr>
            <w:tcW w:w="4096" w:type="dxa"/>
            <w:tcBorders>
              <w:top w:val="single" w:sz="4" w:space="0" w:color="auto"/>
              <w:bottom w:val="single" w:sz="4" w:space="0" w:color="auto"/>
            </w:tcBorders>
            <w:vAlign w:val="center"/>
          </w:tcPr>
          <w:p w14:paraId="1CD99DC2" w14:textId="2BED051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85EEF2" w14:textId="3EE9225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17,400</w:t>
            </w:r>
          </w:p>
        </w:tc>
      </w:tr>
      <w:tr w:rsidR="00D006DC" w:rsidRPr="009423C3" w14:paraId="24A155F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2CCDC3" w14:textId="10D82FE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CAIRNMILLAR INSTITUTE</w:t>
            </w:r>
          </w:p>
        </w:tc>
        <w:tc>
          <w:tcPr>
            <w:tcW w:w="4096" w:type="dxa"/>
            <w:tcBorders>
              <w:top w:val="single" w:sz="4" w:space="0" w:color="auto"/>
              <w:bottom w:val="single" w:sz="4" w:space="0" w:color="auto"/>
            </w:tcBorders>
            <w:vAlign w:val="center"/>
          </w:tcPr>
          <w:p w14:paraId="54DEACF2" w14:textId="5C776F3F"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7D9DAA75" w14:textId="7B517B9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65,341</w:t>
            </w:r>
          </w:p>
        </w:tc>
      </w:tr>
      <w:tr w:rsidR="00D006DC" w:rsidRPr="009423C3" w14:paraId="7BBBA10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C6B001A" w14:textId="7FFE4EF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CALL SERVICE (AUST) PTY LTD</w:t>
            </w:r>
          </w:p>
        </w:tc>
        <w:tc>
          <w:tcPr>
            <w:tcW w:w="4096" w:type="dxa"/>
            <w:tcBorders>
              <w:top w:val="single" w:sz="4" w:space="0" w:color="auto"/>
              <w:bottom w:val="single" w:sz="4" w:space="0" w:color="auto"/>
            </w:tcBorders>
            <w:vAlign w:val="center"/>
          </w:tcPr>
          <w:p w14:paraId="0FEFC176" w14:textId="7CC5BE61"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7BDD8170" w14:textId="67E14CD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1,050</w:t>
            </w:r>
          </w:p>
        </w:tc>
      </w:tr>
      <w:tr w:rsidR="00D006DC" w:rsidRPr="009423C3" w14:paraId="78CDD52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1D160E" w14:textId="494E7C1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CAPGEMINI AUSTRALIA PTY LIMITED</w:t>
            </w:r>
          </w:p>
        </w:tc>
        <w:tc>
          <w:tcPr>
            <w:tcW w:w="4096" w:type="dxa"/>
            <w:tcBorders>
              <w:top w:val="single" w:sz="4" w:space="0" w:color="auto"/>
              <w:bottom w:val="single" w:sz="4" w:space="0" w:color="auto"/>
            </w:tcBorders>
            <w:vAlign w:val="center"/>
          </w:tcPr>
          <w:p w14:paraId="3EE3FDD0" w14:textId="419DAC8E"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4B8CEF86" w14:textId="4577B31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374,408</w:t>
            </w:r>
          </w:p>
        </w:tc>
      </w:tr>
      <w:tr w:rsidR="00D006DC" w:rsidRPr="009423C3" w14:paraId="3CE83A1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B76FB1C" w14:textId="1C1E8F2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CAPTIONING STUDIO PTY LTD</w:t>
            </w:r>
          </w:p>
        </w:tc>
        <w:tc>
          <w:tcPr>
            <w:tcW w:w="4096" w:type="dxa"/>
            <w:tcBorders>
              <w:top w:val="single" w:sz="4" w:space="0" w:color="auto"/>
              <w:bottom w:val="single" w:sz="4" w:space="0" w:color="auto"/>
            </w:tcBorders>
            <w:vAlign w:val="center"/>
          </w:tcPr>
          <w:p w14:paraId="6E8C0EA7" w14:textId="5B660F6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E1B0053" w14:textId="7568B1A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23,148</w:t>
            </w:r>
          </w:p>
        </w:tc>
      </w:tr>
      <w:tr w:rsidR="00D006DC" w:rsidRPr="009423C3" w14:paraId="614B8ED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40A025D" w14:textId="4C748DC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CARAMARCO WENDY</w:t>
            </w:r>
          </w:p>
        </w:tc>
        <w:tc>
          <w:tcPr>
            <w:tcW w:w="4096" w:type="dxa"/>
            <w:tcBorders>
              <w:top w:val="single" w:sz="4" w:space="0" w:color="auto"/>
              <w:bottom w:val="single" w:sz="4" w:space="0" w:color="auto"/>
            </w:tcBorders>
            <w:vAlign w:val="center"/>
          </w:tcPr>
          <w:p w14:paraId="7F097A7B" w14:textId="2E705FB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9ACB294" w14:textId="2814C77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3,887</w:t>
            </w:r>
          </w:p>
        </w:tc>
      </w:tr>
      <w:tr w:rsidR="00D006DC" w:rsidRPr="009423C3" w14:paraId="08EF500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AB394FD" w14:textId="403443B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CARANICHE PTY LTD</w:t>
            </w:r>
          </w:p>
        </w:tc>
        <w:tc>
          <w:tcPr>
            <w:tcW w:w="4096" w:type="dxa"/>
            <w:tcBorders>
              <w:top w:val="single" w:sz="4" w:space="0" w:color="auto"/>
              <w:bottom w:val="single" w:sz="4" w:space="0" w:color="auto"/>
            </w:tcBorders>
            <w:vAlign w:val="center"/>
          </w:tcPr>
          <w:p w14:paraId="4667814E" w14:textId="3015D0F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BD86D8C" w14:textId="4FFF652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122,668</w:t>
            </w:r>
          </w:p>
        </w:tc>
      </w:tr>
      <w:tr w:rsidR="00D006DC" w:rsidRPr="009423C3" w14:paraId="5802BCB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DDF0E9" w14:textId="13D7A06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CAREER EDUCATION ASSOCIATION OF VICTORIA INC</w:t>
            </w:r>
          </w:p>
        </w:tc>
        <w:tc>
          <w:tcPr>
            <w:tcW w:w="4096" w:type="dxa"/>
            <w:tcBorders>
              <w:top w:val="single" w:sz="4" w:space="0" w:color="auto"/>
              <w:bottom w:val="single" w:sz="4" w:space="0" w:color="auto"/>
            </w:tcBorders>
            <w:vAlign w:val="center"/>
          </w:tcPr>
          <w:p w14:paraId="607008B6" w14:textId="5232054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50B27CD" w14:textId="64008D6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3,069,755</w:t>
            </w:r>
          </w:p>
        </w:tc>
      </w:tr>
      <w:tr w:rsidR="00D006DC" w:rsidRPr="009423C3" w14:paraId="31B831E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C0E78C4" w14:textId="043D1C0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CAREER MANAGEMENT SERVICES</w:t>
            </w:r>
          </w:p>
        </w:tc>
        <w:tc>
          <w:tcPr>
            <w:tcW w:w="4096" w:type="dxa"/>
            <w:tcBorders>
              <w:top w:val="single" w:sz="4" w:space="0" w:color="auto"/>
              <w:bottom w:val="single" w:sz="4" w:space="0" w:color="auto"/>
            </w:tcBorders>
            <w:vAlign w:val="center"/>
          </w:tcPr>
          <w:p w14:paraId="523BF18F" w14:textId="376A20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0AEEC9D" w14:textId="7D5C59D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6,982</w:t>
            </w:r>
          </w:p>
        </w:tc>
      </w:tr>
      <w:tr w:rsidR="00D006DC" w:rsidRPr="009423C3" w14:paraId="1DCE7F4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2604AB6" w14:textId="5AEF025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CAROLINE EVANS PSYCHOLOGICAL SERVICES</w:t>
            </w:r>
          </w:p>
        </w:tc>
        <w:tc>
          <w:tcPr>
            <w:tcW w:w="4096" w:type="dxa"/>
            <w:tcBorders>
              <w:top w:val="single" w:sz="4" w:space="0" w:color="auto"/>
              <w:bottom w:val="single" w:sz="4" w:space="0" w:color="auto"/>
            </w:tcBorders>
            <w:vAlign w:val="center"/>
          </w:tcPr>
          <w:p w14:paraId="431ED406" w14:textId="1E38B14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0B8D4F5" w14:textId="7FF587B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42,818</w:t>
            </w:r>
          </w:p>
        </w:tc>
      </w:tr>
      <w:tr w:rsidR="00D006DC" w:rsidRPr="009423C3" w14:paraId="65EC70C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5F51964" w14:textId="09648E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CARR STEVEN</w:t>
            </w:r>
          </w:p>
        </w:tc>
        <w:tc>
          <w:tcPr>
            <w:tcW w:w="4096" w:type="dxa"/>
            <w:tcBorders>
              <w:top w:val="single" w:sz="4" w:space="0" w:color="auto"/>
              <w:bottom w:val="single" w:sz="4" w:space="0" w:color="auto"/>
            </w:tcBorders>
            <w:vAlign w:val="center"/>
          </w:tcPr>
          <w:p w14:paraId="76DBC1F4" w14:textId="71A8DFC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7ACA96C" w14:textId="769DDB9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4,200</w:t>
            </w:r>
          </w:p>
        </w:tc>
      </w:tr>
      <w:tr w:rsidR="00D006DC" w:rsidRPr="009423C3" w14:paraId="79221A7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AAF1BEB" w14:textId="20FD105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CATHARINA ALLARD</w:t>
            </w:r>
          </w:p>
        </w:tc>
        <w:tc>
          <w:tcPr>
            <w:tcW w:w="4096" w:type="dxa"/>
            <w:tcBorders>
              <w:top w:val="single" w:sz="4" w:space="0" w:color="auto"/>
              <w:bottom w:val="single" w:sz="4" w:space="0" w:color="auto"/>
            </w:tcBorders>
            <w:vAlign w:val="center"/>
          </w:tcPr>
          <w:p w14:paraId="6ACEE4DA" w14:textId="588C5F07"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1E2E8146" w14:textId="6CE2DF5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5,050</w:t>
            </w:r>
          </w:p>
        </w:tc>
      </w:tr>
      <w:tr w:rsidR="00D006DC" w:rsidRPr="009423C3" w14:paraId="5FD42AE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5F393A" w14:textId="56A0432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CCH AUSTRALIA LIMITED</w:t>
            </w:r>
          </w:p>
        </w:tc>
        <w:tc>
          <w:tcPr>
            <w:tcW w:w="4096" w:type="dxa"/>
            <w:tcBorders>
              <w:top w:val="single" w:sz="4" w:space="0" w:color="auto"/>
              <w:bottom w:val="single" w:sz="4" w:space="0" w:color="auto"/>
            </w:tcBorders>
            <w:vAlign w:val="center"/>
          </w:tcPr>
          <w:p w14:paraId="5C233DCF" w14:textId="5D3D5B4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F0722F0" w14:textId="15E3956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12,124</w:t>
            </w:r>
          </w:p>
        </w:tc>
      </w:tr>
      <w:tr w:rsidR="00D006DC" w:rsidRPr="009423C3" w14:paraId="38F991A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97DBD79" w14:textId="56E7456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CENTRE FOR EVIDENCE AND IMPLEMENTATION</w:t>
            </w:r>
          </w:p>
        </w:tc>
        <w:tc>
          <w:tcPr>
            <w:tcW w:w="4096" w:type="dxa"/>
            <w:tcBorders>
              <w:top w:val="single" w:sz="4" w:space="0" w:color="auto"/>
              <w:bottom w:val="single" w:sz="4" w:space="0" w:color="auto"/>
            </w:tcBorders>
            <w:vAlign w:val="center"/>
          </w:tcPr>
          <w:p w14:paraId="17DAAC97" w14:textId="015DF74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B1BEA55" w14:textId="0CE4327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65,438</w:t>
            </w:r>
          </w:p>
        </w:tc>
      </w:tr>
      <w:tr w:rsidR="00D006DC" w:rsidRPr="009423C3" w14:paraId="547CF03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95668AC" w14:textId="2971BB2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CENTRE FOR ORGANISATION DEVELOPMENT PTY LTD</w:t>
            </w:r>
          </w:p>
        </w:tc>
        <w:tc>
          <w:tcPr>
            <w:tcW w:w="4096" w:type="dxa"/>
            <w:tcBorders>
              <w:top w:val="single" w:sz="4" w:space="0" w:color="auto"/>
              <w:bottom w:val="single" w:sz="4" w:space="0" w:color="auto"/>
            </w:tcBorders>
            <w:vAlign w:val="center"/>
          </w:tcPr>
          <w:p w14:paraId="62FA6B9E" w14:textId="0B24BE8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BFF8422" w14:textId="1BAE724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10,000</w:t>
            </w:r>
          </w:p>
        </w:tc>
      </w:tr>
      <w:tr w:rsidR="00D006DC" w:rsidRPr="009423C3" w14:paraId="49BAAF2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818E624" w14:textId="0E633AE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CHALK STUDIO</w:t>
            </w:r>
          </w:p>
        </w:tc>
        <w:tc>
          <w:tcPr>
            <w:tcW w:w="4096" w:type="dxa"/>
            <w:tcBorders>
              <w:top w:val="single" w:sz="4" w:space="0" w:color="auto"/>
              <w:bottom w:val="single" w:sz="4" w:space="0" w:color="auto"/>
            </w:tcBorders>
            <w:vAlign w:val="center"/>
          </w:tcPr>
          <w:p w14:paraId="4E41E3B2" w14:textId="0FD803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0C8FDBA" w14:textId="6D15C68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3,036</w:t>
            </w:r>
          </w:p>
        </w:tc>
      </w:tr>
      <w:tr w:rsidR="00D006DC" w:rsidRPr="009423C3" w14:paraId="297A2A4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DE11D5" w14:textId="776E8B2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CHAMBERS CONSULTING</w:t>
            </w:r>
          </w:p>
        </w:tc>
        <w:tc>
          <w:tcPr>
            <w:tcW w:w="4096" w:type="dxa"/>
            <w:tcBorders>
              <w:top w:val="single" w:sz="4" w:space="0" w:color="auto"/>
              <w:bottom w:val="single" w:sz="4" w:space="0" w:color="auto"/>
            </w:tcBorders>
            <w:vAlign w:val="center"/>
          </w:tcPr>
          <w:p w14:paraId="775EE7BA" w14:textId="66DCAEA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Financial, accounting, audit, taxation, risk management, insurance service</w:t>
            </w:r>
          </w:p>
        </w:tc>
        <w:tc>
          <w:tcPr>
            <w:tcW w:w="1417" w:type="dxa"/>
            <w:tcBorders>
              <w:top w:val="single" w:sz="4" w:space="0" w:color="auto"/>
              <w:bottom w:val="single" w:sz="4" w:space="0" w:color="auto"/>
            </w:tcBorders>
            <w:shd w:val="clear" w:color="auto" w:fill="auto"/>
            <w:vAlign w:val="center"/>
          </w:tcPr>
          <w:p w14:paraId="0EECB220" w14:textId="3B244C8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14,675</w:t>
            </w:r>
          </w:p>
        </w:tc>
      </w:tr>
      <w:tr w:rsidR="00D006DC" w:rsidRPr="009423C3" w14:paraId="2DE6C8D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EB59A0C" w14:textId="7A97A78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CHANDLER MACLEOD</w:t>
            </w:r>
          </w:p>
        </w:tc>
        <w:tc>
          <w:tcPr>
            <w:tcW w:w="4096" w:type="dxa"/>
            <w:tcBorders>
              <w:top w:val="single" w:sz="4" w:space="0" w:color="auto"/>
              <w:bottom w:val="single" w:sz="4" w:space="0" w:color="auto"/>
            </w:tcBorders>
            <w:vAlign w:val="center"/>
          </w:tcPr>
          <w:p w14:paraId="27E3A28A" w14:textId="270409B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62DF5C5A" w14:textId="60F5998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301,973</w:t>
            </w:r>
          </w:p>
        </w:tc>
      </w:tr>
      <w:tr w:rsidR="00D006DC" w:rsidRPr="009423C3" w14:paraId="0C64EA8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9B34895" w14:textId="4910C1E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CHAPTER THREE INTERNATIONAL PTY LTD</w:t>
            </w:r>
          </w:p>
        </w:tc>
        <w:tc>
          <w:tcPr>
            <w:tcW w:w="4096" w:type="dxa"/>
            <w:tcBorders>
              <w:top w:val="single" w:sz="4" w:space="0" w:color="auto"/>
              <w:bottom w:val="single" w:sz="4" w:space="0" w:color="auto"/>
            </w:tcBorders>
            <w:vAlign w:val="center"/>
          </w:tcPr>
          <w:p w14:paraId="3DF42E42" w14:textId="22EB117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B9F614F" w14:textId="2F0A8AB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212,606</w:t>
            </w:r>
          </w:p>
        </w:tc>
      </w:tr>
      <w:tr w:rsidR="00D006DC" w:rsidRPr="009423C3" w14:paraId="376B1B9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869DFB" w14:textId="4278E2C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CHARTERX PTY LTD</w:t>
            </w:r>
          </w:p>
        </w:tc>
        <w:tc>
          <w:tcPr>
            <w:tcW w:w="4096" w:type="dxa"/>
            <w:tcBorders>
              <w:top w:val="single" w:sz="4" w:space="0" w:color="auto"/>
              <w:bottom w:val="single" w:sz="4" w:space="0" w:color="auto"/>
            </w:tcBorders>
            <w:vAlign w:val="center"/>
          </w:tcPr>
          <w:p w14:paraId="45676499" w14:textId="329FD02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A8B2730" w14:textId="3800E09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90,255</w:t>
            </w:r>
          </w:p>
        </w:tc>
      </w:tr>
      <w:tr w:rsidR="00D006DC" w:rsidRPr="009423C3" w14:paraId="5E66B04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30EC182" w14:textId="14B5408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CHISHOLM INSTITUTE</w:t>
            </w:r>
          </w:p>
        </w:tc>
        <w:tc>
          <w:tcPr>
            <w:tcW w:w="4096" w:type="dxa"/>
            <w:tcBorders>
              <w:top w:val="single" w:sz="4" w:space="0" w:color="auto"/>
              <w:bottom w:val="single" w:sz="4" w:space="0" w:color="auto"/>
            </w:tcBorders>
            <w:vAlign w:val="center"/>
          </w:tcPr>
          <w:p w14:paraId="0822548C" w14:textId="0879209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28123ACE" w14:textId="29E3CE0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300,000</w:t>
            </w:r>
          </w:p>
        </w:tc>
      </w:tr>
      <w:tr w:rsidR="00D006DC" w:rsidRPr="009423C3" w14:paraId="54C33F0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4864E0B" w14:textId="236454A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CHRIS WARDLAW PTY LTD</w:t>
            </w:r>
          </w:p>
        </w:tc>
        <w:tc>
          <w:tcPr>
            <w:tcW w:w="4096" w:type="dxa"/>
            <w:tcBorders>
              <w:top w:val="single" w:sz="4" w:space="0" w:color="auto"/>
              <w:bottom w:val="single" w:sz="4" w:space="0" w:color="auto"/>
            </w:tcBorders>
            <w:vAlign w:val="center"/>
          </w:tcPr>
          <w:p w14:paraId="4F6CCE31" w14:textId="5B0FC6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C2F119C" w14:textId="073E51A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3,500</w:t>
            </w:r>
          </w:p>
        </w:tc>
      </w:tr>
      <w:tr w:rsidR="00D006DC" w:rsidRPr="009423C3" w14:paraId="711B3A6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156A419" w14:textId="7CCF158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CHRISTINE EDWARDS-GROVES</w:t>
            </w:r>
          </w:p>
        </w:tc>
        <w:tc>
          <w:tcPr>
            <w:tcW w:w="4096" w:type="dxa"/>
            <w:tcBorders>
              <w:top w:val="single" w:sz="4" w:space="0" w:color="auto"/>
              <w:bottom w:val="single" w:sz="4" w:space="0" w:color="auto"/>
            </w:tcBorders>
            <w:vAlign w:val="center"/>
          </w:tcPr>
          <w:p w14:paraId="53E22CC5" w14:textId="2F7A068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6DC6BAB" w14:textId="775865B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3,600</w:t>
            </w:r>
          </w:p>
        </w:tc>
      </w:tr>
      <w:tr w:rsidR="00D006DC" w:rsidRPr="009423C3" w14:paraId="6E687EC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C9BDBCE" w14:textId="1542278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CHRISTINE JEANETTE GROVE</w:t>
            </w:r>
          </w:p>
        </w:tc>
        <w:tc>
          <w:tcPr>
            <w:tcW w:w="4096" w:type="dxa"/>
            <w:tcBorders>
              <w:top w:val="single" w:sz="4" w:space="0" w:color="auto"/>
              <w:bottom w:val="single" w:sz="4" w:space="0" w:color="auto"/>
            </w:tcBorders>
            <w:vAlign w:val="center"/>
          </w:tcPr>
          <w:p w14:paraId="424C40C8" w14:textId="25F3DD3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25E156C" w14:textId="177B033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6,529</w:t>
            </w:r>
          </w:p>
        </w:tc>
      </w:tr>
      <w:tr w:rsidR="00D006DC" w:rsidRPr="009423C3" w14:paraId="29A5F04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9D3F754" w14:textId="653631B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CHRISTOPHER DRUMMOND</w:t>
            </w:r>
          </w:p>
        </w:tc>
        <w:tc>
          <w:tcPr>
            <w:tcW w:w="4096" w:type="dxa"/>
            <w:tcBorders>
              <w:top w:val="single" w:sz="4" w:space="0" w:color="auto"/>
              <w:bottom w:val="single" w:sz="4" w:space="0" w:color="auto"/>
            </w:tcBorders>
            <w:vAlign w:val="center"/>
          </w:tcPr>
          <w:p w14:paraId="13C41F12" w14:textId="6B1DF4D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5E8A8F0" w14:textId="7746171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6,000</w:t>
            </w:r>
          </w:p>
        </w:tc>
      </w:tr>
      <w:tr w:rsidR="00D006DC" w:rsidRPr="009423C3" w14:paraId="2E311AC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DFECB1F" w14:textId="56F0E8D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CHRISTOPHER HOWARD GILLARD</w:t>
            </w:r>
          </w:p>
        </w:tc>
        <w:tc>
          <w:tcPr>
            <w:tcW w:w="4096" w:type="dxa"/>
            <w:tcBorders>
              <w:top w:val="single" w:sz="4" w:space="0" w:color="auto"/>
              <w:bottom w:val="single" w:sz="4" w:space="0" w:color="auto"/>
            </w:tcBorders>
            <w:vAlign w:val="center"/>
          </w:tcPr>
          <w:p w14:paraId="12C3587B" w14:textId="7321099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B260F98" w14:textId="557AF53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47,496</w:t>
            </w:r>
          </w:p>
        </w:tc>
      </w:tr>
      <w:tr w:rsidR="00D006DC" w:rsidRPr="009423C3" w14:paraId="5EAFBF5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DE098F" w14:textId="691E6B3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CHRISTOPHER JOHN NOONAN</w:t>
            </w:r>
          </w:p>
        </w:tc>
        <w:tc>
          <w:tcPr>
            <w:tcW w:w="4096" w:type="dxa"/>
            <w:tcBorders>
              <w:top w:val="single" w:sz="4" w:space="0" w:color="auto"/>
              <w:bottom w:val="single" w:sz="4" w:space="0" w:color="auto"/>
            </w:tcBorders>
            <w:vAlign w:val="center"/>
          </w:tcPr>
          <w:p w14:paraId="5D2179AE" w14:textId="4F04F3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845F408" w14:textId="0C06137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3,840</w:t>
            </w:r>
          </w:p>
        </w:tc>
      </w:tr>
      <w:tr w:rsidR="00D006DC" w:rsidRPr="009423C3" w14:paraId="09C480A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74CE7D8" w14:textId="602666B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CHURCH NICHOLAS MICHAEL</w:t>
            </w:r>
          </w:p>
        </w:tc>
        <w:tc>
          <w:tcPr>
            <w:tcW w:w="4096" w:type="dxa"/>
            <w:tcBorders>
              <w:top w:val="single" w:sz="4" w:space="0" w:color="auto"/>
              <w:bottom w:val="single" w:sz="4" w:space="0" w:color="auto"/>
            </w:tcBorders>
            <w:vAlign w:val="center"/>
          </w:tcPr>
          <w:p w14:paraId="7C66FE84" w14:textId="3C407A0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63EFEDF" w14:textId="1096A48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23,406</w:t>
            </w:r>
          </w:p>
        </w:tc>
      </w:tr>
      <w:tr w:rsidR="00D006DC" w:rsidRPr="009423C3" w14:paraId="6074F67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288B074" w14:textId="7E31BEA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CIGNITI TECHNOLOGIES (AUSTRALIA) PTY LTD</w:t>
            </w:r>
          </w:p>
        </w:tc>
        <w:tc>
          <w:tcPr>
            <w:tcW w:w="4096" w:type="dxa"/>
            <w:tcBorders>
              <w:top w:val="single" w:sz="4" w:space="0" w:color="auto"/>
              <w:bottom w:val="single" w:sz="4" w:space="0" w:color="auto"/>
            </w:tcBorders>
            <w:vAlign w:val="center"/>
          </w:tcPr>
          <w:p w14:paraId="60E642E8" w14:textId="556C0C0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CA1A647" w14:textId="2D16FA1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629,261</w:t>
            </w:r>
          </w:p>
        </w:tc>
      </w:tr>
      <w:tr w:rsidR="00D006DC" w:rsidRPr="009423C3" w14:paraId="258A5A3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2210DA1" w14:textId="6585BE2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CITADEL TECHNOLOGY SOLUTIONS PTY LTD</w:t>
            </w:r>
          </w:p>
        </w:tc>
        <w:tc>
          <w:tcPr>
            <w:tcW w:w="4096" w:type="dxa"/>
            <w:tcBorders>
              <w:top w:val="single" w:sz="4" w:space="0" w:color="auto"/>
              <w:bottom w:val="single" w:sz="4" w:space="0" w:color="auto"/>
            </w:tcBorders>
            <w:vAlign w:val="center"/>
          </w:tcPr>
          <w:p w14:paraId="49148266" w14:textId="56DD41B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2DB63A4" w14:textId="012F48B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21,598</w:t>
            </w:r>
          </w:p>
        </w:tc>
      </w:tr>
      <w:tr w:rsidR="00D006DC" w:rsidRPr="009423C3" w14:paraId="3A24ECD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7B44022" w14:textId="0E04C37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CITT</w:t>
            </w:r>
          </w:p>
        </w:tc>
        <w:tc>
          <w:tcPr>
            <w:tcW w:w="4096" w:type="dxa"/>
            <w:tcBorders>
              <w:top w:val="single" w:sz="4" w:space="0" w:color="auto"/>
              <w:bottom w:val="single" w:sz="4" w:space="0" w:color="auto"/>
            </w:tcBorders>
            <w:vAlign w:val="center"/>
          </w:tcPr>
          <w:p w14:paraId="690D22C1" w14:textId="4914460D"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7FB2E1D" w14:textId="2099AA0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9,850</w:t>
            </w:r>
          </w:p>
        </w:tc>
      </w:tr>
      <w:tr w:rsidR="00D006DC" w:rsidRPr="009423C3" w14:paraId="3BA71F3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59FF4CA" w14:textId="421D611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CIVICA EDUCATION PTY LIMITED</w:t>
            </w:r>
          </w:p>
        </w:tc>
        <w:tc>
          <w:tcPr>
            <w:tcW w:w="4096" w:type="dxa"/>
            <w:tcBorders>
              <w:top w:val="single" w:sz="4" w:space="0" w:color="auto"/>
              <w:bottom w:val="single" w:sz="4" w:space="0" w:color="auto"/>
            </w:tcBorders>
            <w:vAlign w:val="center"/>
          </w:tcPr>
          <w:p w14:paraId="547EB1B0" w14:textId="7C222A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B7391A5" w14:textId="45C4B84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19,920</w:t>
            </w:r>
          </w:p>
        </w:tc>
      </w:tr>
      <w:tr w:rsidR="00D006DC" w:rsidRPr="009423C3" w14:paraId="4277C4A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5654445" w14:textId="26DF597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CLARIDGE NOEL LEONARD</w:t>
            </w:r>
          </w:p>
        </w:tc>
        <w:tc>
          <w:tcPr>
            <w:tcW w:w="4096" w:type="dxa"/>
            <w:tcBorders>
              <w:top w:val="single" w:sz="4" w:space="0" w:color="auto"/>
              <w:bottom w:val="single" w:sz="4" w:space="0" w:color="auto"/>
            </w:tcBorders>
            <w:vAlign w:val="center"/>
          </w:tcPr>
          <w:p w14:paraId="68F8C2E3" w14:textId="6178B90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A5964AB" w14:textId="6F5EDFE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19,955</w:t>
            </w:r>
          </w:p>
        </w:tc>
      </w:tr>
      <w:tr w:rsidR="00D006DC" w:rsidRPr="009423C3" w14:paraId="2BD91CC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7C0B814" w14:textId="25BFF6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CLARKE FREDERICK JAMES</w:t>
            </w:r>
          </w:p>
        </w:tc>
        <w:tc>
          <w:tcPr>
            <w:tcW w:w="4096" w:type="dxa"/>
            <w:tcBorders>
              <w:top w:val="single" w:sz="4" w:space="0" w:color="auto"/>
              <w:bottom w:val="single" w:sz="4" w:space="0" w:color="auto"/>
            </w:tcBorders>
            <w:vAlign w:val="center"/>
          </w:tcPr>
          <w:p w14:paraId="07629695" w14:textId="5071F9A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C379842" w14:textId="3F82938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11,544</w:t>
            </w:r>
          </w:p>
        </w:tc>
      </w:tr>
      <w:tr w:rsidR="00D006DC" w:rsidRPr="009423C3" w14:paraId="6BFDDD7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331E16C" w14:textId="0F621C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CLEAR HORIZON CONSULTING PTY LTD</w:t>
            </w:r>
          </w:p>
        </w:tc>
        <w:tc>
          <w:tcPr>
            <w:tcW w:w="4096" w:type="dxa"/>
            <w:tcBorders>
              <w:top w:val="single" w:sz="4" w:space="0" w:color="auto"/>
              <w:bottom w:val="single" w:sz="4" w:space="0" w:color="auto"/>
            </w:tcBorders>
            <w:vAlign w:val="center"/>
          </w:tcPr>
          <w:p w14:paraId="6BA1D1FC" w14:textId="41F4C3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A01A403" w14:textId="65EA5A2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132,057</w:t>
            </w:r>
          </w:p>
        </w:tc>
      </w:tr>
      <w:tr w:rsidR="00D006DC" w:rsidRPr="009423C3" w14:paraId="23F2000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526A216" w14:textId="6A92558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CLEGG JONATHAN CHARLES</w:t>
            </w:r>
          </w:p>
        </w:tc>
        <w:tc>
          <w:tcPr>
            <w:tcW w:w="4096" w:type="dxa"/>
            <w:tcBorders>
              <w:top w:val="single" w:sz="4" w:space="0" w:color="auto"/>
              <w:bottom w:val="single" w:sz="4" w:space="0" w:color="auto"/>
            </w:tcBorders>
            <w:vAlign w:val="center"/>
          </w:tcPr>
          <w:p w14:paraId="3624D6C5" w14:textId="0AE6F19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E5026EC" w14:textId="58CEB20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11,050</w:t>
            </w:r>
          </w:p>
        </w:tc>
      </w:tr>
      <w:tr w:rsidR="00D006DC" w:rsidRPr="009423C3" w14:paraId="328ABF6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5F7F3A6" w14:textId="0C917D2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CLICKS RECRUIT AUSTRALIA</w:t>
            </w:r>
          </w:p>
        </w:tc>
        <w:tc>
          <w:tcPr>
            <w:tcW w:w="4096" w:type="dxa"/>
            <w:tcBorders>
              <w:top w:val="single" w:sz="4" w:space="0" w:color="auto"/>
              <w:bottom w:val="single" w:sz="4" w:space="0" w:color="auto"/>
            </w:tcBorders>
            <w:vAlign w:val="center"/>
          </w:tcPr>
          <w:p w14:paraId="644AD861" w14:textId="447B389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265C0078" w14:textId="46375A5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1,079,112</w:t>
            </w:r>
          </w:p>
        </w:tc>
      </w:tr>
      <w:tr w:rsidR="00D006DC" w:rsidRPr="009423C3" w14:paraId="7034E0D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FDDBB05" w14:textId="54909E4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CLOUD9 DYNAMICS PTY LTD</w:t>
            </w:r>
          </w:p>
        </w:tc>
        <w:tc>
          <w:tcPr>
            <w:tcW w:w="4096" w:type="dxa"/>
            <w:tcBorders>
              <w:top w:val="single" w:sz="4" w:space="0" w:color="auto"/>
              <w:bottom w:val="single" w:sz="4" w:space="0" w:color="auto"/>
            </w:tcBorders>
            <w:vAlign w:val="center"/>
          </w:tcPr>
          <w:p w14:paraId="485C782C" w14:textId="4B1412B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E7B0328" w14:textId="5C1F781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15,000</w:t>
            </w:r>
          </w:p>
        </w:tc>
      </w:tr>
      <w:tr w:rsidR="00D006DC" w:rsidRPr="009423C3" w14:paraId="0557BEA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7A23A46" w14:textId="3E4EA9E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COACHABLE LIFE</w:t>
            </w:r>
          </w:p>
        </w:tc>
        <w:tc>
          <w:tcPr>
            <w:tcW w:w="4096" w:type="dxa"/>
            <w:tcBorders>
              <w:top w:val="single" w:sz="4" w:space="0" w:color="auto"/>
              <w:bottom w:val="single" w:sz="4" w:space="0" w:color="auto"/>
            </w:tcBorders>
            <w:vAlign w:val="center"/>
          </w:tcPr>
          <w:p w14:paraId="65A262AC" w14:textId="6AD8C87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1B0591F" w14:textId="198ED33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21,818</w:t>
            </w:r>
          </w:p>
        </w:tc>
      </w:tr>
      <w:tr w:rsidR="00D006DC" w:rsidRPr="009423C3" w14:paraId="6BEE528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23AA01C" w14:textId="174902E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COGENT ADVISORY PTY LTD</w:t>
            </w:r>
          </w:p>
        </w:tc>
        <w:tc>
          <w:tcPr>
            <w:tcW w:w="4096" w:type="dxa"/>
            <w:tcBorders>
              <w:top w:val="single" w:sz="4" w:space="0" w:color="auto"/>
              <w:bottom w:val="single" w:sz="4" w:space="0" w:color="auto"/>
            </w:tcBorders>
            <w:vAlign w:val="center"/>
          </w:tcPr>
          <w:p w14:paraId="6E1CFA8E" w14:textId="6701144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8C5161D" w14:textId="2F7503F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586,137</w:t>
            </w:r>
          </w:p>
        </w:tc>
      </w:tr>
      <w:tr w:rsidR="00D006DC" w:rsidRPr="009423C3" w14:paraId="7A4CE11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E16993" w14:textId="3726492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COGNITION EDUCATION AUSTRALIA PTY LTD</w:t>
            </w:r>
          </w:p>
        </w:tc>
        <w:tc>
          <w:tcPr>
            <w:tcW w:w="4096" w:type="dxa"/>
            <w:tcBorders>
              <w:top w:val="single" w:sz="4" w:space="0" w:color="auto"/>
              <w:bottom w:val="single" w:sz="4" w:space="0" w:color="auto"/>
            </w:tcBorders>
            <w:vAlign w:val="center"/>
          </w:tcPr>
          <w:p w14:paraId="529C068A" w14:textId="52D1A4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46B3C9AE" w14:textId="4FA85C1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627,279</w:t>
            </w:r>
          </w:p>
        </w:tc>
      </w:tr>
      <w:tr w:rsidR="00D006DC" w:rsidRPr="009423C3" w14:paraId="14ADE4C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2650B9F" w14:textId="08E0C76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COLE DEBBIE</w:t>
            </w:r>
          </w:p>
        </w:tc>
        <w:tc>
          <w:tcPr>
            <w:tcW w:w="4096" w:type="dxa"/>
            <w:tcBorders>
              <w:top w:val="single" w:sz="4" w:space="0" w:color="auto"/>
              <w:bottom w:val="single" w:sz="4" w:space="0" w:color="auto"/>
            </w:tcBorders>
            <w:vAlign w:val="center"/>
          </w:tcPr>
          <w:p w14:paraId="297BB6CB" w14:textId="324D877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A20501B" w14:textId="6353A98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26,175</w:t>
            </w:r>
          </w:p>
        </w:tc>
      </w:tr>
      <w:tr w:rsidR="00D006DC" w:rsidRPr="009423C3" w14:paraId="44925B3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E2EF013" w14:textId="1B9BF8E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COLIN TWISSE</w:t>
            </w:r>
          </w:p>
        </w:tc>
        <w:tc>
          <w:tcPr>
            <w:tcW w:w="4096" w:type="dxa"/>
            <w:tcBorders>
              <w:top w:val="single" w:sz="4" w:space="0" w:color="auto"/>
              <w:bottom w:val="single" w:sz="4" w:space="0" w:color="auto"/>
            </w:tcBorders>
            <w:vAlign w:val="center"/>
          </w:tcPr>
          <w:p w14:paraId="19BCE8D0" w14:textId="49A7E9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F3C3A37" w14:textId="49B835F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16,996</w:t>
            </w:r>
          </w:p>
        </w:tc>
      </w:tr>
      <w:tr w:rsidR="00D006DC" w:rsidRPr="009423C3" w14:paraId="545EF9B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DC179E3" w14:textId="3AFC34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COLLECTIVE WISDOM CONSULTING</w:t>
            </w:r>
          </w:p>
        </w:tc>
        <w:tc>
          <w:tcPr>
            <w:tcW w:w="4096" w:type="dxa"/>
            <w:tcBorders>
              <w:top w:val="single" w:sz="4" w:space="0" w:color="auto"/>
              <w:bottom w:val="single" w:sz="4" w:space="0" w:color="auto"/>
            </w:tcBorders>
            <w:vAlign w:val="center"/>
          </w:tcPr>
          <w:p w14:paraId="426DC272" w14:textId="787EB8A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7C9661C" w14:textId="307EC1A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2685281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9ECE80" w14:textId="09D7D53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COMMA CORNER</w:t>
            </w:r>
          </w:p>
        </w:tc>
        <w:tc>
          <w:tcPr>
            <w:tcW w:w="4096" w:type="dxa"/>
            <w:tcBorders>
              <w:top w:val="single" w:sz="4" w:space="0" w:color="auto"/>
              <w:bottom w:val="single" w:sz="4" w:space="0" w:color="auto"/>
            </w:tcBorders>
            <w:vAlign w:val="center"/>
          </w:tcPr>
          <w:p w14:paraId="1964E95B" w14:textId="381ABB7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4F590E44" w14:textId="749708C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4,795</w:t>
            </w:r>
          </w:p>
        </w:tc>
      </w:tr>
      <w:tr w:rsidR="00D006DC" w:rsidRPr="009423C3" w14:paraId="1F70C57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D60991B" w14:textId="613832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COMMUNITY CHILD CARE ASSOCIATION INC</w:t>
            </w:r>
          </w:p>
        </w:tc>
        <w:tc>
          <w:tcPr>
            <w:tcW w:w="4096" w:type="dxa"/>
            <w:tcBorders>
              <w:top w:val="single" w:sz="4" w:space="0" w:color="auto"/>
              <w:bottom w:val="single" w:sz="4" w:space="0" w:color="auto"/>
            </w:tcBorders>
            <w:vAlign w:val="center"/>
          </w:tcPr>
          <w:p w14:paraId="5DDE7FF7" w14:textId="43E4F77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3BE01ACC" w14:textId="41F6426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27,150</w:t>
            </w:r>
          </w:p>
        </w:tc>
      </w:tr>
      <w:tr w:rsidR="00D006DC" w:rsidRPr="009423C3" w14:paraId="3D332D6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4538F3D" w14:textId="1F5F6AA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COMPRARA GROUP PTY LTD</w:t>
            </w:r>
          </w:p>
        </w:tc>
        <w:tc>
          <w:tcPr>
            <w:tcW w:w="4096" w:type="dxa"/>
            <w:tcBorders>
              <w:top w:val="single" w:sz="4" w:space="0" w:color="auto"/>
              <w:bottom w:val="single" w:sz="4" w:space="0" w:color="auto"/>
            </w:tcBorders>
            <w:vAlign w:val="center"/>
          </w:tcPr>
          <w:p w14:paraId="54AAF56B" w14:textId="2A8A4ED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Strategic services and advice for audit, </w:t>
            </w:r>
            <w:proofErr w:type="gramStart"/>
            <w:r>
              <w:rPr>
                <w:rFonts w:ascii="Calibri" w:hAnsi="Calibri" w:cs="Calibri"/>
                <w:color w:val="000000"/>
                <w:szCs w:val="20"/>
              </w:rPr>
              <w:t>fraud</w:t>
            </w:r>
            <w:proofErr w:type="gramEnd"/>
            <w:r>
              <w:rPr>
                <w:rFonts w:ascii="Calibri" w:hAnsi="Calibri" w:cs="Calibri"/>
                <w:color w:val="000000"/>
                <w:szCs w:val="20"/>
              </w:rPr>
              <w:t xml:space="preserve"> and procurement</w:t>
            </w:r>
          </w:p>
        </w:tc>
        <w:tc>
          <w:tcPr>
            <w:tcW w:w="1417" w:type="dxa"/>
            <w:tcBorders>
              <w:top w:val="single" w:sz="4" w:space="0" w:color="auto"/>
              <w:bottom w:val="single" w:sz="4" w:space="0" w:color="auto"/>
            </w:tcBorders>
            <w:shd w:val="clear" w:color="auto" w:fill="auto"/>
            <w:vAlign w:val="center"/>
          </w:tcPr>
          <w:p w14:paraId="3D95F70B" w14:textId="16FFA2B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58,250</w:t>
            </w:r>
          </w:p>
        </w:tc>
      </w:tr>
      <w:tr w:rsidR="00D006DC" w:rsidRPr="009423C3" w14:paraId="67229A1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F626C90" w14:textId="68111B3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CONDUCT</w:t>
            </w:r>
          </w:p>
        </w:tc>
        <w:tc>
          <w:tcPr>
            <w:tcW w:w="4096" w:type="dxa"/>
            <w:tcBorders>
              <w:top w:val="single" w:sz="4" w:space="0" w:color="auto"/>
              <w:bottom w:val="single" w:sz="4" w:space="0" w:color="auto"/>
            </w:tcBorders>
            <w:vAlign w:val="center"/>
          </w:tcPr>
          <w:p w14:paraId="2DEBB278" w14:textId="734D1E2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62A7DA2" w14:textId="708AF24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19,320</w:t>
            </w:r>
          </w:p>
        </w:tc>
      </w:tr>
      <w:tr w:rsidR="00D006DC" w:rsidRPr="009423C3" w14:paraId="0B252D0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57EA0A7" w14:textId="1D7E1A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CONFLICTSOLVERS.COM.AU</w:t>
            </w:r>
          </w:p>
        </w:tc>
        <w:tc>
          <w:tcPr>
            <w:tcW w:w="4096" w:type="dxa"/>
            <w:tcBorders>
              <w:top w:val="single" w:sz="4" w:space="0" w:color="auto"/>
              <w:bottom w:val="single" w:sz="4" w:space="0" w:color="auto"/>
            </w:tcBorders>
            <w:vAlign w:val="center"/>
          </w:tcPr>
          <w:p w14:paraId="55E5EBE7" w14:textId="09CDCEC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097D076" w14:textId="378227D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1,245</w:t>
            </w:r>
          </w:p>
        </w:tc>
      </w:tr>
      <w:tr w:rsidR="00D006DC" w:rsidRPr="009423C3" w14:paraId="1A8AEAE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3CA688" w14:textId="173F5FD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CONNECT + COMMUNICATE PTY LTD</w:t>
            </w:r>
          </w:p>
        </w:tc>
        <w:tc>
          <w:tcPr>
            <w:tcW w:w="4096" w:type="dxa"/>
            <w:tcBorders>
              <w:top w:val="single" w:sz="4" w:space="0" w:color="auto"/>
              <w:bottom w:val="single" w:sz="4" w:space="0" w:color="auto"/>
            </w:tcBorders>
            <w:vAlign w:val="center"/>
          </w:tcPr>
          <w:p w14:paraId="2DCD6C19" w14:textId="754D655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CB8D9DE" w14:textId="3534D1E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28,120</w:t>
            </w:r>
          </w:p>
        </w:tc>
      </w:tr>
      <w:tr w:rsidR="00D006DC" w:rsidRPr="009423C3" w14:paraId="1F9BA35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6142F4" w14:textId="46667AE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CONTENT ARK PTY LTD</w:t>
            </w:r>
          </w:p>
        </w:tc>
        <w:tc>
          <w:tcPr>
            <w:tcW w:w="4096" w:type="dxa"/>
            <w:tcBorders>
              <w:top w:val="single" w:sz="4" w:space="0" w:color="auto"/>
              <w:bottom w:val="single" w:sz="4" w:space="0" w:color="auto"/>
            </w:tcBorders>
            <w:vAlign w:val="center"/>
          </w:tcPr>
          <w:p w14:paraId="54527197" w14:textId="6485581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9DC9DB8" w14:textId="6A914D5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33,600</w:t>
            </w:r>
          </w:p>
        </w:tc>
      </w:tr>
      <w:tr w:rsidR="00D006DC" w:rsidRPr="009423C3" w14:paraId="3499235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D51D7D" w14:textId="6350B40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CONTENT STUDIO PTY LTD</w:t>
            </w:r>
          </w:p>
        </w:tc>
        <w:tc>
          <w:tcPr>
            <w:tcW w:w="4096" w:type="dxa"/>
            <w:tcBorders>
              <w:top w:val="single" w:sz="4" w:space="0" w:color="auto"/>
              <w:bottom w:val="single" w:sz="4" w:space="0" w:color="auto"/>
            </w:tcBorders>
            <w:vAlign w:val="center"/>
          </w:tcPr>
          <w:p w14:paraId="7AD90DB0" w14:textId="2A1878C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3EF0B80" w14:textId="07DED95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5,400</w:t>
            </w:r>
          </w:p>
        </w:tc>
      </w:tr>
      <w:tr w:rsidR="00D006DC" w:rsidRPr="009423C3" w14:paraId="13DE41E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1EE75FB" w14:textId="0B43BC8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CONVERGE INTERNATIONAL PTY LTD</w:t>
            </w:r>
          </w:p>
        </w:tc>
        <w:tc>
          <w:tcPr>
            <w:tcW w:w="4096" w:type="dxa"/>
            <w:tcBorders>
              <w:top w:val="single" w:sz="4" w:space="0" w:color="auto"/>
              <w:bottom w:val="single" w:sz="4" w:space="0" w:color="auto"/>
            </w:tcBorders>
            <w:vAlign w:val="center"/>
          </w:tcPr>
          <w:p w14:paraId="64311E29" w14:textId="40A4B1E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5EEE06" w14:textId="0948E3F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274,578</w:t>
            </w:r>
          </w:p>
        </w:tc>
      </w:tr>
      <w:tr w:rsidR="00D006DC" w:rsidRPr="009423C3" w14:paraId="19802F7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0943AED" w14:textId="4C5E9C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COUNSELLING APPRAISAL CONSULTANTS PTY. LTD.</w:t>
            </w:r>
          </w:p>
        </w:tc>
        <w:tc>
          <w:tcPr>
            <w:tcW w:w="4096" w:type="dxa"/>
            <w:tcBorders>
              <w:top w:val="single" w:sz="4" w:space="0" w:color="auto"/>
              <w:bottom w:val="single" w:sz="4" w:space="0" w:color="auto"/>
            </w:tcBorders>
            <w:vAlign w:val="center"/>
          </w:tcPr>
          <w:p w14:paraId="61A56C6A" w14:textId="64985B3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23D01F1" w14:textId="43EFC31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2,238</w:t>
            </w:r>
          </w:p>
        </w:tc>
      </w:tr>
      <w:tr w:rsidR="00D006DC" w:rsidRPr="009423C3" w14:paraId="6ECEAF6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5A931C1" w14:textId="601C241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COUNSELLING SERVICES</w:t>
            </w:r>
          </w:p>
        </w:tc>
        <w:tc>
          <w:tcPr>
            <w:tcW w:w="4096" w:type="dxa"/>
            <w:tcBorders>
              <w:top w:val="single" w:sz="4" w:space="0" w:color="auto"/>
              <w:bottom w:val="single" w:sz="4" w:space="0" w:color="auto"/>
            </w:tcBorders>
            <w:vAlign w:val="center"/>
          </w:tcPr>
          <w:p w14:paraId="26E6B74B" w14:textId="32A1854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C128D96" w14:textId="79830FD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16,034</w:t>
            </w:r>
          </w:p>
        </w:tc>
      </w:tr>
      <w:tr w:rsidR="00D006DC" w:rsidRPr="009423C3" w14:paraId="3BB0B76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A2CACDC" w14:textId="3402BE0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COURAGE TO CARE</w:t>
            </w:r>
          </w:p>
        </w:tc>
        <w:tc>
          <w:tcPr>
            <w:tcW w:w="4096" w:type="dxa"/>
            <w:tcBorders>
              <w:top w:val="single" w:sz="4" w:space="0" w:color="auto"/>
              <w:bottom w:val="single" w:sz="4" w:space="0" w:color="auto"/>
            </w:tcBorders>
            <w:vAlign w:val="center"/>
          </w:tcPr>
          <w:p w14:paraId="6EF039AD" w14:textId="684040F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0E1A62D" w14:textId="0408652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3,300</w:t>
            </w:r>
          </w:p>
        </w:tc>
      </w:tr>
      <w:tr w:rsidR="00D006DC" w:rsidRPr="009423C3" w14:paraId="3E5095A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579E1D0" w14:textId="511E19F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CRACKERJACK AUSTRALIA PTY LTD</w:t>
            </w:r>
          </w:p>
        </w:tc>
        <w:tc>
          <w:tcPr>
            <w:tcW w:w="4096" w:type="dxa"/>
            <w:tcBorders>
              <w:top w:val="single" w:sz="4" w:space="0" w:color="auto"/>
              <w:bottom w:val="single" w:sz="4" w:space="0" w:color="auto"/>
            </w:tcBorders>
            <w:vAlign w:val="center"/>
          </w:tcPr>
          <w:p w14:paraId="2FD89CCA" w14:textId="0AD799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403BC03" w14:textId="0C2BDC7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36,000</w:t>
            </w:r>
          </w:p>
        </w:tc>
      </w:tr>
      <w:tr w:rsidR="00D006DC" w:rsidRPr="009423C3" w14:paraId="2EC3E6C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48939D3" w14:textId="09B4C9C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CRAIG NATALIE</w:t>
            </w:r>
          </w:p>
        </w:tc>
        <w:tc>
          <w:tcPr>
            <w:tcW w:w="4096" w:type="dxa"/>
            <w:tcBorders>
              <w:top w:val="single" w:sz="4" w:space="0" w:color="auto"/>
              <w:bottom w:val="single" w:sz="4" w:space="0" w:color="auto"/>
            </w:tcBorders>
            <w:vAlign w:val="center"/>
          </w:tcPr>
          <w:p w14:paraId="0F7C228E" w14:textId="77AE5C6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8465F54" w14:textId="771C4F6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15,859</w:t>
            </w:r>
          </w:p>
        </w:tc>
      </w:tr>
      <w:tr w:rsidR="00D006DC" w:rsidRPr="009423C3" w14:paraId="6C8A42F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78D175" w14:textId="141E4CA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CROWDCOMMS PTY LTD</w:t>
            </w:r>
          </w:p>
        </w:tc>
        <w:tc>
          <w:tcPr>
            <w:tcW w:w="4096" w:type="dxa"/>
            <w:tcBorders>
              <w:top w:val="single" w:sz="4" w:space="0" w:color="auto"/>
              <w:bottom w:val="single" w:sz="4" w:space="0" w:color="auto"/>
            </w:tcBorders>
            <w:vAlign w:val="center"/>
          </w:tcPr>
          <w:p w14:paraId="320850B1" w14:textId="696E70D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40C7251" w14:textId="4CECA6D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54,810</w:t>
            </w:r>
          </w:p>
        </w:tc>
      </w:tr>
      <w:tr w:rsidR="00D006DC" w:rsidRPr="009423C3" w14:paraId="2BD49E6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F392BF9" w14:textId="2DC9C77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CROWE JUDITH</w:t>
            </w:r>
          </w:p>
        </w:tc>
        <w:tc>
          <w:tcPr>
            <w:tcW w:w="4096" w:type="dxa"/>
            <w:tcBorders>
              <w:top w:val="single" w:sz="4" w:space="0" w:color="auto"/>
              <w:bottom w:val="single" w:sz="4" w:space="0" w:color="auto"/>
            </w:tcBorders>
            <w:vAlign w:val="center"/>
          </w:tcPr>
          <w:p w14:paraId="1F58A256" w14:textId="30F725D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6587D88" w14:textId="147430C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9,503</w:t>
            </w:r>
          </w:p>
        </w:tc>
      </w:tr>
      <w:tr w:rsidR="00D006DC" w:rsidRPr="009423C3" w14:paraId="0162205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CDA0A6" w14:textId="488023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CSIRO</w:t>
            </w:r>
          </w:p>
        </w:tc>
        <w:tc>
          <w:tcPr>
            <w:tcW w:w="4096" w:type="dxa"/>
            <w:tcBorders>
              <w:top w:val="single" w:sz="4" w:space="0" w:color="auto"/>
              <w:bottom w:val="single" w:sz="4" w:space="0" w:color="auto"/>
            </w:tcBorders>
            <w:vAlign w:val="center"/>
          </w:tcPr>
          <w:p w14:paraId="6998C1DD" w14:textId="76E0A9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4523904" w14:textId="23C8B0B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43,636</w:t>
            </w:r>
          </w:p>
        </w:tc>
      </w:tr>
      <w:tr w:rsidR="00D006DC" w:rsidRPr="009423C3" w14:paraId="39AD6FE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7FE4A1" w14:textId="65315C5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CUA MADDISON</w:t>
            </w:r>
          </w:p>
        </w:tc>
        <w:tc>
          <w:tcPr>
            <w:tcW w:w="4096" w:type="dxa"/>
            <w:tcBorders>
              <w:top w:val="single" w:sz="4" w:space="0" w:color="auto"/>
              <w:bottom w:val="single" w:sz="4" w:space="0" w:color="auto"/>
            </w:tcBorders>
            <w:vAlign w:val="center"/>
          </w:tcPr>
          <w:p w14:paraId="4172B65A" w14:textId="31B03DF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8CA7312" w14:textId="5146D83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15,140</w:t>
            </w:r>
          </w:p>
        </w:tc>
      </w:tr>
      <w:tr w:rsidR="00D006DC" w:rsidRPr="009423C3" w14:paraId="0561EF7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DABB0A3" w14:textId="25E1B6D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CUBE GROUP MANAGEMENT CONSULTING (AUSTRALIA) PTY LTD</w:t>
            </w:r>
          </w:p>
        </w:tc>
        <w:tc>
          <w:tcPr>
            <w:tcW w:w="4096" w:type="dxa"/>
            <w:tcBorders>
              <w:top w:val="single" w:sz="4" w:space="0" w:color="auto"/>
              <w:bottom w:val="single" w:sz="4" w:space="0" w:color="auto"/>
            </w:tcBorders>
            <w:vAlign w:val="center"/>
          </w:tcPr>
          <w:p w14:paraId="4EA43960" w14:textId="5F30D99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3A01C1" w14:textId="701803C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462,143</w:t>
            </w:r>
          </w:p>
        </w:tc>
      </w:tr>
      <w:tr w:rsidR="00D006DC" w:rsidRPr="009423C3" w14:paraId="70610D7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2CF529" w14:textId="6456545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CUFFE JESSICA TERESA</w:t>
            </w:r>
          </w:p>
        </w:tc>
        <w:tc>
          <w:tcPr>
            <w:tcW w:w="4096" w:type="dxa"/>
            <w:tcBorders>
              <w:top w:val="single" w:sz="4" w:space="0" w:color="auto"/>
              <w:bottom w:val="single" w:sz="4" w:space="0" w:color="auto"/>
            </w:tcBorders>
            <w:vAlign w:val="center"/>
          </w:tcPr>
          <w:p w14:paraId="6CC5F790" w14:textId="5EEE867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1B74F12" w14:textId="7FA95C8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10,909</w:t>
            </w:r>
          </w:p>
        </w:tc>
      </w:tr>
      <w:tr w:rsidR="00D006DC" w:rsidRPr="009423C3" w14:paraId="23202E7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4ED40B" w14:textId="1F502E1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CYBERCX PTY LTD</w:t>
            </w:r>
          </w:p>
        </w:tc>
        <w:tc>
          <w:tcPr>
            <w:tcW w:w="4096" w:type="dxa"/>
            <w:tcBorders>
              <w:top w:val="single" w:sz="4" w:space="0" w:color="auto"/>
              <w:bottom w:val="single" w:sz="4" w:space="0" w:color="auto"/>
            </w:tcBorders>
            <w:vAlign w:val="center"/>
          </w:tcPr>
          <w:p w14:paraId="292988EF" w14:textId="374636C0"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976F19F" w14:textId="1BF4CB6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993,149</w:t>
            </w:r>
          </w:p>
        </w:tc>
      </w:tr>
      <w:tr w:rsidR="00D006DC" w:rsidRPr="009423C3" w14:paraId="23AFD2A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4A34C92" w14:textId="192C0E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CYNTHIA MAHONEY AND ASSOCIATES</w:t>
            </w:r>
          </w:p>
        </w:tc>
        <w:tc>
          <w:tcPr>
            <w:tcW w:w="4096" w:type="dxa"/>
            <w:tcBorders>
              <w:top w:val="single" w:sz="4" w:space="0" w:color="auto"/>
              <w:bottom w:val="single" w:sz="4" w:space="0" w:color="auto"/>
            </w:tcBorders>
            <w:vAlign w:val="center"/>
          </w:tcPr>
          <w:p w14:paraId="27BD3F81" w14:textId="4A3CD2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239EFC3" w14:textId="1A65554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15,000</w:t>
            </w:r>
          </w:p>
        </w:tc>
      </w:tr>
      <w:tr w:rsidR="00D006DC" w:rsidRPr="009423C3" w14:paraId="5182240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B30F6BC" w14:textId="3C85E6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D.K GILLETT &amp; G.C GILLIES</w:t>
            </w:r>
          </w:p>
        </w:tc>
        <w:tc>
          <w:tcPr>
            <w:tcW w:w="4096" w:type="dxa"/>
            <w:tcBorders>
              <w:top w:val="single" w:sz="4" w:space="0" w:color="auto"/>
              <w:bottom w:val="single" w:sz="4" w:space="0" w:color="auto"/>
            </w:tcBorders>
            <w:vAlign w:val="center"/>
          </w:tcPr>
          <w:p w14:paraId="10764844" w14:textId="77E1F45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4BF147F" w14:textId="32668C1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6,000</w:t>
            </w:r>
          </w:p>
        </w:tc>
      </w:tr>
      <w:tr w:rsidR="00D006DC" w:rsidRPr="009423C3" w14:paraId="08C7065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8ACFCDC" w14:textId="231803F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DANDOLO INTERNATIONAL PTY LTD</w:t>
            </w:r>
          </w:p>
        </w:tc>
        <w:tc>
          <w:tcPr>
            <w:tcW w:w="4096" w:type="dxa"/>
            <w:tcBorders>
              <w:top w:val="single" w:sz="4" w:space="0" w:color="auto"/>
              <w:bottom w:val="single" w:sz="4" w:space="0" w:color="auto"/>
            </w:tcBorders>
            <w:vAlign w:val="center"/>
          </w:tcPr>
          <w:p w14:paraId="6F6D2F01" w14:textId="6B5D503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AB12436" w14:textId="75DAD88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568,513</w:t>
            </w:r>
          </w:p>
        </w:tc>
      </w:tr>
      <w:tr w:rsidR="00D006DC" w:rsidRPr="009423C3" w14:paraId="0EABEEA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4BA99F" w14:textId="67B23DD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DANIEL HATELY</w:t>
            </w:r>
          </w:p>
        </w:tc>
        <w:tc>
          <w:tcPr>
            <w:tcW w:w="4096" w:type="dxa"/>
            <w:tcBorders>
              <w:top w:val="single" w:sz="4" w:space="0" w:color="auto"/>
              <w:bottom w:val="single" w:sz="4" w:space="0" w:color="auto"/>
            </w:tcBorders>
            <w:vAlign w:val="center"/>
          </w:tcPr>
          <w:p w14:paraId="2FB72D6D" w14:textId="3BFC1A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1568152" w14:textId="518CE5E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43,386</w:t>
            </w:r>
          </w:p>
        </w:tc>
      </w:tr>
      <w:tr w:rsidR="00D006DC" w:rsidRPr="009423C3" w14:paraId="14DA907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EF1132" w14:textId="255DF4D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DATATIME SERVICES PTY LTD</w:t>
            </w:r>
          </w:p>
        </w:tc>
        <w:tc>
          <w:tcPr>
            <w:tcW w:w="4096" w:type="dxa"/>
            <w:tcBorders>
              <w:top w:val="single" w:sz="4" w:space="0" w:color="auto"/>
              <w:bottom w:val="single" w:sz="4" w:space="0" w:color="auto"/>
            </w:tcBorders>
            <w:vAlign w:val="center"/>
          </w:tcPr>
          <w:p w14:paraId="1273A287" w14:textId="2086AEF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92ED627" w14:textId="69F3829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7,656</w:t>
            </w:r>
          </w:p>
        </w:tc>
      </w:tr>
      <w:tr w:rsidR="00D006DC" w:rsidRPr="009423C3" w14:paraId="7106D51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FE47667" w14:textId="3DE69A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DATO CMS</w:t>
            </w:r>
          </w:p>
        </w:tc>
        <w:tc>
          <w:tcPr>
            <w:tcW w:w="4096" w:type="dxa"/>
            <w:tcBorders>
              <w:top w:val="single" w:sz="4" w:space="0" w:color="auto"/>
              <w:bottom w:val="single" w:sz="4" w:space="0" w:color="auto"/>
            </w:tcBorders>
            <w:vAlign w:val="center"/>
          </w:tcPr>
          <w:p w14:paraId="1A9F131B" w14:textId="52B0B67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ACA36F" w14:textId="6054F9F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5,985</w:t>
            </w:r>
          </w:p>
        </w:tc>
      </w:tr>
      <w:tr w:rsidR="00D006DC" w:rsidRPr="009423C3" w14:paraId="2C05FE0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E2A4959" w14:textId="3705CFB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DAVID TYSON</w:t>
            </w:r>
          </w:p>
        </w:tc>
        <w:tc>
          <w:tcPr>
            <w:tcW w:w="4096" w:type="dxa"/>
            <w:tcBorders>
              <w:top w:val="single" w:sz="4" w:space="0" w:color="auto"/>
              <w:bottom w:val="single" w:sz="4" w:space="0" w:color="auto"/>
            </w:tcBorders>
            <w:vAlign w:val="center"/>
          </w:tcPr>
          <w:p w14:paraId="274C9B66" w14:textId="74FF9E8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0F25725" w14:textId="0D70F66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13,598</w:t>
            </w:r>
          </w:p>
        </w:tc>
      </w:tr>
      <w:tr w:rsidR="00D006DC" w:rsidRPr="009423C3" w14:paraId="2181244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CEF5FB4" w14:textId="41A9E67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DAVID YOUNGER PSYCHOLOGY</w:t>
            </w:r>
          </w:p>
        </w:tc>
        <w:tc>
          <w:tcPr>
            <w:tcW w:w="4096" w:type="dxa"/>
            <w:tcBorders>
              <w:top w:val="single" w:sz="4" w:space="0" w:color="auto"/>
              <w:bottom w:val="single" w:sz="4" w:space="0" w:color="auto"/>
            </w:tcBorders>
            <w:vAlign w:val="center"/>
          </w:tcPr>
          <w:p w14:paraId="063784B0" w14:textId="2DFC738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AEA1700" w14:textId="48E7B56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22,569</w:t>
            </w:r>
          </w:p>
        </w:tc>
      </w:tr>
      <w:tr w:rsidR="00D006DC" w:rsidRPr="009423C3" w14:paraId="6C9906C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259AA5B" w14:textId="7C277B0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DAVIDSON EXECUTIVE AND BOARDS PTY LTD</w:t>
            </w:r>
          </w:p>
        </w:tc>
        <w:tc>
          <w:tcPr>
            <w:tcW w:w="4096" w:type="dxa"/>
            <w:tcBorders>
              <w:top w:val="single" w:sz="4" w:space="0" w:color="auto"/>
              <w:bottom w:val="single" w:sz="4" w:space="0" w:color="auto"/>
            </w:tcBorders>
            <w:vAlign w:val="center"/>
          </w:tcPr>
          <w:p w14:paraId="74E95AD8" w14:textId="11A775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374EFEFD" w14:textId="6040DA3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20,000</w:t>
            </w:r>
          </w:p>
        </w:tc>
      </w:tr>
      <w:tr w:rsidR="00D006DC" w:rsidRPr="009423C3" w14:paraId="479CB17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5A4E198" w14:textId="33005FE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DAVIDSON RECRUITMENT PTY LTD</w:t>
            </w:r>
          </w:p>
        </w:tc>
        <w:tc>
          <w:tcPr>
            <w:tcW w:w="4096" w:type="dxa"/>
            <w:tcBorders>
              <w:top w:val="single" w:sz="4" w:space="0" w:color="auto"/>
              <w:bottom w:val="single" w:sz="4" w:space="0" w:color="auto"/>
            </w:tcBorders>
            <w:vAlign w:val="center"/>
          </w:tcPr>
          <w:p w14:paraId="616F6925" w14:textId="306CC8D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0A21A3FC" w14:textId="5860928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36,350</w:t>
            </w:r>
          </w:p>
        </w:tc>
      </w:tr>
      <w:tr w:rsidR="00D006DC" w:rsidRPr="009423C3" w14:paraId="25E97E9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15127E7" w14:textId="0BE1288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DEAKIN UNIVERSITY</w:t>
            </w:r>
          </w:p>
        </w:tc>
        <w:tc>
          <w:tcPr>
            <w:tcW w:w="4096" w:type="dxa"/>
            <w:tcBorders>
              <w:top w:val="single" w:sz="4" w:space="0" w:color="auto"/>
              <w:bottom w:val="single" w:sz="4" w:space="0" w:color="auto"/>
            </w:tcBorders>
            <w:vAlign w:val="center"/>
          </w:tcPr>
          <w:p w14:paraId="0174A48F" w14:textId="57DC3E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2D9BB0B" w14:textId="37699DD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3,136,410</w:t>
            </w:r>
          </w:p>
        </w:tc>
      </w:tr>
      <w:tr w:rsidR="00D006DC" w:rsidRPr="009423C3" w14:paraId="4465205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9A989E0" w14:textId="69D84B5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DEBBIE JOY OLLIS</w:t>
            </w:r>
          </w:p>
        </w:tc>
        <w:tc>
          <w:tcPr>
            <w:tcW w:w="4096" w:type="dxa"/>
            <w:tcBorders>
              <w:top w:val="single" w:sz="4" w:space="0" w:color="auto"/>
              <w:bottom w:val="single" w:sz="4" w:space="0" w:color="auto"/>
            </w:tcBorders>
            <w:vAlign w:val="center"/>
          </w:tcPr>
          <w:p w14:paraId="481AF9E4" w14:textId="29CE4DF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DF17D6A" w14:textId="6A912FD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6,300</w:t>
            </w:r>
          </w:p>
        </w:tc>
      </w:tr>
      <w:tr w:rsidR="00D006DC" w:rsidRPr="009423C3" w14:paraId="1C7BFD7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69601AA" w14:textId="5EE5B07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ACCESS ECONOMICS</w:t>
            </w:r>
          </w:p>
        </w:tc>
        <w:tc>
          <w:tcPr>
            <w:tcW w:w="4096" w:type="dxa"/>
            <w:tcBorders>
              <w:top w:val="single" w:sz="4" w:space="0" w:color="auto"/>
              <w:bottom w:val="single" w:sz="4" w:space="0" w:color="auto"/>
            </w:tcBorders>
            <w:vAlign w:val="center"/>
          </w:tcPr>
          <w:p w14:paraId="73CADE13" w14:textId="2CAF78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8B680E7" w14:textId="293E1B84" w:rsidR="00D006DC" w:rsidRPr="008457E1" w:rsidRDefault="00FC42A4"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1,134,244</w:t>
            </w:r>
          </w:p>
        </w:tc>
      </w:tr>
      <w:tr w:rsidR="00D006DC" w:rsidRPr="009423C3" w14:paraId="4338922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BB71551" w14:textId="7E095DE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FINANCIAL ADVISORY PTY LTD</w:t>
            </w:r>
          </w:p>
        </w:tc>
        <w:tc>
          <w:tcPr>
            <w:tcW w:w="4096" w:type="dxa"/>
            <w:tcBorders>
              <w:top w:val="single" w:sz="4" w:space="0" w:color="auto"/>
              <w:bottom w:val="single" w:sz="4" w:space="0" w:color="auto"/>
            </w:tcBorders>
            <w:vAlign w:val="center"/>
          </w:tcPr>
          <w:p w14:paraId="19B9BDE3" w14:textId="48634F5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5B671CE" w14:textId="24E784E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120,788</w:t>
            </w:r>
          </w:p>
        </w:tc>
      </w:tr>
      <w:tr w:rsidR="00D006DC" w:rsidRPr="009423C3" w14:paraId="4D165DF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C4AA87E" w14:textId="60E2C35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DELOITTE TOUCHE TOHMATSU</w:t>
            </w:r>
          </w:p>
        </w:tc>
        <w:tc>
          <w:tcPr>
            <w:tcW w:w="4096" w:type="dxa"/>
            <w:tcBorders>
              <w:top w:val="single" w:sz="4" w:space="0" w:color="auto"/>
              <w:bottom w:val="single" w:sz="4" w:space="0" w:color="auto"/>
            </w:tcBorders>
            <w:vAlign w:val="center"/>
          </w:tcPr>
          <w:p w14:paraId="072EE5EF" w14:textId="766D0BF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D37B48D" w14:textId="5070EC6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1,716,221</w:t>
            </w:r>
          </w:p>
        </w:tc>
      </w:tr>
      <w:tr w:rsidR="00D006DC" w:rsidRPr="009423C3" w14:paraId="16707BF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E1E9C6C" w14:textId="1729239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DENCH MCCLEAN CARLSON PTY LTD</w:t>
            </w:r>
          </w:p>
        </w:tc>
        <w:tc>
          <w:tcPr>
            <w:tcW w:w="4096" w:type="dxa"/>
            <w:tcBorders>
              <w:top w:val="single" w:sz="4" w:space="0" w:color="auto"/>
              <w:bottom w:val="single" w:sz="4" w:space="0" w:color="auto"/>
            </w:tcBorders>
            <w:vAlign w:val="center"/>
          </w:tcPr>
          <w:p w14:paraId="2763CC14" w14:textId="20468C2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A98E406" w14:textId="4D7C890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32,769</w:t>
            </w:r>
          </w:p>
        </w:tc>
      </w:tr>
      <w:tr w:rsidR="00D006DC" w:rsidRPr="009423C3" w14:paraId="693D1C5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509F00" w14:textId="3DA1432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DESIGN AND TECHNOLOGY </w:t>
            </w:r>
            <w:proofErr w:type="gramStart"/>
            <w:r>
              <w:rPr>
                <w:rFonts w:ascii="Calibri" w:hAnsi="Calibri" w:cs="Calibri"/>
                <w:color w:val="000000"/>
                <w:szCs w:val="20"/>
              </w:rPr>
              <w:t>TEACHERS</w:t>
            </w:r>
            <w:proofErr w:type="gramEnd"/>
            <w:r>
              <w:rPr>
                <w:rFonts w:ascii="Calibri" w:hAnsi="Calibri" w:cs="Calibri"/>
                <w:color w:val="000000"/>
                <w:szCs w:val="20"/>
              </w:rPr>
              <w:t xml:space="preserve"> ASSOCIATION VICTORIA INC</w:t>
            </w:r>
          </w:p>
        </w:tc>
        <w:tc>
          <w:tcPr>
            <w:tcW w:w="4096" w:type="dxa"/>
            <w:tcBorders>
              <w:top w:val="single" w:sz="4" w:space="0" w:color="auto"/>
              <w:bottom w:val="single" w:sz="4" w:space="0" w:color="auto"/>
            </w:tcBorders>
            <w:vAlign w:val="center"/>
          </w:tcPr>
          <w:p w14:paraId="53F0AEE5" w14:textId="6E9A342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72769C" w14:textId="2CD018E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13,818</w:t>
            </w:r>
          </w:p>
        </w:tc>
      </w:tr>
      <w:tr w:rsidR="00D006DC" w:rsidRPr="009423C3" w14:paraId="0BFCEE7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74C4AA" w14:textId="46585A9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DESIGN STATE</w:t>
            </w:r>
          </w:p>
        </w:tc>
        <w:tc>
          <w:tcPr>
            <w:tcW w:w="4096" w:type="dxa"/>
            <w:tcBorders>
              <w:top w:val="single" w:sz="4" w:space="0" w:color="auto"/>
              <w:bottom w:val="single" w:sz="4" w:space="0" w:color="auto"/>
            </w:tcBorders>
            <w:vAlign w:val="center"/>
          </w:tcPr>
          <w:p w14:paraId="62A99B27" w14:textId="46992D2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1FB20881" w14:textId="7D66DFA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32,490</w:t>
            </w:r>
          </w:p>
        </w:tc>
      </w:tr>
      <w:tr w:rsidR="00D006DC" w:rsidRPr="009423C3" w14:paraId="673289F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1552E84" w14:textId="6E9EEE5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DESTE CONSULTING SERVICES</w:t>
            </w:r>
          </w:p>
        </w:tc>
        <w:tc>
          <w:tcPr>
            <w:tcW w:w="4096" w:type="dxa"/>
            <w:tcBorders>
              <w:top w:val="single" w:sz="4" w:space="0" w:color="auto"/>
              <w:bottom w:val="single" w:sz="4" w:space="0" w:color="auto"/>
            </w:tcBorders>
            <w:vAlign w:val="center"/>
          </w:tcPr>
          <w:p w14:paraId="3BE624EB" w14:textId="622B912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723103C" w14:textId="3C6C222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7,000</w:t>
            </w:r>
          </w:p>
        </w:tc>
      </w:tr>
      <w:tr w:rsidR="00D006DC" w:rsidRPr="009423C3" w14:paraId="4313BD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F3499A7" w14:textId="1B678A6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DIALOG INFORMATION TECHNOLOGY</w:t>
            </w:r>
          </w:p>
        </w:tc>
        <w:tc>
          <w:tcPr>
            <w:tcW w:w="4096" w:type="dxa"/>
            <w:tcBorders>
              <w:top w:val="single" w:sz="4" w:space="0" w:color="auto"/>
              <w:bottom w:val="single" w:sz="4" w:space="0" w:color="auto"/>
            </w:tcBorders>
            <w:vAlign w:val="center"/>
          </w:tcPr>
          <w:p w14:paraId="6FF75BF4" w14:textId="6E35C03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F8F99FF" w14:textId="1F1C41F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605,300</w:t>
            </w:r>
          </w:p>
        </w:tc>
      </w:tr>
      <w:tr w:rsidR="00D006DC" w:rsidRPr="009423C3" w14:paraId="664A54D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75221F0" w14:textId="1A1C8DB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DISPLAYR AUSTRALIA PTY LTD</w:t>
            </w:r>
          </w:p>
        </w:tc>
        <w:tc>
          <w:tcPr>
            <w:tcW w:w="4096" w:type="dxa"/>
            <w:tcBorders>
              <w:top w:val="single" w:sz="4" w:space="0" w:color="auto"/>
              <w:bottom w:val="single" w:sz="4" w:space="0" w:color="auto"/>
            </w:tcBorders>
            <w:vAlign w:val="center"/>
          </w:tcPr>
          <w:p w14:paraId="54ECF4C3" w14:textId="547529D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176D15B" w14:textId="2DD2720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1,814</w:t>
            </w:r>
          </w:p>
        </w:tc>
      </w:tr>
      <w:tr w:rsidR="00D006DC" w:rsidRPr="009423C3" w14:paraId="0CE3E6C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CA5B291" w14:textId="7D6D190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DIXON APPOINTMENTS PTY LTD</w:t>
            </w:r>
          </w:p>
        </w:tc>
        <w:tc>
          <w:tcPr>
            <w:tcW w:w="4096" w:type="dxa"/>
            <w:tcBorders>
              <w:top w:val="single" w:sz="4" w:space="0" w:color="auto"/>
              <w:bottom w:val="single" w:sz="4" w:space="0" w:color="auto"/>
            </w:tcBorders>
            <w:vAlign w:val="center"/>
          </w:tcPr>
          <w:p w14:paraId="0BC04530" w14:textId="5D6550D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6A2AF41D" w14:textId="12DB56B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765,550</w:t>
            </w:r>
          </w:p>
        </w:tc>
      </w:tr>
      <w:tr w:rsidR="00D006DC" w:rsidRPr="009423C3" w14:paraId="792F30E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E19763A" w14:textId="0399B78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DOMESTIC VIOLENCE RESOURCE CENTRE VICTORIA</w:t>
            </w:r>
          </w:p>
        </w:tc>
        <w:tc>
          <w:tcPr>
            <w:tcW w:w="4096" w:type="dxa"/>
            <w:tcBorders>
              <w:top w:val="single" w:sz="4" w:space="0" w:color="auto"/>
              <w:bottom w:val="single" w:sz="4" w:space="0" w:color="auto"/>
            </w:tcBorders>
            <w:vAlign w:val="center"/>
          </w:tcPr>
          <w:p w14:paraId="51D9544E" w14:textId="3B2310E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98407E2" w14:textId="4B4C841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6,579</w:t>
            </w:r>
          </w:p>
        </w:tc>
      </w:tr>
      <w:tr w:rsidR="00D006DC" w:rsidRPr="009423C3" w14:paraId="3354966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2732864" w14:textId="5173A70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DOMESTIC VIOLENCE VICTORIA (DVVIC) INC.</w:t>
            </w:r>
          </w:p>
        </w:tc>
        <w:tc>
          <w:tcPr>
            <w:tcW w:w="4096" w:type="dxa"/>
            <w:tcBorders>
              <w:top w:val="single" w:sz="4" w:space="0" w:color="auto"/>
              <w:bottom w:val="single" w:sz="4" w:space="0" w:color="auto"/>
            </w:tcBorders>
            <w:vAlign w:val="center"/>
          </w:tcPr>
          <w:p w14:paraId="36E15986" w14:textId="0871E89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7E34314F" w14:textId="0298659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4,602</w:t>
            </w:r>
          </w:p>
        </w:tc>
      </w:tr>
      <w:tr w:rsidR="00D006DC" w:rsidRPr="009423C3" w14:paraId="08F4F11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F1B3DF1" w14:textId="2B7F2E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DORRAT LOUISE MAREE</w:t>
            </w:r>
          </w:p>
        </w:tc>
        <w:tc>
          <w:tcPr>
            <w:tcW w:w="4096" w:type="dxa"/>
            <w:tcBorders>
              <w:top w:val="single" w:sz="4" w:space="0" w:color="auto"/>
              <w:bottom w:val="single" w:sz="4" w:space="0" w:color="auto"/>
            </w:tcBorders>
            <w:vAlign w:val="center"/>
          </w:tcPr>
          <w:p w14:paraId="632433CB" w14:textId="49193F4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EE3EC80" w14:textId="689DFD8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16,900</w:t>
            </w:r>
          </w:p>
        </w:tc>
      </w:tr>
      <w:tr w:rsidR="00D006DC" w:rsidRPr="009423C3" w14:paraId="3E9DDA1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7D12212" w14:textId="101429B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DP COACHING SOLUTIONS</w:t>
            </w:r>
          </w:p>
        </w:tc>
        <w:tc>
          <w:tcPr>
            <w:tcW w:w="4096" w:type="dxa"/>
            <w:tcBorders>
              <w:top w:val="single" w:sz="4" w:space="0" w:color="auto"/>
              <w:bottom w:val="single" w:sz="4" w:space="0" w:color="auto"/>
            </w:tcBorders>
            <w:vAlign w:val="center"/>
          </w:tcPr>
          <w:p w14:paraId="6D14E0E8" w14:textId="1DAA36DE"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5505125A" w14:textId="0C7CB75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7,468</w:t>
            </w:r>
          </w:p>
        </w:tc>
      </w:tr>
      <w:tr w:rsidR="00D006DC" w:rsidRPr="009423C3" w14:paraId="382763D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8C48490" w14:textId="279307C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DXC ECLIPSE PTY LIMITED</w:t>
            </w:r>
          </w:p>
        </w:tc>
        <w:tc>
          <w:tcPr>
            <w:tcW w:w="4096" w:type="dxa"/>
            <w:tcBorders>
              <w:top w:val="single" w:sz="4" w:space="0" w:color="auto"/>
              <w:bottom w:val="single" w:sz="4" w:space="0" w:color="auto"/>
            </w:tcBorders>
            <w:vAlign w:val="center"/>
          </w:tcPr>
          <w:p w14:paraId="361E6AD8" w14:textId="4E9E68C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7F5B4D6" w14:textId="2E27AF4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40,162</w:t>
            </w:r>
          </w:p>
        </w:tc>
      </w:tr>
      <w:tr w:rsidR="00D006DC" w:rsidRPr="009423C3" w14:paraId="7C345FF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2CF5E2" w14:textId="437C2E1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DXC PROFESSIONAL SOLUTIONS PTY LIMITED</w:t>
            </w:r>
          </w:p>
        </w:tc>
        <w:tc>
          <w:tcPr>
            <w:tcW w:w="4096" w:type="dxa"/>
            <w:tcBorders>
              <w:top w:val="single" w:sz="4" w:space="0" w:color="auto"/>
              <w:bottom w:val="single" w:sz="4" w:space="0" w:color="auto"/>
            </w:tcBorders>
            <w:vAlign w:val="center"/>
          </w:tcPr>
          <w:p w14:paraId="09E1B858" w14:textId="0E0095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professional services</w:t>
            </w:r>
          </w:p>
        </w:tc>
        <w:tc>
          <w:tcPr>
            <w:tcW w:w="1417" w:type="dxa"/>
            <w:tcBorders>
              <w:top w:val="single" w:sz="4" w:space="0" w:color="auto"/>
              <w:bottom w:val="single" w:sz="4" w:space="0" w:color="auto"/>
            </w:tcBorders>
            <w:shd w:val="clear" w:color="auto" w:fill="auto"/>
            <w:vAlign w:val="center"/>
          </w:tcPr>
          <w:p w14:paraId="3369C842" w14:textId="477BC51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739,800</w:t>
            </w:r>
          </w:p>
        </w:tc>
      </w:tr>
      <w:tr w:rsidR="00D006DC" w:rsidRPr="009423C3" w14:paraId="51B0F4E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0529EB0" w14:textId="72453E7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DYNAMIC EQUILIBRIUM PTY LTD</w:t>
            </w:r>
          </w:p>
        </w:tc>
        <w:tc>
          <w:tcPr>
            <w:tcW w:w="4096" w:type="dxa"/>
            <w:tcBorders>
              <w:top w:val="single" w:sz="4" w:space="0" w:color="auto"/>
              <w:bottom w:val="single" w:sz="4" w:space="0" w:color="auto"/>
            </w:tcBorders>
            <w:vAlign w:val="center"/>
          </w:tcPr>
          <w:p w14:paraId="7C9E877F" w14:textId="6579B0F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8C110DE" w14:textId="0887093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159,240</w:t>
            </w:r>
          </w:p>
        </w:tc>
      </w:tr>
      <w:tr w:rsidR="00D006DC" w:rsidRPr="009423C3" w14:paraId="01E3A77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CB137F7" w14:textId="3F7944C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 CENTRICINNOVATIONS PTY LTD</w:t>
            </w:r>
          </w:p>
        </w:tc>
        <w:tc>
          <w:tcPr>
            <w:tcW w:w="4096" w:type="dxa"/>
            <w:tcBorders>
              <w:top w:val="single" w:sz="4" w:space="0" w:color="auto"/>
              <w:bottom w:val="single" w:sz="4" w:space="0" w:color="auto"/>
            </w:tcBorders>
            <w:vAlign w:val="center"/>
          </w:tcPr>
          <w:p w14:paraId="05BCA89F" w14:textId="294B6486"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19D7D7B" w14:textId="5A08B0D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475,497</w:t>
            </w:r>
          </w:p>
        </w:tc>
      </w:tr>
      <w:tr w:rsidR="00D006DC" w:rsidRPr="009423C3" w14:paraId="56A6E3F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59D04AF" w14:textId="1A758A9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 CREATORS PTY LIMITED</w:t>
            </w:r>
          </w:p>
        </w:tc>
        <w:tc>
          <w:tcPr>
            <w:tcW w:w="4096" w:type="dxa"/>
            <w:tcBorders>
              <w:top w:val="single" w:sz="4" w:space="0" w:color="auto"/>
              <w:bottom w:val="single" w:sz="4" w:space="0" w:color="auto"/>
            </w:tcBorders>
            <w:vAlign w:val="center"/>
          </w:tcPr>
          <w:p w14:paraId="43C96FBD" w14:textId="0AAD1747"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21D07F0D" w14:textId="6163367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53,974</w:t>
            </w:r>
          </w:p>
        </w:tc>
      </w:tr>
      <w:tr w:rsidR="00D006DC" w:rsidRPr="009423C3" w14:paraId="3F9E6D1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B83AD07" w14:textId="362CC7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EARL PRODUCTIONS PTY LTD</w:t>
            </w:r>
          </w:p>
        </w:tc>
        <w:tc>
          <w:tcPr>
            <w:tcW w:w="4096" w:type="dxa"/>
            <w:tcBorders>
              <w:top w:val="single" w:sz="4" w:space="0" w:color="auto"/>
              <w:bottom w:val="single" w:sz="4" w:space="0" w:color="auto"/>
            </w:tcBorders>
            <w:vAlign w:val="center"/>
          </w:tcPr>
          <w:p w14:paraId="6591D7E2" w14:textId="6EE1C45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713D9FC" w14:textId="66352F6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1,795</w:t>
            </w:r>
          </w:p>
        </w:tc>
      </w:tr>
      <w:tr w:rsidR="00D006DC" w:rsidRPr="009423C3" w14:paraId="3FF9CB6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BCAFAD2" w14:textId="2167F2C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EARLY CHILDHOOD AUSTRALIA</w:t>
            </w:r>
          </w:p>
        </w:tc>
        <w:tc>
          <w:tcPr>
            <w:tcW w:w="4096" w:type="dxa"/>
            <w:tcBorders>
              <w:top w:val="single" w:sz="4" w:space="0" w:color="auto"/>
              <w:bottom w:val="single" w:sz="4" w:space="0" w:color="auto"/>
            </w:tcBorders>
            <w:vAlign w:val="center"/>
          </w:tcPr>
          <w:p w14:paraId="7505155D" w14:textId="13CB68E8"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F119123" w14:textId="38D950A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67,570</w:t>
            </w:r>
          </w:p>
        </w:tc>
      </w:tr>
      <w:tr w:rsidR="00D006DC" w:rsidRPr="009423C3" w14:paraId="277F384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CFCE02B" w14:textId="03F77B6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ECCLESTON TANYA KAREN</w:t>
            </w:r>
          </w:p>
        </w:tc>
        <w:tc>
          <w:tcPr>
            <w:tcW w:w="4096" w:type="dxa"/>
            <w:tcBorders>
              <w:top w:val="single" w:sz="4" w:space="0" w:color="auto"/>
              <w:bottom w:val="single" w:sz="4" w:space="0" w:color="auto"/>
            </w:tcBorders>
            <w:vAlign w:val="center"/>
          </w:tcPr>
          <w:p w14:paraId="3C30C2D7" w14:textId="4845A7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5AF7744" w14:textId="3325D9D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13,100</w:t>
            </w:r>
          </w:p>
        </w:tc>
      </w:tr>
      <w:tr w:rsidR="00D006DC" w:rsidRPr="009423C3" w14:paraId="7DE219D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9EEE0F" w14:textId="4E22D13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 SUPPORT COACHING AND MENTORING</w:t>
            </w:r>
          </w:p>
        </w:tc>
        <w:tc>
          <w:tcPr>
            <w:tcW w:w="4096" w:type="dxa"/>
            <w:tcBorders>
              <w:top w:val="single" w:sz="4" w:space="0" w:color="auto"/>
              <w:bottom w:val="single" w:sz="4" w:space="0" w:color="auto"/>
            </w:tcBorders>
            <w:vAlign w:val="center"/>
          </w:tcPr>
          <w:p w14:paraId="2A1F8F5D" w14:textId="579CCF7B"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7CBBB6E" w14:textId="1086969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34,509</w:t>
            </w:r>
          </w:p>
        </w:tc>
      </w:tr>
      <w:tr w:rsidR="00D006DC" w:rsidRPr="009423C3" w14:paraId="4021508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607283F" w14:textId="164BF3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EDASSIST</w:t>
            </w:r>
          </w:p>
        </w:tc>
        <w:tc>
          <w:tcPr>
            <w:tcW w:w="4096" w:type="dxa"/>
            <w:tcBorders>
              <w:top w:val="single" w:sz="4" w:space="0" w:color="auto"/>
              <w:bottom w:val="single" w:sz="4" w:space="0" w:color="auto"/>
            </w:tcBorders>
            <w:vAlign w:val="center"/>
          </w:tcPr>
          <w:p w14:paraId="3B9FE78E" w14:textId="7ACA3F4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083174B" w14:textId="3BE9B02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14,000</w:t>
            </w:r>
          </w:p>
        </w:tc>
      </w:tr>
      <w:tr w:rsidR="00D006DC" w:rsidRPr="009423C3" w14:paraId="1CE5B0B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91AC19A" w14:textId="0F18891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EDIFIED PTY LTD</w:t>
            </w:r>
          </w:p>
        </w:tc>
        <w:tc>
          <w:tcPr>
            <w:tcW w:w="4096" w:type="dxa"/>
            <w:tcBorders>
              <w:top w:val="single" w:sz="4" w:space="0" w:color="auto"/>
              <w:bottom w:val="single" w:sz="4" w:space="0" w:color="auto"/>
            </w:tcBorders>
            <w:vAlign w:val="center"/>
          </w:tcPr>
          <w:p w14:paraId="72821A97" w14:textId="3B4FE98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assessment services</w:t>
            </w:r>
          </w:p>
        </w:tc>
        <w:tc>
          <w:tcPr>
            <w:tcW w:w="1417" w:type="dxa"/>
            <w:tcBorders>
              <w:top w:val="single" w:sz="4" w:space="0" w:color="auto"/>
              <w:bottom w:val="single" w:sz="4" w:space="0" w:color="auto"/>
            </w:tcBorders>
            <w:shd w:val="clear" w:color="auto" w:fill="auto"/>
            <w:vAlign w:val="center"/>
          </w:tcPr>
          <w:p w14:paraId="04431768" w14:textId="03BFE14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27,950</w:t>
            </w:r>
          </w:p>
        </w:tc>
      </w:tr>
      <w:tr w:rsidR="00D006DC" w:rsidRPr="009423C3" w14:paraId="42719DD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2B8742E" w14:textId="733126F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EDPARTNERSHIPS INTERNATIONAL PTY LTD</w:t>
            </w:r>
          </w:p>
        </w:tc>
        <w:tc>
          <w:tcPr>
            <w:tcW w:w="4096" w:type="dxa"/>
            <w:tcBorders>
              <w:top w:val="single" w:sz="4" w:space="0" w:color="auto"/>
              <w:bottom w:val="single" w:sz="4" w:space="0" w:color="auto"/>
            </w:tcBorders>
            <w:vAlign w:val="center"/>
          </w:tcPr>
          <w:p w14:paraId="694DE88B" w14:textId="3FB0E65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CDF028C" w14:textId="00806C6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791,120</w:t>
            </w:r>
          </w:p>
        </w:tc>
      </w:tr>
      <w:tr w:rsidR="00D006DC" w:rsidRPr="009423C3" w14:paraId="458A149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BC0E0A7" w14:textId="59CB36A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CHANGEMAKERS PTY LTD</w:t>
            </w:r>
          </w:p>
        </w:tc>
        <w:tc>
          <w:tcPr>
            <w:tcW w:w="4096" w:type="dxa"/>
            <w:tcBorders>
              <w:top w:val="single" w:sz="4" w:space="0" w:color="auto"/>
              <w:bottom w:val="single" w:sz="4" w:space="0" w:color="auto"/>
            </w:tcBorders>
            <w:vAlign w:val="center"/>
          </w:tcPr>
          <w:p w14:paraId="51772C33" w14:textId="63FCAE4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E78FF2" w14:textId="6FB80BD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55,675</w:t>
            </w:r>
          </w:p>
        </w:tc>
      </w:tr>
      <w:tr w:rsidR="00D006DC" w:rsidRPr="009423C3" w14:paraId="55748B1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D442730" w14:textId="02AB8D6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EDUTEST P/L</w:t>
            </w:r>
          </w:p>
        </w:tc>
        <w:tc>
          <w:tcPr>
            <w:tcW w:w="4096" w:type="dxa"/>
            <w:tcBorders>
              <w:top w:val="single" w:sz="4" w:space="0" w:color="auto"/>
              <w:bottom w:val="single" w:sz="4" w:space="0" w:color="auto"/>
            </w:tcBorders>
            <w:vAlign w:val="center"/>
          </w:tcPr>
          <w:p w14:paraId="1AA049D6" w14:textId="0A5C6EC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23D51B7" w14:textId="1712914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808,060</w:t>
            </w:r>
          </w:p>
        </w:tc>
      </w:tr>
      <w:tr w:rsidR="00D006DC" w:rsidRPr="009423C3" w14:paraId="349CED7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30887E8" w14:textId="3E5C181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EDVIEWS</w:t>
            </w:r>
          </w:p>
        </w:tc>
        <w:tc>
          <w:tcPr>
            <w:tcW w:w="4096" w:type="dxa"/>
            <w:tcBorders>
              <w:top w:val="single" w:sz="4" w:space="0" w:color="auto"/>
              <w:bottom w:val="single" w:sz="4" w:space="0" w:color="auto"/>
            </w:tcBorders>
            <w:vAlign w:val="center"/>
          </w:tcPr>
          <w:p w14:paraId="2952C2F9" w14:textId="6E15FE7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70E8F50" w14:textId="5CD103C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48,520</w:t>
            </w:r>
          </w:p>
        </w:tc>
      </w:tr>
      <w:tr w:rsidR="00D006DC" w:rsidRPr="009423C3" w14:paraId="4E60C89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34FD72A" w14:textId="598B11F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ELIZABETH SARAH BROWNE</w:t>
            </w:r>
          </w:p>
        </w:tc>
        <w:tc>
          <w:tcPr>
            <w:tcW w:w="4096" w:type="dxa"/>
            <w:tcBorders>
              <w:top w:val="single" w:sz="4" w:space="0" w:color="auto"/>
              <w:bottom w:val="single" w:sz="4" w:space="0" w:color="auto"/>
            </w:tcBorders>
            <w:vAlign w:val="center"/>
          </w:tcPr>
          <w:p w14:paraId="28FE1850" w14:textId="473CB8F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6F7756E" w14:textId="7F91018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1,785</w:t>
            </w:r>
          </w:p>
        </w:tc>
      </w:tr>
      <w:tr w:rsidR="00D006DC" w:rsidRPr="009423C3" w14:paraId="20932ED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1FB20B7" w14:textId="78F5309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ELM TEC PTY LTD</w:t>
            </w:r>
          </w:p>
        </w:tc>
        <w:tc>
          <w:tcPr>
            <w:tcW w:w="4096" w:type="dxa"/>
            <w:tcBorders>
              <w:top w:val="single" w:sz="4" w:space="0" w:color="auto"/>
              <w:bottom w:val="single" w:sz="4" w:space="0" w:color="auto"/>
            </w:tcBorders>
            <w:vAlign w:val="center"/>
          </w:tcPr>
          <w:p w14:paraId="4A22F59B" w14:textId="715553A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A350F27" w14:textId="7176852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4,600</w:t>
            </w:r>
          </w:p>
        </w:tc>
      </w:tr>
      <w:tr w:rsidR="00D006DC" w:rsidRPr="009423C3" w14:paraId="21E788A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9781E75" w14:textId="6ADE39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ELMO SOFTWARE LIMITED</w:t>
            </w:r>
          </w:p>
        </w:tc>
        <w:tc>
          <w:tcPr>
            <w:tcW w:w="4096" w:type="dxa"/>
            <w:tcBorders>
              <w:top w:val="single" w:sz="4" w:space="0" w:color="auto"/>
              <w:bottom w:val="single" w:sz="4" w:space="0" w:color="auto"/>
            </w:tcBorders>
            <w:vAlign w:val="center"/>
          </w:tcPr>
          <w:p w14:paraId="20354520" w14:textId="3CD40475"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6A98F34" w14:textId="571C1A2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30,525</w:t>
            </w:r>
          </w:p>
        </w:tc>
      </w:tr>
      <w:tr w:rsidR="00D006DC" w:rsidRPr="009423C3" w14:paraId="250A523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A72EC9A" w14:textId="6C2481B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ELYSIUM DIGITAL PTY LTD</w:t>
            </w:r>
          </w:p>
        </w:tc>
        <w:tc>
          <w:tcPr>
            <w:tcW w:w="4096" w:type="dxa"/>
            <w:tcBorders>
              <w:top w:val="single" w:sz="4" w:space="0" w:color="auto"/>
              <w:bottom w:val="single" w:sz="4" w:space="0" w:color="auto"/>
            </w:tcBorders>
            <w:vAlign w:val="center"/>
          </w:tcPr>
          <w:p w14:paraId="35EB99AD" w14:textId="4F92309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A735180" w14:textId="365FC1B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33,000</w:t>
            </w:r>
          </w:p>
        </w:tc>
      </w:tr>
      <w:tr w:rsidR="00D006DC" w:rsidRPr="009423C3" w14:paraId="6CC98BA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80038EF" w14:textId="12984D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EMPIRED LTD</w:t>
            </w:r>
          </w:p>
        </w:tc>
        <w:tc>
          <w:tcPr>
            <w:tcW w:w="4096" w:type="dxa"/>
            <w:tcBorders>
              <w:top w:val="single" w:sz="4" w:space="0" w:color="auto"/>
              <w:bottom w:val="single" w:sz="4" w:space="0" w:color="auto"/>
            </w:tcBorders>
            <w:vAlign w:val="center"/>
          </w:tcPr>
          <w:p w14:paraId="5B94EA76" w14:textId="3B68B32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7AF38F33" w14:textId="4FA4070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52,985</w:t>
            </w:r>
          </w:p>
        </w:tc>
      </w:tr>
      <w:tr w:rsidR="00D006DC" w:rsidRPr="009423C3" w14:paraId="338D034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AFFE795" w14:textId="62AE052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ENABLE PROFESSIONAL SERVICES PTY LTD</w:t>
            </w:r>
          </w:p>
        </w:tc>
        <w:tc>
          <w:tcPr>
            <w:tcW w:w="4096" w:type="dxa"/>
            <w:tcBorders>
              <w:top w:val="single" w:sz="4" w:space="0" w:color="auto"/>
              <w:bottom w:val="single" w:sz="4" w:space="0" w:color="auto"/>
            </w:tcBorders>
            <w:vAlign w:val="center"/>
          </w:tcPr>
          <w:p w14:paraId="1663E51F" w14:textId="4909C90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1598D43" w14:textId="1771A2B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2,028,610</w:t>
            </w:r>
          </w:p>
        </w:tc>
      </w:tr>
      <w:tr w:rsidR="00D006DC" w:rsidRPr="009423C3" w14:paraId="14A38D9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3C2AC21" w14:textId="7D7B9DB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ENABLE WORKPLACE CONSULTING PTY LTD</w:t>
            </w:r>
          </w:p>
        </w:tc>
        <w:tc>
          <w:tcPr>
            <w:tcW w:w="4096" w:type="dxa"/>
            <w:tcBorders>
              <w:top w:val="single" w:sz="4" w:space="0" w:color="auto"/>
              <w:bottom w:val="single" w:sz="4" w:space="0" w:color="auto"/>
            </w:tcBorders>
            <w:vAlign w:val="center"/>
          </w:tcPr>
          <w:p w14:paraId="1E524DD3" w14:textId="0A5E7CE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6805757" w14:textId="65E97FE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6,065</w:t>
            </w:r>
          </w:p>
        </w:tc>
      </w:tr>
      <w:tr w:rsidR="00D006DC" w:rsidRPr="009423C3" w14:paraId="33D858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17B52F6" w14:textId="49DCBBA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ENABLO PTY LTD</w:t>
            </w:r>
          </w:p>
        </w:tc>
        <w:tc>
          <w:tcPr>
            <w:tcW w:w="4096" w:type="dxa"/>
            <w:tcBorders>
              <w:top w:val="single" w:sz="4" w:space="0" w:color="auto"/>
              <w:bottom w:val="single" w:sz="4" w:space="0" w:color="auto"/>
            </w:tcBorders>
            <w:vAlign w:val="center"/>
          </w:tcPr>
          <w:p w14:paraId="532A8C4B" w14:textId="3417BD6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2550CCA" w14:textId="0DC8DF3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64,600</w:t>
            </w:r>
          </w:p>
        </w:tc>
      </w:tr>
      <w:tr w:rsidR="00D006DC" w:rsidRPr="009423C3" w14:paraId="587CCD4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DC087A6" w14:textId="6E275A6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ENCOMPASSING EDUCATION</w:t>
            </w:r>
          </w:p>
        </w:tc>
        <w:tc>
          <w:tcPr>
            <w:tcW w:w="4096" w:type="dxa"/>
            <w:tcBorders>
              <w:top w:val="single" w:sz="4" w:space="0" w:color="auto"/>
              <w:bottom w:val="single" w:sz="4" w:space="0" w:color="auto"/>
            </w:tcBorders>
            <w:vAlign w:val="center"/>
          </w:tcPr>
          <w:p w14:paraId="2E20A095" w14:textId="1C083F5E"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4BD2D3A" w14:textId="59766EA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14,011</w:t>
            </w:r>
          </w:p>
        </w:tc>
      </w:tr>
      <w:tr w:rsidR="00D006DC" w:rsidRPr="009423C3" w14:paraId="15DF0D7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6DC1A5F" w14:textId="2F8108D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ENCORE EVENT TECHNOLOGIES PTY LIMITED</w:t>
            </w:r>
          </w:p>
        </w:tc>
        <w:tc>
          <w:tcPr>
            <w:tcW w:w="4096" w:type="dxa"/>
            <w:tcBorders>
              <w:top w:val="single" w:sz="4" w:space="0" w:color="auto"/>
              <w:bottom w:val="single" w:sz="4" w:space="0" w:color="auto"/>
            </w:tcBorders>
            <w:vAlign w:val="center"/>
          </w:tcPr>
          <w:p w14:paraId="04EC98D7" w14:textId="043BFA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3B019EB" w14:textId="0BFAE3F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55,073</w:t>
            </w:r>
          </w:p>
        </w:tc>
      </w:tr>
      <w:tr w:rsidR="00D006DC" w:rsidRPr="009423C3" w14:paraId="2A4C9B0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91521F8" w14:textId="3308B9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END TO END CONSULTANCY SERVICES PTY LTD</w:t>
            </w:r>
          </w:p>
        </w:tc>
        <w:tc>
          <w:tcPr>
            <w:tcW w:w="4096" w:type="dxa"/>
            <w:tcBorders>
              <w:top w:val="single" w:sz="4" w:space="0" w:color="auto"/>
              <w:bottom w:val="single" w:sz="4" w:space="0" w:color="auto"/>
            </w:tcBorders>
            <w:vAlign w:val="center"/>
          </w:tcPr>
          <w:p w14:paraId="2AC4EB5B" w14:textId="70AFE94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F85C7BE" w14:textId="27956CE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2,498</w:t>
            </w:r>
          </w:p>
        </w:tc>
      </w:tr>
      <w:tr w:rsidR="00D006DC" w:rsidRPr="009423C3" w14:paraId="62A5231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E3BDDF" w14:textId="2A7F128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ENERGY FACTORY</w:t>
            </w:r>
          </w:p>
        </w:tc>
        <w:tc>
          <w:tcPr>
            <w:tcW w:w="4096" w:type="dxa"/>
            <w:tcBorders>
              <w:top w:val="single" w:sz="4" w:space="0" w:color="auto"/>
              <w:bottom w:val="single" w:sz="4" w:space="0" w:color="auto"/>
            </w:tcBorders>
            <w:vAlign w:val="center"/>
          </w:tcPr>
          <w:p w14:paraId="56F7F08C" w14:textId="67F6017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0D41137" w14:textId="63A2C57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22,727</w:t>
            </w:r>
          </w:p>
        </w:tc>
      </w:tr>
      <w:tr w:rsidR="00D006DC" w:rsidRPr="009423C3" w14:paraId="1C8CB15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407828" w14:textId="767F1A0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ENIGMA PROPERTY SERVICES SPECIALIST</w:t>
            </w:r>
          </w:p>
        </w:tc>
        <w:tc>
          <w:tcPr>
            <w:tcW w:w="4096" w:type="dxa"/>
            <w:tcBorders>
              <w:top w:val="single" w:sz="4" w:space="0" w:color="auto"/>
              <w:bottom w:val="single" w:sz="4" w:space="0" w:color="auto"/>
            </w:tcBorders>
            <w:vAlign w:val="center"/>
          </w:tcPr>
          <w:p w14:paraId="684E886C" w14:textId="0516AC0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7D474AC" w14:textId="51D1690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20,591</w:t>
            </w:r>
          </w:p>
        </w:tc>
      </w:tr>
      <w:tr w:rsidR="00D006DC" w:rsidRPr="009423C3" w14:paraId="0129231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C7D368B" w14:textId="69B6C9A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ENRIGHT KEVIN</w:t>
            </w:r>
          </w:p>
        </w:tc>
        <w:tc>
          <w:tcPr>
            <w:tcW w:w="4096" w:type="dxa"/>
            <w:tcBorders>
              <w:top w:val="single" w:sz="4" w:space="0" w:color="auto"/>
              <w:bottom w:val="single" w:sz="4" w:space="0" w:color="auto"/>
            </w:tcBorders>
            <w:vAlign w:val="center"/>
          </w:tcPr>
          <w:p w14:paraId="4AA252B4" w14:textId="246391B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04BA5EC" w14:textId="1AD914B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34,400</w:t>
            </w:r>
          </w:p>
        </w:tc>
      </w:tr>
      <w:tr w:rsidR="00D006DC" w:rsidRPr="009423C3" w14:paraId="63FD65F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2348A84" w14:textId="14FC42B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ENTO</w:t>
            </w:r>
          </w:p>
        </w:tc>
        <w:tc>
          <w:tcPr>
            <w:tcW w:w="4096" w:type="dxa"/>
            <w:tcBorders>
              <w:top w:val="single" w:sz="4" w:space="0" w:color="auto"/>
              <w:bottom w:val="single" w:sz="4" w:space="0" w:color="auto"/>
            </w:tcBorders>
            <w:vAlign w:val="center"/>
          </w:tcPr>
          <w:p w14:paraId="54B2BD46" w14:textId="2C9739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8140B2B" w14:textId="407641C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8,856</w:t>
            </w:r>
          </w:p>
        </w:tc>
      </w:tr>
      <w:tr w:rsidR="00D006DC" w:rsidRPr="009423C3" w14:paraId="4568537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B3D5314" w14:textId="13C67D5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EPIQ AUSTRALIA PTY LTD</w:t>
            </w:r>
          </w:p>
        </w:tc>
        <w:tc>
          <w:tcPr>
            <w:tcW w:w="4096" w:type="dxa"/>
            <w:tcBorders>
              <w:top w:val="single" w:sz="4" w:space="0" w:color="auto"/>
              <w:bottom w:val="single" w:sz="4" w:space="0" w:color="auto"/>
            </w:tcBorders>
            <w:vAlign w:val="center"/>
          </w:tcPr>
          <w:p w14:paraId="4AA8EF65" w14:textId="40C3F4E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DF4DA52" w14:textId="3896605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1,218</w:t>
            </w:r>
          </w:p>
        </w:tc>
      </w:tr>
      <w:tr w:rsidR="00D006DC" w:rsidRPr="009423C3" w14:paraId="215D987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E5676E9" w14:textId="7BFB96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EQUAL EDUCATION LIMITED</w:t>
            </w:r>
          </w:p>
        </w:tc>
        <w:tc>
          <w:tcPr>
            <w:tcW w:w="4096" w:type="dxa"/>
            <w:tcBorders>
              <w:top w:val="single" w:sz="4" w:space="0" w:color="auto"/>
              <w:bottom w:val="single" w:sz="4" w:space="0" w:color="auto"/>
            </w:tcBorders>
            <w:vAlign w:val="center"/>
          </w:tcPr>
          <w:p w14:paraId="661CA674" w14:textId="7DCD11A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42A99DD" w14:textId="3F2ACB4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21,071</w:t>
            </w:r>
          </w:p>
        </w:tc>
      </w:tr>
      <w:tr w:rsidR="00D006DC" w:rsidRPr="009423C3" w14:paraId="24F40EF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EADE2EC" w14:textId="67C4F84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EQUIFAX AUSTRALASIA CREDIT RATINGS PTY LTD</w:t>
            </w:r>
          </w:p>
        </w:tc>
        <w:tc>
          <w:tcPr>
            <w:tcW w:w="4096" w:type="dxa"/>
            <w:tcBorders>
              <w:top w:val="single" w:sz="4" w:space="0" w:color="auto"/>
              <w:bottom w:val="single" w:sz="4" w:space="0" w:color="auto"/>
            </w:tcBorders>
            <w:vAlign w:val="center"/>
          </w:tcPr>
          <w:p w14:paraId="0FE7303C" w14:textId="0A765A7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Financial, accounting, audit, taxation, risk management, insurance service</w:t>
            </w:r>
          </w:p>
        </w:tc>
        <w:tc>
          <w:tcPr>
            <w:tcW w:w="1417" w:type="dxa"/>
            <w:tcBorders>
              <w:top w:val="single" w:sz="4" w:space="0" w:color="auto"/>
              <w:bottom w:val="single" w:sz="4" w:space="0" w:color="auto"/>
            </w:tcBorders>
            <w:shd w:val="clear" w:color="auto" w:fill="auto"/>
            <w:vAlign w:val="center"/>
          </w:tcPr>
          <w:p w14:paraId="33321FA0" w14:textId="797985C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126,892</w:t>
            </w:r>
          </w:p>
        </w:tc>
      </w:tr>
      <w:tr w:rsidR="00D006DC" w:rsidRPr="009423C3" w14:paraId="3DFE6AF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1EE413E" w14:textId="460E41D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ERNST AND YOUNG</w:t>
            </w:r>
          </w:p>
        </w:tc>
        <w:tc>
          <w:tcPr>
            <w:tcW w:w="4096" w:type="dxa"/>
            <w:tcBorders>
              <w:top w:val="single" w:sz="4" w:space="0" w:color="auto"/>
              <w:bottom w:val="single" w:sz="4" w:space="0" w:color="auto"/>
            </w:tcBorders>
            <w:vAlign w:val="center"/>
          </w:tcPr>
          <w:p w14:paraId="6C49AD81" w14:textId="2C00BC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19220BA" w14:textId="3349B44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1,822,540</w:t>
            </w:r>
          </w:p>
        </w:tc>
      </w:tr>
      <w:tr w:rsidR="00D006DC" w:rsidRPr="009423C3" w14:paraId="5B9968C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59848D" w14:textId="2D97073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ETHAN GROUP PTY LTD</w:t>
            </w:r>
          </w:p>
        </w:tc>
        <w:tc>
          <w:tcPr>
            <w:tcW w:w="4096" w:type="dxa"/>
            <w:tcBorders>
              <w:top w:val="single" w:sz="4" w:space="0" w:color="auto"/>
              <w:bottom w:val="single" w:sz="4" w:space="0" w:color="auto"/>
            </w:tcBorders>
            <w:vAlign w:val="center"/>
          </w:tcPr>
          <w:p w14:paraId="593F0FBB" w14:textId="15FC1AD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4B5219" w14:textId="039DEEB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7,600</w:t>
            </w:r>
          </w:p>
        </w:tc>
      </w:tr>
      <w:tr w:rsidR="00D006DC" w:rsidRPr="009423C3" w14:paraId="17DCA42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754FF52" w14:textId="5CDAAE3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ETHNOLINK LANGUAGE SERVICES</w:t>
            </w:r>
          </w:p>
        </w:tc>
        <w:tc>
          <w:tcPr>
            <w:tcW w:w="4096" w:type="dxa"/>
            <w:tcBorders>
              <w:top w:val="single" w:sz="4" w:space="0" w:color="auto"/>
              <w:bottom w:val="single" w:sz="4" w:space="0" w:color="auto"/>
            </w:tcBorders>
            <w:vAlign w:val="center"/>
          </w:tcPr>
          <w:p w14:paraId="02D3B7A6" w14:textId="4C59D9A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F38FA07" w14:textId="2E00CB6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7,530</w:t>
            </w:r>
          </w:p>
        </w:tc>
      </w:tr>
      <w:tr w:rsidR="00D006DC" w:rsidRPr="009423C3" w14:paraId="4DD74D5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6925333" w14:textId="6F888E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EVALUATION ASSOCIATES</w:t>
            </w:r>
          </w:p>
        </w:tc>
        <w:tc>
          <w:tcPr>
            <w:tcW w:w="4096" w:type="dxa"/>
            <w:tcBorders>
              <w:top w:val="single" w:sz="4" w:space="0" w:color="auto"/>
              <w:bottom w:val="single" w:sz="4" w:space="0" w:color="auto"/>
            </w:tcBorders>
            <w:vAlign w:val="center"/>
          </w:tcPr>
          <w:p w14:paraId="368E75A3" w14:textId="64C5366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243CB34" w14:textId="7CC5575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96,262</w:t>
            </w:r>
          </w:p>
        </w:tc>
      </w:tr>
      <w:tr w:rsidR="00D006DC" w:rsidRPr="009423C3" w14:paraId="75516C0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BE5546" w14:textId="39B4DF2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EVE MEDIA PTY. LTD.</w:t>
            </w:r>
          </w:p>
        </w:tc>
        <w:tc>
          <w:tcPr>
            <w:tcW w:w="4096" w:type="dxa"/>
            <w:tcBorders>
              <w:top w:val="single" w:sz="4" w:space="0" w:color="auto"/>
              <w:bottom w:val="single" w:sz="4" w:space="0" w:color="auto"/>
            </w:tcBorders>
            <w:vAlign w:val="center"/>
          </w:tcPr>
          <w:p w14:paraId="3BDA3C64" w14:textId="6AE2A64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E4B99A0" w14:textId="1411BEF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15,114</w:t>
            </w:r>
          </w:p>
        </w:tc>
      </w:tr>
      <w:tr w:rsidR="00D006DC" w:rsidRPr="009423C3" w14:paraId="696F495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FAA7819" w14:textId="07D80D8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EVIE BRADLEY PSYCHOLOGY SERVICES</w:t>
            </w:r>
          </w:p>
        </w:tc>
        <w:tc>
          <w:tcPr>
            <w:tcW w:w="4096" w:type="dxa"/>
            <w:tcBorders>
              <w:top w:val="single" w:sz="4" w:space="0" w:color="auto"/>
              <w:bottom w:val="single" w:sz="4" w:space="0" w:color="auto"/>
            </w:tcBorders>
            <w:vAlign w:val="center"/>
          </w:tcPr>
          <w:p w14:paraId="59CE4766" w14:textId="068BE14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995F89B" w14:textId="3F4EA74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1,020</w:t>
            </w:r>
          </w:p>
        </w:tc>
      </w:tr>
      <w:tr w:rsidR="00D006DC" w:rsidRPr="009423C3" w14:paraId="2FA59D8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D5E8D09" w14:textId="47742F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EXCEL CONSULTING SOLUTIONS PTY LTD</w:t>
            </w:r>
          </w:p>
        </w:tc>
        <w:tc>
          <w:tcPr>
            <w:tcW w:w="4096" w:type="dxa"/>
            <w:tcBorders>
              <w:top w:val="single" w:sz="4" w:space="0" w:color="auto"/>
              <w:bottom w:val="single" w:sz="4" w:space="0" w:color="auto"/>
            </w:tcBorders>
            <w:vAlign w:val="center"/>
          </w:tcPr>
          <w:p w14:paraId="5F559611" w14:textId="0DBAC86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716AF77E" w14:textId="4A4736C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5,918</w:t>
            </w:r>
          </w:p>
        </w:tc>
      </w:tr>
      <w:tr w:rsidR="00D006DC" w:rsidRPr="009423C3" w14:paraId="69F6508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F9813BC" w14:textId="290D38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EY IDENTITY PTY LTD</w:t>
            </w:r>
          </w:p>
        </w:tc>
        <w:tc>
          <w:tcPr>
            <w:tcW w:w="4096" w:type="dxa"/>
            <w:tcBorders>
              <w:top w:val="single" w:sz="4" w:space="0" w:color="auto"/>
              <w:bottom w:val="single" w:sz="4" w:space="0" w:color="auto"/>
            </w:tcBorders>
            <w:vAlign w:val="center"/>
          </w:tcPr>
          <w:p w14:paraId="083A0425" w14:textId="7B2A2B5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4BDA1D6" w14:textId="1BCCC20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246,350</w:t>
            </w:r>
          </w:p>
        </w:tc>
      </w:tr>
      <w:tr w:rsidR="00D006DC" w:rsidRPr="009423C3" w14:paraId="4C0595E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97C3751" w14:textId="193C6D4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EYRES AND ASSOCIATES</w:t>
            </w:r>
          </w:p>
        </w:tc>
        <w:tc>
          <w:tcPr>
            <w:tcW w:w="4096" w:type="dxa"/>
            <w:tcBorders>
              <w:top w:val="single" w:sz="4" w:space="0" w:color="auto"/>
              <w:bottom w:val="single" w:sz="4" w:space="0" w:color="auto"/>
            </w:tcBorders>
            <w:vAlign w:val="center"/>
          </w:tcPr>
          <w:p w14:paraId="1D62E3F6" w14:textId="0BDF97B1"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5D01D6B" w14:textId="23D1B90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11,360</w:t>
            </w:r>
          </w:p>
        </w:tc>
      </w:tr>
      <w:tr w:rsidR="00D006DC" w:rsidRPr="009423C3" w14:paraId="5B29BD8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D544E22" w14:textId="3FB3906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FAT MOON STUDIOS</w:t>
            </w:r>
          </w:p>
        </w:tc>
        <w:tc>
          <w:tcPr>
            <w:tcW w:w="4096" w:type="dxa"/>
            <w:tcBorders>
              <w:top w:val="single" w:sz="4" w:space="0" w:color="auto"/>
              <w:bottom w:val="single" w:sz="4" w:space="0" w:color="auto"/>
            </w:tcBorders>
            <w:vAlign w:val="center"/>
          </w:tcPr>
          <w:p w14:paraId="76461CF4" w14:textId="66B720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7AD1BC17" w14:textId="1A5A1BA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9,545</w:t>
            </w:r>
          </w:p>
        </w:tc>
      </w:tr>
      <w:tr w:rsidR="00D006DC" w:rsidRPr="009423C3" w14:paraId="00F4F37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B580781" w14:textId="0DE32C6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FATS MEDIA LAB PTY LTD</w:t>
            </w:r>
          </w:p>
        </w:tc>
        <w:tc>
          <w:tcPr>
            <w:tcW w:w="4096" w:type="dxa"/>
            <w:tcBorders>
              <w:top w:val="single" w:sz="4" w:space="0" w:color="auto"/>
              <w:bottom w:val="single" w:sz="4" w:space="0" w:color="auto"/>
            </w:tcBorders>
            <w:vAlign w:val="center"/>
          </w:tcPr>
          <w:p w14:paraId="2B24D38E" w14:textId="5F2A82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3ED4B372" w14:textId="7CD2774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47,668</w:t>
            </w:r>
          </w:p>
        </w:tc>
      </w:tr>
      <w:tr w:rsidR="00D006DC" w:rsidRPr="009423C3" w14:paraId="047E2C5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02D9212" w14:textId="3136F6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FAYE CORMICK CONSULTING</w:t>
            </w:r>
          </w:p>
        </w:tc>
        <w:tc>
          <w:tcPr>
            <w:tcW w:w="4096" w:type="dxa"/>
            <w:tcBorders>
              <w:top w:val="single" w:sz="4" w:space="0" w:color="auto"/>
              <w:bottom w:val="single" w:sz="4" w:space="0" w:color="auto"/>
            </w:tcBorders>
            <w:vAlign w:val="center"/>
          </w:tcPr>
          <w:p w14:paraId="7F4994F4" w14:textId="1F81E7D5"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44E446D5" w14:textId="4F5D49D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14,150</w:t>
            </w:r>
          </w:p>
        </w:tc>
      </w:tr>
      <w:tr w:rsidR="00D006DC" w:rsidRPr="009423C3" w14:paraId="732D215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77748E9" w14:textId="48E6116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FBG GROUP</w:t>
            </w:r>
          </w:p>
        </w:tc>
        <w:tc>
          <w:tcPr>
            <w:tcW w:w="4096" w:type="dxa"/>
            <w:tcBorders>
              <w:top w:val="single" w:sz="4" w:space="0" w:color="auto"/>
              <w:bottom w:val="single" w:sz="4" w:space="0" w:color="auto"/>
            </w:tcBorders>
            <w:vAlign w:val="center"/>
          </w:tcPr>
          <w:p w14:paraId="36350DE7" w14:textId="3D373A0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C63291E" w14:textId="0ABAA1B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286,293</w:t>
            </w:r>
          </w:p>
        </w:tc>
      </w:tr>
      <w:tr w:rsidR="00D006DC" w:rsidRPr="009423C3" w14:paraId="4862520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564DE59" w14:textId="34DAF4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FEDERATION UNIVERSITY AUSTRALIA</w:t>
            </w:r>
          </w:p>
        </w:tc>
        <w:tc>
          <w:tcPr>
            <w:tcW w:w="4096" w:type="dxa"/>
            <w:tcBorders>
              <w:top w:val="single" w:sz="4" w:space="0" w:color="auto"/>
              <w:bottom w:val="single" w:sz="4" w:space="0" w:color="auto"/>
            </w:tcBorders>
            <w:vAlign w:val="center"/>
          </w:tcPr>
          <w:p w14:paraId="29B2CAC9" w14:textId="4EF5BCB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1A3B50" w14:textId="4455AFC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218,338</w:t>
            </w:r>
          </w:p>
        </w:tc>
      </w:tr>
      <w:tr w:rsidR="00D006DC" w:rsidRPr="009423C3" w14:paraId="4CDA7AE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EF22BA3" w14:textId="2644D2A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FENTON STEPHENS PTY LTD</w:t>
            </w:r>
          </w:p>
        </w:tc>
        <w:tc>
          <w:tcPr>
            <w:tcW w:w="4096" w:type="dxa"/>
            <w:tcBorders>
              <w:top w:val="single" w:sz="4" w:space="0" w:color="auto"/>
              <w:bottom w:val="single" w:sz="4" w:space="0" w:color="auto"/>
            </w:tcBorders>
            <w:vAlign w:val="center"/>
          </w:tcPr>
          <w:p w14:paraId="2B80FC89" w14:textId="3951884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E64D20A" w14:textId="07E646E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7,200</w:t>
            </w:r>
          </w:p>
        </w:tc>
      </w:tr>
      <w:tr w:rsidR="00D006DC" w:rsidRPr="009423C3" w14:paraId="585250D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AB1097" w14:textId="283A61A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FENTON STRATEGIC COMMUNICATIONS PTY LTD</w:t>
            </w:r>
          </w:p>
        </w:tc>
        <w:tc>
          <w:tcPr>
            <w:tcW w:w="4096" w:type="dxa"/>
            <w:tcBorders>
              <w:top w:val="single" w:sz="4" w:space="0" w:color="auto"/>
              <w:bottom w:val="single" w:sz="4" w:space="0" w:color="auto"/>
            </w:tcBorders>
            <w:vAlign w:val="center"/>
          </w:tcPr>
          <w:p w14:paraId="61A87507" w14:textId="62C1592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169E7745" w14:textId="2E85EEF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110,680</w:t>
            </w:r>
          </w:p>
        </w:tc>
      </w:tr>
      <w:tr w:rsidR="00D006DC" w:rsidRPr="009423C3" w14:paraId="3D390AE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F4C3A3" w14:textId="632CF2E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FINSBURY GREEN PTY LTD</w:t>
            </w:r>
          </w:p>
        </w:tc>
        <w:tc>
          <w:tcPr>
            <w:tcW w:w="4096" w:type="dxa"/>
            <w:tcBorders>
              <w:top w:val="single" w:sz="4" w:space="0" w:color="auto"/>
              <w:bottom w:val="single" w:sz="4" w:space="0" w:color="auto"/>
            </w:tcBorders>
            <w:vAlign w:val="center"/>
          </w:tcPr>
          <w:p w14:paraId="11023B81" w14:textId="4E6FC08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1DB17DEF" w14:textId="303A5D8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79,360</w:t>
            </w:r>
          </w:p>
        </w:tc>
      </w:tr>
      <w:tr w:rsidR="00D006DC" w:rsidRPr="009423C3" w14:paraId="4594545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063E18F" w14:textId="4A23C7E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FIONA GRAY CREATIVE</w:t>
            </w:r>
          </w:p>
        </w:tc>
        <w:tc>
          <w:tcPr>
            <w:tcW w:w="4096" w:type="dxa"/>
            <w:tcBorders>
              <w:top w:val="single" w:sz="4" w:space="0" w:color="auto"/>
              <w:bottom w:val="single" w:sz="4" w:space="0" w:color="auto"/>
            </w:tcBorders>
            <w:vAlign w:val="center"/>
          </w:tcPr>
          <w:p w14:paraId="22D11A25" w14:textId="59B804E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AE4C632" w14:textId="03A065D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22,450</w:t>
            </w:r>
          </w:p>
        </w:tc>
      </w:tr>
      <w:tr w:rsidR="00D006DC" w:rsidRPr="009423C3" w14:paraId="612C8C1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6736D55" w14:textId="3B708A4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FISCHER'S CLEANING PTY. LTD.</w:t>
            </w:r>
          </w:p>
        </w:tc>
        <w:tc>
          <w:tcPr>
            <w:tcW w:w="4096" w:type="dxa"/>
            <w:tcBorders>
              <w:top w:val="single" w:sz="4" w:space="0" w:color="auto"/>
              <w:bottom w:val="single" w:sz="4" w:space="0" w:color="auto"/>
            </w:tcBorders>
            <w:vAlign w:val="center"/>
          </w:tcPr>
          <w:p w14:paraId="753641C6" w14:textId="4DD1DCB3"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D863859" w14:textId="03B38C0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1,689</w:t>
            </w:r>
          </w:p>
        </w:tc>
      </w:tr>
      <w:tr w:rsidR="00D006DC" w:rsidRPr="009423C3" w14:paraId="74A4EDC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5064AEF" w14:textId="1A1075B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FISHEYE PTY LTD</w:t>
            </w:r>
          </w:p>
        </w:tc>
        <w:tc>
          <w:tcPr>
            <w:tcW w:w="4096" w:type="dxa"/>
            <w:tcBorders>
              <w:top w:val="single" w:sz="4" w:space="0" w:color="auto"/>
              <w:bottom w:val="single" w:sz="4" w:space="0" w:color="auto"/>
            </w:tcBorders>
            <w:vAlign w:val="center"/>
          </w:tcPr>
          <w:p w14:paraId="5D7575BC" w14:textId="047FA5C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7E328F00" w14:textId="30085A2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4,745</w:t>
            </w:r>
          </w:p>
        </w:tc>
      </w:tr>
      <w:tr w:rsidR="00D006DC" w:rsidRPr="009423C3" w14:paraId="2DB1CF8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643ECF2" w14:textId="4B784CB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FKA CHILDRENS SERVICES INC</w:t>
            </w:r>
          </w:p>
        </w:tc>
        <w:tc>
          <w:tcPr>
            <w:tcW w:w="4096" w:type="dxa"/>
            <w:tcBorders>
              <w:top w:val="single" w:sz="4" w:space="0" w:color="auto"/>
              <w:bottom w:val="single" w:sz="4" w:space="0" w:color="auto"/>
            </w:tcBorders>
            <w:vAlign w:val="center"/>
          </w:tcPr>
          <w:p w14:paraId="26E5FC86" w14:textId="6124A0B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01556DA" w14:textId="55364CD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754,055</w:t>
            </w:r>
          </w:p>
        </w:tc>
      </w:tr>
      <w:tr w:rsidR="00D006DC" w:rsidRPr="009423C3" w14:paraId="0479A6A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740C59" w14:textId="1F2ED5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FLINDERS UNIVERSITY OF SOUTH AUSTRALIA</w:t>
            </w:r>
          </w:p>
        </w:tc>
        <w:tc>
          <w:tcPr>
            <w:tcW w:w="4096" w:type="dxa"/>
            <w:tcBorders>
              <w:top w:val="single" w:sz="4" w:space="0" w:color="auto"/>
              <w:bottom w:val="single" w:sz="4" w:space="0" w:color="auto"/>
            </w:tcBorders>
            <w:vAlign w:val="center"/>
          </w:tcPr>
          <w:p w14:paraId="140A67AF" w14:textId="62BECA6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E3864A3" w14:textId="4C68C64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31,555</w:t>
            </w:r>
          </w:p>
        </w:tc>
      </w:tr>
      <w:tr w:rsidR="00D006DC" w:rsidRPr="009423C3" w14:paraId="77B98DB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9FBC5DD" w14:textId="6A8ACC2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FLOURISHING MINDS CONSULTING</w:t>
            </w:r>
          </w:p>
        </w:tc>
        <w:tc>
          <w:tcPr>
            <w:tcW w:w="4096" w:type="dxa"/>
            <w:tcBorders>
              <w:top w:val="single" w:sz="4" w:space="0" w:color="auto"/>
              <w:bottom w:val="single" w:sz="4" w:space="0" w:color="auto"/>
            </w:tcBorders>
            <w:vAlign w:val="center"/>
          </w:tcPr>
          <w:p w14:paraId="5AE27DA9" w14:textId="69C80A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DFB9616" w14:textId="3A5071B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2,150</w:t>
            </w:r>
          </w:p>
        </w:tc>
      </w:tr>
      <w:tr w:rsidR="00D006DC" w:rsidRPr="009423C3" w14:paraId="37DBFEA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47EFA34" w14:textId="3B28364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FOCUSED FUTURE</w:t>
            </w:r>
          </w:p>
        </w:tc>
        <w:tc>
          <w:tcPr>
            <w:tcW w:w="4096" w:type="dxa"/>
            <w:tcBorders>
              <w:top w:val="single" w:sz="4" w:space="0" w:color="auto"/>
              <w:bottom w:val="single" w:sz="4" w:space="0" w:color="auto"/>
            </w:tcBorders>
            <w:vAlign w:val="center"/>
          </w:tcPr>
          <w:p w14:paraId="36516A71" w14:textId="10B71AB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C6D4AD0" w14:textId="5B89691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4,680</w:t>
            </w:r>
          </w:p>
        </w:tc>
      </w:tr>
      <w:tr w:rsidR="00D006DC" w:rsidRPr="009423C3" w14:paraId="0767C76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DC44414" w14:textId="4190E2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FRAM MARIE</w:t>
            </w:r>
          </w:p>
        </w:tc>
        <w:tc>
          <w:tcPr>
            <w:tcW w:w="4096" w:type="dxa"/>
            <w:tcBorders>
              <w:top w:val="single" w:sz="4" w:space="0" w:color="auto"/>
              <w:bottom w:val="single" w:sz="4" w:space="0" w:color="auto"/>
            </w:tcBorders>
            <w:vAlign w:val="center"/>
          </w:tcPr>
          <w:p w14:paraId="3D7461B9" w14:textId="6E4993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4D5C15C" w14:textId="17A5F38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46,871</w:t>
            </w:r>
          </w:p>
        </w:tc>
      </w:tr>
      <w:tr w:rsidR="00D006DC" w:rsidRPr="009423C3" w14:paraId="51F3268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358AFBA" w14:textId="547C5F2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FRANK OBERKLAID</w:t>
            </w:r>
          </w:p>
        </w:tc>
        <w:tc>
          <w:tcPr>
            <w:tcW w:w="4096" w:type="dxa"/>
            <w:tcBorders>
              <w:top w:val="single" w:sz="4" w:space="0" w:color="auto"/>
              <w:bottom w:val="single" w:sz="4" w:space="0" w:color="auto"/>
            </w:tcBorders>
            <w:vAlign w:val="center"/>
          </w:tcPr>
          <w:p w14:paraId="6C5A4417" w14:textId="425C391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DF3182C" w14:textId="6706BE8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3,150</w:t>
            </w:r>
          </w:p>
        </w:tc>
      </w:tr>
      <w:tr w:rsidR="00D006DC" w:rsidRPr="009423C3" w14:paraId="25EB349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19DB03" w14:textId="08C75FF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FRENCHAMS GROUP</w:t>
            </w:r>
          </w:p>
        </w:tc>
        <w:tc>
          <w:tcPr>
            <w:tcW w:w="4096" w:type="dxa"/>
            <w:tcBorders>
              <w:top w:val="single" w:sz="4" w:space="0" w:color="auto"/>
              <w:bottom w:val="single" w:sz="4" w:space="0" w:color="auto"/>
            </w:tcBorders>
            <w:vAlign w:val="center"/>
          </w:tcPr>
          <w:p w14:paraId="12F3F75B" w14:textId="63B8447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34651BE0" w14:textId="2F267D1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34,909</w:t>
            </w:r>
          </w:p>
        </w:tc>
      </w:tr>
      <w:tr w:rsidR="00D006DC" w:rsidRPr="009423C3" w14:paraId="530BDE0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B4D8B5A" w14:textId="729AA81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FUEL AGENCY PTY LTD</w:t>
            </w:r>
          </w:p>
        </w:tc>
        <w:tc>
          <w:tcPr>
            <w:tcW w:w="4096" w:type="dxa"/>
            <w:tcBorders>
              <w:top w:val="single" w:sz="4" w:space="0" w:color="auto"/>
              <w:bottom w:val="single" w:sz="4" w:space="0" w:color="auto"/>
            </w:tcBorders>
            <w:vAlign w:val="center"/>
          </w:tcPr>
          <w:p w14:paraId="78E7D741" w14:textId="32302D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139D777" w14:textId="7D50BCA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34,711</w:t>
            </w:r>
          </w:p>
        </w:tc>
      </w:tr>
      <w:tr w:rsidR="00D006DC" w:rsidRPr="009423C3" w14:paraId="0CED9DD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95083E4" w14:textId="1D6286F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FUJITSU AUSTRALIA LTD</w:t>
            </w:r>
          </w:p>
        </w:tc>
        <w:tc>
          <w:tcPr>
            <w:tcW w:w="4096" w:type="dxa"/>
            <w:tcBorders>
              <w:top w:val="single" w:sz="4" w:space="0" w:color="auto"/>
              <w:bottom w:val="single" w:sz="4" w:space="0" w:color="auto"/>
            </w:tcBorders>
            <w:vAlign w:val="center"/>
          </w:tcPr>
          <w:p w14:paraId="70E065CB" w14:textId="0C288D9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6BADFDC7" w14:textId="0FC67AB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860,900</w:t>
            </w:r>
          </w:p>
        </w:tc>
      </w:tr>
      <w:tr w:rsidR="00D006DC" w:rsidRPr="009423C3" w14:paraId="2EB9A47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2CC7C1A" w14:textId="4C5EA2A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FUSESPORT PTY LTD</w:t>
            </w:r>
          </w:p>
        </w:tc>
        <w:tc>
          <w:tcPr>
            <w:tcW w:w="4096" w:type="dxa"/>
            <w:tcBorders>
              <w:top w:val="single" w:sz="4" w:space="0" w:color="auto"/>
              <w:bottom w:val="single" w:sz="4" w:space="0" w:color="auto"/>
            </w:tcBorders>
            <w:vAlign w:val="center"/>
          </w:tcPr>
          <w:p w14:paraId="49C199C2" w14:textId="6593019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33476AE" w14:textId="53B1C42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19,636</w:t>
            </w:r>
          </w:p>
        </w:tc>
      </w:tr>
      <w:tr w:rsidR="00D006DC" w:rsidRPr="009423C3" w14:paraId="51440C4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2E72600" w14:textId="65BF812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GARTNER AUSTRALASIA PTY LTD</w:t>
            </w:r>
          </w:p>
        </w:tc>
        <w:tc>
          <w:tcPr>
            <w:tcW w:w="4096" w:type="dxa"/>
            <w:tcBorders>
              <w:top w:val="single" w:sz="4" w:space="0" w:color="auto"/>
              <w:bottom w:val="single" w:sz="4" w:space="0" w:color="auto"/>
            </w:tcBorders>
            <w:vAlign w:val="center"/>
          </w:tcPr>
          <w:p w14:paraId="18A98D64" w14:textId="7ECBC0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BA2026E" w14:textId="69A7420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17,550</w:t>
            </w:r>
          </w:p>
        </w:tc>
      </w:tr>
      <w:tr w:rsidR="00D006DC" w:rsidRPr="009423C3" w14:paraId="3BD925C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A97E339" w14:textId="509C1D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GAUNT BRIAN</w:t>
            </w:r>
          </w:p>
        </w:tc>
        <w:tc>
          <w:tcPr>
            <w:tcW w:w="4096" w:type="dxa"/>
            <w:tcBorders>
              <w:top w:val="single" w:sz="4" w:space="0" w:color="auto"/>
              <w:bottom w:val="single" w:sz="4" w:space="0" w:color="auto"/>
            </w:tcBorders>
            <w:vAlign w:val="center"/>
          </w:tcPr>
          <w:p w14:paraId="6FF4DCF8" w14:textId="1027318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FCDF914" w14:textId="4AA3A01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81,748</w:t>
            </w:r>
          </w:p>
        </w:tc>
      </w:tr>
      <w:tr w:rsidR="00D006DC" w:rsidRPr="009423C3" w14:paraId="5605533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48BB910" w14:textId="02419E5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GEL EVENTS PTY LTD</w:t>
            </w:r>
          </w:p>
        </w:tc>
        <w:tc>
          <w:tcPr>
            <w:tcW w:w="4096" w:type="dxa"/>
            <w:tcBorders>
              <w:top w:val="single" w:sz="4" w:space="0" w:color="auto"/>
              <w:bottom w:val="single" w:sz="4" w:space="0" w:color="auto"/>
            </w:tcBorders>
            <w:vAlign w:val="center"/>
          </w:tcPr>
          <w:p w14:paraId="4F4745E5" w14:textId="2A63955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C514D09" w14:textId="496422F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10,709</w:t>
            </w:r>
          </w:p>
        </w:tc>
      </w:tr>
      <w:tr w:rsidR="00D006DC" w:rsidRPr="009423C3" w14:paraId="28100C6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5567C6A" w14:textId="219F173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GEMMA CECILIA VARLEY</w:t>
            </w:r>
          </w:p>
        </w:tc>
        <w:tc>
          <w:tcPr>
            <w:tcW w:w="4096" w:type="dxa"/>
            <w:tcBorders>
              <w:top w:val="single" w:sz="4" w:space="0" w:color="auto"/>
              <w:bottom w:val="single" w:sz="4" w:space="0" w:color="auto"/>
            </w:tcBorders>
            <w:vAlign w:val="center"/>
          </w:tcPr>
          <w:p w14:paraId="01EFA5A9" w14:textId="6F4B0BA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1B2EBE1" w14:textId="2D0BAC2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5,000</w:t>
            </w:r>
          </w:p>
        </w:tc>
      </w:tr>
      <w:tr w:rsidR="00D006DC" w:rsidRPr="009423C3" w14:paraId="0B3F8FA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AB7B677" w14:textId="33D78ED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GENOS INTERNATIONAL PTY LTD</w:t>
            </w:r>
          </w:p>
        </w:tc>
        <w:tc>
          <w:tcPr>
            <w:tcW w:w="4096" w:type="dxa"/>
            <w:tcBorders>
              <w:top w:val="single" w:sz="4" w:space="0" w:color="auto"/>
              <w:bottom w:val="single" w:sz="4" w:space="0" w:color="auto"/>
            </w:tcBorders>
            <w:vAlign w:val="center"/>
          </w:tcPr>
          <w:p w14:paraId="44DFA2CF" w14:textId="59112627"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75C626" w14:textId="11CF96A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239,210</w:t>
            </w:r>
          </w:p>
        </w:tc>
      </w:tr>
      <w:tr w:rsidR="00D006DC" w:rsidRPr="009423C3" w14:paraId="74EF57E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0779A98" w14:textId="63D443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GEOPLEX PTY LTD</w:t>
            </w:r>
          </w:p>
        </w:tc>
        <w:tc>
          <w:tcPr>
            <w:tcW w:w="4096" w:type="dxa"/>
            <w:tcBorders>
              <w:top w:val="single" w:sz="4" w:space="0" w:color="auto"/>
              <w:bottom w:val="single" w:sz="4" w:space="0" w:color="auto"/>
            </w:tcBorders>
            <w:vAlign w:val="center"/>
          </w:tcPr>
          <w:p w14:paraId="27727C48" w14:textId="7A3EEB3C"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6E169F6F" w14:textId="2377517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38,173</w:t>
            </w:r>
          </w:p>
        </w:tc>
      </w:tr>
      <w:tr w:rsidR="00D006DC" w:rsidRPr="009423C3" w14:paraId="41391FD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0B9554" w14:textId="337D2E9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G-FORCE RECRUITMENT LTD</w:t>
            </w:r>
          </w:p>
        </w:tc>
        <w:tc>
          <w:tcPr>
            <w:tcW w:w="4096" w:type="dxa"/>
            <w:tcBorders>
              <w:top w:val="single" w:sz="4" w:space="0" w:color="auto"/>
              <w:bottom w:val="single" w:sz="4" w:space="0" w:color="auto"/>
            </w:tcBorders>
            <w:vAlign w:val="center"/>
          </w:tcPr>
          <w:p w14:paraId="606C86B7" w14:textId="6470B04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E78F418" w14:textId="52270C0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11,754</w:t>
            </w:r>
          </w:p>
        </w:tc>
      </w:tr>
      <w:tr w:rsidR="00D006DC" w:rsidRPr="009423C3" w14:paraId="0F4B943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787AD96" w14:textId="3F043A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GHIRARDELLO MARIE</w:t>
            </w:r>
          </w:p>
        </w:tc>
        <w:tc>
          <w:tcPr>
            <w:tcW w:w="4096" w:type="dxa"/>
            <w:tcBorders>
              <w:top w:val="single" w:sz="4" w:space="0" w:color="auto"/>
              <w:bottom w:val="single" w:sz="4" w:space="0" w:color="auto"/>
            </w:tcBorders>
            <w:vAlign w:val="center"/>
          </w:tcPr>
          <w:p w14:paraId="3B1B2098" w14:textId="18B398F9"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1ABE3D8A" w14:textId="69B2B78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23,631</w:t>
            </w:r>
          </w:p>
        </w:tc>
      </w:tr>
      <w:tr w:rsidR="00D006DC" w:rsidRPr="009423C3" w14:paraId="13B0EB4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18143CA" w14:textId="0838CC2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GILBY LISA MAREE</w:t>
            </w:r>
          </w:p>
        </w:tc>
        <w:tc>
          <w:tcPr>
            <w:tcW w:w="4096" w:type="dxa"/>
            <w:tcBorders>
              <w:top w:val="single" w:sz="4" w:space="0" w:color="auto"/>
              <w:bottom w:val="single" w:sz="4" w:space="0" w:color="auto"/>
            </w:tcBorders>
            <w:vAlign w:val="center"/>
          </w:tcPr>
          <w:p w14:paraId="37127F5D" w14:textId="05FCE0E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BACEA9A" w14:textId="514C53C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16,364</w:t>
            </w:r>
          </w:p>
        </w:tc>
      </w:tr>
      <w:tr w:rsidR="00D006DC" w:rsidRPr="009423C3" w14:paraId="0C2F76A9" w14:textId="77777777" w:rsidTr="001244A4">
        <w:trPr>
          <w:cantSplit/>
          <w:trHeight w:val="353"/>
        </w:trPr>
        <w:tc>
          <w:tcPr>
            <w:tcW w:w="3823" w:type="dxa"/>
            <w:tcBorders>
              <w:top w:val="single" w:sz="4" w:space="0" w:color="auto"/>
              <w:bottom w:val="single" w:sz="4" w:space="0" w:color="auto"/>
            </w:tcBorders>
            <w:shd w:val="clear" w:color="auto" w:fill="auto"/>
          </w:tcPr>
          <w:p w14:paraId="053F4B74" w14:textId="783802E3"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GLINTECH</w:t>
            </w:r>
          </w:p>
        </w:tc>
        <w:tc>
          <w:tcPr>
            <w:tcW w:w="4096" w:type="dxa"/>
            <w:tcBorders>
              <w:top w:val="single" w:sz="4" w:space="0" w:color="auto"/>
              <w:bottom w:val="single" w:sz="4" w:space="0" w:color="auto"/>
            </w:tcBorders>
          </w:tcPr>
          <w:p w14:paraId="683E6540" w14:textId="17D3C4B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CBF265C" w14:textId="322F4D52"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27,723</w:t>
            </w:r>
          </w:p>
        </w:tc>
      </w:tr>
      <w:tr w:rsidR="00D006DC" w:rsidRPr="009423C3" w14:paraId="18BE4DF8" w14:textId="77777777" w:rsidTr="001244A4">
        <w:trPr>
          <w:cantSplit/>
          <w:trHeight w:val="353"/>
        </w:trPr>
        <w:tc>
          <w:tcPr>
            <w:tcW w:w="3823" w:type="dxa"/>
            <w:tcBorders>
              <w:top w:val="single" w:sz="4" w:space="0" w:color="auto"/>
              <w:bottom w:val="single" w:sz="4" w:space="0" w:color="auto"/>
            </w:tcBorders>
            <w:shd w:val="clear" w:color="auto" w:fill="auto"/>
          </w:tcPr>
          <w:p w14:paraId="13E7DFB4" w14:textId="5BB6014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GLOBAL SPEECH NETWORKS PTY LTD</w:t>
            </w:r>
          </w:p>
        </w:tc>
        <w:tc>
          <w:tcPr>
            <w:tcW w:w="4096" w:type="dxa"/>
            <w:tcBorders>
              <w:top w:val="single" w:sz="4" w:space="0" w:color="auto"/>
              <w:bottom w:val="single" w:sz="4" w:space="0" w:color="auto"/>
            </w:tcBorders>
          </w:tcPr>
          <w:p w14:paraId="417DB99B" w14:textId="705BED5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F465883" w14:textId="11ADEA32"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46,554</w:t>
            </w:r>
          </w:p>
        </w:tc>
      </w:tr>
      <w:tr w:rsidR="00D006DC" w:rsidRPr="009423C3" w14:paraId="76DD2900" w14:textId="77777777" w:rsidTr="001244A4">
        <w:trPr>
          <w:cantSplit/>
          <w:trHeight w:val="353"/>
        </w:trPr>
        <w:tc>
          <w:tcPr>
            <w:tcW w:w="3823" w:type="dxa"/>
            <w:tcBorders>
              <w:top w:val="single" w:sz="4" w:space="0" w:color="auto"/>
              <w:bottom w:val="single" w:sz="4" w:space="0" w:color="auto"/>
            </w:tcBorders>
            <w:shd w:val="clear" w:color="auto" w:fill="auto"/>
          </w:tcPr>
          <w:p w14:paraId="57C1D54B" w14:textId="57FE38B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GML HERITAGE VICTORIA PTY LTD</w:t>
            </w:r>
          </w:p>
        </w:tc>
        <w:tc>
          <w:tcPr>
            <w:tcW w:w="4096" w:type="dxa"/>
            <w:tcBorders>
              <w:top w:val="single" w:sz="4" w:space="0" w:color="auto"/>
              <w:bottom w:val="single" w:sz="4" w:space="0" w:color="auto"/>
            </w:tcBorders>
          </w:tcPr>
          <w:p w14:paraId="422092E9" w14:textId="4ED3637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76B0C75D" w14:textId="1E9B4D35"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22,694</w:t>
            </w:r>
          </w:p>
        </w:tc>
      </w:tr>
      <w:tr w:rsidR="00D006DC" w:rsidRPr="009423C3" w14:paraId="7E9613C8" w14:textId="77777777" w:rsidTr="001244A4">
        <w:trPr>
          <w:cantSplit/>
          <w:trHeight w:val="353"/>
        </w:trPr>
        <w:tc>
          <w:tcPr>
            <w:tcW w:w="3823" w:type="dxa"/>
            <w:tcBorders>
              <w:top w:val="single" w:sz="4" w:space="0" w:color="auto"/>
              <w:bottom w:val="single" w:sz="4" w:space="0" w:color="auto"/>
            </w:tcBorders>
            <w:shd w:val="clear" w:color="auto" w:fill="auto"/>
          </w:tcPr>
          <w:p w14:paraId="1D7AECB3" w14:textId="46EDAB9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GOOD EDUCATION GROUP PTY LTD</w:t>
            </w:r>
          </w:p>
        </w:tc>
        <w:tc>
          <w:tcPr>
            <w:tcW w:w="4096" w:type="dxa"/>
            <w:tcBorders>
              <w:top w:val="single" w:sz="4" w:space="0" w:color="auto"/>
              <w:bottom w:val="single" w:sz="4" w:space="0" w:color="auto"/>
            </w:tcBorders>
          </w:tcPr>
          <w:p w14:paraId="0FD740B5" w14:textId="4ED3FCCE"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auto"/>
              <w:bottom w:val="single" w:sz="4" w:space="0" w:color="auto"/>
            </w:tcBorders>
            <w:shd w:val="clear" w:color="auto" w:fill="auto"/>
          </w:tcPr>
          <w:p w14:paraId="4FDA23A3" w14:textId="7A3FF978"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6,000</w:t>
            </w:r>
          </w:p>
        </w:tc>
      </w:tr>
      <w:tr w:rsidR="00D006DC" w:rsidRPr="009423C3" w14:paraId="6CF45322" w14:textId="77777777" w:rsidTr="001244A4">
        <w:trPr>
          <w:cantSplit/>
          <w:trHeight w:val="353"/>
        </w:trPr>
        <w:tc>
          <w:tcPr>
            <w:tcW w:w="3823" w:type="dxa"/>
            <w:tcBorders>
              <w:top w:val="single" w:sz="4" w:space="0" w:color="auto"/>
              <w:bottom w:val="single" w:sz="4" w:space="0" w:color="auto"/>
            </w:tcBorders>
            <w:shd w:val="clear" w:color="auto" w:fill="auto"/>
          </w:tcPr>
          <w:p w14:paraId="5E81CB40" w14:textId="03525DC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GORDON INSTITUTE OF TAFE (GEELONG)</w:t>
            </w:r>
          </w:p>
        </w:tc>
        <w:tc>
          <w:tcPr>
            <w:tcW w:w="4096" w:type="dxa"/>
            <w:tcBorders>
              <w:top w:val="single" w:sz="4" w:space="0" w:color="auto"/>
              <w:bottom w:val="single" w:sz="4" w:space="0" w:color="auto"/>
            </w:tcBorders>
          </w:tcPr>
          <w:p w14:paraId="345F5029" w14:textId="09E3F4B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4792FCAD" w14:textId="092F88B2"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770,575</w:t>
            </w:r>
          </w:p>
        </w:tc>
      </w:tr>
      <w:tr w:rsidR="00D006DC" w:rsidRPr="009423C3" w14:paraId="36D88C8C" w14:textId="77777777" w:rsidTr="001244A4">
        <w:trPr>
          <w:cantSplit/>
          <w:trHeight w:val="353"/>
        </w:trPr>
        <w:tc>
          <w:tcPr>
            <w:tcW w:w="3823" w:type="dxa"/>
            <w:tcBorders>
              <w:top w:val="single" w:sz="4" w:space="0" w:color="auto"/>
              <w:bottom w:val="single" w:sz="4" w:space="0" w:color="auto"/>
            </w:tcBorders>
            <w:shd w:val="clear" w:color="auto" w:fill="auto"/>
          </w:tcPr>
          <w:p w14:paraId="74263AD5" w14:textId="7F9BBCF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GORDON ROB</w:t>
            </w:r>
          </w:p>
        </w:tc>
        <w:tc>
          <w:tcPr>
            <w:tcW w:w="4096" w:type="dxa"/>
            <w:tcBorders>
              <w:top w:val="single" w:sz="4" w:space="0" w:color="auto"/>
              <w:bottom w:val="single" w:sz="4" w:space="0" w:color="auto"/>
            </w:tcBorders>
          </w:tcPr>
          <w:p w14:paraId="79ABE467" w14:textId="14AD360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52663A54" w14:textId="53FED634"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22,350</w:t>
            </w:r>
          </w:p>
        </w:tc>
      </w:tr>
      <w:tr w:rsidR="00D006DC" w:rsidRPr="009423C3" w14:paraId="09DBC22E" w14:textId="77777777" w:rsidTr="001244A4">
        <w:trPr>
          <w:cantSplit/>
          <w:trHeight w:val="353"/>
        </w:trPr>
        <w:tc>
          <w:tcPr>
            <w:tcW w:w="3823" w:type="dxa"/>
            <w:tcBorders>
              <w:top w:val="single" w:sz="4" w:space="0" w:color="auto"/>
              <w:bottom w:val="single" w:sz="4" w:space="0" w:color="auto"/>
            </w:tcBorders>
            <w:shd w:val="clear" w:color="auto" w:fill="auto"/>
          </w:tcPr>
          <w:p w14:paraId="2C949D25" w14:textId="726C680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GRAEME GEORGE RUSSELL</w:t>
            </w:r>
          </w:p>
        </w:tc>
        <w:tc>
          <w:tcPr>
            <w:tcW w:w="4096" w:type="dxa"/>
            <w:tcBorders>
              <w:top w:val="single" w:sz="4" w:space="0" w:color="auto"/>
              <w:bottom w:val="single" w:sz="4" w:space="0" w:color="auto"/>
            </w:tcBorders>
          </w:tcPr>
          <w:p w14:paraId="5C5D5674" w14:textId="43E0886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3CA7AF5" w14:textId="17DE7F03"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2,383</w:t>
            </w:r>
          </w:p>
        </w:tc>
      </w:tr>
      <w:tr w:rsidR="00D006DC" w:rsidRPr="009423C3" w14:paraId="622E9C28" w14:textId="77777777" w:rsidTr="001244A4">
        <w:trPr>
          <w:cantSplit/>
          <w:trHeight w:val="353"/>
        </w:trPr>
        <w:tc>
          <w:tcPr>
            <w:tcW w:w="3823" w:type="dxa"/>
            <w:tcBorders>
              <w:top w:val="single" w:sz="4" w:space="0" w:color="auto"/>
              <w:bottom w:val="single" w:sz="4" w:space="0" w:color="auto"/>
            </w:tcBorders>
            <w:shd w:val="clear" w:color="auto" w:fill="auto"/>
          </w:tcPr>
          <w:p w14:paraId="4EB50287" w14:textId="4DBB5F8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GRAEME INNES</w:t>
            </w:r>
          </w:p>
        </w:tc>
        <w:tc>
          <w:tcPr>
            <w:tcW w:w="4096" w:type="dxa"/>
            <w:tcBorders>
              <w:top w:val="single" w:sz="4" w:space="0" w:color="auto"/>
              <w:bottom w:val="single" w:sz="4" w:space="0" w:color="auto"/>
            </w:tcBorders>
          </w:tcPr>
          <w:p w14:paraId="112EC824" w14:textId="284C4B7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4AC0D16A" w14:textId="11F78EB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6,764</w:t>
            </w:r>
          </w:p>
        </w:tc>
      </w:tr>
      <w:tr w:rsidR="00D006DC" w:rsidRPr="009423C3" w14:paraId="2F9B4E6B" w14:textId="77777777" w:rsidTr="001244A4">
        <w:trPr>
          <w:cantSplit/>
          <w:trHeight w:val="353"/>
        </w:trPr>
        <w:tc>
          <w:tcPr>
            <w:tcW w:w="3823" w:type="dxa"/>
            <w:tcBorders>
              <w:top w:val="single" w:sz="4" w:space="0" w:color="auto"/>
              <w:bottom w:val="single" w:sz="4" w:space="0" w:color="auto"/>
            </w:tcBorders>
            <w:shd w:val="clear" w:color="auto" w:fill="auto"/>
          </w:tcPr>
          <w:p w14:paraId="3129A3C4" w14:textId="6129BED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GRANT BRENDON COOPER</w:t>
            </w:r>
          </w:p>
        </w:tc>
        <w:tc>
          <w:tcPr>
            <w:tcW w:w="4096" w:type="dxa"/>
            <w:tcBorders>
              <w:top w:val="single" w:sz="4" w:space="0" w:color="auto"/>
              <w:bottom w:val="single" w:sz="4" w:space="0" w:color="auto"/>
            </w:tcBorders>
          </w:tcPr>
          <w:p w14:paraId="257C6BFF" w14:textId="198B343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147EEA7" w14:textId="0C5E1FD5"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9,068</w:t>
            </w:r>
          </w:p>
        </w:tc>
      </w:tr>
      <w:tr w:rsidR="00D006DC" w:rsidRPr="009423C3" w14:paraId="735C40EC" w14:textId="77777777" w:rsidTr="001244A4">
        <w:trPr>
          <w:cantSplit/>
          <w:trHeight w:val="353"/>
        </w:trPr>
        <w:tc>
          <w:tcPr>
            <w:tcW w:w="3823" w:type="dxa"/>
            <w:tcBorders>
              <w:top w:val="single" w:sz="4" w:space="0" w:color="auto"/>
              <w:bottom w:val="single" w:sz="4" w:space="0" w:color="auto"/>
            </w:tcBorders>
            <w:shd w:val="clear" w:color="auto" w:fill="auto"/>
          </w:tcPr>
          <w:p w14:paraId="741C18DD" w14:textId="11F7F4A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GRANT THORNTON AUSTRALIA LTD</w:t>
            </w:r>
          </w:p>
        </w:tc>
        <w:tc>
          <w:tcPr>
            <w:tcW w:w="4096" w:type="dxa"/>
            <w:tcBorders>
              <w:top w:val="single" w:sz="4" w:space="0" w:color="auto"/>
              <w:bottom w:val="single" w:sz="4" w:space="0" w:color="auto"/>
            </w:tcBorders>
          </w:tcPr>
          <w:p w14:paraId="74F2C6C0" w14:textId="7071DFC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auto"/>
              <w:bottom w:val="single" w:sz="4" w:space="0" w:color="auto"/>
            </w:tcBorders>
            <w:shd w:val="clear" w:color="auto" w:fill="auto"/>
          </w:tcPr>
          <w:p w14:paraId="20BFA651" w14:textId="5BA26361"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35,230</w:t>
            </w:r>
          </w:p>
        </w:tc>
      </w:tr>
      <w:tr w:rsidR="00D006DC" w:rsidRPr="009423C3" w14:paraId="48C2044B" w14:textId="77777777" w:rsidTr="001244A4">
        <w:trPr>
          <w:cantSplit/>
          <w:trHeight w:val="353"/>
        </w:trPr>
        <w:tc>
          <w:tcPr>
            <w:tcW w:w="3823" w:type="dxa"/>
            <w:tcBorders>
              <w:top w:val="single" w:sz="4" w:space="0" w:color="auto"/>
              <w:bottom w:val="single" w:sz="4" w:space="0" w:color="auto"/>
            </w:tcBorders>
            <w:shd w:val="clear" w:color="auto" w:fill="auto"/>
          </w:tcPr>
          <w:p w14:paraId="35339339" w14:textId="7FCB5FC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GRATTAN INSTITUTE</w:t>
            </w:r>
          </w:p>
        </w:tc>
        <w:tc>
          <w:tcPr>
            <w:tcW w:w="4096" w:type="dxa"/>
            <w:tcBorders>
              <w:top w:val="single" w:sz="4" w:space="0" w:color="auto"/>
              <w:bottom w:val="single" w:sz="4" w:space="0" w:color="auto"/>
            </w:tcBorders>
          </w:tcPr>
          <w:p w14:paraId="16A3C45B" w14:textId="3825F91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23B097F3" w14:textId="23D27A6B"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4,091</w:t>
            </w:r>
          </w:p>
        </w:tc>
      </w:tr>
      <w:tr w:rsidR="00D006DC" w:rsidRPr="009423C3" w14:paraId="1F279A18" w14:textId="77777777" w:rsidTr="001244A4">
        <w:trPr>
          <w:cantSplit/>
          <w:trHeight w:val="353"/>
        </w:trPr>
        <w:tc>
          <w:tcPr>
            <w:tcW w:w="3823" w:type="dxa"/>
            <w:tcBorders>
              <w:top w:val="single" w:sz="4" w:space="0" w:color="auto"/>
              <w:bottom w:val="single" w:sz="4" w:space="0" w:color="auto"/>
            </w:tcBorders>
            <w:shd w:val="clear" w:color="auto" w:fill="auto"/>
          </w:tcPr>
          <w:p w14:paraId="562B81DE" w14:textId="5CAF2D2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GRAY PUKSAND PTY LTD</w:t>
            </w:r>
          </w:p>
        </w:tc>
        <w:tc>
          <w:tcPr>
            <w:tcW w:w="4096" w:type="dxa"/>
            <w:tcBorders>
              <w:top w:val="single" w:sz="4" w:space="0" w:color="auto"/>
              <w:bottom w:val="single" w:sz="4" w:space="0" w:color="auto"/>
            </w:tcBorders>
          </w:tcPr>
          <w:p w14:paraId="5E220C92" w14:textId="4763A8D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5B491E98" w14:textId="555186D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4,080</w:t>
            </w:r>
          </w:p>
        </w:tc>
      </w:tr>
      <w:tr w:rsidR="00D006DC" w:rsidRPr="009423C3" w14:paraId="5BE64AD1" w14:textId="77777777" w:rsidTr="001244A4">
        <w:trPr>
          <w:cantSplit/>
          <w:trHeight w:val="353"/>
        </w:trPr>
        <w:tc>
          <w:tcPr>
            <w:tcW w:w="3823" w:type="dxa"/>
            <w:tcBorders>
              <w:top w:val="single" w:sz="4" w:space="0" w:color="auto"/>
              <w:bottom w:val="single" w:sz="4" w:space="0" w:color="auto"/>
            </w:tcBorders>
            <w:shd w:val="clear" w:color="auto" w:fill="auto"/>
          </w:tcPr>
          <w:p w14:paraId="4D4F3B46" w14:textId="33ADCEA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GRIFFIN KERRY LEANNE</w:t>
            </w:r>
          </w:p>
        </w:tc>
        <w:tc>
          <w:tcPr>
            <w:tcW w:w="4096" w:type="dxa"/>
            <w:tcBorders>
              <w:top w:val="single" w:sz="4" w:space="0" w:color="auto"/>
              <w:bottom w:val="single" w:sz="4" w:space="0" w:color="auto"/>
            </w:tcBorders>
          </w:tcPr>
          <w:p w14:paraId="73A1BAE0" w14:textId="2DDE990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E8B2A66" w14:textId="4FA103F2"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31,948</w:t>
            </w:r>
          </w:p>
        </w:tc>
      </w:tr>
      <w:tr w:rsidR="00D006DC" w:rsidRPr="009423C3" w14:paraId="5E800C3E" w14:textId="77777777" w:rsidTr="001244A4">
        <w:trPr>
          <w:cantSplit/>
          <w:trHeight w:val="353"/>
        </w:trPr>
        <w:tc>
          <w:tcPr>
            <w:tcW w:w="3823" w:type="dxa"/>
            <w:tcBorders>
              <w:top w:val="single" w:sz="4" w:space="0" w:color="auto"/>
              <w:bottom w:val="single" w:sz="4" w:space="0" w:color="auto"/>
            </w:tcBorders>
            <w:shd w:val="clear" w:color="auto" w:fill="auto"/>
          </w:tcPr>
          <w:p w14:paraId="2CD123DF" w14:textId="6F213E6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GRIFFITH UNIVERSITY</w:t>
            </w:r>
          </w:p>
        </w:tc>
        <w:tc>
          <w:tcPr>
            <w:tcW w:w="4096" w:type="dxa"/>
            <w:tcBorders>
              <w:top w:val="single" w:sz="4" w:space="0" w:color="auto"/>
              <w:bottom w:val="single" w:sz="4" w:space="0" w:color="auto"/>
            </w:tcBorders>
          </w:tcPr>
          <w:p w14:paraId="6E59E3B9" w14:textId="6964711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9821584" w14:textId="4D53D161"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3,600</w:t>
            </w:r>
          </w:p>
        </w:tc>
      </w:tr>
      <w:tr w:rsidR="00D006DC" w:rsidRPr="009423C3" w14:paraId="4F68EEBF" w14:textId="77777777" w:rsidTr="001244A4">
        <w:trPr>
          <w:cantSplit/>
          <w:trHeight w:val="353"/>
        </w:trPr>
        <w:tc>
          <w:tcPr>
            <w:tcW w:w="3823" w:type="dxa"/>
            <w:tcBorders>
              <w:top w:val="single" w:sz="4" w:space="0" w:color="auto"/>
              <w:bottom w:val="single" w:sz="4" w:space="0" w:color="auto"/>
            </w:tcBorders>
            <w:shd w:val="clear" w:color="auto" w:fill="auto"/>
          </w:tcPr>
          <w:p w14:paraId="71629591" w14:textId="2394556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GROWTH COACHING INTERNATIONAL</w:t>
            </w:r>
          </w:p>
        </w:tc>
        <w:tc>
          <w:tcPr>
            <w:tcW w:w="4096" w:type="dxa"/>
            <w:tcBorders>
              <w:top w:val="single" w:sz="4" w:space="0" w:color="auto"/>
              <w:bottom w:val="single" w:sz="4" w:space="0" w:color="auto"/>
            </w:tcBorders>
          </w:tcPr>
          <w:p w14:paraId="6E10BCDB" w14:textId="2B917E54" w:rsidR="00D006DC" w:rsidRPr="008457E1" w:rsidRDefault="008C105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32A0E07" w14:textId="7CD98ED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379,850</w:t>
            </w:r>
          </w:p>
        </w:tc>
      </w:tr>
      <w:tr w:rsidR="00D006DC" w:rsidRPr="009423C3" w14:paraId="697CAB8C" w14:textId="77777777" w:rsidTr="001244A4">
        <w:trPr>
          <w:cantSplit/>
          <w:trHeight w:val="353"/>
        </w:trPr>
        <w:tc>
          <w:tcPr>
            <w:tcW w:w="3823" w:type="dxa"/>
            <w:tcBorders>
              <w:top w:val="single" w:sz="4" w:space="0" w:color="auto"/>
              <w:bottom w:val="single" w:sz="4" w:space="0" w:color="auto"/>
            </w:tcBorders>
            <w:shd w:val="clear" w:color="auto" w:fill="auto"/>
          </w:tcPr>
          <w:p w14:paraId="079BE4D1" w14:textId="4148AA63"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GUIDE DOGS VICTORIA</w:t>
            </w:r>
          </w:p>
        </w:tc>
        <w:tc>
          <w:tcPr>
            <w:tcW w:w="4096" w:type="dxa"/>
            <w:tcBorders>
              <w:top w:val="single" w:sz="4" w:space="0" w:color="auto"/>
              <w:bottom w:val="single" w:sz="4" w:space="0" w:color="auto"/>
            </w:tcBorders>
          </w:tcPr>
          <w:p w14:paraId="02A5C7B9" w14:textId="1BBD764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2CEBB49D" w14:textId="4E7035BF"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35,812</w:t>
            </w:r>
          </w:p>
        </w:tc>
      </w:tr>
      <w:tr w:rsidR="00D006DC" w:rsidRPr="009423C3" w14:paraId="3294BCEB" w14:textId="77777777" w:rsidTr="001244A4">
        <w:trPr>
          <w:cantSplit/>
          <w:trHeight w:val="353"/>
        </w:trPr>
        <w:tc>
          <w:tcPr>
            <w:tcW w:w="3823" w:type="dxa"/>
            <w:tcBorders>
              <w:top w:val="single" w:sz="4" w:space="0" w:color="auto"/>
              <w:bottom w:val="single" w:sz="4" w:space="0" w:color="auto"/>
            </w:tcBorders>
            <w:shd w:val="clear" w:color="auto" w:fill="auto"/>
          </w:tcPr>
          <w:p w14:paraId="6ECE19C2" w14:textId="41CACF0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GV DEVELOPMENTAL CLINIC PTY LTD</w:t>
            </w:r>
          </w:p>
        </w:tc>
        <w:tc>
          <w:tcPr>
            <w:tcW w:w="4096" w:type="dxa"/>
            <w:tcBorders>
              <w:top w:val="single" w:sz="4" w:space="0" w:color="auto"/>
              <w:bottom w:val="single" w:sz="4" w:space="0" w:color="auto"/>
            </w:tcBorders>
          </w:tcPr>
          <w:p w14:paraId="73BF2A00" w14:textId="1C7630C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7BB2C07" w14:textId="7D3A9404"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45,422</w:t>
            </w:r>
          </w:p>
        </w:tc>
      </w:tr>
      <w:tr w:rsidR="00D006DC" w:rsidRPr="009423C3" w14:paraId="0E11EA36" w14:textId="77777777" w:rsidTr="001244A4">
        <w:trPr>
          <w:cantSplit/>
          <w:trHeight w:val="353"/>
        </w:trPr>
        <w:tc>
          <w:tcPr>
            <w:tcW w:w="3823" w:type="dxa"/>
            <w:tcBorders>
              <w:top w:val="single" w:sz="4" w:space="0" w:color="auto"/>
              <w:bottom w:val="single" w:sz="4" w:space="0" w:color="auto"/>
            </w:tcBorders>
            <w:shd w:val="clear" w:color="auto" w:fill="auto"/>
          </w:tcPr>
          <w:p w14:paraId="0F205BF1" w14:textId="4B4D471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HAMILTON LORETTA ANNE</w:t>
            </w:r>
          </w:p>
        </w:tc>
        <w:tc>
          <w:tcPr>
            <w:tcW w:w="4096" w:type="dxa"/>
            <w:tcBorders>
              <w:top w:val="single" w:sz="4" w:space="0" w:color="auto"/>
              <w:bottom w:val="single" w:sz="4" w:space="0" w:color="auto"/>
            </w:tcBorders>
          </w:tcPr>
          <w:p w14:paraId="6773D47C" w14:textId="6EAD8EC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1AB9221" w14:textId="134B5C6F"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6,000</w:t>
            </w:r>
          </w:p>
        </w:tc>
      </w:tr>
      <w:tr w:rsidR="00D006DC" w:rsidRPr="009423C3" w14:paraId="59510124" w14:textId="77777777" w:rsidTr="001244A4">
        <w:trPr>
          <w:cantSplit/>
          <w:trHeight w:val="353"/>
        </w:trPr>
        <w:tc>
          <w:tcPr>
            <w:tcW w:w="3823" w:type="dxa"/>
            <w:tcBorders>
              <w:top w:val="single" w:sz="4" w:space="0" w:color="auto"/>
              <w:bottom w:val="single" w:sz="4" w:space="0" w:color="auto"/>
            </w:tcBorders>
            <w:shd w:val="clear" w:color="auto" w:fill="auto"/>
          </w:tcPr>
          <w:p w14:paraId="6052D482" w14:textId="4D25D6C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HANDS ON EDUCATIONAL CONSULTANCY PTY LTD</w:t>
            </w:r>
          </w:p>
        </w:tc>
        <w:tc>
          <w:tcPr>
            <w:tcW w:w="4096" w:type="dxa"/>
            <w:tcBorders>
              <w:top w:val="single" w:sz="4" w:space="0" w:color="auto"/>
              <w:bottom w:val="single" w:sz="4" w:space="0" w:color="auto"/>
            </w:tcBorders>
          </w:tcPr>
          <w:p w14:paraId="64AF7696" w14:textId="577A14ED" w:rsidR="00D006DC" w:rsidRPr="008457E1" w:rsidRDefault="008C105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A653FE5" w14:textId="7E84E137"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33,400</w:t>
            </w:r>
          </w:p>
        </w:tc>
      </w:tr>
      <w:tr w:rsidR="00D006DC" w:rsidRPr="009423C3" w14:paraId="391547C3" w14:textId="77777777" w:rsidTr="001244A4">
        <w:trPr>
          <w:cantSplit/>
          <w:trHeight w:val="353"/>
        </w:trPr>
        <w:tc>
          <w:tcPr>
            <w:tcW w:w="3823" w:type="dxa"/>
            <w:tcBorders>
              <w:top w:val="single" w:sz="4" w:space="0" w:color="auto"/>
              <w:bottom w:val="single" w:sz="4" w:space="0" w:color="auto"/>
            </w:tcBorders>
            <w:shd w:val="clear" w:color="auto" w:fill="auto"/>
          </w:tcPr>
          <w:p w14:paraId="13A5B0D3" w14:textId="4AC0E56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HARA PAPOULIAS</w:t>
            </w:r>
          </w:p>
        </w:tc>
        <w:tc>
          <w:tcPr>
            <w:tcW w:w="4096" w:type="dxa"/>
            <w:tcBorders>
              <w:top w:val="single" w:sz="4" w:space="0" w:color="auto"/>
              <w:bottom w:val="single" w:sz="4" w:space="0" w:color="auto"/>
            </w:tcBorders>
          </w:tcPr>
          <w:p w14:paraId="567D53F6" w14:textId="652C916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210ADEE2" w14:textId="79D21997"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16,000</w:t>
            </w:r>
          </w:p>
        </w:tc>
      </w:tr>
      <w:tr w:rsidR="00D006DC" w:rsidRPr="009423C3" w14:paraId="7838FDB1" w14:textId="77777777" w:rsidTr="001244A4">
        <w:trPr>
          <w:cantSplit/>
          <w:trHeight w:val="353"/>
        </w:trPr>
        <w:tc>
          <w:tcPr>
            <w:tcW w:w="3823" w:type="dxa"/>
            <w:tcBorders>
              <w:top w:val="single" w:sz="4" w:space="0" w:color="auto"/>
              <w:bottom w:val="single" w:sz="4" w:space="0" w:color="auto"/>
            </w:tcBorders>
            <w:shd w:val="clear" w:color="auto" w:fill="auto"/>
          </w:tcPr>
          <w:p w14:paraId="006EDE82" w14:textId="0C2CB08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HARRIS ANN LYNNETT</w:t>
            </w:r>
          </w:p>
        </w:tc>
        <w:tc>
          <w:tcPr>
            <w:tcW w:w="4096" w:type="dxa"/>
            <w:tcBorders>
              <w:top w:val="single" w:sz="4" w:space="0" w:color="auto"/>
              <w:bottom w:val="single" w:sz="4" w:space="0" w:color="auto"/>
            </w:tcBorders>
          </w:tcPr>
          <w:p w14:paraId="385ACC76" w14:textId="297C78C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E629D4B" w14:textId="2731D59D"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21,500</w:t>
            </w:r>
          </w:p>
        </w:tc>
      </w:tr>
      <w:tr w:rsidR="00D006DC" w:rsidRPr="009423C3" w14:paraId="6C849E2E" w14:textId="77777777" w:rsidTr="001244A4">
        <w:trPr>
          <w:cantSplit/>
          <w:trHeight w:val="353"/>
        </w:trPr>
        <w:tc>
          <w:tcPr>
            <w:tcW w:w="3823" w:type="dxa"/>
            <w:tcBorders>
              <w:top w:val="single" w:sz="4" w:space="0" w:color="auto"/>
              <w:bottom w:val="single" w:sz="4" w:space="0" w:color="auto"/>
            </w:tcBorders>
            <w:shd w:val="clear" w:color="auto" w:fill="auto"/>
          </w:tcPr>
          <w:p w14:paraId="3D695906" w14:textId="3DDCBCC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HARVARD BUSINESS SCHOOL ONLINE</w:t>
            </w:r>
          </w:p>
        </w:tc>
        <w:tc>
          <w:tcPr>
            <w:tcW w:w="4096" w:type="dxa"/>
            <w:tcBorders>
              <w:top w:val="single" w:sz="4" w:space="0" w:color="auto"/>
              <w:bottom w:val="single" w:sz="4" w:space="0" w:color="auto"/>
            </w:tcBorders>
          </w:tcPr>
          <w:p w14:paraId="0D892069" w14:textId="5FB03FB6"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auto"/>
              <w:bottom w:val="single" w:sz="4" w:space="0" w:color="auto"/>
            </w:tcBorders>
            <w:shd w:val="clear" w:color="auto" w:fill="auto"/>
          </w:tcPr>
          <w:p w14:paraId="60AD1ED4" w14:textId="1EB7053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30,358</w:t>
            </w:r>
          </w:p>
        </w:tc>
      </w:tr>
      <w:tr w:rsidR="00D006DC" w:rsidRPr="009423C3" w14:paraId="5B353D36" w14:textId="77777777" w:rsidTr="001244A4">
        <w:trPr>
          <w:cantSplit/>
          <w:trHeight w:val="353"/>
        </w:trPr>
        <w:tc>
          <w:tcPr>
            <w:tcW w:w="3823" w:type="dxa"/>
            <w:tcBorders>
              <w:top w:val="single" w:sz="4" w:space="0" w:color="auto"/>
              <w:bottom w:val="single" w:sz="4" w:space="0" w:color="auto"/>
            </w:tcBorders>
            <w:shd w:val="clear" w:color="auto" w:fill="auto"/>
          </w:tcPr>
          <w:p w14:paraId="36B52B85" w14:textId="6E4EB72F"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HARVEY THIRLMERE WOOD</w:t>
            </w:r>
          </w:p>
        </w:tc>
        <w:tc>
          <w:tcPr>
            <w:tcW w:w="4096" w:type="dxa"/>
            <w:tcBorders>
              <w:top w:val="single" w:sz="4" w:space="0" w:color="auto"/>
              <w:bottom w:val="single" w:sz="4" w:space="0" w:color="auto"/>
            </w:tcBorders>
          </w:tcPr>
          <w:p w14:paraId="5F535ADE" w14:textId="5CD6817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BD1D06A" w14:textId="2C322BD1"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8,166</w:t>
            </w:r>
          </w:p>
        </w:tc>
      </w:tr>
      <w:tr w:rsidR="00D006DC" w:rsidRPr="009423C3" w14:paraId="5D4581F8" w14:textId="77777777" w:rsidTr="001244A4">
        <w:trPr>
          <w:cantSplit/>
          <w:trHeight w:val="353"/>
        </w:trPr>
        <w:tc>
          <w:tcPr>
            <w:tcW w:w="3823" w:type="dxa"/>
            <w:tcBorders>
              <w:top w:val="single" w:sz="4" w:space="0" w:color="auto"/>
              <w:bottom w:val="single" w:sz="4" w:space="0" w:color="auto"/>
            </w:tcBorders>
            <w:shd w:val="clear" w:color="auto" w:fill="auto"/>
          </w:tcPr>
          <w:p w14:paraId="247A1E21" w14:textId="1BC7CC7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HAYS SPECIALIST RECRUITMENT AUSTRALIA PTY LIMITED</w:t>
            </w:r>
          </w:p>
        </w:tc>
        <w:tc>
          <w:tcPr>
            <w:tcW w:w="4096" w:type="dxa"/>
            <w:tcBorders>
              <w:top w:val="single" w:sz="4" w:space="0" w:color="auto"/>
              <w:bottom w:val="single" w:sz="4" w:space="0" w:color="auto"/>
            </w:tcBorders>
          </w:tcPr>
          <w:p w14:paraId="7BE2A5D6" w14:textId="5AFCAFE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Contract staff</w:t>
            </w:r>
          </w:p>
        </w:tc>
        <w:tc>
          <w:tcPr>
            <w:tcW w:w="1417" w:type="dxa"/>
            <w:tcBorders>
              <w:top w:val="single" w:sz="4" w:space="0" w:color="auto"/>
              <w:bottom w:val="single" w:sz="4" w:space="0" w:color="auto"/>
            </w:tcBorders>
            <w:shd w:val="clear" w:color="auto" w:fill="auto"/>
          </w:tcPr>
          <w:p w14:paraId="4100F861" w14:textId="2AF4F84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22,237,877</w:t>
            </w:r>
          </w:p>
        </w:tc>
      </w:tr>
      <w:tr w:rsidR="00D006DC" w:rsidRPr="009423C3" w14:paraId="68E03BF9" w14:textId="77777777" w:rsidTr="001244A4">
        <w:trPr>
          <w:cantSplit/>
          <w:trHeight w:val="353"/>
        </w:trPr>
        <w:tc>
          <w:tcPr>
            <w:tcW w:w="3823" w:type="dxa"/>
            <w:tcBorders>
              <w:top w:val="single" w:sz="4" w:space="0" w:color="auto"/>
              <w:bottom w:val="single" w:sz="4" w:space="0" w:color="auto"/>
            </w:tcBorders>
            <w:shd w:val="clear" w:color="auto" w:fill="auto"/>
          </w:tcPr>
          <w:p w14:paraId="4E97F40A" w14:textId="12E4861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HEATHER BARNES PTY LTD</w:t>
            </w:r>
          </w:p>
        </w:tc>
        <w:tc>
          <w:tcPr>
            <w:tcW w:w="4096" w:type="dxa"/>
            <w:tcBorders>
              <w:top w:val="single" w:sz="4" w:space="0" w:color="auto"/>
              <w:bottom w:val="single" w:sz="4" w:space="0" w:color="auto"/>
            </w:tcBorders>
          </w:tcPr>
          <w:p w14:paraId="367A0185" w14:textId="63F90E33"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19915A6" w14:textId="64A29F4E"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68,425</w:t>
            </w:r>
          </w:p>
        </w:tc>
      </w:tr>
      <w:tr w:rsidR="00D006DC" w:rsidRPr="009423C3" w14:paraId="1607AA6B" w14:textId="77777777" w:rsidTr="001244A4">
        <w:trPr>
          <w:cantSplit/>
          <w:trHeight w:val="353"/>
        </w:trPr>
        <w:tc>
          <w:tcPr>
            <w:tcW w:w="3823" w:type="dxa"/>
            <w:tcBorders>
              <w:top w:val="single" w:sz="4" w:space="0" w:color="auto"/>
              <w:bottom w:val="single" w:sz="4" w:space="0" w:color="auto"/>
            </w:tcBorders>
            <w:shd w:val="clear" w:color="auto" w:fill="auto"/>
          </w:tcPr>
          <w:p w14:paraId="7D69A1E9" w14:textId="4DC658F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HEATHER HILL CONSULTING</w:t>
            </w:r>
          </w:p>
        </w:tc>
        <w:tc>
          <w:tcPr>
            <w:tcW w:w="4096" w:type="dxa"/>
            <w:tcBorders>
              <w:top w:val="single" w:sz="4" w:space="0" w:color="auto"/>
              <w:bottom w:val="single" w:sz="4" w:space="0" w:color="auto"/>
            </w:tcBorders>
          </w:tcPr>
          <w:p w14:paraId="587566DF" w14:textId="68CEBC16" w:rsidR="00D006DC" w:rsidRPr="008457E1" w:rsidRDefault="008C105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2AF86356" w14:textId="64434F0A"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34,672</w:t>
            </w:r>
          </w:p>
        </w:tc>
      </w:tr>
      <w:tr w:rsidR="00D006DC" w:rsidRPr="009423C3" w14:paraId="6426403D" w14:textId="77777777" w:rsidTr="001244A4">
        <w:trPr>
          <w:cantSplit/>
          <w:trHeight w:val="353"/>
        </w:trPr>
        <w:tc>
          <w:tcPr>
            <w:tcW w:w="3823" w:type="dxa"/>
            <w:tcBorders>
              <w:top w:val="single" w:sz="4" w:space="0" w:color="auto"/>
              <w:bottom w:val="single" w:sz="4" w:space="0" w:color="auto"/>
            </w:tcBorders>
            <w:shd w:val="clear" w:color="auto" w:fill="auto"/>
          </w:tcPr>
          <w:p w14:paraId="3F218BFC" w14:textId="053C155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HELLO LEARNING ACADEMY</w:t>
            </w:r>
          </w:p>
        </w:tc>
        <w:tc>
          <w:tcPr>
            <w:tcW w:w="4096" w:type="dxa"/>
            <w:tcBorders>
              <w:top w:val="single" w:sz="4" w:space="0" w:color="auto"/>
              <w:bottom w:val="single" w:sz="4" w:space="0" w:color="auto"/>
            </w:tcBorders>
          </w:tcPr>
          <w:p w14:paraId="05041678" w14:textId="6D0A805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8DEBDDB" w14:textId="46EB7BFA"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22,800</w:t>
            </w:r>
          </w:p>
        </w:tc>
      </w:tr>
      <w:tr w:rsidR="00D006DC" w:rsidRPr="009423C3" w14:paraId="2851F1B7" w14:textId="77777777" w:rsidTr="001244A4">
        <w:trPr>
          <w:cantSplit/>
          <w:trHeight w:val="353"/>
        </w:trPr>
        <w:tc>
          <w:tcPr>
            <w:tcW w:w="3823" w:type="dxa"/>
            <w:tcBorders>
              <w:top w:val="single" w:sz="4" w:space="0" w:color="auto"/>
              <w:bottom w:val="single" w:sz="4" w:space="0" w:color="auto"/>
            </w:tcBorders>
            <w:shd w:val="clear" w:color="auto" w:fill="auto"/>
          </w:tcPr>
          <w:p w14:paraId="2A7B6184" w14:textId="52FFF9F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HENDERSON BRIAN JOHN</w:t>
            </w:r>
          </w:p>
        </w:tc>
        <w:tc>
          <w:tcPr>
            <w:tcW w:w="4096" w:type="dxa"/>
            <w:tcBorders>
              <w:top w:val="single" w:sz="4" w:space="0" w:color="auto"/>
              <w:bottom w:val="single" w:sz="4" w:space="0" w:color="auto"/>
            </w:tcBorders>
          </w:tcPr>
          <w:p w14:paraId="5A58DA5F" w14:textId="412551E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DBE4B0D" w14:textId="4FC39DE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14,537</w:t>
            </w:r>
          </w:p>
        </w:tc>
      </w:tr>
      <w:tr w:rsidR="00D006DC" w:rsidRPr="009423C3" w14:paraId="593470F5" w14:textId="77777777" w:rsidTr="001244A4">
        <w:trPr>
          <w:cantSplit/>
          <w:trHeight w:val="353"/>
        </w:trPr>
        <w:tc>
          <w:tcPr>
            <w:tcW w:w="3823" w:type="dxa"/>
            <w:tcBorders>
              <w:top w:val="single" w:sz="4" w:space="0" w:color="auto"/>
              <w:bottom w:val="single" w:sz="4" w:space="0" w:color="auto"/>
            </w:tcBorders>
            <w:shd w:val="clear" w:color="auto" w:fill="auto"/>
          </w:tcPr>
          <w:p w14:paraId="6AB2B199" w14:textId="1E8C727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HERMANN KAREN LESLEY</w:t>
            </w:r>
          </w:p>
        </w:tc>
        <w:tc>
          <w:tcPr>
            <w:tcW w:w="4096" w:type="dxa"/>
            <w:tcBorders>
              <w:top w:val="single" w:sz="4" w:space="0" w:color="auto"/>
              <w:bottom w:val="single" w:sz="4" w:space="0" w:color="auto"/>
            </w:tcBorders>
          </w:tcPr>
          <w:p w14:paraId="64543CA8" w14:textId="0D1116A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EA7DF76" w14:textId="639DE392"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115,470</w:t>
            </w:r>
          </w:p>
        </w:tc>
      </w:tr>
      <w:tr w:rsidR="00D006DC" w:rsidRPr="009423C3" w14:paraId="2343D9BD" w14:textId="77777777" w:rsidTr="001244A4">
        <w:trPr>
          <w:cantSplit/>
          <w:trHeight w:val="353"/>
        </w:trPr>
        <w:tc>
          <w:tcPr>
            <w:tcW w:w="3823" w:type="dxa"/>
            <w:tcBorders>
              <w:top w:val="single" w:sz="4" w:space="0" w:color="auto"/>
              <w:bottom w:val="single" w:sz="4" w:space="0" w:color="auto"/>
            </w:tcBorders>
            <w:shd w:val="clear" w:color="auto" w:fill="auto"/>
          </w:tcPr>
          <w:p w14:paraId="4BDE3E98" w14:textId="3B304403"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HERO HEAD QUARTERS PTY LTD</w:t>
            </w:r>
          </w:p>
        </w:tc>
        <w:tc>
          <w:tcPr>
            <w:tcW w:w="4096" w:type="dxa"/>
            <w:tcBorders>
              <w:top w:val="single" w:sz="4" w:space="0" w:color="auto"/>
              <w:bottom w:val="single" w:sz="4" w:space="0" w:color="auto"/>
            </w:tcBorders>
          </w:tcPr>
          <w:p w14:paraId="28143406" w14:textId="2DF2C64C"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auto"/>
              <w:bottom w:val="single" w:sz="4" w:space="0" w:color="auto"/>
            </w:tcBorders>
            <w:shd w:val="clear" w:color="auto" w:fill="auto"/>
          </w:tcPr>
          <w:p w14:paraId="2A1C85C0" w14:textId="3DEDED13"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33,448</w:t>
            </w:r>
          </w:p>
        </w:tc>
      </w:tr>
      <w:tr w:rsidR="00D006DC" w:rsidRPr="009423C3" w14:paraId="6157E36E" w14:textId="77777777" w:rsidTr="001244A4">
        <w:trPr>
          <w:cantSplit/>
          <w:trHeight w:val="353"/>
        </w:trPr>
        <w:tc>
          <w:tcPr>
            <w:tcW w:w="3823" w:type="dxa"/>
            <w:tcBorders>
              <w:top w:val="single" w:sz="4" w:space="0" w:color="auto"/>
              <w:bottom w:val="single" w:sz="4" w:space="0" w:color="auto"/>
            </w:tcBorders>
            <w:shd w:val="clear" w:color="auto" w:fill="auto"/>
          </w:tcPr>
          <w:p w14:paraId="7D04E9F8" w14:textId="6BACCE1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HIBBINS PETER L</w:t>
            </w:r>
          </w:p>
        </w:tc>
        <w:tc>
          <w:tcPr>
            <w:tcW w:w="4096" w:type="dxa"/>
            <w:tcBorders>
              <w:top w:val="single" w:sz="4" w:space="0" w:color="auto"/>
              <w:bottom w:val="single" w:sz="4" w:space="0" w:color="auto"/>
            </w:tcBorders>
          </w:tcPr>
          <w:p w14:paraId="4090C5C8" w14:textId="5F6A25AF"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D0058B6" w14:textId="06349DBE"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50,226</w:t>
            </w:r>
          </w:p>
        </w:tc>
      </w:tr>
      <w:tr w:rsidR="00D006DC" w:rsidRPr="009423C3" w14:paraId="5595B320" w14:textId="77777777" w:rsidTr="001244A4">
        <w:trPr>
          <w:cantSplit/>
          <w:trHeight w:val="353"/>
        </w:trPr>
        <w:tc>
          <w:tcPr>
            <w:tcW w:w="3823" w:type="dxa"/>
            <w:tcBorders>
              <w:top w:val="single" w:sz="4" w:space="0" w:color="auto"/>
              <w:bottom w:val="single" w:sz="4" w:space="0" w:color="auto"/>
            </w:tcBorders>
            <w:shd w:val="clear" w:color="auto" w:fill="auto"/>
          </w:tcPr>
          <w:p w14:paraId="03BCDE56" w14:textId="2B943C7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HICKS-DAVIES CONSULTING PTY LTD</w:t>
            </w:r>
          </w:p>
        </w:tc>
        <w:tc>
          <w:tcPr>
            <w:tcW w:w="4096" w:type="dxa"/>
            <w:tcBorders>
              <w:top w:val="single" w:sz="4" w:space="0" w:color="auto"/>
              <w:bottom w:val="single" w:sz="4" w:space="0" w:color="auto"/>
            </w:tcBorders>
          </w:tcPr>
          <w:p w14:paraId="7FAA47E1" w14:textId="763CA1DB"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auto"/>
              <w:bottom w:val="single" w:sz="4" w:space="0" w:color="auto"/>
            </w:tcBorders>
            <w:shd w:val="clear" w:color="auto" w:fill="auto"/>
          </w:tcPr>
          <w:p w14:paraId="42947D3F" w14:textId="72C68634"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310,488</w:t>
            </w:r>
          </w:p>
        </w:tc>
      </w:tr>
      <w:tr w:rsidR="00D006DC" w:rsidRPr="009423C3" w14:paraId="4A180478" w14:textId="77777777" w:rsidTr="001244A4">
        <w:trPr>
          <w:cantSplit/>
          <w:trHeight w:val="353"/>
        </w:trPr>
        <w:tc>
          <w:tcPr>
            <w:tcW w:w="3823" w:type="dxa"/>
            <w:tcBorders>
              <w:top w:val="single" w:sz="4" w:space="0" w:color="auto"/>
              <w:bottom w:val="single" w:sz="4" w:space="0" w:color="auto"/>
            </w:tcBorders>
            <w:shd w:val="clear" w:color="auto" w:fill="auto"/>
          </w:tcPr>
          <w:p w14:paraId="6B05B946" w14:textId="45176A1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HIRD MARGARET ANN</w:t>
            </w:r>
          </w:p>
        </w:tc>
        <w:tc>
          <w:tcPr>
            <w:tcW w:w="4096" w:type="dxa"/>
            <w:tcBorders>
              <w:top w:val="single" w:sz="4" w:space="0" w:color="auto"/>
              <w:bottom w:val="single" w:sz="4" w:space="0" w:color="auto"/>
            </w:tcBorders>
          </w:tcPr>
          <w:p w14:paraId="55A1ACC9" w14:textId="2E4E795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66E8CB0" w14:textId="13917E75"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23,061</w:t>
            </w:r>
          </w:p>
        </w:tc>
      </w:tr>
      <w:tr w:rsidR="00D006DC" w:rsidRPr="009423C3" w14:paraId="17FED101" w14:textId="77777777" w:rsidTr="001244A4">
        <w:trPr>
          <w:cantSplit/>
          <w:trHeight w:val="353"/>
        </w:trPr>
        <w:tc>
          <w:tcPr>
            <w:tcW w:w="3823" w:type="dxa"/>
            <w:tcBorders>
              <w:top w:val="single" w:sz="4" w:space="0" w:color="auto"/>
              <w:bottom w:val="single" w:sz="4" w:space="0" w:color="auto"/>
            </w:tcBorders>
            <w:shd w:val="clear" w:color="auto" w:fill="auto"/>
          </w:tcPr>
          <w:p w14:paraId="167042D8" w14:textId="4FAD1A6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HOBAN RECRUITMENT PTY LTD</w:t>
            </w:r>
          </w:p>
        </w:tc>
        <w:tc>
          <w:tcPr>
            <w:tcW w:w="4096" w:type="dxa"/>
            <w:tcBorders>
              <w:top w:val="single" w:sz="4" w:space="0" w:color="auto"/>
              <w:bottom w:val="single" w:sz="4" w:space="0" w:color="auto"/>
            </w:tcBorders>
          </w:tcPr>
          <w:p w14:paraId="6BC10460" w14:textId="3EDAE1B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Contract staff</w:t>
            </w:r>
          </w:p>
        </w:tc>
        <w:tc>
          <w:tcPr>
            <w:tcW w:w="1417" w:type="dxa"/>
            <w:tcBorders>
              <w:top w:val="single" w:sz="4" w:space="0" w:color="auto"/>
              <w:bottom w:val="single" w:sz="4" w:space="0" w:color="auto"/>
            </w:tcBorders>
            <w:shd w:val="clear" w:color="auto" w:fill="auto"/>
          </w:tcPr>
          <w:p w14:paraId="66D1C1A5" w14:textId="6E11424D"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407,518</w:t>
            </w:r>
          </w:p>
        </w:tc>
      </w:tr>
      <w:tr w:rsidR="00D006DC" w:rsidRPr="009423C3" w14:paraId="0F8CDAA7" w14:textId="77777777" w:rsidTr="001244A4">
        <w:trPr>
          <w:cantSplit/>
          <w:trHeight w:val="353"/>
        </w:trPr>
        <w:tc>
          <w:tcPr>
            <w:tcW w:w="3823" w:type="dxa"/>
            <w:tcBorders>
              <w:top w:val="single" w:sz="4" w:space="0" w:color="auto"/>
              <w:bottom w:val="single" w:sz="4" w:space="0" w:color="auto"/>
            </w:tcBorders>
            <w:shd w:val="clear" w:color="auto" w:fill="auto"/>
          </w:tcPr>
          <w:p w14:paraId="25A4C2B8" w14:textId="27297F9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HOLMESGLEN INSTITUTE OF TAFE (CHADSTONE)</w:t>
            </w:r>
          </w:p>
        </w:tc>
        <w:tc>
          <w:tcPr>
            <w:tcW w:w="4096" w:type="dxa"/>
            <w:tcBorders>
              <w:top w:val="single" w:sz="4" w:space="0" w:color="auto"/>
              <w:bottom w:val="single" w:sz="4" w:space="0" w:color="auto"/>
            </w:tcBorders>
          </w:tcPr>
          <w:p w14:paraId="3CCEDEE4" w14:textId="7E112C0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749A6B2" w14:textId="73D4119D"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400,000</w:t>
            </w:r>
          </w:p>
        </w:tc>
      </w:tr>
      <w:tr w:rsidR="00D006DC" w:rsidRPr="009423C3" w14:paraId="03F2AF47" w14:textId="77777777" w:rsidTr="001244A4">
        <w:trPr>
          <w:cantSplit/>
          <w:trHeight w:val="353"/>
        </w:trPr>
        <w:tc>
          <w:tcPr>
            <w:tcW w:w="3823" w:type="dxa"/>
            <w:tcBorders>
              <w:top w:val="single" w:sz="4" w:space="0" w:color="auto"/>
              <w:bottom w:val="single" w:sz="4" w:space="0" w:color="auto"/>
            </w:tcBorders>
            <w:shd w:val="clear" w:color="auto" w:fill="auto"/>
          </w:tcPr>
          <w:p w14:paraId="29ACDFEF" w14:textId="29B4B00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HOOTVILLE COMMUNICATIONS</w:t>
            </w:r>
          </w:p>
        </w:tc>
        <w:tc>
          <w:tcPr>
            <w:tcW w:w="4096" w:type="dxa"/>
            <w:tcBorders>
              <w:top w:val="single" w:sz="4" w:space="0" w:color="auto"/>
              <w:bottom w:val="single" w:sz="4" w:space="0" w:color="auto"/>
            </w:tcBorders>
          </w:tcPr>
          <w:p w14:paraId="68178E31" w14:textId="13D2612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AB6DABF" w14:textId="08E5CFC4"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22,182</w:t>
            </w:r>
          </w:p>
        </w:tc>
      </w:tr>
      <w:tr w:rsidR="00D006DC" w:rsidRPr="009423C3" w14:paraId="5683DCF9" w14:textId="77777777" w:rsidTr="001244A4">
        <w:trPr>
          <w:cantSplit/>
          <w:trHeight w:val="353"/>
        </w:trPr>
        <w:tc>
          <w:tcPr>
            <w:tcW w:w="3823" w:type="dxa"/>
            <w:tcBorders>
              <w:top w:val="single" w:sz="4" w:space="0" w:color="auto"/>
              <w:bottom w:val="single" w:sz="4" w:space="0" w:color="auto"/>
            </w:tcBorders>
            <w:shd w:val="clear" w:color="auto" w:fill="auto"/>
          </w:tcPr>
          <w:p w14:paraId="103ADAC3" w14:textId="73604753"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HOPCROFT HEATHER</w:t>
            </w:r>
          </w:p>
        </w:tc>
        <w:tc>
          <w:tcPr>
            <w:tcW w:w="4096" w:type="dxa"/>
            <w:tcBorders>
              <w:top w:val="single" w:sz="4" w:space="0" w:color="auto"/>
              <w:bottom w:val="single" w:sz="4" w:space="0" w:color="auto"/>
            </w:tcBorders>
          </w:tcPr>
          <w:p w14:paraId="3CE72582" w14:textId="4F9D3309"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A96CEB0" w14:textId="5CBBD216"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38,127</w:t>
            </w:r>
          </w:p>
        </w:tc>
      </w:tr>
      <w:tr w:rsidR="00D006DC" w:rsidRPr="009423C3" w14:paraId="5AE3DCFB" w14:textId="77777777" w:rsidTr="001244A4">
        <w:trPr>
          <w:cantSplit/>
          <w:trHeight w:val="353"/>
        </w:trPr>
        <w:tc>
          <w:tcPr>
            <w:tcW w:w="3823" w:type="dxa"/>
            <w:tcBorders>
              <w:top w:val="single" w:sz="4" w:space="0" w:color="auto"/>
              <w:bottom w:val="single" w:sz="4" w:space="0" w:color="auto"/>
            </w:tcBorders>
            <w:shd w:val="clear" w:color="auto" w:fill="auto"/>
          </w:tcPr>
          <w:p w14:paraId="1BC12EA6" w14:textId="2C776C7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HUDDLE AUSTRALIA PTY LTD</w:t>
            </w:r>
          </w:p>
        </w:tc>
        <w:tc>
          <w:tcPr>
            <w:tcW w:w="4096" w:type="dxa"/>
            <w:tcBorders>
              <w:top w:val="single" w:sz="4" w:space="0" w:color="auto"/>
              <w:bottom w:val="single" w:sz="4" w:space="0" w:color="auto"/>
            </w:tcBorders>
          </w:tcPr>
          <w:p w14:paraId="5D276940" w14:textId="7C88B5D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4BFD9903" w14:textId="23B5FF09"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5,500</w:t>
            </w:r>
          </w:p>
        </w:tc>
      </w:tr>
      <w:tr w:rsidR="00D006DC" w:rsidRPr="009423C3" w14:paraId="5391DD85" w14:textId="77777777" w:rsidTr="001244A4">
        <w:trPr>
          <w:cantSplit/>
          <w:trHeight w:val="353"/>
        </w:trPr>
        <w:tc>
          <w:tcPr>
            <w:tcW w:w="3823" w:type="dxa"/>
            <w:tcBorders>
              <w:top w:val="single" w:sz="4" w:space="0" w:color="auto"/>
              <w:bottom w:val="single" w:sz="4" w:space="0" w:color="auto"/>
            </w:tcBorders>
            <w:shd w:val="clear" w:color="auto" w:fill="auto"/>
          </w:tcPr>
          <w:p w14:paraId="72A181AA" w14:textId="1805B9A3"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HUDDLE LEARNING SYSTEMS PTY LTD</w:t>
            </w:r>
          </w:p>
        </w:tc>
        <w:tc>
          <w:tcPr>
            <w:tcW w:w="4096" w:type="dxa"/>
            <w:tcBorders>
              <w:top w:val="single" w:sz="4" w:space="0" w:color="auto"/>
              <w:bottom w:val="single" w:sz="4" w:space="0" w:color="auto"/>
            </w:tcBorders>
          </w:tcPr>
          <w:p w14:paraId="38F859F5" w14:textId="2EAF72F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2A9FE7F1" w14:textId="1BDB2669"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65,700</w:t>
            </w:r>
          </w:p>
        </w:tc>
      </w:tr>
      <w:tr w:rsidR="00D006DC" w:rsidRPr="009423C3" w14:paraId="3C2DAF5B" w14:textId="77777777" w:rsidTr="001244A4">
        <w:trPr>
          <w:cantSplit/>
          <w:trHeight w:val="353"/>
        </w:trPr>
        <w:tc>
          <w:tcPr>
            <w:tcW w:w="3823" w:type="dxa"/>
            <w:tcBorders>
              <w:top w:val="single" w:sz="4" w:space="0" w:color="auto"/>
              <w:bottom w:val="single" w:sz="4" w:space="0" w:color="auto"/>
            </w:tcBorders>
            <w:shd w:val="clear" w:color="auto" w:fill="auto"/>
          </w:tcPr>
          <w:p w14:paraId="1DEC1069" w14:textId="415D3D19"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HUDSON GLOBAL RESOURCES (AUST) PTY LIMITED</w:t>
            </w:r>
          </w:p>
        </w:tc>
        <w:tc>
          <w:tcPr>
            <w:tcW w:w="4096" w:type="dxa"/>
            <w:tcBorders>
              <w:top w:val="single" w:sz="4" w:space="0" w:color="auto"/>
              <w:bottom w:val="single" w:sz="4" w:space="0" w:color="auto"/>
            </w:tcBorders>
          </w:tcPr>
          <w:p w14:paraId="043E3E80" w14:textId="30FDAF5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Contract staff</w:t>
            </w:r>
          </w:p>
        </w:tc>
        <w:tc>
          <w:tcPr>
            <w:tcW w:w="1417" w:type="dxa"/>
            <w:tcBorders>
              <w:top w:val="single" w:sz="4" w:space="0" w:color="auto"/>
              <w:bottom w:val="single" w:sz="4" w:space="0" w:color="auto"/>
            </w:tcBorders>
            <w:shd w:val="clear" w:color="auto" w:fill="auto"/>
          </w:tcPr>
          <w:p w14:paraId="62F06A5F" w14:textId="0F3C6C7B"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7,230,544</w:t>
            </w:r>
          </w:p>
        </w:tc>
      </w:tr>
      <w:tr w:rsidR="00D006DC" w:rsidRPr="009423C3" w14:paraId="34FC2C75" w14:textId="77777777" w:rsidTr="001244A4">
        <w:trPr>
          <w:cantSplit/>
          <w:trHeight w:val="353"/>
        </w:trPr>
        <w:tc>
          <w:tcPr>
            <w:tcW w:w="3823" w:type="dxa"/>
            <w:tcBorders>
              <w:top w:val="single" w:sz="4" w:space="0" w:color="auto"/>
              <w:bottom w:val="single" w:sz="4" w:space="0" w:color="auto"/>
            </w:tcBorders>
            <w:shd w:val="clear" w:color="auto" w:fill="auto"/>
          </w:tcPr>
          <w:p w14:paraId="3FACFEAA" w14:textId="1C1A764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HUMAN LINK CONSULTING PTY LTD</w:t>
            </w:r>
          </w:p>
        </w:tc>
        <w:tc>
          <w:tcPr>
            <w:tcW w:w="4096" w:type="dxa"/>
            <w:tcBorders>
              <w:top w:val="single" w:sz="4" w:space="0" w:color="auto"/>
              <w:bottom w:val="single" w:sz="4" w:space="0" w:color="auto"/>
            </w:tcBorders>
          </w:tcPr>
          <w:p w14:paraId="6AB299F8" w14:textId="3E38B2E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0C9B39B" w14:textId="2034F0DC"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324,237</w:t>
            </w:r>
          </w:p>
        </w:tc>
      </w:tr>
      <w:tr w:rsidR="00D006DC" w:rsidRPr="009423C3" w14:paraId="53F518F5" w14:textId="77777777" w:rsidTr="001244A4">
        <w:trPr>
          <w:cantSplit/>
          <w:trHeight w:val="353"/>
        </w:trPr>
        <w:tc>
          <w:tcPr>
            <w:tcW w:w="3823" w:type="dxa"/>
            <w:tcBorders>
              <w:top w:val="single" w:sz="4" w:space="0" w:color="auto"/>
              <w:bottom w:val="single" w:sz="4" w:space="0" w:color="auto"/>
            </w:tcBorders>
            <w:shd w:val="clear" w:color="auto" w:fill="auto"/>
          </w:tcPr>
          <w:p w14:paraId="4942549A" w14:textId="2A08FBB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HYDON CONSULTING PTY LTD</w:t>
            </w:r>
          </w:p>
        </w:tc>
        <w:tc>
          <w:tcPr>
            <w:tcW w:w="4096" w:type="dxa"/>
            <w:tcBorders>
              <w:top w:val="single" w:sz="4" w:space="0" w:color="auto"/>
              <w:bottom w:val="single" w:sz="4" w:space="0" w:color="auto"/>
            </w:tcBorders>
          </w:tcPr>
          <w:p w14:paraId="10B47875" w14:textId="35AC91F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767DD22E" w14:textId="386964D6"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54,250</w:t>
            </w:r>
          </w:p>
        </w:tc>
      </w:tr>
      <w:tr w:rsidR="00D006DC" w:rsidRPr="009423C3" w14:paraId="0427A2C6" w14:textId="77777777" w:rsidTr="001244A4">
        <w:trPr>
          <w:cantSplit/>
          <w:trHeight w:val="353"/>
        </w:trPr>
        <w:tc>
          <w:tcPr>
            <w:tcW w:w="3823" w:type="dxa"/>
            <w:tcBorders>
              <w:top w:val="single" w:sz="4" w:space="0" w:color="auto"/>
              <w:bottom w:val="single" w:sz="4" w:space="0" w:color="auto"/>
            </w:tcBorders>
            <w:shd w:val="clear" w:color="auto" w:fill="auto"/>
          </w:tcPr>
          <w:p w14:paraId="7CCB5EB8" w14:textId="3E4E3BF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HYPHEN EDUCATION CONSULTING PTY LTD</w:t>
            </w:r>
          </w:p>
        </w:tc>
        <w:tc>
          <w:tcPr>
            <w:tcW w:w="4096" w:type="dxa"/>
            <w:tcBorders>
              <w:top w:val="single" w:sz="4" w:space="0" w:color="auto"/>
              <w:bottom w:val="single" w:sz="4" w:space="0" w:color="auto"/>
            </w:tcBorders>
          </w:tcPr>
          <w:p w14:paraId="20FDB261" w14:textId="5A600F0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FB0FEB1" w14:textId="322C9F1D"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27,273</w:t>
            </w:r>
          </w:p>
        </w:tc>
      </w:tr>
      <w:tr w:rsidR="00D006DC" w:rsidRPr="009423C3" w14:paraId="04C5927D" w14:textId="77777777" w:rsidTr="001244A4">
        <w:trPr>
          <w:cantSplit/>
          <w:trHeight w:val="353"/>
        </w:trPr>
        <w:tc>
          <w:tcPr>
            <w:tcW w:w="3823" w:type="dxa"/>
            <w:tcBorders>
              <w:top w:val="single" w:sz="4" w:space="0" w:color="auto"/>
              <w:bottom w:val="single" w:sz="4" w:space="0" w:color="auto"/>
            </w:tcBorders>
            <w:shd w:val="clear" w:color="auto" w:fill="auto"/>
          </w:tcPr>
          <w:p w14:paraId="7F9C2A91" w14:textId="74E0D7C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IBM AUSTRALIA LTD</w:t>
            </w:r>
          </w:p>
        </w:tc>
        <w:tc>
          <w:tcPr>
            <w:tcW w:w="4096" w:type="dxa"/>
            <w:tcBorders>
              <w:top w:val="single" w:sz="4" w:space="0" w:color="auto"/>
              <w:bottom w:val="single" w:sz="4" w:space="0" w:color="auto"/>
            </w:tcBorders>
          </w:tcPr>
          <w:p w14:paraId="2519F610" w14:textId="7CA31F4F"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auto"/>
              <w:bottom w:val="single" w:sz="4" w:space="0" w:color="auto"/>
            </w:tcBorders>
            <w:shd w:val="clear" w:color="auto" w:fill="auto"/>
          </w:tcPr>
          <w:p w14:paraId="7001812D" w14:textId="7B97B282"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620,934</w:t>
            </w:r>
          </w:p>
        </w:tc>
      </w:tr>
      <w:tr w:rsidR="00D006DC" w:rsidRPr="009423C3" w14:paraId="5BF0DC91" w14:textId="77777777" w:rsidTr="001244A4">
        <w:trPr>
          <w:cantSplit/>
          <w:trHeight w:val="353"/>
        </w:trPr>
        <w:tc>
          <w:tcPr>
            <w:tcW w:w="3823" w:type="dxa"/>
            <w:tcBorders>
              <w:top w:val="single" w:sz="4" w:space="0" w:color="auto"/>
              <w:bottom w:val="single" w:sz="4" w:space="0" w:color="auto"/>
            </w:tcBorders>
            <w:shd w:val="clear" w:color="auto" w:fill="auto"/>
          </w:tcPr>
          <w:p w14:paraId="2A9171B2" w14:textId="05A8265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IDP EDUCATION PTY LTD</w:t>
            </w:r>
          </w:p>
        </w:tc>
        <w:tc>
          <w:tcPr>
            <w:tcW w:w="4096" w:type="dxa"/>
            <w:tcBorders>
              <w:top w:val="single" w:sz="4" w:space="0" w:color="auto"/>
              <w:bottom w:val="single" w:sz="4" w:space="0" w:color="auto"/>
            </w:tcBorders>
          </w:tcPr>
          <w:p w14:paraId="28C37A8E" w14:textId="1ED33D2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E415899" w14:textId="28DDFCCD"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3,215</w:t>
            </w:r>
          </w:p>
        </w:tc>
      </w:tr>
      <w:tr w:rsidR="00D006DC" w:rsidRPr="009423C3" w14:paraId="62CC4C68" w14:textId="77777777" w:rsidTr="001244A4">
        <w:trPr>
          <w:cantSplit/>
          <w:trHeight w:val="353"/>
        </w:trPr>
        <w:tc>
          <w:tcPr>
            <w:tcW w:w="3823" w:type="dxa"/>
            <w:tcBorders>
              <w:top w:val="single" w:sz="4" w:space="0" w:color="auto"/>
              <w:bottom w:val="single" w:sz="4" w:space="0" w:color="auto"/>
            </w:tcBorders>
            <w:shd w:val="clear" w:color="auto" w:fill="auto"/>
          </w:tcPr>
          <w:p w14:paraId="424A9199" w14:textId="6738131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ILIADIS IRENE</w:t>
            </w:r>
          </w:p>
        </w:tc>
        <w:tc>
          <w:tcPr>
            <w:tcW w:w="4096" w:type="dxa"/>
            <w:tcBorders>
              <w:top w:val="single" w:sz="4" w:space="0" w:color="auto"/>
              <w:bottom w:val="single" w:sz="4" w:space="0" w:color="auto"/>
            </w:tcBorders>
          </w:tcPr>
          <w:p w14:paraId="41C07C24" w14:textId="6D40882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0673797" w14:textId="5FB35E16"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117,000</w:t>
            </w:r>
          </w:p>
        </w:tc>
      </w:tr>
      <w:tr w:rsidR="00D006DC" w:rsidRPr="009423C3" w14:paraId="07AB76B5" w14:textId="77777777" w:rsidTr="001244A4">
        <w:trPr>
          <w:cantSplit/>
          <w:trHeight w:val="353"/>
        </w:trPr>
        <w:tc>
          <w:tcPr>
            <w:tcW w:w="3823" w:type="dxa"/>
            <w:tcBorders>
              <w:top w:val="single" w:sz="4" w:space="0" w:color="auto"/>
              <w:bottom w:val="single" w:sz="4" w:space="0" w:color="auto"/>
            </w:tcBorders>
            <w:shd w:val="clear" w:color="auto" w:fill="auto"/>
          </w:tcPr>
          <w:p w14:paraId="529C2698" w14:textId="7F2D54D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ILLUMINED ENTERPRISES</w:t>
            </w:r>
          </w:p>
        </w:tc>
        <w:tc>
          <w:tcPr>
            <w:tcW w:w="4096" w:type="dxa"/>
            <w:tcBorders>
              <w:top w:val="single" w:sz="4" w:space="0" w:color="auto"/>
              <w:bottom w:val="single" w:sz="4" w:space="0" w:color="auto"/>
            </w:tcBorders>
          </w:tcPr>
          <w:p w14:paraId="4B8175E0" w14:textId="15BFECB6"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auto"/>
              <w:bottom w:val="single" w:sz="4" w:space="0" w:color="auto"/>
            </w:tcBorders>
            <w:shd w:val="clear" w:color="auto" w:fill="auto"/>
          </w:tcPr>
          <w:p w14:paraId="4093F85A" w14:textId="0F4DFB25"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3,000</w:t>
            </w:r>
          </w:p>
        </w:tc>
      </w:tr>
      <w:tr w:rsidR="00D006DC" w:rsidRPr="009423C3" w14:paraId="1CDE5EC5" w14:textId="77777777" w:rsidTr="001244A4">
        <w:trPr>
          <w:cantSplit/>
          <w:trHeight w:val="353"/>
        </w:trPr>
        <w:tc>
          <w:tcPr>
            <w:tcW w:w="3823" w:type="dxa"/>
            <w:tcBorders>
              <w:top w:val="single" w:sz="4" w:space="0" w:color="auto"/>
              <w:bottom w:val="single" w:sz="4" w:space="0" w:color="auto"/>
            </w:tcBorders>
            <w:shd w:val="clear" w:color="auto" w:fill="auto"/>
          </w:tcPr>
          <w:p w14:paraId="57F5A158" w14:textId="3DA876D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IMA MANAGEMENT AND TECHNOLOGY PTY LTD</w:t>
            </w:r>
          </w:p>
        </w:tc>
        <w:tc>
          <w:tcPr>
            <w:tcW w:w="4096" w:type="dxa"/>
            <w:tcBorders>
              <w:top w:val="single" w:sz="4" w:space="0" w:color="auto"/>
              <w:bottom w:val="single" w:sz="4" w:space="0" w:color="auto"/>
            </w:tcBorders>
          </w:tcPr>
          <w:p w14:paraId="053B9187" w14:textId="02E3B2A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594A9260" w14:textId="7449925F"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299,925</w:t>
            </w:r>
          </w:p>
        </w:tc>
      </w:tr>
      <w:tr w:rsidR="00D006DC" w:rsidRPr="009423C3" w14:paraId="4A4DB88C" w14:textId="77777777" w:rsidTr="001244A4">
        <w:trPr>
          <w:cantSplit/>
          <w:trHeight w:val="353"/>
        </w:trPr>
        <w:tc>
          <w:tcPr>
            <w:tcW w:w="3823" w:type="dxa"/>
            <w:tcBorders>
              <w:top w:val="single" w:sz="4" w:space="0" w:color="auto"/>
              <w:bottom w:val="single" w:sz="4" w:space="0" w:color="auto"/>
            </w:tcBorders>
            <w:shd w:val="clear" w:color="auto" w:fill="auto"/>
          </w:tcPr>
          <w:p w14:paraId="19E662A4" w14:textId="4581415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IMC INFORMATION MULTIMEDIA COMMUNICATION PTY LTD</w:t>
            </w:r>
          </w:p>
        </w:tc>
        <w:tc>
          <w:tcPr>
            <w:tcW w:w="4096" w:type="dxa"/>
            <w:tcBorders>
              <w:top w:val="single" w:sz="4" w:space="0" w:color="auto"/>
              <w:bottom w:val="single" w:sz="4" w:space="0" w:color="auto"/>
            </w:tcBorders>
          </w:tcPr>
          <w:p w14:paraId="3662F476" w14:textId="0AB3CC7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D492644" w14:textId="2EB7DDBA"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44,220</w:t>
            </w:r>
          </w:p>
        </w:tc>
      </w:tr>
      <w:tr w:rsidR="00D006DC" w:rsidRPr="009423C3" w14:paraId="6C9ACAB1" w14:textId="77777777" w:rsidTr="001244A4">
        <w:trPr>
          <w:cantSplit/>
          <w:trHeight w:val="353"/>
        </w:trPr>
        <w:tc>
          <w:tcPr>
            <w:tcW w:w="3823" w:type="dxa"/>
            <w:tcBorders>
              <w:top w:val="single" w:sz="4" w:space="0" w:color="auto"/>
              <w:bottom w:val="single" w:sz="4" w:space="0" w:color="auto"/>
            </w:tcBorders>
            <w:shd w:val="clear" w:color="auto" w:fill="auto"/>
          </w:tcPr>
          <w:p w14:paraId="22ADB564" w14:textId="5EC2030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IMPACTFUL WORK</w:t>
            </w:r>
          </w:p>
        </w:tc>
        <w:tc>
          <w:tcPr>
            <w:tcW w:w="4096" w:type="dxa"/>
            <w:tcBorders>
              <w:top w:val="single" w:sz="4" w:space="0" w:color="auto"/>
              <w:bottom w:val="single" w:sz="4" w:space="0" w:color="auto"/>
            </w:tcBorders>
          </w:tcPr>
          <w:p w14:paraId="7D1491B2" w14:textId="53FA46C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92647BD" w14:textId="437A4571"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33,597</w:t>
            </w:r>
          </w:p>
        </w:tc>
      </w:tr>
      <w:tr w:rsidR="00D006DC" w:rsidRPr="009423C3" w14:paraId="58B5C78A" w14:textId="77777777" w:rsidTr="001244A4">
        <w:trPr>
          <w:cantSplit/>
          <w:trHeight w:val="353"/>
        </w:trPr>
        <w:tc>
          <w:tcPr>
            <w:tcW w:w="3823" w:type="dxa"/>
            <w:tcBorders>
              <w:top w:val="single" w:sz="4" w:space="0" w:color="auto"/>
              <w:bottom w:val="single" w:sz="4" w:space="0" w:color="auto"/>
            </w:tcBorders>
            <w:shd w:val="clear" w:color="auto" w:fill="auto"/>
          </w:tcPr>
          <w:p w14:paraId="095EC883" w14:textId="44C6D14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INFOCENTRIC PTY LTD</w:t>
            </w:r>
          </w:p>
        </w:tc>
        <w:tc>
          <w:tcPr>
            <w:tcW w:w="4096" w:type="dxa"/>
            <w:tcBorders>
              <w:top w:val="single" w:sz="4" w:space="0" w:color="auto"/>
              <w:bottom w:val="single" w:sz="4" w:space="0" w:color="auto"/>
            </w:tcBorders>
          </w:tcPr>
          <w:p w14:paraId="143F05C3" w14:textId="41B64C71"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auto"/>
              <w:bottom w:val="single" w:sz="4" w:space="0" w:color="auto"/>
            </w:tcBorders>
            <w:shd w:val="clear" w:color="auto" w:fill="auto"/>
          </w:tcPr>
          <w:p w14:paraId="50CCB7D8" w14:textId="204D6377"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165,273</w:t>
            </w:r>
          </w:p>
        </w:tc>
      </w:tr>
      <w:tr w:rsidR="00D006DC" w:rsidRPr="009423C3" w14:paraId="1ED3A0D3" w14:textId="77777777" w:rsidTr="001244A4">
        <w:trPr>
          <w:cantSplit/>
          <w:trHeight w:val="353"/>
        </w:trPr>
        <w:tc>
          <w:tcPr>
            <w:tcW w:w="3823" w:type="dxa"/>
            <w:tcBorders>
              <w:top w:val="single" w:sz="4" w:space="0" w:color="auto"/>
              <w:bottom w:val="single" w:sz="4" w:space="0" w:color="auto"/>
            </w:tcBorders>
            <w:shd w:val="clear" w:color="auto" w:fill="auto"/>
          </w:tcPr>
          <w:p w14:paraId="50B4CC74" w14:textId="53ED95B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INFORMATION ACCESS GROUP</w:t>
            </w:r>
          </w:p>
        </w:tc>
        <w:tc>
          <w:tcPr>
            <w:tcW w:w="4096" w:type="dxa"/>
            <w:tcBorders>
              <w:top w:val="single" w:sz="4" w:space="0" w:color="auto"/>
              <w:bottom w:val="single" w:sz="4" w:space="0" w:color="auto"/>
            </w:tcBorders>
          </w:tcPr>
          <w:p w14:paraId="43145761" w14:textId="5C962E6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7E690AE3" w14:textId="087F0ED9"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6,212</w:t>
            </w:r>
          </w:p>
        </w:tc>
      </w:tr>
      <w:tr w:rsidR="00D006DC" w:rsidRPr="009423C3" w14:paraId="2458DEBA" w14:textId="77777777" w:rsidTr="001244A4">
        <w:trPr>
          <w:cantSplit/>
          <w:trHeight w:val="353"/>
        </w:trPr>
        <w:tc>
          <w:tcPr>
            <w:tcW w:w="3823" w:type="dxa"/>
            <w:tcBorders>
              <w:top w:val="single" w:sz="4" w:space="0" w:color="auto"/>
              <w:bottom w:val="single" w:sz="4" w:space="0" w:color="auto"/>
            </w:tcBorders>
            <w:shd w:val="clear" w:color="auto" w:fill="auto"/>
          </w:tcPr>
          <w:p w14:paraId="37CD89F5" w14:textId="0D693DC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INJURYNET AUSTRALIA PTY LTD</w:t>
            </w:r>
          </w:p>
        </w:tc>
        <w:tc>
          <w:tcPr>
            <w:tcW w:w="4096" w:type="dxa"/>
            <w:tcBorders>
              <w:top w:val="single" w:sz="4" w:space="0" w:color="auto"/>
              <w:bottom w:val="single" w:sz="4" w:space="0" w:color="auto"/>
            </w:tcBorders>
          </w:tcPr>
          <w:p w14:paraId="63324488" w14:textId="1972BAF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A7C0F04" w14:textId="617AF21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11,183</w:t>
            </w:r>
          </w:p>
        </w:tc>
      </w:tr>
      <w:tr w:rsidR="00D006DC" w:rsidRPr="009423C3" w14:paraId="6AFB950B" w14:textId="77777777" w:rsidTr="001244A4">
        <w:trPr>
          <w:cantSplit/>
          <w:trHeight w:val="353"/>
        </w:trPr>
        <w:tc>
          <w:tcPr>
            <w:tcW w:w="3823" w:type="dxa"/>
            <w:tcBorders>
              <w:top w:val="single" w:sz="4" w:space="0" w:color="auto"/>
              <w:bottom w:val="single" w:sz="4" w:space="0" w:color="auto"/>
            </w:tcBorders>
            <w:shd w:val="clear" w:color="auto" w:fill="auto"/>
          </w:tcPr>
          <w:p w14:paraId="006549FC" w14:textId="44A53E5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INNOVATION AND BUSINESS SKILLS AUSTRALIA</w:t>
            </w:r>
          </w:p>
        </w:tc>
        <w:tc>
          <w:tcPr>
            <w:tcW w:w="4096" w:type="dxa"/>
            <w:tcBorders>
              <w:top w:val="single" w:sz="4" w:space="0" w:color="auto"/>
              <w:bottom w:val="single" w:sz="4" w:space="0" w:color="auto"/>
            </w:tcBorders>
          </w:tcPr>
          <w:p w14:paraId="48D3F5CE" w14:textId="125519A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689AE97" w14:textId="65C5B5D1"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17,500</w:t>
            </w:r>
          </w:p>
        </w:tc>
      </w:tr>
      <w:tr w:rsidR="00D006DC" w:rsidRPr="009423C3" w14:paraId="3B9728C1" w14:textId="77777777" w:rsidTr="001244A4">
        <w:trPr>
          <w:cantSplit/>
          <w:trHeight w:val="353"/>
        </w:trPr>
        <w:tc>
          <w:tcPr>
            <w:tcW w:w="3823" w:type="dxa"/>
            <w:tcBorders>
              <w:top w:val="single" w:sz="4" w:space="0" w:color="auto"/>
              <w:bottom w:val="single" w:sz="4" w:space="0" w:color="auto"/>
            </w:tcBorders>
            <w:shd w:val="clear" w:color="auto" w:fill="auto"/>
          </w:tcPr>
          <w:p w14:paraId="5091BE0E" w14:textId="6CDCFBD3"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INNOVATIVE EDUCATIONAL IDEAS</w:t>
            </w:r>
          </w:p>
        </w:tc>
        <w:tc>
          <w:tcPr>
            <w:tcW w:w="4096" w:type="dxa"/>
            <w:tcBorders>
              <w:top w:val="single" w:sz="4" w:space="0" w:color="auto"/>
              <w:bottom w:val="single" w:sz="4" w:space="0" w:color="auto"/>
            </w:tcBorders>
          </w:tcPr>
          <w:p w14:paraId="0235110E" w14:textId="74B5B2E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48DC0420" w14:textId="799C4ADC"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91,080</w:t>
            </w:r>
          </w:p>
        </w:tc>
      </w:tr>
      <w:tr w:rsidR="00D006DC" w:rsidRPr="009423C3" w14:paraId="60FEC75F" w14:textId="77777777" w:rsidTr="001244A4">
        <w:trPr>
          <w:cantSplit/>
          <w:trHeight w:val="353"/>
        </w:trPr>
        <w:tc>
          <w:tcPr>
            <w:tcW w:w="3823" w:type="dxa"/>
            <w:tcBorders>
              <w:top w:val="single" w:sz="4" w:space="0" w:color="auto"/>
              <w:bottom w:val="single" w:sz="4" w:space="0" w:color="auto"/>
            </w:tcBorders>
            <w:shd w:val="clear" w:color="auto" w:fill="auto"/>
          </w:tcPr>
          <w:p w14:paraId="31033886" w14:textId="7BF0D42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INSIGHT ENTERPRISES AUSTRALIA PTY LTD</w:t>
            </w:r>
          </w:p>
        </w:tc>
        <w:tc>
          <w:tcPr>
            <w:tcW w:w="4096" w:type="dxa"/>
            <w:tcBorders>
              <w:top w:val="single" w:sz="4" w:space="0" w:color="auto"/>
              <w:bottom w:val="single" w:sz="4" w:space="0" w:color="auto"/>
            </w:tcBorders>
          </w:tcPr>
          <w:p w14:paraId="639C404C" w14:textId="0CD8B14A"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auto"/>
              <w:bottom w:val="single" w:sz="4" w:space="0" w:color="auto"/>
            </w:tcBorders>
            <w:shd w:val="clear" w:color="auto" w:fill="auto"/>
          </w:tcPr>
          <w:p w14:paraId="7C5B98B8" w14:textId="5EDB38B1"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29,502</w:t>
            </w:r>
          </w:p>
        </w:tc>
      </w:tr>
      <w:tr w:rsidR="00D006DC" w:rsidRPr="009423C3" w14:paraId="1D594ED2" w14:textId="77777777" w:rsidTr="001244A4">
        <w:trPr>
          <w:cantSplit/>
          <w:trHeight w:val="353"/>
        </w:trPr>
        <w:tc>
          <w:tcPr>
            <w:tcW w:w="3823" w:type="dxa"/>
            <w:tcBorders>
              <w:top w:val="single" w:sz="4" w:space="0" w:color="auto"/>
              <w:bottom w:val="single" w:sz="4" w:space="0" w:color="auto"/>
            </w:tcBorders>
            <w:shd w:val="clear" w:color="auto" w:fill="auto"/>
          </w:tcPr>
          <w:p w14:paraId="29338385" w14:textId="1B1AB7C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INSTITUTE OF PUBLIC ADMINISTRATION AUSTRALIA (VICTORIAN DIVISION) INC</w:t>
            </w:r>
          </w:p>
        </w:tc>
        <w:tc>
          <w:tcPr>
            <w:tcW w:w="4096" w:type="dxa"/>
            <w:tcBorders>
              <w:top w:val="single" w:sz="4" w:space="0" w:color="auto"/>
              <w:bottom w:val="single" w:sz="4" w:space="0" w:color="auto"/>
            </w:tcBorders>
          </w:tcPr>
          <w:p w14:paraId="38495065" w14:textId="06522240" w:rsidR="00D006DC" w:rsidRPr="008457E1" w:rsidRDefault="008C105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F9E0CAD" w14:textId="473DA3B0"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3,937</w:t>
            </w:r>
          </w:p>
        </w:tc>
      </w:tr>
      <w:tr w:rsidR="00D006DC" w:rsidRPr="009423C3" w14:paraId="611DF4B9" w14:textId="77777777" w:rsidTr="001244A4">
        <w:trPr>
          <w:cantSplit/>
          <w:trHeight w:val="353"/>
        </w:trPr>
        <w:tc>
          <w:tcPr>
            <w:tcW w:w="3823" w:type="dxa"/>
            <w:tcBorders>
              <w:top w:val="single" w:sz="4" w:space="0" w:color="auto"/>
              <w:bottom w:val="single" w:sz="4" w:space="0" w:color="auto"/>
            </w:tcBorders>
            <w:shd w:val="clear" w:color="auto" w:fill="auto"/>
          </w:tcPr>
          <w:p w14:paraId="06319F71" w14:textId="22BD634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INSTRUCTURE GLOBAL LTD</w:t>
            </w:r>
          </w:p>
        </w:tc>
        <w:tc>
          <w:tcPr>
            <w:tcW w:w="4096" w:type="dxa"/>
            <w:tcBorders>
              <w:top w:val="single" w:sz="4" w:space="0" w:color="auto"/>
              <w:bottom w:val="single" w:sz="4" w:space="0" w:color="auto"/>
            </w:tcBorders>
          </w:tcPr>
          <w:p w14:paraId="38BE5AAA" w14:textId="5696EB3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79A8F077" w14:textId="76CB8FCC"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568,116</w:t>
            </w:r>
          </w:p>
        </w:tc>
      </w:tr>
      <w:tr w:rsidR="00D006DC" w:rsidRPr="009423C3" w14:paraId="054ACC09" w14:textId="77777777" w:rsidTr="001244A4">
        <w:trPr>
          <w:cantSplit/>
          <w:trHeight w:val="353"/>
        </w:trPr>
        <w:tc>
          <w:tcPr>
            <w:tcW w:w="3823" w:type="dxa"/>
            <w:tcBorders>
              <w:top w:val="single" w:sz="4" w:space="0" w:color="auto"/>
              <w:bottom w:val="single" w:sz="4" w:space="0" w:color="auto"/>
            </w:tcBorders>
            <w:shd w:val="clear" w:color="auto" w:fill="auto"/>
          </w:tcPr>
          <w:p w14:paraId="554241D6" w14:textId="7A5882F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INTEGRATE AV</w:t>
            </w:r>
          </w:p>
        </w:tc>
        <w:tc>
          <w:tcPr>
            <w:tcW w:w="4096" w:type="dxa"/>
            <w:tcBorders>
              <w:top w:val="single" w:sz="4" w:space="0" w:color="auto"/>
              <w:bottom w:val="single" w:sz="4" w:space="0" w:color="auto"/>
            </w:tcBorders>
          </w:tcPr>
          <w:p w14:paraId="69E48668" w14:textId="30A603BF"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7F05318C" w14:textId="6BEA7626"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60,939</w:t>
            </w:r>
          </w:p>
        </w:tc>
      </w:tr>
      <w:tr w:rsidR="00D006DC" w:rsidRPr="009423C3" w14:paraId="722CAA50" w14:textId="77777777" w:rsidTr="001244A4">
        <w:trPr>
          <w:cantSplit/>
          <w:trHeight w:val="353"/>
        </w:trPr>
        <w:tc>
          <w:tcPr>
            <w:tcW w:w="3823" w:type="dxa"/>
            <w:tcBorders>
              <w:top w:val="single" w:sz="4" w:space="0" w:color="auto"/>
              <w:bottom w:val="single" w:sz="4" w:space="0" w:color="auto"/>
            </w:tcBorders>
            <w:shd w:val="clear" w:color="auto" w:fill="auto"/>
          </w:tcPr>
          <w:p w14:paraId="218238A2" w14:textId="1CC37FC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INTEGRO LEARNING COMPANY PTY LTD</w:t>
            </w:r>
          </w:p>
        </w:tc>
        <w:tc>
          <w:tcPr>
            <w:tcW w:w="4096" w:type="dxa"/>
            <w:tcBorders>
              <w:top w:val="single" w:sz="4" w:space="0" w:color="auto"/>
              <w:bottom w:val="single" w:sz="4" w:space="0" w:color="auto"/>
            </w:tcBorders>
          </w:tcPr>
          <w:p w14:paraId="1BC35DA5" w14:textId="1308AA9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0EC3EA9" w14:textId="4E8615E9"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44,712</w:t>
            </w:r>
          </w:p>
        </w:tc>
      </w:tr>
      <w:tr w:rsidR="00D006DC" w:rsidRPr="009423C3" w14:paraId="51F213A9" w14:textId="77777777" w:rsidTr="001244A4">
        <w:trPr>
          <w:cantSplit/>
          <w:trHeight w:val="353"/>
        </w:trPr>
        <w:tc>
          <w:tcPr>
            <w:tcW w:w="3823" w:type="dxa"/>
            <w:tcBorders>
              <w:top w:val="single" w:sz="4" w:space="0" w:color="auto"/>
              <w:bottom w:val="single" w:sz="4" w:space="0" w:color="auto"/>
            </w:tcBorders>
            <w:shd w:val="clear" w:color="auto" w:fill="auto"/>
          </w:tcPr>
          <w:p w14:paraId="368EC5DC" w14:textId="0903736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INTERAACT WITH ME</w:t>
            </w:r>
          </w:p>
        </w:tc>
        <w:tc>
          <w:tcPr>
            <w:tcW w:w="4096" w:type="dxa"/>
            <w:tcBorders>
              <w:top w:val="single" w:sz="4" w:space="0" w:color="auto"/>
              <w:bottom w:val="single" w:sz="4" w:space="0" w:color="auto"/>
            </w:tcBorders>
          </w:tcPr>
          <w:p w14:paraId="1E495A12" w14:textId="646FBFA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7F113383" w14:textId="2E18B6E6"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1,091</w:t>
            </w:r>
          </w:p>
        </w:tc>
      </w:tr>
      <w:tr w:rsidR="00D006DC" w:rsidRPr="009423C3" w14:paraId="32705B93" w14:textId="77777777" w:rsidTr="001244A4">
        <w:trPr>
          <w:cantSplit/>
          <w:trHeight w:val="353"/>
        </w:trPr>
        <w:tc>
          <w:tcPr>
            <w:tcW w:w="3823" w:type="dxa"/>
            <w:tcBorders>
              <w:top w:val="single" w:sz="4" w:space="0" w:color="auto"/>
              <w:bottom w:val="single" w:sz="4" w:space="0" w:color="auto"/>
            </w:tcBorders>
            <w:shd w:val="clear" w:color="auto" w:fill="auto"/>
          </w:tcPr>
          <w:p w14:paraId="4EE929F6" w14:textId="052D5CB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INTERCHANGE LODDON MALLEE REGION LIMITED</w:t>
            </w:r>
          </w:p>
        </w:tc>
        <w:tc>
          <w:tcPr>
            <w:tcW w:w="4096" w:type="dxa"/>
            <w:tcBorders>
              <w:top w:val="single" w:sz="4" w:space="0" w:color="auto"/>
              <w:bottom w:val="single" w:sz="4" w:space="0" w:color="auto"/>
            </w:tcBorders>
          </w:tcPr>
          <w:p w14:paraId="61FBADF6" w14:textId="384B879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F4DB047" w14:textId="449C9566"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2,031,040</w:t>
            </w:r>
          </w:p>
        </w:tc>
      </w:tr>
      <w:tr w:rsidR="00D006DC" w:rsidRPr="009423C3" w14:paraId="020F3E08" w14:textId="77777777" w:rsidTr="001244A4">
        <w:trPr>
          <w:cantSplit/>
          <w:trHeight w:val="353"/>
        </w:trPr>
        <w:tc>
          <w:tcPr>
            <w:tcW w:w="3823" w:type="dxa"/>
            <w:tcBorders>
              <w:top w:val="single" w:sz="4" w:space="0" w:color="auto"/>
              <w:bottom w:val="single" w:sz="4" w:space="0" w:color="auto"/>
            </w:tcBorders>
            <w:shd w:val="clear" w:color="auto" w:fill="auto"/>
          </w:tcPr>
          <w:p w14:paraId="1B75F0B2" w14:textId="461C4E1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IPSOS PUBLIC AFFAIRS PTY LTD</w:t>
            </w:r>
          </w:p>
        </w:tc>
        <w:tc>
          <w:tcPr>
            <w:tcW w:w="4096" w:type="dxa"/>
            <w:tcBorders>
              <w:top w:val="single" w:sz="4" w:space="0" w:color="auto"/>
              <w:bottom w:val="single" w:sz="4" w:space="0" w:color="auto"/>
            </w:tcBorders>
          </w:tcPr>
          <w:p w14:paraId="169F8B6C" w14:textId="46EC684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1B46EE7" w14:textId="76692DCD"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416,471</w:t>
            </w:r>
          </w:p>
        </w:tc>
      </w:tr>
      <w:tr w:rsidR="00D006DC" w:rsidRPr="009423C3" w14:paraId="06AA1DE0" w14:textId="77777777" w:rsidTr="001244A4">
        <w:trPr>
          <w:cantSplit/>
          <w:trHeight w:val="353"/>
        </w:trPr>
        <w:tc>
          <w:tcPr>
            <w:tcW w:w="3823" w:type="dxa"/>
            <w:tcBorders>
              <w:top w:val="single" w:sz="4" w:space="0" w:color="auto"/>
              <w:bottom w:val="single" w:sz="4" w:space="0" w:color="auto"/>
            </w:tcBorders>
            <w:shd w:val="clear" w:color="auto" w:fill="auto"/>
          </w:tcPr>
          <w:p w14:paraId="1DCB6F89" w14:textId="3C0F12A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IRREGULAR NETWORKS PTY LTD</w:t>
            </w:r>
          </w:p>
        </w:tc>
        <w:tc>
          <w:tcPr>
            <w:tcW w:w="4096" w:type="dxa"/>
            <w:tcBorders>
              <w:top w:val="single" w:sz="4" w:space="0" w:color="auto"/>
              <w:bottom w:val="single" w:sz="4" w:space="0" w:color="auto"/>
            </w:tcBorders>
          </w:tcPr>
          <w:p w14:paraId="20828ED8" w14:textId="193AA53A"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auto"/>
              <w:bottom w:val="single" w:sz="4" w:space="0" w:color="auto"/>
            </w:tcBorders>
            <w:shd w:val="clear" w:color="auto" w:fill="auto"/>
          </w:tcPr>
          <w:p w14:paraId="4BAEA985" w14:textId="485C8749"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33,280</w:t>
            </w:r>
          </w:p>
        </w:tc>
      </w:tr>
      <w:tr w:rsidR="00D006DC" w:rsidRPr="009423C3" w14:paraId="3A42A514" w14:textId="77777777" w:rsidTr="001244A4">
        <w:trPr>
          <w:cantSplit/>
          <w:trHeight w:val="353"/>
        </w:trPr>
        <w:tc>
          <w:tcPr>
            <w:tcW w:w="3823" w:type="dxa"/>
            <w:tcBorders>
              <w:top w:val="single" w:sz="4" w:space="0" w:color="auto"/>
              <w:bottom w:val="single" w:sz="4" w:space="0" w:color="auto"/>
            </w:tcBorders>
            <w:shd w:val="clear" w:color="auto" w:fill="auto"/>
          </w:tcPr>
          <w:p w14:paraId="4748C396" w14:textId="20BECE9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ISCHOOLSPORTS</w:t>
            </w:r>
          </w:p>
        </w:tc>
        <w:tc>
          <w:tcPr>
            <w:tcW w:w="4096" w:type="dxa"/>
            <w:tcBorders>
              <w:top w:val="single" w:sz="4" w:space="0" w:color="auto"/>
              <w:bottom w:val="single" w:sz="4" w:space="0" w:color="auto"/>
            </w:tcBorders>
          </w:tcPr>
          <w:p w14:paraId="4D842796" w14:textId="530947B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1EF7404" w14:textId="2611C3F3"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2,500</w:t>
            </w:r>
          </w:p>
        </w:tc>
      </w:tr>
      <w:tr w:rsidR="00D006DC" w:rsidRPr="009423C3" w14:paraId="560BCBD3" w14:textId="77777777" w:rsidTr="001244A4">
        <w:trPr>
          <w:cantSplit/>
          <w:trHeight w:val="353"/>
        </w:trPr>
        <w:tc>
          <w:tcPr>
            <w:tcW w:w="3823" w:type="dxa"/>
            <w:tcBorders>
              <w:top w:val="single" w:sz="4" w:space="0" w:color="auto"/>
              <w:bottom w:val="single" w:sz="4" w:space="0" w:color="auto"/>
            </w:tcBorders>
            <w:shd w:val="clear" w:color="auto" w:fill="auto"/>
          </w:tcPr>
          <w:p w14:paraId="29C3D220" w14:textId="1297142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ITHACA GROUP</w:t>
            </w:r>
          </w:p>
        </w:tc>
        <w:tc>
          <w:tcPr>
            <w:tcW w:w="4096" w:type="dxa"/>
            <w:tcBorders>
              <w:top w:val="single" w:sz="4" w:space="0" w:color="auto"/>
              <w:bottom w:val="single" w:sz="4" w:space="0" w:color="auto"/>
            </w:tcBorders>
          </w:tcPr>
          <w:p w14:paraId="5860D1A4" w14:textId="48ECCB99"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5576D60" w14:textId="3F4B8599"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73,660</w:t>
            </w:r>
          </w:p>
        </w:tc>
      </w:tr>
      <w:tr w:rsidR="00D006DC" w:rsidRPr="009423C3" w14:paraId="726B5D64" w14:textId="77777777" w:rsidTr="001244A4">
        <w:trPr>
          <w:cantSplit/>
          <w:trHeight w:val="353"/>
        </w:trPr>
        <w:tc>
          <w:tcPr>
            <w:tcW w:w="3823" w:type="dxa"/>
            <w:tcBorders>
              <w:top w:val="single" w:sz="4" w:space="0" w:color="auto"/>
              <w:bottom w:val="single" w:sz="4" w:space="0" w:color="auto"/>
            </w:tcBorders>
            <w:shd w:val="clear" w:color="auto" w:fill="auto"/>
          </w:tcPr>
          <w:p w14:paraId="1D97303A" w14:textId="4F51105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IVE GROUP VICTORIA PTY LTD</w:t>
            </w:r>
          </w:p>
        </w:tc>
        <w:tc>
          <w:tcPr>
            <w:tcW w:w="4096" w:type="dxa"/>
            <w:tcBorders>
              <w:top w:val="single" w:sz="4" w:space="0" w:color="auto"/>
              <w:bottom w:val="single" w:sz="4" w:space="0" w:color="auto"/>
            </w:tcBorders>
          </w:tcPr>
          <w:p w14:paraId="4C21DAFD" w14:textId="73EC46DF"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49DB0569" w14:textId="4A67C97B"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1,397</w:t>
            </w:r>
          </w:p>
        </w:tc>
      </w:tr>
      <w:tr w:rsidR="00D006DC" w:rsidRPr="009423C3" w14:paraId="4A13EAFB" w14:textId="77777777" w:rsidTr="001244A4">
        <w:trPr>
          <w:cantSplit/>
          <w:trHeight w:val="353"/>
        </w:trPr>
        <w:tc>
          <w:tcPr>
            <w:tcW w:w="3823" w:type="dxa"/>
            <w:tcBorders>
              <w:top w:val="single" w:sz="4" w:space="0" w:color="auto"/>
              <w:bottom w:val="single" w:sz="4" w:space="0" w:color="auto"/>
            </w:tcBorders>
            <w:shd w:val="clear" w:color="auto" w:fill="auto"/>
          </w:tcPr>
          <w:p w14:paraId="1BEAB3C6" w14:textId="0AA93FE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IVVY PTY LTD</w:t>
            </w:r>
          </w:p>
        </w:tc>
        <w:tc>
          <w:tcPr>
            <w:tcW w:w="4096" w:type="dxa"/>
            <w:tcBorders>
              <w:top w:val="single" w:sz="4" w:space="0" w:color="auto"/>
              <w:bottom w:val="single" w:sz="4" w:space="0" w:color="auto"/>
            </w:tcBorders>
          </w:tcPr>
          <w:p w14:paraId="15FF82E2" w14:textId="1A04B6E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64CC450" w14:textId="41E910FC"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8,988</w:t>
            </w:r>
          </w:p>
        </w:tc>
      </w:tr>
      <w:tr w:rsidR="00D006DC" w:rsidRPr="009423C3" w14:paraId="1BD0A30B" w14:textId="77777777" w:rsidTr="001244A4">
        <w:trPr>
          <w:cantSplit/>
          <w:trHeight w:val="353"/>
        </w:trPr>
        <w:tc>
          <w:tcPr>
            <w:tcW w:w="3823" w:type="dxa"/>
            <w:tcBorders>
              <w:top w:val="single" w:sz="4" w:space="0" w:color="auto"/>
              <w:bottom w:val="single" w:sz="4" w:space="0" w:color="auto"/>
            </w:tcBorders>
            <w:shd w:val="clear" w:color="auto" w:fill="auto"/>
          </w:tcPr>
          <w:p w14:paraId="792A88AE" w14:textId="253D6A5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 &amp; D CORRIGAN</w:t>
            </w:r>
          </w:p>
        </w:tc>
        <w:tc>
          <w:tcPr>
            <w:tcW w:w="4096" w:type="dxa"/>
            <w:tcBorders>
              <w:top w:val="single" w:sz="4" w:space="0" w:color="auto"/>
              <w:bottom w:val="single" w:sz="4" w:space="0" w:color="auto"/>
            </w:tcBorders>
          </w:tcPr>
          <w:p w14:paraId="6FCA71D2" w14:textId="402465F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447D73CF" w14:textId="4F679116"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18,150</w:t>
            </w:r>
          </w:p>
        </w:tc>
      </w:tr>
      <w:tr w:rsidR="00D006DC" w:rsidRPr="009423C3" w14:paraId="75983C19" w14:textId="77777777" w:rsidTr="001244A4">
        <w:trPr>
          <w:cantSplit/>
          <w:trHeight w:val="353"/>
        </w:trPr>
        <w:tc>
          <w:tcPr>
            <w:tcW w:w="3823" w:type="dxa"/>
            <w:tcBorders>
              <w:top w:val="single" w:sz="4" w:space="0" w:color="auto"/>
              <w:bottom w:val="single" w:sz="4" w:space="0" w:color="auto"/>
            </w:tcBorders>
            <w:shd w:val="clear" w:color="auto" w:fill="auto"/>
          </w:tcPr>
          <w:p w14:paraId="2E0BA47B" w14:textId="5335DE38"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JAMIE DANIEL MURPHY</w:t>
            </w:r>
          </w:p>
        </w:tc>
        <w:tc>
          <w:tcPr>
            <w:tcW w:w="4096" w:type="dxa"/>
            <w:tcBorders>
              <w:top w:val="single" w:sz="4" w:space="0" w:color="auto"/>
              <w:bottom w:val="single" w:sz="4" w:space="0" w:color="auto"/>
            </w:tcBorders>
          </w:tcPr>
          <w:p w14:paraId="0FB1C11A" w14:textId="549AF36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149C1B0" w14:textId="5778367E"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6,000</w:t>
            </w:r>
          </w:p>
        </w:tc>
      </w:tr>
      <w:tr w:rsidR="00D006DC" w:rsidRPr="009423C3" w14:paraId="75E16C73" w14:textId="77777777" w:rsidTr="001244A4">
        <w:trPr>
          <w:cantSplit/>
          <w:trHeight w:val="353"/>
        </w:trPr>
        <w:tc>
          <w:tcPr>
            <w:tcW w:w="3823" w:type="dxa"/>
            <w:tcBorders>
              <w:top w:val="single" w:sz="4" w:space="0" w:color="auto"/>
              <w:bottom w:val="single" w:sz="4" w:space="0" w:color="auto"/>
            </w:tcBorders>
            <w:shd w:val="clear" w:color="auto" w:fill="auto"/>
          </w:tcPr>
          <w:p w14:paraId="6C469001" w14:textId="39CF6095"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JDS AUSTRALIA PTY LTD</w:t>
            </w:r>
          </w:p>
        </w:tc>
        <w:tc>
          <w:tcPr>
            <w:tcW w:w="4096" w:type="dxa"/>
            <w:tcBorders>
              <w:top w:val="single" w:sz="4" w:space="0" w:color="auto"/>
              <w:bottom w:val="single" w:sz="4" w:space="0" w:color="auto"/>
            </w:tcBorders>
          </w:tcPr>
          <w:p w14:paraId="6A0F5931" w14:textId="57D1C88B"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auto"/>
              <w:bottom w:val="single" w:sz="4" w:space="0" w:color="auto"/>
            </w:tcBorders>
            <w:shd w:val="clear" w:color="auto" w:fill="auto"/>
          </w:tcPr>
          <w:p w14:paraId="69DD9D1E" w14:textId="4B8249FA"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157,968</w:t>
            </w:r>
          </w:p>
        </w:tc>
      </w:tr>
      <w:tr w:rsidR="00D006DC" w:rsidRPr="009423C3" w14:paraId="7BE6DCA7" w14:textId="77777777" w:rsidTr="001244A4">
        <w:trPr>
          <w:cantSplit/>
          <w:trHeight w:val="353"/>
        </w:trPr>
        <w:tc>
          <w:tcPr>
            <w:tcW w:w="3823" w:type="dxa"/>
            <w:tcBorders>
              <w:top w:val="single" w:sz="4" w:space="0" w:color="auto"/>
              <w:bottom w:val="single" w:sz="4" w:space="0" w:color="auto"/>
            </w:tcBorders>
            <w:shd w:val="clear" w:color="auto" w:fill="auto"/>
          </w:tcPr>
          <w:p w14:paraId="640A6ED6" w14:textId="605CC686"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JEANETTE POPE</w:t>
            </w:r>
          </w:p>
        </w:tc>
        <w:tc>
          <w:tcPr>
            <w:tcW w:w="4096" w:type="dxa"/>
            <w:tcBorders>
              <w:top w:val="single" w:sz="4" w:space="0" w:color="auto"/>
              <w:bottom w:val="single" w:sz="4" w:space="0" w:color="auto"/>
            </w:tcBorders>
          </w:tcPr>
          <w:p w14:paraId="7F4AF9B4" w14:textId="6238E03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7A5A7928" w14:textId="3AFD85A7"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3,000</w:t>
            </w:r>
          </w:p>
        </w:tc>
      </w:tr>
      <w:tr w:rsidR="00D006DC" w:rsidRPr="009423C3" w14:paraId="21818BC7" w14:textId="77777777" w:rsidTr="001244A4">
        <w:trPr>
          <w:cantSplit/>
          <w:trHeight w:val="353"/>
        </w:trPr>
        <w:tc>
          <w:tcPr>
            <w:tcW w:w="3823" w:type="dxa"/>
            <w:tcBorders>
              <w:top w:val="single" w:sz="4" w:space="0" w:color="auto"/>
              <w:bottom w:val="single" w:sz="4" w:space="0" w:color="auto"/>
            </w:tcBorders>
            <w:shd w:val="clear" w:color="auto" w:fill="auto"/>
          </w:tcPr>
          <w:p w14:paraId="62ABECE0" w14:textId="2AFD26F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JEFF WHALAN LEARNING GROUP</w:t>
            </w:r>
          </w:p>
        </w:tc>
        <w:tc>
          <w:tcPr>
            <w:tcW w:w="4096" w:type="dxa"/>
            <w:tcBorders>
              <w:top w:val="single" w:sz="4" w:space="0" w:color="auto"/>
              <w:bottom w:val="single" w:sz="4" w:space="0" w:color="auto"/>
            </w:tcBorders>
          </w:tcPr>
          <w:p w14:paraId="78AB311A" w14:textId="3786D43F" w:rsidR="00D006DC" w:rsidRPr="008457E1" w:rsidRDefault="008C105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5A87A994" w14:textId="4163135C"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9,400</w:t>
            </w:r>
          </w:p>
        </w:tc>
      </w:tr>
      <w:tr w:rsidR="00D006DC" w:rsidRPr="009423C3" w14:paraId="3BEE66D2" w14:textId="77777777" w:rsidTr="001244A4">
        <w:trPr>
          <w:cantSplit/>
          <w:trHeight w:val="353"/>
        </w:trPr>
        <w:tc>
          <w:tcPr>
            <w:tcW w:w="3823" w:type="dxa"/>
            <w:tcBorders>
              <w:top w:val="single" w:sz="4" w:space="0" w:color="auto"/>
              <w:bottom w:val="single" w:sz="4" w:space="0" w:color="auto"/>
            </w:tcBorders>
            <w:shd w:val="clear" w:color="auto" w:fill="auto"/>
          </w:tcPr>
          <w:p w14:paraId="01DC122F" w14:textId="10EA968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JEGES HELEN ANN</w:t>
            </w:r>
          </w:p>
        </w:tc>
        <w:tc>
          <w:tcPr>
            <w:tcW w:w="4096" w:type="dxa"/>
            <w:tcBorders>
              <w:top w:val="single" w:sz="4" w:space="0" w:color="auto"/>
              <w:bottom w:val="single" w:sz="4" w:space="0" w:color="auto"/>
            </w:tcBorders>
          </w:tcPr>
          <w:p w14:paraId="72B25416" w14:textId="129E68C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3E50C6FB" w14:textId="6227688C"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3,849</w:t>
            </w:r>
          </w:p>
        </w:tc>
      </w:tr>
      <w:tr w:rsidR="00D006DC" w:rsidRPr="009423C3" w14:paraId="4B6E6374" w14:textId="77777777" w:rsidTr="001244A4">
        <w:trPr>
          <w:cantSplit/>
          <w:trHeight w:val="353"/>
        </w:trPr>
        <w:tc>
          <w:tcPr>
            <w:tcW w:w="3823" w:type="dxa"/>
            <w:tcBorders>
              <w:top w:val="single" w:sz="4" w:space="0" w:color="auto"/>
              <w:bottom w:val="single" w:sz="4" w:space="0" w:color="auto"/>
            </w:tcBorders>
            <w:shd w:val="clear" w:color="auto" w:fill="auto"/>
          </w:tcPr>
          <w:p w14:paraId="43EB65BF" w14:textId="1CE2A82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JENBEE CONSULTING</w:t>
            </w:r>
          </w:p>
        </w:tc>
        <w:tc>
          <w:tcPr>
            <w:tcW w:w="4096" w:type="dxa"/>
            <w:tcBorders>
              <w:top w:val="single" w:sz="4" w:space="0" w:color="auto"/>
              <w:bottom w:val="single" w:sz="4" w:space="0" w:color="auto"/>
            </w:tcBorders>
          </w:tcPr>
          <w:p w14:paraId="38AB39F6" w14:textId="3E5A1CEA"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BDB6996" w14:textId="221405B1"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6,400</w:t>
            </w:r>
          </w:p>
        </w:tc>
      </w:tr>
      <w:tr w:rsidR="00D006DC" w:rsidRPr="009423C3" w14:paraId="6600E858" w14:textId="77777777" w:rsidTr="001244A4">
        <w:trPr>
          <w:cantSplit/>
          <w:trHeight w:val="353"/>
        </w:trPr>
        <w:tc>
          <w:tcPr>
            <w:tcW w:w="3823" w:type="dxa"/>
            <w:tcBorders>
              <w:top w:val="single" w:sz="4" w:space="0" w:color="auto"/>
              <w:bottom w:val="single" w:sz="4" w:space="0" w:color="auto"/>
            </w:tcBorders>
            <w:shd w:val="clear" w:color="auto" w:fill="auto"/>
          </w:tcPr>
          <w:p w14:paraId="64EA2950" w14:textId="752B121E"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JENNIFER FREEMAN</w:t>
            </w:r>
          </w:p>
        </w:tc>
        <w:tc>
          <w:tcPr>
            <w:tcW w:w="4096" w:type="dxa"/>
            <w:tcBorders>
              <w:top w:val="single" w:sz="4" w:space="0" w:color="auto"/>
              <w:bottom w:val="single" w:sz="4" w:space="0" w:color="auto"/>
            </w:tcBorders>
          </w:tcPr>
          <w:p w14:paraId="063FC98B" w14:textId="1062F94B"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5823870D" w14:textId="40027768"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2,136</w:t>
            </w:r>
          </w:p>
        </w:tc>
      </w:tr>
      <w:tr w:rsidR="00D006DC" w:rsidRPr="009423C3" w14:paraId="447BADEA" w14:textId="77777777" w:rsidTr="001244A4">
        <w:trPr>
          <w:cantSplit/>
          <w:trHeight w:val="353"/>
        </w:trPr>
        <w:tc>
          <w:tcPr>
            <w:tcW w:w="3823" w:type="dxa"/>
            <w:tcBorders>
              <w:top w:val="single" w:sz="4" w:space="0" w:color="auto"/>
              <w:bottom w:val="single" w:sz="4" w:space="0" w:color="auto"/>
            </w:tcBorders>
            <w:shd w:val="clear" w:color="auto" w:fill="auto"/>
          </w:tcPr>
          <w:p w14:paraId="4BDE6404" w14:textId="39AB9D5C"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JENNIFER JANE SAINSBURY</w:t>
            </w:r>
          </w:p>
        </w:tc>
        <w:tc>
          <w:tcPr>
            <w:tcW w:w="4096" w:type="dxa"/>
            <w:tcBorders>
              <w:top w:val="single" w:sz="4" w:space="0" w:color="auto"/>
              <w:bottom w:val="single" w:sz="4" w:space="0" w:color="auto"/>
            </w:tcBorders>
          </w:tcPr>
          <w:p w14:paraId="2DAFC472" w14:textId="07C09E5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4B101ED5" w14:textId="0386B012"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14,950</w:t>
            </w:r>
          </w:p>
        </w:tc>
      </w:tr>
      <w:tr w:rsidR="00D006DC" w:rsidRPr="009423C3" w14:paraId="7CCCE8B2" w14:textId="77777777" w:rsidTr="001244A4">
        <w:trPr>
          <w:cantSplit/>
          <w:trHeight w:val="353"/>
        </w:trPr>
        <w:tc>
          <w:tcPr>
            <w:tcW w:w="3823" w:type="dxa"/>
            <w:tcBorders>
              <w:top w:val="single" w:sz="4" w:space="0" w:color="auto"/>
              <w:bottom w:val="single" w:sz="4" w:space="0" w:color="auto"/>
            </w:tcBorders>
            <w:shd w:val="clear" w:color="auto" w:fill="auto"/>
          </w:tcPr>
          <w:p w14:paraId="57CBD05C" w14:textId="611D54D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JFE GLOBAL PTY LTD</w:t>
            </w:r>
          </w:p>
        </w:tc>
        <w:tc>
          <w:tcPr>
            <w:tcW w:w="4096" w:type="dxa"/>
            <w:tcBorders>
              <w:top w:val="single" w:sz="4" w:space="0" w:color="auto"/>
              <w:bottom w:val="single" w:sz="4" w:space="0" w:color="auto"/>
            </w:tcBorders>
          </w:tcPr>
          <w:p w14:paraId="410537E8" w14:textId="3D4BAB3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003E9AFF" w14:textId="1AF36BC4"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453,054</w:t>
            </w:r>
          </w:p>
        </w:tc>
      </w:tr>
      <w:tr w:rsidR="00D006DC" w:rsidRPr="009423C3" w14:paraId="48A06E5F" w14:textId="77777777" w:rsidTr="001244A4">
        <w:trPr>
          <w:cantSplit/>
          <w:trHeight w:val="353"/>
        </w:trPr>
        <w:tc>
          <w:tcPr>
            <w:tcW w:w="3823" w:type="dxa"/>
            <w:tcBorders>
              <w:top w:val="single" w:sz="4" w:space="0" w:color="auto"/>
              <w:bottom w:val="single" w:sz="4" w:space="0" w:color="auto"/>
            </w:tcBorders>
            <w:shd w:val="clear" w:color="auto" w:fill="auto"/>
          </w:tcPr>
          <w:p w14:paraId="5C08007B" w14:textId="077A067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JITTERBIT PTY LTD</w:t>
            </w:r>
          </w:p>
        </w:tc>
        <w:tc>
          <w:tcPr>
            <w:tcW w:w="4096" w:type="dxa"/>
            <w:tcBorders>
              <w:top w:val="single" w:sz="4" w:space="0" w:color="auto"/>
              <w:bottom w:val="single" w:sz="4" w:space="0" w:color="auto"/>
            </w:tcBorders>
          </w:tcPr>
          <w:p w14:paraId="3A0754A9" w14:textId="040EE154" w:rsidR="00D006DC" w:rsidRPr="008457E1" w:rsidRDefault="00F84AAA" w:rsidP="00D006DC">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auto"/>
              <w:bottom w:val="single" w:sz="4" w:space="0" w:color="auto"/>
            </w:tcBorders>
            <w:shd w:val="clear" w:color="auto" w:fill="auto"/>
          </w:tcPr>
          <w:p w14:paraId="4647B967" w14:textId="45035834"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24,000</w:t>
            </w:r>
          </w:p>
        </w:tc>
      </w:tr>
      <w:tr w:rsidR="00D006DC" w:rsidRPr="009423C3" w14:paraId="1A35965B" w14:textId="77777777" w:rsidTr="001244A4">
        <w:trPr>
          <w:cantSplit/>
          <w:trHeight w:val="353"/>
        </w:trPr>
        <w:tc>
          <w:tcPr>
            <w:tcW w:w="3823" w:type="dxa"/>
            <w:tcBorders>
              <w:top w:val="single" w:sz="4" w:space="0" w:color="auto"/>
              <w:bottom w:val="single" w:sz="4" w:space="0" w:color="auto"/>
            </w:tcBorders>
            <w:shd w:val="clear" w:color="auto" w:fill="auto"/>
          </w:tcPr>
          <w:p w14:paraId="4DB71711" w14:textId="2C5BAC5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JLW EDUCATIONAL CONSULTANCY</w:t>
            </w:r>
          </w:p>
        </w:tc>
        <w:tc>
          <w:tcPr>
            <w:tcW w:w="4096" w:type="dxa"/>
            <w:tcBorders>
              <w:top w:val="single" w:sz="4" w:space="0" w:color="auto"/>
              <w:bottom w:val="single" w:sz="4" w:space="0" w:color="auto"/>
            </w:tcBorders>
          </w:tcPr>
          <w:p w14:paraId="03FCB7E1" w14:textId="53EE68B4"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1126D7E8" w14:textId="7C33B3F4"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16,415</w:t>
            </w:r>
          </w:p>
        </w:tc>
      </w:tr>
      <w:tr w:rsidR="00D006DC" w:rsidRPr="009423C3" w14:paraId="3B858ECB" w14:textId="77777777" w:rsidTr="001244A4">
        <w:trPr>
          <w:cantSplit/>
          <w:trHeight w:val="353"/>
        </w:trPr>
        <w:tc>
          <w:tcPr>
            <w:tcW w:w="3823" w:type="dxa"/>
            <w:tcBorders>
              <w:top w:val="single" w:sz="4" w:space="0" w:color="auto"/>
              <w:bottom w:val="single" w:sz="4" w:space="0" w:color="auto"/>
            </w:tcBorders>
            <w:shd w:val="clear" w:color="auto" w:fill="auto"/>
          </w:tcPr>
          <w:p w14:paraId="14D5E7F2" w14:textId="668B8D6D"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JOANNE MARIE TRZCINSKI</w:t>
            </w:r>
          </w:p>
        </w:tc>
        <w:tc>
          <w:tcPr>
            <w:tcW w:w="4096" w:type="dxa"/>
            <w:tcBorders>
              <w:top w:val="single" w:sz="4" w:space="0" w:color="auto"/>
              <w:bottom w:val="single" w:sz="4" w:space="0" w:color="auto"/>
            </w:tcBorders>
          </w:tcPr>
          <w:p w14:paraId="6D2FDBF2" w14:textId="12BD7D1F"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6015B31F" w14:textId="0A75BEAB"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9,000</w:t>
            </w:r>
          </w:p>
        </w:tc>
      </w:tr>
      <w:tr w:rsidR="00D006DC" w:rsidRPr="009423C3" w14:paraId="326CD6BB" w14:textId="77777777" w:rsidTr="001244A4">
        <w:trPr>
          <w:cantSplit/>
          <w:trHeight w:val="353"/>
        </w:trPr>
        <w:tc>
          <w:tcPr>
            <w:tcW w:w="3823" w:type="dxa"/>
            <w:tcBorders>
              <w:top w:val="single" w:sz="4" w:space="0" w:color="auto"/>
              <w:bottom w:val="single" w:sz="4" w:space="0" w:color="auto"/>
            </w:tcBorders>
            <w:shd w:val="clear" w:color="auto" w:fill="auto"/>
          </w:tcPr>
          <w:p w14:paraId="0DC3D61E" w14:textId="622066A2"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JOHNSON RECRUITMENT</w:t>
            </w:r>
          </w:p>
        </w:tc>
        <w:tc>
          <w:tcPr>
            <w:tcW w:w="4096" w:type="dxa"/>
            <w:tcBorders>
              <w:top w:val="single" w:sz="4" w:space="0" w:color="auto"/>
              <w:bottom w:val="single" w:sz="4" w:space="0" w:color="auto"/>
            </w:tcBorders>
          </w:tcPr>
          <w:p w14:paraId="2CFA049B" w14:textId="100E3DC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Recruitment services</w:t>
            </w:r>
          </w:p>
        </w:tc>
        <w:tc>
          <w:tcPr>
            <w:tcW w:w="1417" w:type="dxa"/>
            <w:tcBorders>
              <w:top w:val="single" w:sz="4" w:space="0" w:color="auto"/>
              <w:bottom w:val="single" w:sz="4" w:space="0" w:color="auto"/>
            </w:tcBorders>
            <w:shd w:val="clear" w:color="auto" w:fill="auto"/>
          </w:tcPr>
          <w:p w14:paraId="0E8F81A2" w14:textId="0D63D3FB"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9,300</w:t>
            </w:r>
          </w:p>
        </w:tc>
      </w:tr>
      <w:tr w:rsidR="00D006DC" w:rsidRPr="009423C3" w14:paraId="554C2B53" w14:textId="77777777" w:rsidTr="001244A4">
        <w:trPr>
          <w:cantSplit/>
          <w:trHeight w:val="353"/>
        </w:trPr>
        <w:tc>
          <w:tcPr>
            <w:tcW w:w="3823" w:type="dxa"/>
            <w:tcBorders>
              <w:top w:val="single" w:sz="4" w:space="0" w:color="auto"/>
              <w:bottom w:val="single" w:sz="4" w:space="0" w:color="auto"/>
            </w:tcBorders>
            <w:shd w:val="clear" w:color="auto" w:fill="auto"/>
          </w:tcPr>
          <w:p w14:paraId="1476843A" w14:textId="49C806DF"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JONES BRONWYN</w:t>
            </w:r>
          </w:p>
        </w:tc>
        <w:tc>
          <w:tcPr>
            <w:tcW w:w="4096" w:type="dxa"/>
            <w:tcBorders>
              <w:top w:val="single" w:sz="4" w:space="0" w:color="auto"/>
              <w:bottom w:val="single" w:sz="4" w:space="0" w:color="auto"/>
            </w:tcBorders>
          </w:tcPr>
          <w:p w14:paraId="21BB52B4" w14:textId="19BC65D1"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2A608E9F" w14:textId="6B9ABD5E"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3,150</w:t>
            </w:r>
          </w:p>
        </w:tc>
      </w:tr>
      <w:tr w:rsidR="00D006DC" w:rsidRPr="009423C3" w14:paraId="3F79E1DF" w14:textId="77777777" w:rsidTr="001244A4">
        <w:trPr>
          <w:cantSplit/>
          <w:trHeight w:val="353"/>
        </w:trPr>
        <w:tc>
          <w:tcPr>
            <w:tcW w:w="3823" w:type="dxa"/>
            <w:tcBorders>
              <w:top w:val="single" w:sz="4" w:space="0" w:color="auto"/>
              <w:bottom w:val="single" w:sz="4" w:space="0" w:color="auto"/>
            </w:tcBorders>
            <w:shd w:val="clear" w:color="auto" w:fill="auto"/>
          </w:tcPr>
          <w:p w14:paraId="6626E684" w14:textId="2A5FB310"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JOST &amp; CO PTY LTD</w:t>
            </w:r>
          </w:p>
        </w:tc>
        <w:tc>
          <w:tcPr>
            <w:tcW w:w="4096" w:type="dxa"/>
            <w:tcBorders>
              <w:top w:val="single" w:sz="4" w:space="0" w:color="auto"/>
              <w:bottom w:val="single" w:sz="4" w:space="0" w:color="auto"/>
            </w:tcBorders>
          </w:tcPr>
          <w:p w14:paraId="7D664E36" w14:textId="346546A7" w:rsidR="00D006DC" w:rsidRPr="008457E1" w:rsidRDefault="00D006DC" w:rsidP="00D006DC">
            <w:pPr>
              <w:pStyle w:val="ESTablebody"/>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auto"/>
            </w:tcBorders>
            <w:shd w:val="clear" w:color="auto" w:fill="auto"/>
          </w:tcPr>
          <w:p w14:paraId="58D35BE9" w14:textId="2C544657" w:rsidR="00D006DC" w:rsidRPr="008457E1" w:rsidRDefault="00D006DC" w:rsidP="00D006DC">
            <w:pPr>
              <w:pStyle w:val="ESTablebody"/>
              <w:jc w:val="right"/>
              <w:rPr>
                <w:rFonts w:ascii="Calibri" w:eastAsia="Times New Roman" w:hAnsi="Calibri" w:cs="Calibri"/>
                <w:color w:val="000000"/>
                <w:szCs w:val="20"/>
                <w:lang w:val="en-AU" w:eastAsia="en-AU"/>
              </w:rPr>
            </w:pPr>
            <w:r w:rsidRPr="00131ED0">
              <w:rPr>
                <w:rFonts w:ascii="Calibri" w:eastAsia="Times New Roman" w:hAnsi="Calibri" w:cs="Calibri"/>
                <w:color w:val="000000"/>
                <w:szCs w:val="20"/>
                <w:lang w:val="en-AU" w:eastAsia="en-AU"/>
              </w:rPr>
              <w:t>184,117</w:t>
            </w:r>
          </w:p>
        </w:tc>
      </w:tr>
      <w:tr w:rsidR="00D006DC" w:rsidRPr="009423C3" w14:paraId="3D0261C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1DAF4E3" w14:textId="381B50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KADISHA ENTERPRISES PTY LTD</w:t>
            </w:r>
          </w:p>
        </w:tc>
        <w:tc>
          <w:tcPr>
            <w:tcW w:w="4096" w:type="dxa"/>
            <w:tcBorders>
              <w:top w:val="single" w:sz="4" w:space="0" w:color="auto"/>
              <w:bottom w:val="single" w:sz="4" w:space="0" w:color="auto"/>
            </w:tcBorders>
            <w:vAlign w:val="center"/>
          </w:tcPr>
          <w:p w14:paraId="07F1903F" w14:textId="0AFF14D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93763F4" w14:textId="76D02E0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14,027</w:t>
            </w:r>
          </w:p>
        </w:tc>
      </w:tr>
      <w:tr w:rsidR="00D006DC" w:rsidRPr="009423C3" w14:paraId="73E1BE9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F6DFCD7" w14:textId="2B83019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KARE PSYCHOLOGY</w:t>
            </w:r>
          </w:p>
        </w:tc>
        <w:tc>
          <w:tcPr>
            <w:tcW w:w="4096" w:type="dxa"/>
            <w:tcBorders>
              <w:top w:val="single" w:sz="4" w:space="0" w:color="auto"/>
              <w:bottom w:val="single" w:sz="4" w:space="0" w:color="auto"/>
            </w:tcBorders>
            <w:vAlign w:val="center"/>
          </w:tcPr>
          <w:p w14:paraId="59898D02" w14:textId="5BE19E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CF37BD1" w14:textId="799241D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38,110</w:t>
            </w:r>
          </w:p>
        </w:tc>
      </w:tr>
      <w:tr w:rsidR="00D006DC" w:rsidRPr="009423C3" w14:paraId="558D45C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6599381" w14:textId="7AF4EF3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KAREN MILWARD CONSULTING SERVICES</w:t>
            </w:r>
          </w:p>
        </w:tc>
        <w:tc>
          <w:tcPr>
            <w:tcW w:w="4096" w:type="dxa"/>
            <w:tcBorders>
              <w:top w:val="single" w:sz="4" w:space="0" w:color="auto"/>
              <w:bottom w:val="single" w:sz="4" w:space="0" w:color="auto"/>
            </w:tcBorders>
            <w:vAlign w:val="center"/>
          </w:tcPr>
          <w:p w14:paraId="257C7E07" w14:textId="218A9C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3FB94EE" w14:textId="5DAA590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6,250</w:t>
            </w:r>
          </w:p>
        </w:tc>
      </w:tr>
      <w:tr w:rsidR="00D006DC" w:rsidRPr="009423C3" w14:paraId="5786B60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7B9C80B" w14:textId="6B25CE0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KARIN ETHEL KIRKBY O'REILLY</w:t>
            </w:r>
          </w:p>
        </w:tc>
        <w:tc>
          <w:tcPr>
            <w:tcW w:w="4096" w:type="dxa"/>
            <w:tcBorders>
              <w:top w:val="single" w:sz="4" w:space="0" w:color="auto"/>
              <w:bottom w:val="single" w:sz="4" w:space="0" w:color="auto"/>
            </w:tcBorders>
            <w:vAlign w:val="center"/>
          </w:tcPr>
          <w:p w14:paraId="1D3C1A0D" w14:textId="245F0C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25C02636" w14:textId="6D81086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1,250</w:t>
            </w:r>
          </w:p>
        </w:tc>
      </w:tr>
      <w:tr w:rsidR="00D006DC" w:rsidRPr="009423C3" w14:paraId="2A54AFB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6018D78" w14:textId="0A2CBC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KASO RAYMOND LESLIE</w:t>
            </w:r>
          </w:p>
        </w:tc>
        <w:tc>
          <w:tcPr>
            <w:tcW w:w="4096" w:type="dxa"/>
            <w:tcBorders>
              <w:top w:val="single" w:sz="4" w:space="0" w:color="auto"/>
              <w:bottom w:val="single" w:sz="4" w:space="0" w:color="auto"/>
            </w:tcBorders>
            <w:vAlign w:val="center"/>
          </w:tcPr>
          <w:p w14:paraId="649D2283" w14:textId="714A326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B41E755" w14:textId="467BA62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1,800</w:t>
            </w:r>
          </w:p>
        </w:tc>
      </w:tr>
      <w:tr w:rsidR="00D006DC" w:rsidRPr="009423C3" w14:paraId="6B941AA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DE63230" w14:textId="10A2FEC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KATE A ALESSIA</w:t>
            </w:r>
          </w:p>
        </w:tc>
        <w:tc>
          <w:tcPr>
            <w:tcW w:w="4096" w:type="dxa"/>
            <w:tcBorders>
              <w:top w:val="single" w:sz="4" w:space="0" w:color="auto"/>
              <w:bottom w:val="single" w:sz="4" w:space="0" w:color="auto"/>
            </w:tcBorders>
            <w:vAlign w:val="center"/>
          </w:tcPr>
          <w:p w14:paraId="53201714" w14:textId="581466B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1224A96" w14:textId="21B464B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10,000</w:t>
            </w:r>
          </w:p>
        </w:tc>
      </w:tr>
      <w:tr w:rsidR="00D006DC" w:rsidRPr="009423C3" w14:paraId="63C0D7D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BD07C46" w14:textId="2087FD0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KATHLEEN MARGARET GARDNER</w:t>
            </w:r>
          </w:p>
        </w:tc>
        <w:tc>
          <w:tcPr>
            <w:tcW w:w="4096" w:type="dxa"/>
            <w:tcBorders>
              <w:top w:val="single" w:sz="4" w:space="0" w:color="auto"/>
              <w:bottom w:val="single" w:sz="4" w:space="0" w:color="auto"/>
            </w:tcBorders>
            <w:vAlign w:val="center"/>
          </w:tcPr>
          <w:p w14:paraId="783C5507" w14:textId="1C037CE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D96F850" w14:textId="4CDC08C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7,350</w:t>
            </w:r>
          </w:p>
        </w:tc>
      </w:tr>
      <w:tr w:rsidR="00D006DC" w:rsidRPr="009423C3" w14:paraId="2FD60C8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248D6B" w14:textId="3048B59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KENNEDY ANNE</w:t>
            </w:r>
          </w:p>
        </w:tc>
        <w:tc>
          <w:tcPr>
            <w:tcW w:w="4096" w:type="dxa"/>
            <w:tcBorders>
              <w:top w:val="single" w:sz="4" w:space="0" w:color="auto"/>
              <w:bottom w:val="single" w:sz="4" w:space="0" w:color="auto"/>
            </w:tcBorders>
            <w:vAlign w:val="center"/>
          </w:tcPr>
          <w:p w14:paraId="2D5244EC" w14:textId="706B6E1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82ADFBC" w14:textId="646C764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w:t>
            </w:r>
          </w:p>
        </w:tc>
      </w:tr>
      <w:tr w:rsidR="00D006DC" w:rsidRPr="009423C3" w14:paraId="73E4B4E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1AAAF91" w14:textId="300336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KERRIE HANCOX CONSULTING PTY LTD</w:t>
            </w:r>
          </w:p>
        </w:tc>
        <w:tc>
          <w:tcPr>
            <w:tcW w:w="4096" w:type="dxa"/>
            <w:tcBorders>
              <w:top w:val="single" w:sz="4" w:space="0" w:color="auto"/>
              <w:bottom w:val="single" w:sz="4" w:space="0" w:color="auto"/>
            </w:tcBorders>
            <w:vAlign w:val="center"/>
          </w:tcPr>
          <w:p w14:paraId="4C1E2D6F" w14:textId="06402E6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CC1DA69" w14:textId="6741423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24,300</w:t>
            </w:r>
          </w:p>
        </w:tc>
      </w:tr>
      <w:tr w:rsidR="00D006DC" w:rsidRPr="009423C3" w14:paraId="3C21DA3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7FBE133" w14:textId="4D97250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KERRY JANE BULL</w:t>
            </w:r>
          </w:p>
        </w:tc>
        <w:tc>
          <w:tcPr>
            <w:tcW w:w="4096" w:type="dxa"/>
            <w:tcBorders>
              <w:top w:val="single" w:sz="4" w:space="0" w:color="auto"/>
              <w:bottom w:val="single" w:sz="4" w:space="0" w:color="auto"/>
            </w:tcBorders>
            <w:vAlign w:val="center"/>
          </w:tcPr>
          <w:p w14:paraId="04FB23B1" w14:textId="3A747BF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194FFB0" w14:textId="21C3DD2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2,250</w:t>
            </w:r>
          </w:p>
        </w:tc>
      </w:tr>
      <w:tr w:rsidR="00D006DC" w:rsidRPr="009423C3" w14:paraId="1AD3E37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9BDD45C" w14:textId="72085D7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KHONG THI DIEM HANG</w:t>
            </w:r>
          </w:p>
        </w:tc>
        <w:tc>
          <w:tcPr>
            <w:tcW w:w="4096" w:type="dxa"/>
            <w:tcBorders>
              <w:top w:val="single" w:sz="4" w:space="0" w:color="auto"/>
              <w:bottom w:val="single" w:sz="4" w:space="0" w:color="auto"/>
            </w:tcBorders>
            <w:vAlign w:val="center"/>
          </w:tcPr>
          <w:p w14:paraId="0288BFD7" w14:textId="45F6637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345CAB" w14:textId="18529FC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8,000</w:t>
            </w:r>
          </w:p>
        </w:tc>
      </w:tr>
      <w:tr w:rsidR="00D006DC" w:rsidRPr="009423C3" w14:paraId="2C61719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DCB1B4F" w14:textId="34C85D1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KIDSON EDUCATIONAL CONSULTING</w:t>
            </w:r>
          </w:p>
        </w:tc>
        <w:tc>
          <w:tcPr>
            <w:tcW w:w="4096" w:type="dxa"/>
            <w:tcBorders>
              <w:top w:val="single" w:sz="4" w:space="0" w:color="auto"/>
              <w:bottom w:val="single" w:sz="4" w:space="0" w:color="auto"/>
            </w:tcBorders>
            <w:vAlign w:val="center"/>
          </w:tcPr>
          <w:p w14:paraId="03E38AEE" w14:textId="05A77C3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558F26" w14:textId="055438E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w:t>
            </w:r>
          </w:p>
        </w:tc>
      </w:tr>
      <w:tr w:rsidR="00D006DC" w:rsidRPr="009423C3" w14:paraId="33AEB45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150281E" w14:textId="0B18766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KIM MAREE LAFFAN</w:t>
            </w:r>
          </w:p>
        </w:tc>
        <w:tc>
          <w:tcPr>
            <w:tcW w:w="4096" w:type="dxa"/>
            <w:tcBorders>
              <w:top w:val="single" w:sz="4" w:space="0" w:color="auto"/>
              <w:bottom w:val="single" w:sz="4" w:space="0" w:color="auto"/>
            </w:tcBorders>
            <w:vAlign w:val="center"/>
          </w:tcPr>
          <w:p w14:paraId="6B1FD472" w14:textId="4482F7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F26198B" w14:textId="6F5ED30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47,175</w:t>
            </w:r>
          </w:p>
        </w:tc>
      </w:tr>
      <w:tr w:rsidR="00D006DC" w:rsidRPr="009423C3" w14:paraId="1AB1201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049A5C7" w14:textId="23D29D5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KINECTIONS PSYCHOLOGY</w:t>
            </w:r>
          </w:p>
        </w:tc>
        <w:tc>
          <w:tcPr>
            <w:tcW w:w="4096" w:type="dxa"/>
            <w:tcBorders>
              <w:top w:val="single" w:sz="4" w:space="0" w:color="auto"/>
              <w:bottom w:val="single" w:sz="4" w:space="0" w:color="auto"/>
            </w:tcBorders>
            <w:vAlign w:val="center"/>
          </w:tcPr>
          <w:p w14:paraId="3469AF44" w14:textId="61EAFE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57593BA" w14:textId="0F3B038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18,000</w:t>
            </w:r>
          </w:p>
        </w:tc>
      </w:tr>
      <w:tr w:rsidR="00D006DC" w:rsidRPr="009423C3" w14:paraId="2E16A5F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829AE56" w14:textId="660349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KINEO</w:t>
            </w:r>
          </w:p>
        </w:tc>
        <w:tc>
          <w:tcPr>
            <w:tcW w:w="4096" w:type="dxa"/>
            <w:tcBorders>
              <w:top w:val="single" w:sz="4" w:space="0" w:color="auto"/>
              <w:bottom w:val="single" w:sz="4" w:space="0" w:color="auto"/>
            </w:tcBorders>
            <w:vAlign w:val="center"/>
          </w:tcPr>
          <w:p w14:paraId="1211DCC1" w14:textId="272F5B4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24EA4D7" w14:textId="5ECE7BC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53,999</w:t>
            </w:r>
          </w:p>
        </w:tc>
      </w:tr>
      <w:tr w:rsidR="00D006DC" w:rsidRPr="009423C3" w14:paraId="44D6274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5E90696" w14:textId="327057B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KIRKMAN JANET FAYE</w:t>
            </w:r>
          </w:p>
        </w:tc>
        <w:tc>
          <w:tcPr>
            <w:tcW w:w="4096" w:type="dxa"/>
            <w:tcBorders>
              <w:top w:val="single" w:sz="4" w:space="0" w:color="auto"/>
              <w:bottom w:val="single" w:sz="4" w:space="0" w:color="auto"/>
            </w:tcBorders>
            <w:vAlign w:val="center"/>
          </w:tcPr>
          <w:p w14:paraId="47AE81E2" w14:textId="1AE1E51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CB98955" w14:textId="671D91F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9,412</w:t>
            </w:r>
          </w:p>
        </w:tc>
      </w:tr>
      <w:tr w:rsidR="00D006DC" w:rsidRPr="009423C3" w14:paraId="056F51A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6AD4E0B" w14:textId="7476AEC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KLOCK ANNE MAREE</w:t>
            </w:r>
          </w:p>
        </w:tc>
        <w:tc>
          <w:tcPr>
            <w:tcW w:w="4096" w:type="dxa"/>
            <w:tcBorders>
              <w:top w:val="single" w:sz="4" w:space="0" w:color="auto"/>
              <w:bottom w:val="single" w:sz="4" w:space="0" w:color="auto"/>
            </w:tcBorders>
            <w:vAlign w:val="center"/>
          </w:tcPr>
          <w:p w14:paraId="2197DCE1" w14:textId="0D736BB7"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A017842" w14:textId="430F513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46,011</w:t>
            </w:r>
          </w:p>
        </w:tc>
      </w:tr>
      <w:tr w:rsidR="00D006DC" w:rsidRPr="009423C3" w14:paraId="233158A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A9B0BD8" w14:textId="3DAC96F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KPMG AUSTRALIA</w:t>
            </w:r>
          </w:p>
        </w:tc>
        <w:tc>
          <w:tcPr>
            <w:tcW w:w="4096" w:type="dxa"/>
            <w:tcBorders>
              <w:top w:val="single" w:sz="4" w:space="0" w:color="auto"/>
              <w:bottom w:val="single" w:sz="4" w:space="0" w:color="auto"/>
            </w:tcBorders>
            <w:vAlign w:val="center"/>
          </w:tcPr>
          <w:p w14:paraId="49221118" w14:textId="212904C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AF6A554" w14:textId="3DA85DB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2,684,382</w:t>
            </w:r>
          </w:p>
        </w:tc>
      </w:tr>
      <w:tr w:rsidR="00D006DC" w:rsidRPr="009423C3" w14:paraId="19CED03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72340BC" w14:textId="7F1F399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KWONG LEE DOW</w:t>
            </w:r>
          </w:p>
        </w:tc>
        <w:tc>
          <w:tcPr>
            <w:tcW w:w="4096" w:type="dxa"/>
            <w:tcBorders>
              <w:top w:val="single" w:sz="4" w:space="0" w:color="auto"/>
              <w:bottom w:val="single" w:sz="4" w:space="0" w:color="auto"/>
            </w:tcBorders>
            <w:vAlign w:val="center"/>
          </w:tcPr>
          <w:p w14:paraId="5E773101" w14:textId="6BF27F4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D9FE2DC" w14:textId="510A6E3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1,219</w:t>
            </w:r>
          </w:p>
        </w:tc>
      </w:tr>
      <w:tr w:rsidR="00D006DC" w:rsidRPr="009423C3" w14:paraId="0DC8A61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E15991B" w14:textId="1833D5B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KYLIE LIPSCOMBE</w:t>
            </w:r>
          </w:p>
        </w:tc>
        <w:tc>
          <w:tcPr>
            <w:tcW w:w="4096" w:type="dxa"/>
            <w:tcBorders>
              <w:top w:val="single" w:sz="4" w:space="0" w:color="auto"/>
              <w:bottom w:val="single" w:sz="4" w:space="0" w:color="auto"/>
            </w:tcBorders>
            <w:vAlign w:val="center"/>
          </w:tcPr>
          <w:p w14:paraId="0D9F6838" w14:textId="179B29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76DE3CB" w14:textId="36A4050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10,000</w:t>
            </w:r>
          </w:p>
        </w:tc>
      </w:tr>
      <w:tr w:rsidR="00D006DC" w:rsidRPr="009423C3" w14:paraId="4E5A3C7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5993EF6" w14:textId="4D626DA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 TROBE UNIVERSITY</w:t>
            </w:r>
          </w:p>
        </w:tc>
        <w:tc>
          <w:tcPr>
            <w:tcW w:w="4096" w:type="dxa"/>
            <w:tcBorders>
              <w:top w:val="single" w:sz="4" w:space="0" w:color="auto"/>
              <w:bottom w:val="single" w:sz="4" w:space="0" w:color="auto"/>
            </w:tcBorders>
            <w:vAlign w:val="center"/>
          </w:tcPr>
          <w:p w14:paraId="43114573" w14:textId="5416A19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8A21DB4" w14:textId="034342C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107,288</w:t>
            </w:r>
          </w:p>
        </w:tc>
      </w:tr>
      <w:tr w:rsidR="00D006DC" w:rsidRPr="009423C3" w14:paraId="6EFA635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5B38349" w14:textId="46669DD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LAISARN JULIE LEONG</w:t>
            </w:r>
          </w:p>
        </w:tc>
        <w:tc>
          <w:tcPr>
            <w:tcW w:w="4096" w:type="dxa"/>
            <w:tcBorders>
              <w:top w:val="single" w:sz="4" w:space="0" w:color="auto"/>
              <w:bottom w:val="single" w:sz="4" w:space="0" w:color="auto"/>
            </w:tcBorders>
            <w:vAlign w:val="center"/>
          </w:tcPr>
          <w:p w14:paraId="72C0452F" w14:textId="69C24C7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52B08B8" w14:textId="5DFCA91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5,100</w:t>
            </w:r>
          </w:p>
        </w:tc>
      </w:tr>
      <w:tr w:rsidR="00D006DC" w:rsidRPr="009423C3" w14:paraId="37D792A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C2F5E7" w14:textId="40F040E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LANDELL PROBITY PTY LTD</w:t>
            </w:r>
          </w:p>
        </w:tc>
        <w:tc>
          <w:tcPr>
            <w:tcW w:w="4096" w:type="dxa"/>
            <w:tcBorders>
              <w:top w:val="single" w:sz="4" w:space="0" w:color="auto"/>
              <w:bottom w:val="single" w:sz="4" w:space="0" w:color="auto"/>
            </w:tcBorders>
            <w:vAlign w:val="center"/>
          </w:tcPr>
          <w:p w14:paraId="50604FFF" w14:textId="5BF6E4C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9E9C281" w14:textId="29B3F16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108,461</w:t>
            </w:r>
          </w:p>
        </w:tc>
      </w:tr>
      <w:tr w:rsidR="00D006DC" w:rsidRPr="009423C3" w14:paraId="300E1F2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22B915" w14:textId="7741A6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LANDER AND ROGERS</w:t>
            </w:r>
          </w:p>
        </w:tc>
        <w:tc>
          <w:tcPr>
            <w:tcW w:w="4096" w:type="dxa"/>
            <w:tcBorders>
              <w:top w:val="single" w:sz="4" w:space="0" w:color="auto"/>
              <w:bottom w:val="single" w:sz="4" w:space="0" w:color="auto"/>
            </w:tcBorders>
            <w:vAlign w:val="center"/>
          </w:tcPr>
          <w:p w14:paraId="23234A59" w14:textId="2C9CAC4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BE80B81" w14:textId="1188FEE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164,991</w:t>
            </w:r>
          </w:p>
        </w:tc>
      </w:tr>
      <w:tr w:rsidR="00D006DC" w:rsidRPr="009423C3" w14:paraId="7AE7D51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8CE7D27" w14:textId="4FA87E3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LANE MARCIA</w:t>
            </w:r>
          </w:p>
        </w:tc>
        <w:tc>
          <w:tcPr>
            <w:tcW w:w="4096" w:type="dxa"/>
            <w:tcBorders>
              <w:top w:val="single" w:sz="4" w:space="0" w:color="auto"/>
              <w:bottom w:val="single" w:sz="4" w:space="0" w:color="auto"/>
            </w:tcBorders>
            <w:vAlign w:val="center"/>
          </w:tcPr>
          <w:p w14:paraId="14A4146B" w14:textId="0E0020E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5AFF8C7" w14:textId="35FB654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7,918</w:t>
            </w:r>
          </w:p>
        </w:tc>
      </w:tr>
      <w:tr w:rsidR="00D006DC" w:rsidRPr="009423C3" w14:paraId="4845F7F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AE5C0DF" w14:textId="086A59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LANEC SERVICES PTY LTD</w:t>
            </w:r>
          </w:p>
        </w:tc>
        <w:tc>
          <w:tcPr>
            <w:tcW w:w="4096" w:type="dxa"/>
            <w:tcBorders>
              <w:top w:val="single" w:sz="4" w:space="0" w:color="auto"/>
              <w:bottom w:val="single" w:sz="4" w:space="0" w:color="auto"/>
            </w:tcBorders>
            <w:vAlign w:val="center"/>
          </w:tcPr>
          <w:p w14:paraId="4B2500CE" w14:textId="72F08B0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59CB7D9" w14:textId="1112844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6,425</w:t>
            </w:r>
          </w:p>
        </w:tc>
      </w:tr>
      <w:tr w:rsidR="00D006DC" w:rsidRPr="009423C3" w14:paraId="5D43193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F45B8E9" w14:textId="0E687D1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LANGUAGE LOOP</w:t>
            </w:r>
          </w:p>
        </w:tc>
        <w:tc>
          <w:tcPr>
            <w:tcW w:w="4096" w:type="dxa"/>
            <w:tcBorders>
              <w:top w:val="single" w:sz="4" w:space="0" w:color="auto"/>
              <w:bottom w:val="single" w:sz="4" w:space="0" w:color="auto"/>
            </w:tcBorders>
            <w:vAlign w:val="center"/>
          </w:tcPr>
          <w:p w14:paraId="70D38CBF" w14:textId="5992CBA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ECB6DE0" w14:textId="6F9B43F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38,247</w:t>
            </w:r>
          </w:p>
        </w:tc>
      </w:tr>
      <w:tr w:rsidR="00D006DC" w:rsidRPr="009423C3" w14:paraId="485A7FD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22A5F83" w14:textId="328A6DF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LARSEN WHITE TRACY</w:t>
            </w:r>
          </w:p>
        </w:tc>
        <w:tc>
          <w:tcPr>
            <w:tcW w:w="4096" w:type="dxa"/>
            <w:tcBorders>
              <w:top w:val="single" w:sz="4" w:space="0" w:color="auto"/>
              <w:bottom w:val="single" w:sz="4" w:space="0" w:color="auto"/>
            </w:tcBorders>
            <w:vAlign w:val="center"/>
          </w:tcPr>
          <w:p w14:paraId="5E9F2850" w14:textId="03A84D8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ADA6B7E" w14:textId="6AB4115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115,098</w:t>
            </w:r>
          </w:p>
        </w:tc>
      </w:tr>
      <w:tr w:rsidR="00D006DC" w:rsidRPr="009423C3" w14:paraId="42555D2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2E818E0" w14:textId="190AC8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LAUNCH RECRUITMENT PTY LTD</w:t>
            </w:r>
          </w:p>
        </w:tc>
        <w:tc>
          <w:tcPr>
            <w:tcW w:w="4096" w:type="dxa"/>
            <w:tcBorders>
              <w:top w:val="single" w:sz="4" w:space="0" w:color="auto"/>
              <w:bottom w:val="single" w:sz="4" w:space="0" w:color="auto"/>
            </w:tcBorders>
            <w:vAlign w:val="center"/>
          </w:tcPr>
          <w:p w14:paraId="2D0F302E" w14:textId="4DCAB8A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3AB81048" w14:textId="751BFF3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378,287</w:t>
            </w:r>
          </w:p>
        </w:tc>
      </w:tr>
      <w:tr w:rsidR="00D006DC" w:rsidRPr="009423C3" w14:paraId="2B83035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E316C0" w14:textId="4E19F1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LEAD IN</w:t>
            </w:r>
          </w:p>
        </w:tc>
        <w:tc>
          <w:tcPr>
            <w:tcW w:w="4096" w:type="dxa"/>
            <w:tcBorders>
              <w:top w:val="single" w:sz="4" w:space="0" w:color="auto"/>
              <w:bottom w:val="single" w:sz="4" w:space="0" w:color="auto"/>
            </w:tcBorders>
            <w:vAlign w:val="center"/>
          </w:tcPr>
          <w:p w14:paraId="25ECBA70" w14:textId="5440D8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5B929BE" w14:textId="56BA19F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4,156</w:t>
            </w:r>
          </w:p>
        </w:tc>
      </w:tr>
      <w:tr w:rsidR="00D006DC" w:rsidRPr="009423C3" w14:paraId="6DA1177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C23E59D" w14:textId="3C8213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LEADERSHIP RESILIENCE GROUP PTY LTD</w:t>
            </w:r>
          </w:p>
        </w:tc>
        <w:tc>
          <w:tcPr>
            <w:tcW w:w="4096" w:type="dxa"/>
            <w:tcBorders>
              <w:top w:val="single" w:sz="4" w:space="0" w:color="auto"/>
              <w:bottom w:val="single" w:sz="4" w:space="0" w:color="auto"/>
            </w:tcBorders>
            <w:vAlign w:val="center"/>
          </w:tcPr>
          <w:p w14:paraId="682C9D09" w14:textId="41E5DC66"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12915CC8" w14:textId="0B8CFD1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8,925</w:t>
            </w:r>
          </w:p>
        </w:tc>
      </w:tr>
      <w:tr w:rsidR="00D006DC" w:rsidRPr="009423C3" w14:paraId="696D880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80DC330" w14:textId="3AD70C9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LEADING WITH STRENGTH PTY LTD</w:t>
            </w:r>
          </w:p>
        </w:tc>
        <w:tc>
          <w:tcPr>
            <w:tcW w:w="4096" w:type="dxa"/>
            <w:tcBorders>
              <w:top w:val="single" w:sz="4" w:space="0" w:color="auto"/>
              <w:bottom w:val="single" w:sz="4" w:space="0" w:color="auto"/>
            </w:tcBorders>
            <w:vAlign w:val="center"/>
          </w:tcPr>
          <w:p w14:paraId="2305E0A1" w14:textId="670BBD0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3875250" w14:textId="485F6EC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147,600</w:t>
            </w:r>
          </w:p>
        </w:tc>
      </w:tr>
      <w:tr w:rsidR="00D006DC" w:rsidRPr="009423C3" w14:paraId="6E5A4DC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A083A87" w14:textId="102A0C8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LEARN LABS GLOBAL PTY LTD</w:t>
            </w:r>
          </w:p>
        </w:tc>
        <w:tc>
          <w:tcPr>
            <w:tcW w:w="4096" w:type="dxa"/>
            <w:tcBorders>
              <w:top w:val="single" w:sz="4" w:space="0" w:color="auto"/>
              <w:bottom w:val="single" w:sz="4" w:space="0" w:color="auto"/>
            </w:tcBorders>
            <w:vAlign w:val="center"/>
          </w:tcPr>
          <w:p w14:paraId="18BA198C" w14:textId="382F8C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672D4CB" w14:textId="1329505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68,900</w:t>
            </w:r>
          </w:p>
        </w:tc>
      </w:tr>
      <w:tr w:rsidR="00D006DC" w:rsidRPr="009423C3" w14:paraId="6921AC9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66C9ED" w14:textId="32FAD63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LEARNING FOCUS PTY LTD</w:t>
            </w:r>
          </w:p>
        </w:tc>
        <w:tc>
          <w:tcPr>
            <w:tcW w:w="4096" w:type="dxa"/>
            <w:tcBorders>
              <w:top w:val="single" w:sz="4" w:space="0" w:color="auto"/>
              <w:bottom w:val="single" w:sz="4" w:space="0" w:color="auto"/>
            </w:tcBorders>
            <w:vAlign w:val="center"/>
          </w:tcPr>
          <w:p w14:paraId="175D3BAD" w14:textId="5BF7FA6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EC726A0" w14:textId="534F25A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8,233</w:t>
            </w:r>
          </w:p>
        </w:tc>
      </w:tr>
      <w:tr w:rsidR="00D006DC" w:rsidRPr="009423C3" w14:paraId="0FD7B0F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BE7801D" w14:textId="1E6358E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LEICHA BRAGG</w:t>
            </w:r>
          </w:p>
        </w:tc>
        <w:tc>
          <w:tcPr>
            <w:tcW w:w="4096" w:type="dxa"/>
            <w:tcBorders>
              <w:top w:val="single" w:sz="4" w:space="0" w:color="auto"/>
              <w:bottom w:val="single" w:sz="4" w:space="0" w:color="auto"/>
            </w:tcBorders>
            <w:vAlign w:val="center"/>
          </w:tcPr>
          <w:p w14:paraId="0B2AAF28" w14:textId="645627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F8E441B" w14:textId="582314B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22,230</w:t>
            </w:r>
          </w:p>
        </w:tc>
      </w:tr>
      <w:tr w:rsidR="00D006DC" w:rsidRPr="009423C3" w14:paraId="79E8CD6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0AC3EE8" w14:textId="54DEE25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LEIGH JEANETTE</w:t>
            </w:r>
          </w:p>
        </w:tc>
        <w:tc>
          <w:tcPr>
            <w:tcW w:w="4096" w:type="dxa"/>
            <w:tcBorders>
              <w:top w:val="single" w:sz="4" w:space="0" w:color="auto"/>
              <w:bottom w:val="single" w:sz="4" w:space="0" w:color="auto"/>
            </w:tcBorders>
            <w:vAlign w:val="center"/>
          </w:tcPr>
          <w:p w14:paraId="4AF621F2" w14:textId="059EC58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F812EAF" w14:textId="370BB6C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3,020</w:t>
            </w:r>
          </w:p>
        </w:tc>
      </w:tr>
      <w:tr w:rsidR="00D006DC" w:rsidRPr="009423C3" w14:paraId="7040448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31C1253" w14:textId="57701D7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LEVEL UP PSYCHOLOGY</w:t>
            </w:r>
          </w:p>
        </w:tc>
        <w:tc>
          <w:tcPr>
            <w:tcW w:w="4096" w:type="dxa"/>
            <w:tcBorders>
              <w:top w:val="single" w:sz="4" w:space="0" w:color="auto"/>
              <w:bottom w:val="single" w:sz="4" w:space="0" w:color="auto"/>
            </w:tcBorders>
            <w:vAlign w:val="center"/>
          </w:tcPr>
          <w:p w14:paraId="16F7DF62" w14:textId="0326BC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E41755D" w14:textId="000F51F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43,609</w:t>
            </w:r>
          </w:p>
        </w:tc>
      </w:tr>
      <w:tr w:rsidR="00D006DC" w:rsidRPr="009423C3" w14:paraId="1C3CC03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C92D845" w14:textId="66C91FB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LEVEY JOANNE CATHERINE</w:t>
            </w:r>
          </w:p>
        </w:tc>
        <w:tc>
          <w:tcPr>
            <w:tcW w:w="4096" w:type="dxa"/>
            <w:tcBorders>
              <w:top w:val="single" w:sz="4" w:space="0" w:color="auto"/>
              <w:bottom w:val="single" w:sz="4" w:space="0" w:color="auto"/>
            </w:tcBorders>
            <w:vAlign w:val="center"/>
          </w:tcPr>
          <w:p w14:paraId="587FC36E" w14:textId="4CD39BC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879303F" w14:textId="6D0BEF7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8,125</w:t>
            </w:r>
          </w:p>
        </w:tc>
      </w:tr>
      <w:tr w:rsidR="00D006DC" w:rsidRPr="009423C3" w14:paraId="2527007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1A619CD" w14:textId="7DEDAD3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LEWIS TIM</w:t>
            </w:r>
          </w:p>
        </w:tc>
        <w:tc>
          <w:tcPr>
            <w:tcW w:w="4096" w:type="dxa"/>
            <w:tcBorders>
              <w:top w:val="single" w:sz="4" w:space="0" w:color="auto"/>
              <w:bottom w:val="single" w:sz="4" w:space="0" w:color="auto"/>
            </w:tcBorders>
            <w:vAlign w:val="center"/>
          </w:tcPr>
          <w:p w14:paraId="3C38ACEF" w14:textId="221A4DC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54F1008" w14:textId="6626937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2,025</w:t>
            </w:r>
          </w:p>
        </w:tc>
      </w:tr>
      <w:tr w:rsidR="00D006DC" w:rsidRPr="009423C3" w14:paraId="50F0AAA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4A7F5E" w14:textId="70F3798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LEWIS-TOAKLEY DAISY</w:t>
            </w:r>
          </w:p>
        </w:tc>
        <w:tc>
          <w:tcPr>
            <w:tcW w:w="4096" w:type="dxa"/>
            <w:tcBorders>
              <w:top w:val="single" w:sz="4" w:space="0" w:color="auto"/>
              <w:bottom w:val="single" w:sz="4" w:space="0" w:color="auto"/>
            </w:tcBorders>
            <w:vAlign w:val="center"/>
          </w:tcPr>
          <w:p w14:paraId="19052FB0" w14:textId="478AB05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703340C" w14:textId="2E9D157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15,382</w:t>
            </w:r>
          </w:p>
        </w:tc>
      </w:tr>
      <w:tr w:rsidR="00D006DC" w:rsidRPr="009423C3" w14:paraId="5A3BEE1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BCF4034" w14:textId="5B4E223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LIBERATE ELEARNING PTY LTD</w:t>
            </w:r>
          </w:p>
        </w:tc>
        <w:tc>
          <w:tcPr>
            <w:tcW w:w="4096" w:type="dxa"/>
            <w:tcBorders>
              <w:top w:val="single" w:sz="4" w:space="0" w:color="auto"/>
              <w:bottom w:val="single" w:sz="4" w:space="0" w:color="auto"/>
            </w:tcBorders>
            <w:vAlign w:val="center"/>
          </w:tcPr>
          <w:p w14:paraId="18DED094" w14:textId="5F84897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6F46E65" w14:textId="7A99F45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332,610</w:t>
            </w:r>
          </w:p>
        </w:tc>
      </w:tr>
      <w:tr w:rsidR="00D006DC" w:rsidRPr="009423C3" w14:paraId="37C864F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82A84B5" w14:textId="7F3EA4B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LIFE-ROLE DEVELOPMENT GROUP LIMITED</w:t>
            </w:r>
          </w:p>
        </w:tc>
        <w:tc>
          <w:tcPr>
            <w:tcW w:w="4096" w:type="dxa"/>
            <w:tcBorders>
              <w:top w:val="single" w:sz="4" w:space="0" w:color="auto"/>
              <w:bottom w:val="single" w:sz="4" w:space="0" w:color="auto"/>
            </w:tcBorders>
            <w:vAlign w:val="center"/>
          </w:tcPr>
          <w:p w14:paraId="2231FA1C" w14:textId="2141B98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254BC4A" w14:textId="7176462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7,200</w:t>
            </w:r>
          </w:p>
        </w:tc>
      </w:tr>
      <w:tr w:rsidR="00D006DC" w:rsidRPr="009423C3" w14:paraId="6E4015E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D5F16F" w14:textId="616F35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LIFEWORKS COM PTY LTD</w:t>
            </w:r>
          </w:p>
        </w:tc>
        <w:tc>
          <w:tcPr>
            <w:tcW w:w="4096" w:type="dxa"/>
            <w:tcBorders>
              <w:top w:val="single" w:sz="4" w:space="0" w:color="auto"/>
              <w:bottom w:val="single" w:sz="4" w:space="0" w:color="auto"/>
            </w:tcBorders>
            <w:vAlign w:val="center"/>
          </w:tcPr>
          <w:p w14:paraId="339BEE6A" w14:textId="0251C04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016301A" w14:textId="154A5E3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1,588,852</w:t>
            </w:r>
          </w:p>
        </w:tc>
      </w:tr>
      <w:tr w:rsidR="00D006DC" w:rsidRPr="009423C3" w14:paraId="68B9C83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B946109" w14:textId="610DA94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LIRATA LTD</w:t>
            </w:r>
          </w:p>
        </w:tc>
        <w:tc>
          <w:tcPr>
            <w:tcW w:w="4096" w:type="dxa"/>
            <w:tcBorders>
              <w:top w:val="single" w:sz="4" w:space="0" w:color="auto"/>
              <w:bottom w:val="single" w:sz="4" w:space="0" w:color="auto"/>
            </w:tcBorders>
            <w:vAlign w:val="center"/>
          </w:tcPr>
          <w:p w14:paraId="765B66F7" w14:textId="6423908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B8A039F" w14:textId="436BC04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217,280</w:t>
            </w:r>
          </w:p>
        </w:tc>
      </w:tr>
      <w:tr w:rsidR="00D006DC" w:rsidRPr="009423C3" w14:paraId="6C80282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A421369" w14:textId="17BBBFE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LITTLE ROCKET AGENCY</w:t>
            </w:r>
          </w:p>
        </w:tc>
        <w:tc>
          <w:tcPr>
            <w:tcW w:w="4096" w:type="dxa"/>
            <w:tcBorders>
              <w:top w:val="single" w:sz="4" w:space="0" w:color="auto"/>
              <w:bottom w:val="single" w:sz="4" w:space="0" w:color="auto"/>
            </w:tcBorders>
            <w:vAlign w:val="center"/>
          </w:tcPr>
          <w:p w14:paraId="13EF768B" w14:textId="18BDDA8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4A36C57" w14:textId="4675768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6,402</w:t>
            </w:r>
          </w:p>
        </w:tc>
      </w:tr>
      <w:tr w:rsidR="00D006DC" w:rsidRPr="009423C3" w14:paraId="7643435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B909B16" w14:textId="23514B8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LLOYD CONNECT PTY LTD</w:t>
            </w:r>
          </w:p>
        </w:tc>
        <w:tc>
          <w:tcPr>
            <w:tcW w:w="4096" w:type="dxa"/>
            <w:tcBorders>
              <w:top w:val="single" w:sz="4" w:space="0" w:color="auto"/>
              <w:bottom w:val="single" w:sz="4" w:space="0" w:color="auto"/>
            </w:tcBorders>
            <w:vAlign w:val="center"/>
          </w:tcPr>
          <w:p w14:paraId="459A62D9" w14:textId="00CB20C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4ECF0017" w14:textId="0BB56EF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35,250</w:t>
            </w:r>
          </w:p>
        </w:tc>
      </w:tr>
      <w:tr w:rsidR="00D006DC" w:rsidRPr="009423C3" w14:paraId="020A5BF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D7BBB1A" w14:textId="4A6F29E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LLOYD RICHARD GERARD</w:t>
            </w:r>
          </w:p>
        </w:tc>
        <w:tc>
          <w:tcPr>
            <w:tcW w:w="4096" w:type="dxa"/>
            <w:tcBorders>
              <w:top w:val="single" w:sz="4" w:space="0" w:color="auto"/>
              <w:bottom w:val="single" w:sz="4" w:space="0" w:color="auto"/>
            </w:tcBorders>
            <w:vAlign w:val="center"/>
          </w:tcPr>
          <w:p w14:paraId="5EC57B08" w14:textId="25A6D03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90DD0A6" w14:textId="0B8F32A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1,098</w:t>
            </w:r>
          </w:p>
        </w:tc>
      </w:tr>
      <w:tr w:rsidR="00D006DC" w:rsidRPr="009423C3" w14:paraId="6AAA6C0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2776055" w14:textId="0F97655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LOCKINGTON ROBIN</w:t>
            </w:r>
          </w:p>
        </w:tc>
        <w:tc>
          <w:tcPr>
            <w:tcW w:w="4096" w:type="dxa"/>
            <w:tcBorders>
              <w:top w:val="single" w:sz="4" w:space="0" w:color="auto"/>
              <w:bottom w:val="single" w:sz="4" w:space="0" w:color="auto"/>
            </w:tcBorders>
            <w:vAlign w:val="center"/>
          </w:tcPr>
          <w:p w14:paraId="18B786E8" w14:textId="3E16D22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BF3D95" w14:textId="0C891A6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30,840</w:t>
            </w:r>
          </w:p>
        </w:tc>
      </w:tr>
      <w:tr w:rsidR="00D006DC" w:rsidRPr="009423C3" w14:paraId="1FEF7DD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6FEF56D" w14:textId="02C7B5E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LOOP SECURE PTY LTD</w:t>
            </w:r>
          </w:p>
        </w:tc>
        <w:tc>
          <w:tcPr>
            <w:tcW w:w="4096" w:type="dxa"/>
            <w:tcBorders>
              <w:top w:val="single" w:sz="4" w:space="0" w:color="auto"/>
              <w:bottom w:val="single" w:sz="4" w:space="0" w:color="auto"/>
            </w:tcBorders>
            <w:vAlign w:val="center"/>
          </w:tcPr>
          <w:p w14:paraId="1E1A28DF" w14:textId="4299D40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C9EB76B" w14:textId="2268E9F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13,591</w:t>
            </w:r>
          </w:p>
        </w:tc>
      </w:tr>
      <w:tr w:rsidR="00D006DC" w:rsidRPr="009423C3" w14:paraId="3EBCF39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1BC094F" w14:textId="2DE4812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LOUIS CLEMENT GROPE</w:t>
            </w:r>
          </w:p>
        </w:tc>
        <w:tc>
          <w:tcPr>
            <w:tcW w:w="4096" w:type="dxa"/>
            <w:tcBorders>
              <w:top w:val="single" w:sz="4" w:space="0" w:color="auto"/>
              <w:bottom w:val="single" w:sz="4" w:space="0" w:color="auto"/>
            </w:tcBorders>
            <w:vAlign w:val="center"/>
          </w:tcPr>
          <w:p w14:paraId="65BDF1DD" w14:textId="323B4F2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2F4A724" w14:textId="2858FF9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7,273</w:t>
            </w:r>
          </w:p>
        </w:tc>
      </w:tr>
      <w:tr w:rsidR="00D006DC" w:rsidRPr="009423C3" w14:paraId="6C9F1AE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1D97D5B" w14:textId="7951E49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LUBULWA EVA JOYCE NAMPIMA</w:t>
            </w:r>
          </w:p>
        </w:tc>
        <w:tc>
          <w:tcPr>
            <w:tcW w:w="4096" w:type="dxa"/>
            <w:tcBorders>
              <w:top w:val="single" w:sz="4" w:space="0" w:color="auto"/>
              <w:bottom w:val="single" w:sz="4" w:space="0" w:color="auto"/>
            </w:tcBorders>
            <w:vAlign w:val="center"/>
          </w:tcPr>
          <w:p w14:paraId="3FAB1148" w14:textId="55BBA9E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20C2CF80" w14:textId="1B7116F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9,000</w:t>
            </w:r>
          </w:p>
        </w:tc>
      </w:tr>
      <w:tr w:rsidR="00D006DC" w:rsidRPr="009423C3" w14:paraId="55CDE4D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ED7A247" w14:textId="5C8A25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LUMMIS ISAAC</w:t>
            </w:r>
          </w:p>
        </w:tc>
        <w:tc>
          <w:tcPr>
            <w:tcW w:w="4096" w:type="dxa"/>
            <w:tcBorders>
              <w:top w:val="single" w:sz="4" w:space="0" w:color="auto"/>
              <w:bottom w:val="single" w:sz="4" w:space="0" w:color="auto"/>
            </w:tcBorders>
            <w:vAlign w:val="center"/>
          </w:tcPr>
          <w:p w14:paraId="2179449A" w14:textId="3AD01BD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449945F" w14:textId="5CC9041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18,182</w:t>
            </w:r>
          </w:p>
        </w:tc>
      </w:tr>
      <w:tr w:rsidR="00D006DC" w:rsidRPr="009423C3" w14:paraId="08738FD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D0EE43" w14:textId="26AE98E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MADISON LOUISE BROWNE</w:t>
            </w:r>
          </w:p>
        </w:tc>
        <w:tc>
          <w:tcPr>
            <w:tcW w:w="4096" w:type="dxa"/>
            <w:tcBorders>
              <w:top w:val="single" w:sz="4" w:space="0" w:color="auto"/>
              <w:bottom w:val="single" w:sz="4" w:space="0" w:color="auto"/>
            </w:tcBorders>
            <w:vAlign w:val="center"/>
          </w:tcPr>
          <w:p w14:paraId="2851583C" w14:textId="132DD39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B2ABBF" w14:textId="601B9F6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36D4B2B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461C93A" w14:textId="1EBFE2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MAILFORCE PTY LTD</w:t>
            </w:r>
          </w:p>
        </w:tc>
        <w:tc>
          <w:tcPr>
            <w:tcW w:w="4096" w:type="dxa"/>
            <w:tcBorders>
              <w:top w:val="single" w:sz="4" w:space="0" w:color="auto"/>
              <w:bottom w:val="single" w:sz="4" w:space="0" w:color="auto"/>
            </w:tcBorders>
            <w:vAlign w:val="center"/>
          </w:tcPr>
          <w:p w14:paraId="467190A9" w14:textId="425A802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C76E07" w14:textId="24F3A85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20,870</w:t>
            </w:r>
          </w:p>
        </w:tc>
      </w:tr>
      <w:tr w:rsidR="00D006DC" w:rsidRPr="009423C3" w14:paraId="10B3E78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8D9352E" w14:textId="328D1C3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MALBON MEDIA</w:t>
            </w:r>
          </w:p>
        </w:tc>
        <w:tc>
          <w:tcPr>
            <w:tcW w:w="4096" w:type="dxa"/>
            <w:tcBorders>
              <w:top w:val="single" w:sz="4" w:space="0" w:color="auto"/>
              <w:bottom w:val="single" w:sz="4" w:space="0" w:color="auto"/>
            </w:tcBorders>
            <w:vAlign w:val="center"/>
          </w:tcPr>
          <w:p w14:paraId="5FD9F49C" w14:textId="6A7F6BC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789E8C7" w14:textId="355775C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3,600</w:t>
            </w:r>
          </w:p>
        </w:tc>
      </w:tr>
      <w:tr w:rsidR="00D006DC" w:rsidRPr="009423C3" w14:paraId="162AF67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0C6A3C0" w14:textId="774F53F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MANDI BARTON</w:t>
            </w:r>
          </w:p>
        </w:tc>
        <w:tc>
          <w:tcPr>
            <w:tcW w:w="4096" w:type="dxa"/>
            <w:tcBorders>
              <w:top w:val="single" w:sz="4" w:space="0" w:color="auto"/>
              <w:bottom w:val="single" w:sz="4" w:space="0" w:color="auto"/>
            </w:tcBorders>
            <w:vAlign w:val="center"/>
          </w:tcPr>
          <w:p w14:paraId="3F84D7F0" w14:textId="395566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65CEE33" w14:textId="1C3BBE6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460F2FC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93E0834" w14:textId="3B045B0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MANN DEAN GRAEME</w:t>
            </w:r>
          </w:p>
        </w:tc>
        <w:tc>
          <w:tcPr>
            <w:tcW w:w="4096" w:type="dxa"/>
            <w:tcBorders>
              <w:top w:val="single" w:sz="4" w:space="0" w:color="auto"/>
              <w:bottom w:val="single" w:sz="4" w:space="0" w:color="auto"/>
            </w:tcBorders>
            <w:vAlign w:val="center"/>
          </w:tcPr>
          <w:p w14:paraId="2BCD659E" w14:textId="3124B45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1C0371E" w14:textId="6827728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45,390</w:t>
            </w:r>
          </w:p>
        </w:tc>
      </w:tr>
      <w:tr w:rsidR="00D006DC" w:rsidRPr="009423C3" w14:paraId="5C85E25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FA88969" w14:textId="4C6187B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MANPOWER SERVICES (AUSTRALIA) PTY LTD</w:t>
            </w:r>
          </w:p>
        </w:tc>
        <w:tc>
          <w:tcPr>
            <w:tcW w:w="4096" w:type="dxa"/>
            <w:tcBorders>
              <w:top w:val="single" w:sz="4" w:space="0" w:color="auto"/>
              <w:bottom w:val="single" w:sz="4" w:space="0" w:color="auto"/>
            </w:tcBorders>
            <w:vAlign w:val="center"/>
          </w:tcPr>
          <w:p w14:paraId="0FAC60C2" w14:textId="54A0A68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63089D42" w14:textId="3220D56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803,984</w:t>
            </w:r>
          </w:p>
        </w:tc>
      </w:tr>
      <w:tr w:rsidR="00D006DC" w:rsidRPr="009423C3" w14:paraId="57BE76B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7480223" w14:textId="30A83DF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MANUFACTURING LEARNING VICTORIA</w:t>
            </w:r>
          </w:p>
        </w:tc>
        <w:tc>
          <w:tcPr>
            <w:tcW w:w="4096" w:type="dxa"/>
            <w:tcBorders>
              <w:top w:val="single" w:sz="4" w:space="0" w:color="auto"/>
              <w:bottom w:val="single" w:sz="4" w:space="0" w:color="auto"/>
            </w:tcBorders>
            <w:vAlign w:val="center"/>
          </w:tcPr>
          <w:p w14:paraId="4086C1D8" w14:textId="415D18B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CC7601A" w14:textId="2B8B3B3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4,500</w:t>
            </w:r>
          </w:p>
        </w:tc>
      </w:tr>
      <w:tr w:rsidR="00D006DC" w:rsidRPr="009423C3" w14:paraId="58C395A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0DE6B28" w14:textId="176A9E8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MAPS MARKETING</w:t>
            </w:r>
          </w:p>
        </w:tc>
        <w:tc>
          <w:tcPr>
            <w:tcW w:w="4096" w:type="dxa"/>
            <w:tcBorders>
              <w:top w:val="single" w:sz="4" w:space="0" w:color="auto"/>
              <w:bottom w:val="single" w:sz="4" w:space="0" w:color="auto"/>
            </w:tcBorders>
            <w:vAlign w:val="center"/>
          </w:tcPr>
          <w:p w14:paraId="2FC1BB58" w14:textId="4131B6D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63CE255" w14:textId="6FCE2CB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14,270</w:t>
            </w:r>
          </w:p>
        </w:tc>
      </w:tr>
      <w:tr w:rsidR="00D006DC" w:rsidRPr="009423C3" w14:paraId="2E61E8C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251A333" w14:textId="5395B93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MARGARET BAINBRIDGE EDUCATIONAL CONSULTANCY</w:t>
            </w:r>
          </w:p>
        </w:tc>
        <w:tc>
          <w:tcPr>
            <w:tcW w:w="4096" w:type="dxa"/>
            <w:tcBorders>
              <w:top w:val="single" w:sz="4" w:space="0" w:color="auto"/>
              <w:bottom w:val="single" w:sz="4" w:space="0" w:color="auto"/>
            </w:tcBorders>
            <w:vAlign w:val="center"/>
          </w:tcPr>
          <w:p w14:paraId="70EED2CF" w14:textId="31EEC23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51A5600" w14:textId="2F9D153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7,985</w:t>
            </w:r>
          </w:p>
        </w:tc>
      </w:tr>
      <w:tr w:rsidR="00D006DC" w:rsidRPr="009423C3" w14:paraId="41D3D25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D2C35FE" w14:textId="3843AE0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MARMALADE MELBOURNE PTY. LTD.</w:t>
            </w:r>
          </w:p>
        </w:tc>
        <w:tc>
          <w:tcPr>
            <w:tcW w:w="4096" w:type="dxa"/>
            <w:tcBorders>
              <w:top w:val="single" w:sz="4" w:space="0" w:color="auto"/>
              <w:bottom w:val="single" w:sz="4" w:space="0" w:color="auto"/>
            </w:tcBorders>
            <w:vAlign w:val="center"/>
          </w:tcPr>
          <w:p w14:paraId="24203C59" w14:textId="1778349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3B7EB8A" w14:textId="7986237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135,540</w:t>
            </w:r>
          </w:p>
        </w:tc>
      </w:tr>
      <w:tr w:rsidR="00D006DC" w:rsidRPr="009423C3" w14:paraId="3520744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63A33B1" w14:textId="2A0CCA8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MAROONDAH CITY COUNCIL</w:t>
            </w:r>
          </w:p>
        </w:tc>
        <w:tc>
          <w:tcPr>
            <w:tcW w:w="4096" w:type="dxa"/>
            <w:tcBorders>
              <w:top w:val="single" w:sz="4" w:space="0" w:color="auto"/>
              <w:bottom w:val="single" w:sz="4" w:space="0" w:color="auto"/>
            </w:tcBorders>
            <w:vAlign w:val="center"/>
          </w:tcPr>
          <w:p w14:paraId="31DDFB72" w14:textId="47C18B0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2C041EDB" w14:textId="66FEA4E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40,000</w:t>
            </w:r>
          </w:p>
        </w:tc>
      </w:tr>
      <w:tr w:rsidR="00D006DC" w:rsidRPr="009423C3" w14:paraId="77C3CA8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9189A09" w14:textId="52089E8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MARSHALL DAY ACOUSTICS PTY LTD</w:t>
            </w:r>
          </w:p>
        </w:tc>
        <w:tc>
          <w:tcPr>
            <w:tcW w:w="4096" w:type="dxa"/>
            <w:tcBorders>
              <w:top w:val="single" w:sz="4" w:space="0" w:color="auto"/>
              <w:bottom w:val="single" w:sz="4" w:space="0" w:color="auto"/>
            </w:tcBorders>
            <w:vAlign w:val="center"/>
          </w:tcPr>
          <w:p w14:paraId="7FDA1C7D" w14:textId="2FB5DFB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D83E3B7" w14:textId="6F53ED9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7,153</w:t>
            </w:r>
          </w:p>
        </w:tc>
      </w:tr>
      <w:tr w:rsidR="00D006DC" w:rsidRPr="009423C3" w14:paraId="2BB4A7A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D3CADC7" w14:textId="01CF3EC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MARTIN PAMELA GAYE</w:t>
            </w:r>
          </w:p>
        </w:tc>
        <w:tc>
          <w:tcPr>
            <w:tcW w:w="4096" w:type="dxa"/>
            <w:tcBorders>
              <w:top w:val="single" w:sz="4" w:space="0" w:color="auto"/>
              <w:bottom w:val="single" w:sz="4" w:space="0" w:color="auto"/>
            </w:tcBorders>
            <w:vAlign w:val="center"/>
          </w:tcPr>
          <w:p w14:paraId="0BE368F6" w14:textId="06A75E3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E3E6BA7" w14:textId="5DD701C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37,393</w:t>
            </w:r>
          </w:p>
        </w:tc>
      </w:tr>
      <w:tr w:rsidR="00D006DC" w:rsidRPr="009423C3" w14:paraId="2D666E7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C919906" w14:textId="1C6B57C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MATHEMATICAL ASSOCIATION VIC</w:t>
            </w:r>
          </w:p>
        </w:tc>
        <w:tc>
          <w:tcPr>
            <w:tcW w:w="4096" w:type="dxa"/>
            <w:tcBorders>
              <w:top w:val="single" w:sz="4" w:space="0" w:color="auto"/>
              <w:bottom w:val="single" w:sz="4" w:space="0" w:color="auto"/>
            </w:tcBorders>
            <w:vAlign w:val="center"/>
          </w:tcPr>
          <w:p w14:paraId="08A85AB8" w14:textId="5D12E5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DACE8A9" w14:textId="38ECDE2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289,300</w:t>
            </w:r>
          </w:p>
        </w:tc>
      </w:tr>
      <w:tr w:rsidR="00D006DC" w:rsidRPr="009423C3" w14:paraId="7B19719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DA99C1C" w14:textId="7214779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MATTHEWS PETER</w:t>
            </w:r>
          </w:p>
        </w:tc>
        <w:tc>
          <w:tcPr>
            <w:tcW w:w="4096" w:type="dxa"/>
            <w:tcBorders>
              <w:top w:val="single" w:sz="4" w:space="0" w:color="auto"/>
              <w:bottom w:val="single" w:sz="4" w:space="0" w:color="auto"/>
            </w:tcBorders>
            <w:vAlign w:val="center"/>
          </w:tcPr>
          <w:p w14:paraId="7ED6AAD2" w14:textId="163C660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C643387" w14:textId="2623A8D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2,013</w:t>
            </w:r>
          </w:p>
        </w:tc>
      </w:tr>
      <w:tr w:rsidR="00D006DC" w:rsidRPr="009423C3" w14:paraId="4D66D7D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A28C7B7" w14:textId="410FEDD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MAX SOLUTIONS</w:t>
            </w:r>
          </w:p>
        </w:tc>
        <w:tc>
          <w:tcPr>
            <w:tcW w:w="4096" w:type="dxa"/>
            <w:tcBorders>
              <w:top w:val="single" w:sz="4" w:space="0" w:color="auto"/>
              <w:bottom w:val="single" w:sz="4" w:space="0" w:color="auto"/>
            </w:tcBorders>
            <w:vAlign w:val="center"/>
          </w:tcPr>
          <w:p w14:paraId="29828123" w14:textId="1B24D08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EA0E466" w14:textId="6E60F9C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1,019,179</w:t>
            </w:r>
          </w:p>
        </w:tc>
      </w:tr>
      <w:tr w:rsidR="00D006DC" w:rsidRPr="009423C3" w14:paraId="4DC097D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D747667" w14:textId="195B114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MAXWELL JASON MICHAEL</w:t>
            </w:r>
          </w:p>
        </w:tc>
        <w:tc>
          <w:tcPr>
            <w:tcW w:w="4096" w:type="dxa"/>
            <w:tcBorders>
              <w:top w:val="single" w:sz="4" w:space="0" w:color="auto"/>
              <w:bottom w:val="single" w:sz="4" w:space="0" w:color="auto"/>
            </w:tcBorders>
            <w:vAlign w:val="center"/>
          </w:tcPr>
          <w:p w14:paraId="77EF38F0" w14:textId="55B1828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F684234" w14:textId="15E8D99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11,000</w:t>
            </w:r>
          </w:p>
        </w:tc>
      </w:tr>
      <w:tr w:rsidR="00D006DC" w:rsidRPr="009423C3" w14:paraId="75889C4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08DC980" w14:textId="20F170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MAYFAIR GROUP MANAGEMENT PTY LTD</w:t>
            </w:r>
          </w:p>
        </w:tc>
        <w:tc>
          <w:tcPr>
            <w:tcW w:w="4096" w:type="dxa"/>
            <w:tcBorders>
              <w:top w:val="single" w:sz="4" w:space="0" w:color="auto"/>
              <w:bottom w:val="single" w:sz="4" w:space="0" w:color="auto"/>
            </w:tcBorders>
            <w:vAlign w:val="center"/>
          </w:tcPr>
          <w:p w14:paraId="0A782EC3" w14:textId="099ABC0E"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FA69AAC" w14:textId="7C1C08A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6,500</w:t>
            </w:r>
          </w:p>
        </w:tc>
      </w:tr>
      <w:tr w:rsidR="00D006DC" w:rsidRPr="009423C3" w14:paraId="2369776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4E09AA0" w14:textId="5A8606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MAYFIELDS BUSINESS ADVISORS</w:t>
            </w:r>
          </w:p>
        </w:tc>
        <w:tc>
          <w:tcPr>
            <w:tcW w:w="4096" w:type="dxa"/>
            <w:tcBorders>
              <w:top w:val="single" w:sz="4" w:space="0" w:color="auto"/>
              <w:bottom w:val="single" w:sz="4" w:space="0" w:color="auto"/>
            </w:tcBorders>
            <w:vAlign w:val="center"/>
          </w:tcPr>
          <w:p w14:paraId="0798BA94" w14:textId="62BCEFC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93A7A10" w14:textId="05486A5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25,711</w:t>
            </w:r>
          </w:p>
        </w:tc>
      </w:tr>
      <w:tr w:rsidR="00D006DC" w:rsidRPr="009423C3" w14:paraId="2397F5E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017729B" w14:textId="4624171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MCARTHUR (VIC) PTY LTD</w:t>
            </w:r>
          </w:p>
        </w:tc>
        <w:tc>
          <w:tcPr>
            <w:tcW w:w="4096" w:type="dxa"/>
            <w:tcBorders>
              <w:top w:val="single" w:sz="4" w:space="0" w:color="auto"/>
              <w:bottom w:val="single" w:sz="4" w:space="0" w:color="auto"/>
            </w:tcBorders>
            <w:vAlign w:val="center"/>
          </w:tcPr>
          <w:p w14:paraId="3E946E43" w14:textId="7195DF5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5F56E4E4" w14:textId="1DA6B3C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38,291</w:t>
            </w:r>
          </w:p>
        </w:tc>
      </w:tr>
      <w:tr w:rsidR="00D006DC" w:rsidRPr="009423C3" w14:paraId="5361193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7C0F75C" w14:textId="1F4A92C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MCINTOSH HEATHER ANN</w:t>
            </w:r>
          </w:p>
        </w:tc>
        <w:tc>
          <w:tcPr>
            <w:tcW w:w="4096" w:type="dxa"/>
            <w:tcBorders>
              <w:top w:val="single" w:sz="4" w:space="0" w:color="auto"/>
              <w:bottom w:val="single" w:sz="4" w:space="0" w:color="auto"/>
            </w:tcBorders>
            <w:vAlign w:val="center"/>
          </w:tcPr>
          <w:p w14:paraId="60DE3B7E" w14:textId="0AEEE2A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89D3E05" w14:textId="097AA14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40,639</w:t>
            </w:r>
          </w:p>
        </w:tc>
      </w:tr>
      <w:tr w:rsidR="00D006DC" w:rsidRPr="009423C3" w14:paraId="1553652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F110CD3" w14:textId="408ABF0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MCKENZIE MUSIC PRODUCTIONS PTY LTD</w:t>
            </w:r>
          </w:p>
        </w:tc>
        <w:tc>
          <w:tcPr>
            <w:tcW w:w="4096" w:type="dxa"/>
            <w:tcBorders>
              <w:top w:val="single" w:sz="4" w:space="0" w:color="auto"/>
              <w:bottom w:val="single" w:sz="4" w:space="0" w:color="auto"/>
            </w:tcBorders>
            <w:vAlign w:val="center"/>
          </w:tcPr>
          <w:p w14:paraId="5C25DD2F" w14:textId="25CEF7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3A32872" w14:textId="0FFC138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10,045</w:t>
            </w:r>
          </w:p>
        </w:tc>
      </w:tr>
      <w:tr w:rsidR="00D006DC" w:rsidRPr="009423C3" w14:paraId="7B083A7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B5B2995" w14:textId="5484D43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MCPHEE ANDREWARTHA PTY. LTD.</w:t>
            </w:r>
          </w:p>
        </w:tc>
        <w:tc>
          <w:tcPr>
            <w:tcW w:w="4096" w:type="dxa"/>
            <w:tcBorders>
              <w:top w:val="single" w:sz="4" w:space="0" w:color="auto"/>
              <w:bottom w:val="single" w:sz="4" w:space="0" w:color="auto"/>
            </w:tcBorders>
            <w:vAlign w:val="center"/>
          </w:tcPr>
          <w:p w14:paraId="3357125F" w14:textId="06CE1D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E6886CD" w14:textId="2C3EF6C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77,105</w:t>
            </w:r>
          </w:p>
        </w:tc>
      </w:tr>
      <w:tr w:rsidR="00D006DC" w:rsidRPr="009423C3" w14:paraId="10EF616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5B7D8D3" w14:textId="068D76E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MCPHEE FRANCES A</w:t>
            </w:r>
          </w:p>
        </w:tc>
        <w:tc>
          <w:tcPr>
            <w:tcW w:w="4096" w:type="dxa"/>
            <w:tcBorders>
              <w:top w:val="single" w:sz="4" w:space="0" w:color="auto"/>
              <w:bottom w:val="single" w:sz="4" w:space="0" w:color="auto"/>
            </w:tcBorders>
            <w:vAlign w:val="center"/>
          </w:tcPr>
          <w:p w14:paraId="7905D836" w14:textId="7C172A2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0448D58" w14:textId="1FB8D06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10,900</w:t>
            </w:r>
          </w:p>
        </w:tc>
      </w:tr>
      <w:tr w:rsidR="00D006DC" w:rsidRPr="009423C3" w14:paraId="748EB17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A779C2E" w14:textId="10205FD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MEDIA ON MARS</w:t>
            </w:r>
          </w:p>
        </w:tc>
        <w:tc>
          <w:tcPr>
            <w:tcW w:w="4096" w:type="dxa"/>
            <w:tcBorders>
              <w:top w:val="single" w:sz="4" w:space="0" w:color="auto"/>
              <w:bottom w:val="single" w:sz="4" w:space="0" w:color="auto"/>
            </w:tcBorders>
            <w:vAlign w:val="center"/>
          </w:tcPr>
          <w:p w14:paraId="69AF77A9" w14:textId="4509226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B8E7E44" w14:textId="0A78BF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13,050</w:t>
            </w:r>
          </w:p>
        </w:tc>
      </w:tr>
      <w:tr w:rsidR="00D006DC" w:rsidRPr="009423C3" w14:paraId="4D3DC4E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13A4BD7" w14:textId="5550B60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MEDIACOM AUSTRALIA PTY LIMITED</w:t>
            </w:r>
          </w:p>
        </w:tc>
        <w:tc>
          <w:tcPr>
            <w:tcW w:w="4096" w:type="dxa"/>
            <w:tcBorders>
              <w:top w:val="single" w:sz="4" w:space="0" w:color="auto"/>
              <w:bottom w:val="single" w:sz="4" w:space="0" w:color="auto"/>
            </w:tcBorders>
            <w:vAlign w:val="center"/>
          </w:tcPr>
          <w:p w14:paraId="547C4076" w14:textId="14652E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3DC1C20A" w14:textId="08ADF31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9,951</w:t>
            </w:r>
          </w:p>
        </w:tc>
      </w:tr>
      <w:tr w:rsidR="00D006DC" w:rsidRPr="009423C3" w14:paraId="0DA06DE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5B8F3B8" w14:textId="1452F5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MELBOURNE POLYTECHNIC</w:t>
            </w:r>
          </w:p>
        </w:tc>
        <w:tc>
          <w:tcPr>
            <w:tcW w:w="4096" w:type="dxa"/>
            <w:tcBorders>
              <w:top w:val="single" w:sz="4" w:space="0" w:color="auto"/>
              <w:bottom w:val="single" w:sz="4" w:space="0" w:color="auto"/>
            </w:tcBorders>
            <w:vAlign w:val="center"/>
          </w:tcPr>
          <w:p w14:paraId="336AAD17" w14:textId="4D9187B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1E7F1DA1" w14:textId="631043D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14,770</w:t>
            </w:r>
          </w:p>
        </w:tc>
      </w:tr>
      <w:tr w:rsidR="00D006DC" w:rsidRPr="009423C3" w14:paraId="6205B6E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A4E42C" w14:textId="02071FB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MELINDA METAXAS AND ASSOCIATES PTY LTD</w:t>
            </w:r>
          </w:p>
        </w:tc>
        <w:tc>
          <w:tcPr>
            <w:tcW w:w="4096" w:type="dxa"/>
            <w:tcBorders>
              <w:top w:val="single" w:sz="4" w:space="0" w:color="auto"/>
              <w:bottom w:val="single" w:sz="4" w:space="0" w:color="auto"/>
            </w:tcBorders>
            <w:vAlign w:val="center"/>
          </w:tcPr>
          <w:p w14:paraId="76D26118" w14:textId="66597BE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FE3D23F" w14:textId="11F47DB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10,920</w:t>
            </w:r>
          </w:p>
        </w:tc>
      </w:tr>
      <w:tr w:rsidR="00D006DC" w:rsidRPr="009423C3" w14:paraId="1BC5811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0463A59" w14:textId="6B87593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META PM PTY LTD</w:t>
            </w:r>
          </w:p>
        </w:tc>
        <w:tc>
          <w:tcPr>
            <w:tcW w:w="4096" w:type="dxa"/>
            <w:tcBorders>
              <w:top w:val="single" w:sz="4" w:space="0" w:color="auto"/>
              <w:bottom w:val="single" w:sz="4" w:space="0" w:color="auto"/>
            </w:tcBorders>
            <w:vAlign w:val="center"/>
          </w:tcPr>
          <w:p w14:paraId="713922EC" w14:textId="4276E30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7FDB996" w14:textId="65F179F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250,905</w:t>
            </w:r>
          </w:p>
        </w:tc>
      </w:tr>
      <w:tr w:rsidR="00D006DC" w:rsidRPr="009423C3" w14:paraId="3ADE2C8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2F621C8" w14:textId="7BE09F1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MG EDUCATION CONSULTANCY PTY LTD</w:t>
            </w:r>
          </w:p>
        </w:tc>
        <w:tc>
          <w:tcPr>
            <w:tcW w:w="4096" w:type="dxa"/>
            <w:tcBorders>
              <w:top w:val="single" w:sz="4" w:space="0" w:color="auto"/>
              <w:bottom w:val="single" w:sz="4" w:space="0" w:color="auto"/>
            </w:tcBorders>
            <w:vAlign w:val="center"/>
          </w:tcPr>
          <w:p w14:paraId="377AA1A4" w14:textId="7344358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697DBF5" w14:textId="1AC780B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21,818</w:t>
            </w:r>
          </w:p>
        </w:tc>
      </w:tr>
      <w:tr w:rsidR="00D006DC" w:rsidRPr="009423C3" w14:paraId="15B0232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5E3D48" w14:textId="72A10D1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MICAH GROUP PTY LTD</w:t>
            </w:r>
          </w:p>
        </w:tc>
        <w:tc>
          <w:tcPr>
            <w:tcW w:w="4096" w:type="dxa"/>
            <w:tcBorders>
              <w:top w:val="single" w:sz="4" w:space="0" w:color="auto"/>
              <w:bottom w:val="single" w:sz="4" w:space="0" w:color="auto"/>
            </w:tcBorders>
            <w:vAlign w:val="center"/>
          </w:tcPr>
          <w:p w14:paraId="5261ECFD" w14:textId="705595E5"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11CD8D3D" w14:textId="7F834BA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2,545</w:t>
            </w:r>
          </w:p>
        </w:tc>
      </w:tr>
      <w:tr w:rsidR="00D006DC" w:rsidRPr="009423C3" w14:paraId="3ED344E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1410EF2" w14:textId="6AFB75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MICHAEL ADAM HINES</w:t>
            </w:r>
          </w:p>
        </w:tc>
        <w:tc>
          <w:tcPr>
            <w:tcW w:w="4096" w:type="dxa"/>
            <w:tcBorders>
              <w:top w:val="single" w:sz="4" w:space="0" w:color="auto"/>
              <w:bottom w:val="single" w:sz="4" w:space="0" w:color="auto"/>
            </w:tcBorders>
            <w:vAlign w:val="center"/>
          </w:tcPr>
          <w:p w14:paraId="57E71ED9" w14:textId="4BDF616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89748DE" w14:textId="53A9166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7,000</w:t>
            </w:r>
          </w:p>
        </w:tc>
      </w:tr>
      <w:tr w:rsidR="00D006DC" w:rsidRPr="009423C3" w14:paraId="271B7B0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A079DCC" w14:textId="18CDEAD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MICHAEL BOURKE</w:t>
            </w:r>
          </w:p>
        </w:tc>
        <w:tc>
          <w:tcPr>
            <w:tcW w:w="4096" w:type="dxa"/>
            <w:tcBorders>
              <w:top w:val="single" w:sz="4" w:space="0" w:color="auto"/>
              <w:bottom w:val="single" w:sz="4" w:space="0" w:color="auto"/>
            </w:tcBorders>
            <w:vAlign w:val="center"/>
          </w:tcPr>
          <w:p w14:paraId="213D7E51" w14:textId="2EB6865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F23AFC8" w14:textId="2B4C310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w:t>
            </w:r>
          </w:p>
        </w:tc>
      </w:tr>
      <w:tr w:rsidR="00D006DC" w:rsidRPr="009423C3" w14:paraId="5939B74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4A85B1" w14:textId="25011A8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MICHAEL PAGE INTERNATIONAL (AUSTRALIA) PTY. LIMITED</w:t>
            </w:r>
          </w:p>
        </w:tc>
        <w:tc>
          <w:tcPr>
            <w:tcW w:w="4096" w:type="dxa"/>
            <w:tcBorders>
              <w:top w:val="single" w:sz="4" w:space="0" w:color="auto"/>
              <w:bottom w:val="single" w:sz="4" w:space="0" w:color="auto"/>
            </w:tcBorders>
            <w:vAlign w:val="center"/>
          </w:tcPr>
          <w:p w14:paraId="19F7B736" w14:textId="366390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4F3C5946" w14:textId="249BEDD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531,391</w:t>
            </w:r>
          </w:p>
        </w:tc>
      </w:tr>
      <w:tr w:rsidR="00D006DC" w:rsidRPr="009423C3" w14:paraId="1E35614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3931BB" w14:textId="0D012EE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MICHAEL TZE-YANG LIM</w:t>
            </w:r>
          </w:p>
        </w:tc>
        <w:tc>
          <w:tcPr>
            <w:tcW w:w="4096" w:type="dxa"/>
            <w:tcBorders>
              <w:top w:val="single" w:sz="4" w:space="0" w:color="auto"/>
              <w:bottom w:val="single" w:sz="4" w:space="0" w:color="auto"/>
            </w:tcBorders>
            <w:vAlign w:val="center"/>
          </w:tcPr>
          <w:p w14:paraId="2B358DFB" w14:textId="016FF6F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0948EC1" w14:textId="3F61D59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11,125</w:t>
            </w:r>
          </w:p>
        </w:tc>
      </w:tr>
      <w:tr w:rsidR="00D006DC" w:rsidRPr="009423C3" w14:paraId="70FF539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0E18822" w14:textId="274BF1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MICHILL CONSULTING</w:t>
            </w:r>
          </w:p>
        </w:tc>
        <w:tc>
          <w:tcPr>
            <w:tcW w:w="4096" w:type="dxa"/>
            <w:tcBorders>
              <w:top w:val="single" w:sz="4" w:space="0" w:color="auto"/>
              <w:bottom w:val="single" w:sz="4" w:space="0" w:color="auto"/>
            </w:tcBorders>
            <w:vAlign w:val="center"/>
          </w:tcPr>
          <w:p w14:paraId="673041B0" w14:textId="278532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154E5C3" w14:textId="3BF9DDB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9,577</w:t>
            </w:r>
          </w:p>
        </w:tc>
      </w:tr>
      <w:tr w:rsidR="00D006DC" w:rsidRPr="009423C3" w14:paraId="0B74BFC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35A078" w14:textId="7BBAFAF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MICROWAY PTY LTD</w:t>
            </w:r>
          </w:p>
        </w:tc>
        <w:tc>
          <w:tcPr>
            <w:tcW w:w="4096" w:type="dxa"/>
            <w:tcBorders>
              <w:top w:val="single" w:sz="4" w:space="0" w:color="auto"/>
              <w:bottom w:val="single" w:sz="4" w:space="0" w:color="auto"/>
            </w:tcBorders>
            <w:vAlign w:val="center"/>
          </w:tcPr>
          <w:p w14:paraId="3A59D776" w14:textId="4F3A8E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3ABA8BA" w14:textId="147A9EE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23,734</w:t>
            </w:r>
          </w:p>
        </w:tc>
      </w:tr>
      <w:tr w:rsidR="00D006DC" w:rsidRPr="009423C3" w14:paraId="1C44F2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8ED6DAA" w14:textId="3F2E867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MINTER ELLISON</w:t>
            </w:r>
          </w:p>
        </w:tc>
        <w:tc>
          <w:tcPr>
            <w:tcW w:w="4096" w:type="dxa"/>
            <w:tcBorders>
              <w:top w:val="single" w:sz="4" w:space="0" w:color="auto"/>
              <w:bottom w:val="single" w:sz="4" w:space="0" w:color="auto"/>
            </w:tcBorders>
            <w:vAlign w:val="center"/>
          </w:tcPr>
          <w:p w14:paraId="6794D3B8" w14:textId="76E963C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8B2630" w14:textId="72A7019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2,008</w:t>
            </w:r>
          </w:p>
        </w:tc>
      </w:tr>
      <w:tr w:rsidR="00D006DC" w:rsidRPr="009423C3" w14:paraId="022E3FE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C105F46" w14:textId="0BF4242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MITCHELL KATHRYN</w:t>
            </w:r>
          </w:p>
        </w:tc>
        <w:tc>
          <w:tcPr>
            <w:tcW w:w="4096" w:type="dxa"/>
            <w:tcBorders>
              <w:top w:val="single" w:sz="4" w:space="0" w:color="auto"/>
              <w:bottom w:val="single" w:sz="4" w:space="0" w:color="auto"/>
            </w:tcBorders>
            <w:vAlign w:val="center"/>
          </w:tcPr>
          <w:p w14:paraId="3B23B81A" w14:textId="301C4F4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45A95B5" w14:textId="491A1F7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3,786</w:t>
            </w:r>
          </w:p>
        </w:tc>
      </w:tr>
      <w:tr w:rsidR="00D006DC" w:rsidRPr="009423C3" w14:paraId="3C009AD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3568A7D" w14:textId="0A36462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MODERN LANGUAGE TEACHERS' ASSOCIATION OF VICTORIA (MLTAV) INC.</w:t>
            </w:r>
          </w:p>
        </w:tc>
        <w:tc>
          <w:tcPr>
            <w:tcW w:w="4096" w:type="dxa"/>
            <w:tcBorders>
              <w:top w:val="single" w:sz="4" w:space="0" w:color="auto"/>
              <w:bottom w:val="single" w:sz="4" w:space="0" w:color="auto"/>
            </w:tcBorders>
            <w:vAlign w:val="center"/>
          </w:tcPr>
          <w:p w14:paraId="6A0BA3C5" w14:textId="5F2D9D1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B969C8C" w14:textId="73F100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45,455</w:t>
            </w:r>
          </w:p>
        </w:tc>
      </w:tr>
      <w:tr w:rsidR="00D006DC" w:rsidRPr="009423C3" w14:paraId="11B0C15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E415790" w14:textId="7FA6897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MONASH UNIVERSITY</w:t>
            </w:r>
          </w:p>
        </w:tc>
        <w:tc>
          <w:tcPr>
            <w:tcW w:w="4096" w:type="dxa"/>
            <w:tcBorders>
              <w:top w:val="single" w:sz="4" w:space="0" w:color="auto"/>
              <w:bottom w:val="single" w:sz="4" w:space="0" w:color="auto"/>
            </w:tcBorders>
            <w:vAlign w:val="center"/>
          </w:tcPr>
          <w:p w14:paraId="2BC91C43" w14:textId="32F4198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D4DEE03" w14:textId="5985448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743,872</w:t>
            </w:r>
          </w:p>
        </w:tc>
      </w:tr>
      <w:tr w:rsidR="00D006DC" w:rsidRPr="009423C3" w14:paraId="499F8A4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4F698D9" w14:textId="68A22CF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MONTUS TUTORING PTY LTD</w:t>
            </w:r>
          </w:p>
        </w:tc>
        <w:tc>
          <w:tcPr>
            <w:tcW w:w="4096" w:type="dxa"/>
            <w:tcBorders>
              <w:top w:val="single" w:sz="4" w:space="0" w:color="auto"/>
              <w:bottom w:val="single" w:sz="4" w:space="0" w:color="auto"/>
            </w:tcBorders>
            <w:vAlign w:val="center"/>
          </w:tcPr>
          <w:p w14:paraId="4352A00A" w14:textId="30A384E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D265FD" w14:textId="0C2E59D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5,400</w:t>
            </w:r>
          </w:p>
        </w:tc>
      </w:tr>
      <w:tr w:rsidR="00D006DC" w:rsidRPr="009423C3" w14:paraId="49CD525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887B64F" w14:textId="6939C20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MORE TO SAY AND DO</w:t>
            </w:r>
          </w:p>
        </w:tc>
        <w:tc>
          <w:tcPr>
            <w:tcW w:w="4096" w:type="dxa"/>
            <w:tcBorders>
              <w:top w:val="single" w:sz="4" w:space="0" w:color="auto"/>
              <w:bottom w:val="single" w:sz="4" w:space="0" w:color="auto"/>
            </w:tcBorders>
            <w:vAlign w:val="center"/>
          </w:tcPr>
          <w:p w14:paraId="5969AE3E" w14:textId="67D6865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64E6D8B" w14:textId="2BEC05E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2,468</w:t>
            </w:r>
          </w:p>
        </w:tc>
      </w:tr>
      <w:tr w:rsidR="00D006DC" w:rsidRPr="009423C3" w14:paraId="6CBAD12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DD0CE7" w14:textId="18AC44E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MORGAN ADAM JOHN</w:t>
            </w:r>
          </w:p>
        </w:tc>
        <w:tc>
          <w:tcPr>
            <w:tcW w:w="4096" w:type="dxa"/>
            <w:tcBorders>
              <w:top w:val="single" w:sz="4" w:space="0" w:color="auto"/>
              <w:bottom w:val="single" w:sz="4" w:space="0" w:color="auto"/>
            </w:tcBorders>
            <w:vAlign w:val="center"/>
          </w:tcPr>
          <w:p w14:paraId="0F44DB54" w14:textId="23DBB8F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F9EDE16" w14:textId="3F53C94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1,280</w:t>
            </w:r>
          </w:p>
        </w:tc>
      </w:tr>
      <w:tr w:rsidR="00D006DC" w:rsidRPr="009423C3" w14:paraId="2ED98FA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5F692DE" w14:textId="0C5D71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MORRIS SLEEP</w:t>
            </w:r>
          </w:p>
        </w:tc>
        <w:tc>
          <w:tcPr>
            <w:tcW w:w="4096" w:type="dxa"/>
            <w:tcBorders>
              <w:top w:val="single" w:sz="4" w:space="0" w:color="auto"/>
              <w:bottom w:val="single" w:sz="4" w:space="0" w:color="auto"/>
            </w:tcBorders>
            <w:vAlign w:val="center"/>
          </w:tcPr>
          <w:p w14:paraId="6F6D366C" w14:textId="77DFAFB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CDBD07" w14:textId="5B663CC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19,013</w:t>
            </w:r>
          </w:p>
        </w:tc>
      </w:tr>
      <w:tr w:rsidR="00D006DC" w:rsidRPr="009423C3" w14:paraId="5069090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B69F3C1" w14:textId="7C368B0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MOTT MACDONALD AUSTRALIA PTY LIMITED</w:t>
            </w:r>
          </w:p>
        </w:tc>
        <w:tc>
          <w:tcPr>
            <w:tcW w:w="4096" w:type="dxa"/>
            <w:tcBorders>
              <w:top w:val="single" w:sz="4" w:space="0" w:color="auto"/>
              <w:bottom w:val="single" w:sz="4" w:space="0" w:color="auto"/>
            </w:tcBorders>
            <w:vAlign w:val="center"/>
          </w:tcPr>
          <w:p w14:paraId="5AB92261" w14:textId="3010BB96"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B68D967" w14:textId="6BF8362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4,910,027</w:t>
            </w:r>
          </w:p>
        </w:tc>
      </w:tr>
      <w:tr w:rsidR="00D006DC" w:rsidRPr="009423C3" w14:paraId="56C47B2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8D203F" w14:textId="2C42D71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MR EDUCATIONAL SERVICES</w:t>
            </w:r>
          </w:p>
        </w:tc>
        <w:tc>
          <w:tcPr>
            <w:tcW w:w="4096" w:type="dxa"/>
            <w:tcBorders>
              <w:top w:val="single" w:sz="4" w:space="0" w:color="auto"/>
              <w:bottom w:val="single" w:sz="4" w:space="0" w:color="auto"/>
            </w:tcBorders>
            <w:vAlign w:val="center"/>
          </w:tcPr>
          <w:p w14:paraId="091AF9A4" w14:textId="4E3A8C59"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AE7B981" w14:textId="7066610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31,450</w:t>
            </w:r>
          </w:p>
        </w:tc>
      </w:tr>
      <w:tr w:rsidR="00D006DC" w:rsidRPr="009423C3" w14:paraId="45EE732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AB57995" w14:textId="22A60D0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MUDALY NEEROSHINEE</w:t>
            </w:r>
          </w:p>
        </w:tc>
        <w:tc>
          <w:tcPr>
            <w:tcW w:w="4096" w:type="dxa"/>
            <w:tcBorders>
              <w:top w:val="single" w:sz="4" w:space="0" w:color="auto"/>
              <w:bottom w:val="single" w:sz="4" w:space="0" w:color="auto"/>
            </w:tcBorders>
            <w:vAlign w:val="center"/>
          </w:tcPr>
          <w:p w14:paraId="2F0630FB" w14:textId="7146F76D"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B91DD96" w14:textId="625B45C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21,190</w:t>
            </w:r>
          </w:p>
        </w:tc>
      </w:tr>
      <w:tr w:rsidR="00D006DC" w:rsidRPr="009423C3" w14:paraId="72D64F6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7C4405C" w14:textId="6290BEA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MURDOCH CHILDRENS RESEARCH INSTITUTE</w:t>
            </w:r>
          </w:p>
        </w:tc>
        <w:tc>
          <w:tcPr>
            <w:tcW w:w="4096" w:type="dxa"/>
            <w:tcBorders>
              <w:top w:val="single" w:sz="4" w:space="0" w:color="auto"/>
              <w:bottom w:val="single" w:sz="4" w:space="0" w:color="auto"/>
            </w:tcBorders>
            <w:vAlign w:val="center"/>
          </w:tcPr>
          <w:p w14:paraId="6EE5F52B" w14:textId="65EE10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Early childhood services</w:t>
            </w:r>
          </w:p>
        </w:tc>
        <w:tc>
          <w:tcPr>
            <w:tcW w:w="1417" w:type="dxa"/>
            <w:tcBorders>
              <w:top w:val="single" w:sz="4" w:space="0" w:color="auto"/>
              <w:bottom w:val="single" w:sz="4" w:space="0" w:color="auto"/>
            </w:tcBorders>
            <w:shd w:val="clear" w:color="auto" w:fill="auto"/>
            <w:vAlign w:val="center"/>
          </w:tcPr>
          <w:p w14:paraId="06FB541B" w14:textId="78F96C6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127,940</w:t>
            </w:r>
          </w:p>
        </w:tc>
      </w:tr>
      <w:tr w:rsidR="00D006DC" w:rsidRPr="009423C3" w14:paraId="2DBBE61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2B1C43E" w14:textId="13BFC15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MURPHY ANTHONY JOHN</w:t>
            </w:r>
          </w:p>
        </w:tc>
        <w:tc>
          <w:tcPr>
            <w:tcW w:w="4096" w:type="dxa"/>
            <w:tcBorders>
              <w:top w:val="single" w:sz="4" w:space="0" w:color="auto"/>
              <w:bottom w:val="single" w:sz="4" w:space="0" w:color="auto"/>
            </w:tcBorders>
            <w:vAlign w:val="center"/>
          </w:tcPr>
          <w:p w14:paraId="18C2487B" w14:textId="3E6838D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06354DF" w14:textId="3F593F9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7,000</w:t>
            </w:r>
          </w:p>
        </w:tc>
      </w:tr>
      <w:tr w:rsidR="00D006DC" w:rsidRPr="009423C3" w14:paraId="190768D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C763282" w14:textId="5DEA23A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MURTHY AASHA</w:t>
            </w:r>
          </w:p>
        </w:tc>
        <w:tc>
          <w:tcPr>
            <w:tcW w:w="4096" w:type="dxa"/>
            <w:tcBorders>
              <w:top w:val="single" w:sz="4" w:space="0" w:color="auto"/>
              <w:bottom w:val="single" w:sz="4" w:space="0" w:color="auto"/>
            </w:tcBorders>
            <w:vAlign w:val="center"/>
          </w:tcPr>
          <w:p w14:paraId="7D7C6344" w14:textId="7A66B1A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7F910D4" w14:textId="50BA5AC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11,000</w:t>
            </w:r>
          </w:p>
        </w:tc>
      </w:tr>
      <w:tr w:rsidR="00D006DC" w:rsidRPr="009423C3" w14:paraId="4B9C9EF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C4EA393" w14:textId="1838D7D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MUSE CONSULTING PTY LIMITED</w:t>
            </w:r>
          </w:p>
        </w:tc>
        <w:tc>
          <w:tcPr>
            <w:tcW w:w="4096" w:type="dxa"/>
            <w:tcBorders>
              <w:top w:val="single" w:sz="4" w:space="0" w:color="auto"/>
              <w:bottom w:val="single" w:sz="4" w:space="0" w:color="auto"/>
            </w:tcBorders>
            <w:vAlign w:val="center"/>
          </w:tcPr>
          <w:p w14:paraId="7FE62E91" w14:textId="57BDF7C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C956DA8" w14:textId="2DD7538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27,100</w:t>
            </w:r>
          </w:p>
        </w:tc>
      </w:tr>
      <w:tr w:rsidR="00D006DC" w:rsidRPr="009423C3" w14:paraId="635B745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28B813C" w14:textId="38AB36E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NATUS MEDICAL PTY LTD</w:t>
            </w:r>
          </w:p>
        </w:tc>
        <w:tc>
          <w:tcPr>
            <w:tcW w:w="4096" w:type="dxa"/>
            <w:tcBorders>
              <w:top w:val="single" w:sz="4" w:space="0" w:color="auto"/>
              <w:bottom w:val="single" w:sz="4" w:space="0" w:color="auto"/>
            </w:tcBorders>
            <w:vAlign w:val="center"/>
          </w:tcPr>
          <w:p w14:paraId="4CE9BF46" w14:textId="1B6641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E5BD086" w14:textId="3CE0BA2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7,073</w:t>
            </w:r>
          </w:p>
        </w:tc>
      </w:tr>
      <w:tr w:rsidR="00D006DC" w:rsidRPr="009423C3" w14:paraId="139BB21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68A9794" w14:textId="1451C4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NED MELDRUM PHOTOGRAPHY</w:t>
            </w:r>
          </w:p>
        </w:tc>
        <w:tc>
          <w:tcPr>
            <w:tcW w:w="4096" w:type="dxa"/>
            <w:tcBorders>
              <w:top w:val="single" w:sz="4" w:space="0" w:color="auto"/>
              <w:bottom w:val="single" w:sz="4" w:space="0" w:color="auto"/>
            </w:tcBorders>
            <w:vAlign w:val="center"/>
          </w:tcPr>
          <w:p w14:paraId="4DE5D32B" w14:textId="1FF6ED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4E300A0" w14:textId="5F15121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5,200</w:t>
            </w:r>
          </w:p>
        </w:tc>
      </w:tr>
      <w:tr w:rsidR="00D006DC" w:rsidRPr="009423C3" w14:paraId="4338799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0C36DB" w14:textId="4664275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NGIS AUSTRALIA PTY LTD</w:t>
            </w:r>
          </w:p>
        </w:tc>
        <w:tc>
          <w:tcPr>
            <w:tcW w:w="4096" w:type="dxa"/>
            <w:tcBorders>
              <w:top w:val="single" w:sz="4" w:space="0" w:color="auto"/>
              <w:bottom w:val="single" w:sz="4" w:space="0" w:color="auto"/>
            </w:tcBorders>
            <w:vAlign w:val="center"/>
          </w:tcPr>
          <w:p w14:paraId="0AA15E3B" w14:textId="0B4621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BA8BBC6" w14:textId="1C8A9BB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9,878</w:t>
            </w:r>
          </w:p>
        </w:tc>
      </w:tr>
      <w:tr w:rsidR="00D006DC" w:rsidRPr="009423C3" w14:paraId="57090E5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9C7309" w14:textId="0C84C62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NICHOLAS JAMES BAMFORD</w:t>
            </w:r>
          </w:p>
        </w:tc>
        <w:tc>
          <w:tcPr>
            <w:tcW w:w="4096" w:type="dxa"/>
            <w:tcBorders>
              <w:top w:val="single" w:sz="4" w:space="0" w:color="auto"/>
              <w:bottom w:val="single" w:sz="4" w:space="0" w:color="auto"/>
            </w:tcBorders>
            <w:vAlign w:val="center"/>
          </w:tcPr>
          <w:p w14:paraId="54F6056C" w14:textId="5CB3682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D3AE250" w14:textId="69AF04F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22,800</w:t>
            </w:r>
          </w:p>
        </w:tc>
      </w:tr>
      <w:tr w:rsidR="00D006DC" w:rsidRPr="009423C3" w14:paraId="2CD88C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1784CC5" w14:textId="7A5E7A6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NICHOLS KATE</w:t>
            </w:r>
          </w:p>
        </w:tc>
        <w:tc>
          <w:tcPr>
            <w:tcW w:w="4096" w:type="dxa"/>
            <w:tcBorders>
              <w:top w:val="single" w:sz="4" w:space="0" w:color="auto"/>
              <w:bottom w:val="single" w:sz="4" w:space="0" w:color="auto"/>
            </w:tcBorders>
            <w:vAlign w:val="center"/>
          </w:tcPr>
          <w:p w14:paraId="4F25CC46" w14:textId="158AB93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81A87CC" w14:textId="05F0D0F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3,850</w:t>
            </w:r>
          </w:p>
        </w:tc>
      </w:tr>
      <w:tr w:rsidR="00D006DC" w:rsidRPr="009423C3" w14:paraId="55D8F43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A8B5518" w14:textId="028E81D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NICOLE CLEARY PHOTOGRAPHY</w:t>
            </w:r>
          </w:p>
        </w:tc>
        <w:tc>
          <w:tcPr>
            <w:tcW w:w="4096" w:type="dxa"/>
            <w:tcBorders>
              <w:top w:val="single" w:sz="4" w:space="0" w:color="auto"/>
              <w:bottom w:val="single" w:sz="4" w:space="0" w:color="auto"/>
            </w:tcBorders>
            <w:vAlign w:val="center"/>
          </w:tcPr>
          <w:p w14:paraId="1E4C3B82" w14:textId="30178EE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D93B022" w14:textId="12D1716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5,000</w:t>
            </w:r>
          </w:p>
        </w:tc>
      </w:tr>
      <w:tr w:rsidR="00D006DC" w:rsidRPr="009423C3" w14:paraId="2D772F5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F1F044D" w14:textId="07F7A20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NINGJUN WANG</w:t>
            </w:r>
          </w:p>
        </w:tc>
        <w:tc>
          <w:tcPr>
            <w:tcW w:w="4096" w:type="dxa"/>
            <w:tcBorders>
              <w:top w:val="single" w:sz="4" w:space="0" w:color="auto"/>
              <w:bottom w:val="single" w:sz="4" w:space="0" w:color="auto"/>
            </w:tcBorders>
            <w:vAlign w:val="center"/>
          </w:tcPr>
          <w:p w14:paraId="63F501FF" w14:textId="4210CAA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95A6F93" w14:textId="193C35A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34,800</w:t>
            </w:r>
          </w:p>
        </w:tc>
      </w:tr>
      <w:tr w:rsidR="00D006DC" w:rsidRPr="009423C3" w14:paraId="7C94385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061289A" w14:textId="35E3033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NO FUSS ADMIN</w:t>
            </w:r>
          </w:p>
        </w:tc>
        <w:tc>
          <w:tcPr>
            <w:tcW w:w="4096" w:type="dxa"/>
            <w:tcBorders>
              <w:top w:val="single" w:sz="4" w:space="0" w:color="auto"/>
              <w:bottom w:val="single" w:sz="4" w:space="0" w:color="auto"/>
            </w:tcBorders>
            <w:vAlign w:val="center"/>
          </w:tcPr>
          <w:p w14:paraId="3A5F74A9" w14:textId="60FFFE2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B0B53A1" w14:textId="57C5BA1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6,334</w:t>
            </w:r>
          </w:p>
        </w:tc>
      </w:tr>
      <w:tr w:rsidR="00D006DC" w:rsidRPr="009423C3" w14:paraId="0AEDA0D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D41DDA2" w14:textId="5781E1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NOELLE BURDEKIN EDUCATIONAL CONSULTANCY PTY LTD</w:t>
            </w:r>
          </w:p>
        </w:tc>
        <w:tc>
          <w:tcPr>
            <w:tcW w:w="4096" w:type="dxa"/>
            <w:tcBorders>
              <w:top w:val="single" w:sz="4" w:space="0" w:color="auto"/>
              <w:bottom w:val="single" w:sz="4" w:space="0" w:color="auto"/>
            </w:tcBorders>
            <w:vAlign w:val="center"/>
          </w:tcPr>
          <w:p w14:paraId="42E07814" w14:textId="2CAA16C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86B6425" w14:textId="1437DC2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15,369</w:t>
            </w:r>
          </w:p>
        </w:tc>
      </w:tr>
      <w:tr w:rsidR="00D006DC" w:rsidRPr="009423C3" w14:paraId="4E22483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940BAFD" w14:textId="3E05AF8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NOUS GROUP PTY LTD</w:t>
            </w:r>
          </w:p>
        </w:tc>
        <w:tc>
          <w:tcPr>
            <w:tcW w:w="4096" w:type="dxa"/>
            <w:tcBorders>
              <w:top w:val="single" w:sz="4" w:space="0" w:color="auto"/>
              <w:bottom w:val="single" w:sz="4" w:space="0" w:color="auto"/>
            </w:tcBorders>
            <w:vAlign w:val="center"/>
          </w:tcPr>
          <w:p w14:paraId="2352560D" w14:textId="7B2C262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8BBF7E8" w14:textId="67BFE0D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2,154,361</w:t>
            </w:r>
          </w:p>
        </w:tc>
      </w:tr>
      <w:tr w:rsidR="00D006DC" w:rsidRPr="009423C3" w14:paraId="7D9C689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438292A" w14:textId="4722312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NTT AUSTRALIA DIGITAL PTY LTD</w:t>
            </w:r>
          </w:p>
        </w:tc>
        <w:tc>
          <w:tcPr>
            <w:tcW w:w="4096" w:type="dxa"/>
            <w:tcBorders>
              <w:top w:val="single" w:sz="4" w:space="0" w:color="auto"/>
              <w:bottom w:val="single" w:sz="4" w:space="0" w:color="auto"/>
            </w:tcBorders>
            <w:vAlign w:val="center"/>
          </w:tcPr>
          <w:p w14:paraId="498FEDEC" w14:textId="05C4D8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1A76362" w14:textId="6BB446D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519,487</w:t>
            </w:r>
          </w:p>
        </w:tc>
      </w:tr>
      <w:tr w:rsidR="00D006DC" w:rsidRPr="009423C3" w14:paraId="479DFA7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6629D8" w14:textId="7E0F0A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NUTTSHELL GRAPHICS PTY. LTD.</w:t>
            </w:r>
          </w:p>
        </w:tc>
        <w:tc>
          <w:tcPr>
            <w:tcW w:w="4096" w:type="dxa"/>
            <w:tcBorders>
              <w:top w:val="single" w:sz="4" w:space="0" w:color="auto"/>
              <w:bottom w:val="single" w:sz="4" w:space="0" w:color="auto"/>
            </w:tcBorders>
            <w:vAlign w:val="center"/>
          </w:tcPr>
          <w:p w14:paraId="0E60495E" w14:textId="221DA8F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EEB6568" w14:textId="66E7235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15,275</w:t>
            </w:r>
          </w:p>
        </w:tc>
      </w:tr>
      <w:tr w:rsidR="00D006DC" w:rsidRPr="009423C3" w14:paraId="5520B2C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29F2743" w14:textId="4C4432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NWG PRODUCTIONS PTY LTD</w:t>
            </w:r>
          </w:p>
        </w:tc>
        <w:tc>
          <w:tcPr>
            <w:tcW w:w="4096" w:type="dxa"/>
            <w:tcBorders>
              <w:top w:val="single" w:sz="4" w:space="0" w:color="auto"/>
              <w:bottom w:val="single" w:sz="4" w:space="0" w:color="auto"/>
            </w:tcBorders>
            <w:vAlign w:val="center"/>
          </w:tcPr>
          <w:p w14:paraId="7EB2025D" w14:textId="6F6271E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E119F80" w14:textId="2EB8B9E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4,472</w:t>
            </w:r>
          </w:p>
        </w:tc>
      </w:tr>
      <w:tr w:rsidR="00D006DC" w:rsidRPr="009423C3" w14:paraId="123660B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276C4B2" w14:textId="7FBFDC7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OCONNOR MARSDEN + ASSOCIATES PTY LIMITED</w:t>
            </w:r>
          </w:p>
        </w:tc>
        <w:tc>
          <w:tcPr>
            <w:tcW w:w="4096" w:type="dxa"/>
            <w:tcBorders>
              <w:top w:val="single" w:sz="4" w:space="0" w:color="auto"/>
              <w:bottom w:val="single" w:sz="4" w:space="0" w:color="auto"/>
            </w:tcBorders>
            <w:vAlign w:val="center"/>
          </w:tcPr>
          <w:p w14:paraId="0164C30D" w14:textId="7E7947A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19B69CC" w14:textId="0DBF834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1,931</w:t>
            </w:r>
          </w:p>
        </w:tc>
      </w:tr>
      <w:tr w:rsidR="00D006DC" w:rsidRPr="009423C3" w14:paraId="60B8278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B286ABC" w14:textId="071CF78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ODASEVA AUSTRALIA PTY LTD</w:t>
            </w:r>
          </w:p>
        </w:tc>
        <w:tc>
          <w:tcPr>
            <w:tcW w:w="4096" w:type="dxa"/>
            <w:tcBorders>
              <w:top w:val="single" w:sz="4" w:space="0" w:color="auto"/>
              <w:bottom w:val="single" w:sz="4" w:space="0" w:color="auto"/>
            </w:tcBorders>
            <w:vAlign w:val="center"/>
          </w:tcPr>
          <w:p w14:paraId="68939D3A" w14:textId="7D5054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203A406" w14:textId="0DD6D70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45,198</w:t>
            </w:r>
          </w:p>
        </w:tc>
      </w:tr>
      <w:tr w:rsidR="00D006DC" w:rsidRPr="009423C3" w14:paraId="18FC2D0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3D0A250" w14:textId="0602D8D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ODGERS BERNDTSON</w:t>
            </w:r>
          </w:p>
        </w:tc>
        <w:tc>
          <w:tcPr>
            <w:tcW w:w="4096" w:type="dxa"/>
            <w:tcBorders>
              <w:top w:val="single" w:sz="4" w:space="0" w:color="auto"/>
              <w:bottom w:val="single" w:sz="4" w:space="0" w:color="auto"/>
            </w:tcBorders>
            <w:vAlign w:val="center"/>
          </w:tcPr>
          <w:p w14:paraId="45EF99C0" w14:textId="36449E2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13EA278E" w14:textId="0173D19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54,070</w:t>
            </w:r>
          </w:p>
        </w:tc>
      </w:tr>
      <w:tr w:rsidR="00D006DC" w:rsidRPr="009423C3" w14:paraId="2BEE0F1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585976" w14:textId="533BCFF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ODYSSEY TRAINING</w:t>
            </w:r>
          </w:p>
        </w:tc>
        <w:tc>
          <w:tcPr>
            <w:tcW w:w="4096" w:type="dxa"/>
            <w:tcBorders>
              <w:top w:val="single" w:sz="4" w:space="0" w:color="auto"/>
              <w:bottom w:val="single" w:sz="4" w:space="0" w:color="auto"/>
            </w:tcBorders>
            <w:vAlign w:val="center"/>
          </w:tcPr>
          <w:p w14:paraId="616CB744" w14:textId="359B8166"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22BF9CC6" w14:textId="55A2D08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6,545</w:t>
            </w:r>
          </w:p>
        </w:tc>
      </w:tr>
      <w:tr w:rsidR="00D006DC" w:rsidRPr="009423C3" w14:paraId="6A0BAFA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6C5401D" w14:textId="6225B3B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OGGI CONSULTING PTY LTD</w:t>
            </w:r>
          </w:p>
        </w:tc>
        <w:tc>
          <w:tcPr>
            <w:tcW w:w="4096" w:type="dxa"/>
            <w:tcBorders>
              <w:top w:val="single" w:sz="4" w:space="0" w:color="auto"/>
              <w:bottom w:val="single" w:sz="4" w:space="0" w:color="auto"/>
            </w:tcBorders>
            <w:vAlign w:val="center"/>
          </w:tcPr>
          <w:p w14:paraId="38398E2C" w14:textId="5B6B441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13100E92" w14:textId="3D1F5E4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27,200</w:t>
            </w:r>
          </w:p>
        </w:tc>
      </w:tr>
      <w:tr w:rsidR="00D006DC" w:rsidRPr="009423C3" w14:paraId="214FACE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D5FB2B3" w14:textId="7770874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OLIVIA DOWNING</w:t>
            </w:r>
          </w:p>
        </w:tc>
        <w:tc>
          <w:tcPr>
            <w:tcW w:w="4096" w:type="dxa"/>
            <w:tcBorders>
              <w:top w:val="single" w:sz="4" w:space="0" w:color="auto"/>
              <w:bottom w:val="single" w:sz="4" w:space="0" w:color="auto"/>
            </w:tcBorders>
            <w:vAlign w:val="center"/>
          </w:tcPr>
          <w:p w14:paraId="3B576CF9" w14:textId="3303C06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3FC4E2C" w14:textId="31F9466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w:t>
            </w:r>
          </w:p>
        </w:tc>
      </w:tr>
      <w:tr w:rsidR="00D006DC" w:rsidRPr="009423C3" w14:paraId="4C2E519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8A9C9C2" w14:textId="430E911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ONCALL LANGUAGE SERVICES PTY LTD</w:t>
            </w:r>
          </w:p>
        </w:tc>
        <w:tc>
          <w:tcPr>
            <w:tcW w:w="4096" w:type="dxa"/>
            <w:tcBorders>
              <w:top w:val="single" w:sz="4" w:space="0" w:color="auto"/>
              <w:bottom w:val="single" w:sz="4" w:space="0" w:color="auto"/>
            </w:tcBorders>
            <w:vAlign w:val="center"/>
          </w:tcPr>
          <w:p w14:paraId="74ADB9CA" w14:textId="20E2127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7BD81EE" w14:textId="1BEB9F5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3,135,000</w:t>
            </w:r>
          </w:p>
        </w:tc>
      </w:tr>
      <w:tr w:rsidR="00D006DC" w:rsidRPr="009423C3" w14:paraId="13870E1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7FBF3CE" w14:textId="394CE8A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OOM CREATIVE</w:t>
            </w:r>
          </w:p>
        </w:tc>
        <w:tc>
          <w:tcPr>
            <w:tcW w:w="4096" w:type="dxa"/>
            <w:tcBorders>
              <w:top w:val="single" w:sz="4" w:space="0" w:color="auto"/>
              <w:bottom w:val="single" w:sz="4" w:space="0" w:color="auto"/>
            </w:tcBorders>
            <w:vAlign w:val="center"/>
          </w:tcPr>
          <w:p w14:paraId="07C4EE4C" w14:textId="568742C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8F67F86" w14:textId="1E190DB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18,000</w:t>
            </w:r>
          </w:p>
        </w:tc>
      </w:tr>
      <w:tr w:rsidR="00D006DC" w:rsidRPr="009423C3" w14:paraId="23DF6C4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F33B2F0" w14:textId="42307F1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OPTIMUM MEDIA DIRECTION PTY. LTD.</w:t>
            </w:r>
          </w:p>
        </w:tc>
        <w:tc>
          <w:tcPr>
            <w:tcW w:w="4096" w:type="dxa"/>
            <w:tcBorders>
              <w:top w:val="single" w:sz="4" w:space="0" w:color="auto"/>
              <w:bottom w:val="single" w:sz="4" w:space="0" w:color="auto"/>
            </w:tcBorders>
            <w:vAlign w:val="center"/>
          </w:tcPr>
          <w:p w14:paraId="3D647854" w14:textId="5987C1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526911DF" w14:textId="4828CDD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9,958</w:t>
            </w:r>
          </w:p>
        </w:tc>
      </w:tr>
      <w:tr w:rsidR="00D006DC" w:rsidRPr="009423C3" w14:paraId="7E50B65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D4AD370" w14:textId="606D71E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OPTUS NETWORKS PTY LIMITED</w:t>
            </w:r>
          </w:p>
        </w:tc>
        <w:tc>
          <w:tcPr>
            <w:tcW w:w="4096" w:type="dxa"/>
            <w:tcBorders>
              <w:top w:val="single" w:sz="4" w:space="0" w:color="auto"/>
              <w:bottom w:val="single" w:sz="4" w:space="0" w:color="auto"/>
            </w:tcBorders>
            <w:vAlign w:val="center"/>
          </w:tcPr>
          <w:p w14:paraId="4A9E4721" w14:textId="61B822C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51B95DB" w14:textId="701B276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78,876</w:t>
            </w:r>
          </w:p>
        </w:tc>
      </w:tr>
      <w:tr w:rsidR="00D006DC" w:rsidRPr="009423C3" w14:paraId="7593C15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9711CBF" w14:textId="5CC35E9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ORACLE CORPORATION AUSTRALIA PTY LTD</w:t>
            </w:r>
          </w:p>
        </w:tc>
        <w:tc>
          <w:tcPr>
            <w:tcW w:w="4096" w:type="dxa"/>
            <w:tcBorders>
              <w:top w:val="single" w:sz="4" w:space="0" w:color="auto"/>
              <w:bottom w:val="single" w:sz="4" w:space="0" w:color="auto"/>
            </w:tcBorders>
            <w:vAlign w:val="center"/>
          </w:tcPr>
          <w:p w14:paraId="0368BB1C" w14:textId="4E111F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DECE0D" w14:textId="01E5C40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685,910</w:t>
            </w:r>
          </w:p>
        </w:tc>
      </w:tr>
      <w:tr w:rsidR="00D006DC" w:rsidRPr="009423C3" w14:paraId="30C424C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06DAAD5" w14:textId="669E5A1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ORGANISATIONAL DIRECTIONS PTY LTD</w:t>
            </w:r>
          </w:p>
        </w:tc>
        <w:tc>
          <w:tcPr>
            <w:tcW w:w="4096" w:type="dxa"/>
            <w:tcBorders>
              <w:top w:val="single" w:sz="4" w:space="0" w:color="auto"/>
              <w:bottom w:val="single" w:sz="4" w:space="0" w:color="auto"/>
            </w:tcBorders>
            <w:vAlign w:val="center"/>
          </w:tcPr>
          <w:p w14:paraId="4A3F8113" w14:textId="6E814ED6"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1478BA0" w14:textId="605B4BE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434,388</w:t>
            </w:r>
          </w:p>
        </w:tc>
      </w:tr>
      <w:tr w:rsidR="00D006DC" w:rsidRPr="009423C3" w14:paraId="1C93FE2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FC4EF11" w14:textId="297B142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ORIMA RESEARCH PTY LTD</w:t>
            </w:r>
          </w:p>
        </w:tc>
        <w:tc>
          <w:tcPr>
            <w:tcW w:w="4096" w:type="dxa"/>
            <w:tcBorders>
              <w:top w:val="single" w:sz="4" w:space="0" w:color="auto"/>
              <w:bottom w:val="single" w:sz="4" w:space="0" w:color="auto"/>
            </w:tcBorders>
            <w:vAlign w:val="center"/>
          </w:tcPr>
          <w:p w14:paraId="71144AA8" w14:textId="71C15A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28111C8" w14:textId="21C4AE7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999,443</w:t>
            </w:r>
          </w:p>
        </w:tc>
      </w:tr>
      <w:tr w:rsidR="00D006DC" w:rsidRPr="009423C3" w14:paraId="2107B99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89BF22" w14:textId="1165857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ORYGEN</w:t>
            </w:r>
          </w:p>
        </w:tc>
        <w:tc>
          <w:tcPr>
            <w:tcW w:w="4096" w:type="dxa"/>
            <w:tcBorders>
              <w:top w:val="single" w:sz="4" w:space="0" w:color="auto"/>
              <w:bottom w:val="single" w:sz="4" w:space="0" w:color="auto"/>
            </w:tcBorders>
            <w:vAlign w:val="center"/>
          </w:tcPr>
          <w:p w14:paraId="6376788E" w14:textId="7EBDDA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FBCD81" w14:textId="5469E58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335,618</w:t>
            </w:r>
          </w:p>
        </w:tc>
      </w:tr>
      <w:tr w:rsidR="00D006DC" w:rsidRPr="009423C3" w14:paraId="0CB6B5D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0687727" w14:textId="7D97024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OSCARS HOTEL AND CAFE BAR</w:t>
            </w:r>
          </w:p>
        </w:tc>
        <w:tc>
          <w:tcPr>
            <w:tcW w:w="4096" w:type="dxa"/>
            <w:tcBorders>
              <w:top w:val="single" w:sz="4" w:space="0" w:color="auto"/>
              <w:bottom w:val="single" w:sz="4" w:space="0" w:color="auto"/>
            </w:tcBorders>
            <w:vAlign w:val="center"/>
          </w:tcPr>
          <w:p w14:paraId="02AFF913" w14:textId="253FF56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3F30294" w14:textId="21B72BF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1,683</w:t>
            </w:r>
          </w:p>
        </w:tc>
      </w:tr>
      <w:tr w:rsidR="00D006DC" w:rsidRPr="009423C3" w14:paraId="762DD48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86AF449" w14:textId="0B1D921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OUR COMMUNITY PTY LTD</w:t>
            </w:r>
          </w:p>
        </w:tc>
        <w:tc>
          <w:tcPr>
            <w:tcW w:w="4096" w:type="dxa"/>
            <w:tcBorders>
              <w:top w:val="single" w:sz="4" w:space="0" w:color="auto"/>
              <w:bottom w:val="single" w:sz="4" w:space="0" w:color="auto"/>
            </w:tcBorders>
            <w:vAlign w:val="center"/>
          </w:tcPr>
          <w:p w14:paraId="1A2A860A" w14:textId="0D82AA15"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6C64E839" w14:textId="0305E1A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43,500</w:t>
            </w:r>
          </w:p>
        </w:tc>
      </w:tr>
      <w:tr w:rsidR="00D006DC" w:rsidRPr="009423C3" w14:paraId="389E7A2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40438C" w14:textId="13AD70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OUTCOMES EDUCATION PTY LTD</w:t>
            </w:r>
          </w:p>
        </w:tc>
        <w:tc>
          <w:tcPr>
            <w:tcW w:w="4096" w:type="dxa"/>
            <w:tcBorders>
              <w:top w:val="single" w:sz="4" w:space="0" w:color="auto"/>
              <w:bottom w:val="single" w:sz="4" w:space="0" w:color="auto"/>
            </w:tcBorders>
            <w:vAlign w:val="center"/>
          </w:tcPr>
          <w:p w14:paraId="576C245B" w14:textId="1591B37E"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ABB905F" w14:textId="5F64D0E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21,792</w:t>
            </w:r>
          </w:p>
        </w:tc>
      </w:tr>
      <w:tr w:rsidR="00D006DC" w:rsidRPr="009423C3" w14:paraId="52F22D9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2C03A3A" w14:textId="39AFA78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OUTDOORS VICTORIA LIMITED</w:t>
            </w:r>
          </w:p>
        </w:tc>
        <w:tc>
          <w:tcPr>
            <w:tcW w:w="4096" w:type="dxa"/>
            <w:tcBorders>
              <w:top w:val="single" w:sz="4" w:space="0" w:color="auto"/>
              <w:bottom w:val="single" w:sz="4" w:space="0" w:color="auto"/>
            </w:tcBorders>
            <w:vAlign w:val="center"/>
          </w:tcPr>
          <w:p w14:paraId="13868EAD" w14:textId="22B9DB6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Curriculum Development Services</w:t>
            </w:r>
          </w:p>
        </w:tc>
        <w:tc>
          <w:tcPr>
            <w:tcW w:w="1417" w:type="dxa"/>
            <w:tcBorders>
              <w:top w:val="single" w:sz="4" w:space="0" w:color="auto"/>
              <w:bottom w:val="single" w:sz="4" w:space="0" w:color="auto"/>
            </w:tcBorders>
            <w:shd w:val="clear" w:color="auto" w:fill="auto"/>
            <w:vAlign w:val="center"/>
          </w:tcPr>
          <w:p w14:paraId="2C1C40E4" w14:textId="4F23BD1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4,680</w:t>
            </w:r>
          </w:p>
        </w:tc>
      </w:tr>
      <w:tr w:rsidR="00D006DC" w:rsidRPr="009423C3" w14:paraId="4B1C0DA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FCBCDA0" w14:textId="2919E2B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OZ LIT TEACHER</w:t>
            </w:r>
          </w:p>
        </w:tc>
        <w:tc>
          <w:tcPr>
            <w:tcW w:w="4096" w:type="dxa"/>
            <w:tcBorders>
              <w:top w:val="single" w:sz="4" w:space="0" w:color="auto"/>
              <w:bottom w:val="single" w:sz="4" w:space="0" w:color="auto"/>
            </w:tcBorders>
            <w:vAlign w:val="center"/>
          </w:tcPr>
          <w:p w14:paraId="389C4FD0" w14:textId="611A50C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FAEAC7C" w14:textId="4999D02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48,399</w:t>
            </w:r>
          </w:p>
        </w:tc>
      </w:tr>
      <w:tr w:rsidR="00D006DC" w:rsidRPr="009423C3" w14:paraId="4706C23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449C22" w14:textId="2CD2B37F" w:rsidR="00D006DC" w:rsidRPr="008457E1" w:rsidRDefault="00D006DC" w:rsidP="00D006DC">
            <w:pPr>
              <w:pStyle w:val="ESTablebody"/>
              <w:rPr>
                <w:rFonts w:ascii="Calibri" w:eastAsia="Times New Roman" w:hAnsi="Calibri" w:cs="Calibri"/>
                <w:color w:val="000000"/>
                <w:szCs w:val="20"/>
                <w:lang w:val="en-AU" w:eastAsia="en-AU"/>
              </w:rPr>
            </w:pPr>
            <w:r w:rsidRPr="00E55E4B">
              <w:rPr>
                <w:rFonts w:ascii="Calibri" w:hAnsi="Calibri" w:cs="Calibri"/>
                <w:color w:val="000000"/>
                <w:szCs w:val="20"/>
              </w:rPr>
              <w:t>PADLET</w:t>
            </w:r>
          </w:p>
        </w:tc>
        <w:tc>
          <w:tcPr>
            <w:tcW w:w="4096" w:type="dxa"/>
            <w:tcBorders>
              <w:top w:val="single" w:sz="4" w:space="0" w:color="auto"/>
              <w:bottom w:val="single" w:sz="4" w:space="0" w:color="auto"/>
            </w:tcBorders>
            <w:vAlign w:val="center"/>
          </w:tcPr>
          <w:p w14:paraId="79267D5E" w14:textId="2A3CCE61" w:rsidR="00D006DC" w:rsidRPr="008457E1" w:rsidRDefault="00D006DC" w:rsidP="00D006DC">
            <w:pPr>
              <w:pStyle w:val="ESTablebody"/>
              <w:rPr>
                <w:rFonts w:ascii="Calibri" w:eastAsia="Times New Roman" w:hAnsi="Calibri" w:cs="Calibri"/>
                <w:color w:val="000000"/>
                <w:szCs w:val="20"/>
                <w:lang w:val="en-AU" w:eastAsia="en-AU"/>
              </w:rPr>
            </w:pPr>
            <w:r w:rsidRPr="00E55E4B">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4A4881E" w14:textId="79C61E66" w:rsidR="00D006DC" w:rsidRPr="008457E1" w:rsidRDefault="00D006DC" w:rsidP="00D006DC">
            <w:pPr>
              <w:pStyle w:val="ESTablebody"/>
              <w:jc w:val="right"/>
              <w:rPr>
                <w:rFonts w:ascii="Calibri" w:eastAsia="Times New Roman" w:hAnsi="Calibri" w:cs="Calibri"/>
                <w:color w:val="000000"/>
                <w:szCs w:val="20"/>
                <w:lang w:val="en-AU" w:eastAsia="en-AU"/>
              </w:rPr>
            </w:pPr>
            <w:r w:rsidRPr="00E55E4B">
              <w:rPr>
                <w:rFonts w:ascii="Calibri" w:hAnsi="Calibri" w:cs="Calibri"/>
                <w:color w:val="000000"/>
                <w:szCs w:val="20"/>
              </w:rPr>
              <w:t xml:space="preserve">1,799 </w:t>
            </w:r>
          </w:p>
        </w:tc>
      </w:tr>
      <w:tr w:rsidR="00D006DC" w:rsidRPr="009423C3" w14:paraId="0714876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95661BE" w14:textId="408933F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PAN SOFTWARE PTY LTD</w:t>
            </w:r>
          </w:p>
        </w:tc>
        <w:tc>
          <w:tcPr>
            <w:tcW w:w="4096" w:type="dxa"/>
            <w:tcBorders>
              <w:top w:val="single" w:sz="4" w:space="0" w:color="auto"/>
              <w:bottom w:val="single" w:sz="4" w:space="0" w:color="auto"/>
            </w:tcBorders>
            <w:vAlign w:val="center"/>
          </w:tcPr>
          <w:p w14:paraId="31F0B015" w14:textId="32339737"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799FEB58" w14:textId="7906308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63,000</w:t>
            </w:r>
          </w:p>
        </w:tc>
      </w:tr>
      <w:tr w:rsidR="00D006DC" w:rsidRPr="009423C3" w14:paraId="1B2CB78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99A6A2F" w14:textId="7D81487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PARENTING RESEARCH CENTRE INC</w:t>
            </w:r>
          </w:p>
        </w:tc>
        <w:tc>
          <w:tcPr>
            <w:tcW w:w="4096" w:type="dxa"/>
            <w:tcBorders>
              <w:top w:val="single" w:sz="4" w:space="0" w:color="auto"/>
              <w:bottom w:val="single" w:sz="4" w:space="0" w:color="auto"/>
            </w:tcBorders>
            <w:vAlign w:val="center"/>
          </w:tcPr>
          <w:p w14:paraId="73E84DA9" w14:textId="63C5124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31F83C43" w14:textId="1A5C32E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115,410</w:t>
            </w:r>
          </w:p>
        </w:tc>
      </w:tr>
      <w:tr w:rsidR="00D006DC" w:rsidRPr="009423C3" w14:paraId="4105186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8959B6" w14:textId="5E195E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PARISFIRST PARTNERS PTY LTD</w:t>
            </w:r>
          </w:p>
        </w:tc>
        <w:tc>
          <w:tcPr>
            <w:tcW w:w="4096" w:type="dxa"/>
            <w:tcBorders>
              <w:top w:val="single" w:sz="4" w:space="0" w:color="auto"/>
              <w:bottom w:val="single" w:sz="4" w:space="0" w:color="auto"/>
            </w:tcBorders>
            <w:vAlign w:val="center"/>
          </w:tcPr>
          <w:p w14:paraId="39436047" w14:textId="0E5E34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8D1505E" w14:textId="4F0C3B9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37,432</w:t>
            </w:r>
          </w:p>
        </w:tc>
      </w:tr>
      <w:tr w:rsidR="00D006DC" w:rsidRPr="009423C3" w14:paraId="5F5D397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86746B" w14:textId="2357CF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PATERSON KATHRYN ELEANOR</w:t>
            </w:r>
          </w:p>
        </w:tc>
        <w:tc>
          <w:tcPr>
            <w:tcW w:w="4096" w:type="dxa"/>
            <w:tcBorders>
              <w:top w:val="single" w:sz="4" w:space="0" w:color="auto"/>
              <w:bottom w:val="single" w:sz="4" w:space="0" w:color="auto"/>
            </w:tcBorders>
            <w:vAlign w:val="center"/>
          </w:tcPr>
          <w:p w14:paraId="702D2BDF" w14:textId="7AC8D6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FF905B9" w14:textId="05D24FF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11,880</w:t>
            </w:r>
          </w:p>
        </w:tc>
      </w:tr>
      <w:tr w:rsidR="00D006DC" w:rsidRPr="009423C3" w14:paraId="0175F6E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733B7E" w14:textId="7052AAA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 SPORT GROUP PTY LTD</w:t>
            </w:r>
          </w:p>
        </w:tc>
        <w:tc>
          <w:tcPr>
            <w:tcW w:w="4096" w:type="dxa"/>
            <w:tcBorders>
              <w:top w:val="single" w:sz="4" w:space="0" w:color="auto"/>
              <w:bottom w:val="single" w:sz="4" w:space="0" w:color="auto"/>
            </w:tcBorders>
            <w:vAlign w:val="center"/>
          </w:tcPr>
          <w:p w14:paraId="5DBE0466" w14:textId="2E6955B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5DBB9CA9" w14:textId="1A09CB9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2,575</w:t>
            </w:r>
          </w:p>
        </w:tc>
      </w:tr>
      <w:tr w:rsidR="00D006DC" w:rsidRPr="009423C3" w14:paraId="63F82EE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58DF142" w14:textId="04D4E4C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PEOPLE2PEOPLE RECRUITMENT (VICTORIA) PTY LIMITED</w:t>
            </w:r>
          </w:p>
        </w:tc>
        <w:tc>
          <w:tcPr>
            <w:tcW w:w="4096" w:type="dxa"/>
            <w:tcBorders>
              <w:top w:val="single" w:sz="4" w:space="0" w:color="auto"/>
              <w:bottom w:val="single" w:sz="4" w:space="0" w:color="auto"/>
            </w:tcBorders>
            <w:vAlign w:val="center"/>
          </w:tcPr>
          <w:p w14:paraId="516D35B0" w14:textId="7658AC1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65B17591" w14:textId="42CE980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16,402</w:t>
            </w:r>
          </w:p>
        </w:tc>
      </w:tr>
      <w:tr w:rsidR="00D006DC" w:rsidRPr="009423C3" w14:paraId="28032D8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32CAEC9" w14:textId="0AAAAA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PEOPLESCOUT TECHNOLOGY PTY LTD</w:t>
            </w:r>
          </w:p>
        </w:tc>
        <w:tc>
          <w:tcPr>
            <w:tcW w:w="4096" w:type="dxa"/>
            <w:tcBorders>
              <w:top w:val="single" w:sz="4" w:space="0" w:color="auto"/>
              <w:bottom w:val="single" w:sz="4" w:space="0" w:color="auto"/>
            </w:tcBorders>
            <w:vAlign w:val="center"/>
          </w:tcPr>
          <w:p w14:paraId="243A1E74" w14:textId="506EAE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4AEFBEA" w14:textId="4126C23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20,550</w:t>
            </w:r>
          </w:p>
        </w:tc>
      </w:tr>
      <w:tr w:rsidR="00D006DC" w:rsidRPr="009423C3" w14:paraId="591FF9E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CF7697E" w14:textId="06F4EB4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PERSOLKELLY AUSTRALIA PTY LTD</w:t>
            </w:r>
          </w:p>
        </w:tc>
        <w:tc>
          <w:tcPr>
            <w:tcW w:w="4096" w:type="dxa"/>
            <w:tcBorders>
              <w:top w:val="single" w:sz="4" w:space="0" w:color="auto"/>
              <w:bottom w:val="single" w:sz="4" w:space="0" w:color="auto"/>
            </w:tcBorders>
            <w:vAlign w:val="center"/>
          </w:tcPr>
          <w:p w14:paraId="5A96D67F" w14:textId="7CF1F67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67AFAA2A" w14:textId="698891C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111,726</w:t>
            </w:r>
          </w:p>
        </w:tc>
      </w:tr>
      <w:tr w:rsidR="00D006DC" w:rsidRPr="009423C3" w14:paraId="00AE32B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AC2FB4B" w14:textId="374EB21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PETA JAY WHITE</w:t>
            </w:r>
          </w:p>
        </w:tc>
        <w:tc>
          <w:tcPr>
            <w:tcW w:w="4096" w:type="dxa"/>
            <w:tcBorders>
              <w:top w:val="single" w:sz="4" w:space="0" w:color="auto"/>
              <w:bottom w:val="single" w:sz="4" w:space="0" w:color="auto"/>
            </w:tcBorders>
            <w:vAlign w:val="center"/>
          </w:tcPr>
          <w:p w14:paraId="652F470F" w14:textId="61136B9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1C5E9FB" w14:textId="4114032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25,800</w:t>
            </w:r>
          </w:p>
        </w:tc>
      </w:tr>
      <w:tr w:rsidR="00D006DC" w:rsidRPr="009423C3" w14:paraId="29964E9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5DCDCAB" w14:textId="37CAEEC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PETER GRAHAM HILBIG</w:t>
            </w:r>
          </w:p>
        </w:tc>
        <w:tc>
          <w:tcPr>
            <w:tcW w:w="4096" w:type="dxa"/>
            <w:tcBorders>
              <w:top w:val="single" w:sz="4" w:space="0" w:color="auto"/>
              <w:bottom w:val="single" w:sz="4" w:space="0" w:color="auto"/>
            </w:tcBorders>
            <w:vAlign w:val="center"/>
          </w:tcPr>
          <w:p w14:paraId="750A5074" w14:textId="7F38084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7BD709F" w14:textId="23A3B6B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4,876</w:t>
            </w:r>
          </w:p>
        </w:tc>
      </w:tr>
      <w:tr w:rsidR="00D006DC" w:rsidRPr="009423C3" w14:paraId="56576DA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652C87C" w14:textId="5AA623D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PETER JEFFREY GRIFFITHS</w:t>
            </w:r>
          </w:p>
        </w:tc>
        <w:tc>
          <w:tcPr>
            <w:tcW w:w="4096" w:type="dxa"/>
            <w:tcBorders>
              <w:top w:val="single" w:sz="4" w:space="0" w:color="auto"/>
              <w:bottom w:val="single" w:sz="4" w:space="0" w:color="auto"/>
            </w:tcBorders>
            <w:vAlign w:val="center"/>
          </w:tcPr>
          <w:p w14:paraId="30E202A8" w14:textId="32B9A4E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98CB70D" w14:textId="16F81BC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64,584</w:t>
            </w:r>
          </w:p>
        </w:tc>
      </w:tr>
      <w:tr w:rsidR="00D006DC" w:rsidRPr="009423C3" w14:paraId="1C8EEA9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3156F49" w14:textId="474F077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PETER TERNES</w:t>
            </w:r>
          </w:p>
        </w:tc>
        <w:tc>
          <w:tcPr>
            <w:tcW w:w="4096" w:type="dxa"/>
            <w:tcBorders>
              <w:top w:val="single" w:sz="4" w:space="0" w:color="auto"/>
              <w:bottom w:val="single" w:sz="4" w:space="0" w:color="auto"/>
            </w:tcBorders>
            <w:vAlign w:val="center"/>
          </w:tcPr>
          <w:p w14:paraId="185B2D65" w14:textId="3DDE86C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7CE9487D" w14:textId="1CE611C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8,300</w:t>
            </w:r>
          </w:p>
        </w:tc>
      </w:tr>
      <w:tr w:rsidR="00D006DC" w:rsidRPr="009423C3" w14:paraId="511E8A3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1CA23AE" w14:textId="4144FF0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PHILLIPS EDUCATION SERVICES</w:t>
            </w:r>
          </w:p>
        </w:tc>
        <w:tc>
          <w:tcPr>
            <w:tcW w:w="4096" w:type="dxa"/>
            <w:tcBorders>
              <w:top w:val="single" w:sz="4" w:space="0" w:color="auto"/>
              <w:bottom w:val="single" w:sz="4" w:space="0" w:color="auto"/>
            </w:tcBorders>
            <w:vAlign w:val="center"/>
          </w:tcPr>
          <w:p w14:paraId="32C7A3FA" w14:textId="0EF93D9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FEA7886" w14:textId="0ABC6F4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6,750</w:t>
            </w:r>
          </w:p>
        </w:tc>
      </w:tr>
      <w:tr w:rsidR="00D006DC" w:rsidRPr="009423C3" w14:paraId="7248DD5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BA847A7" w14:textId="7A048FD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PHYSICAL MOVEMENT</w:t>
            </w:r>
          </w:p>
        </w:tc>
        <w:tc>
          <w:tcPr>
            <w:tcW w:w="4096" w:type="dxa"/>
            <w:tcBorders>
              <w:top w:val="single" w:sz="4" w:space="0" w:color="auto"/>
              <w:bottom w:val="single" w:sz="4" w:space="0" w:color="auto"/>
            </w:tcBorders>
            <w:vAlign w:val="center"/>
          </w:tcPr>
          <w:p w14:paraId="21D1A0F2" w14:textId="1C0FF2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2181E23" w14:textId="2ACA303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3,750</w:t>
            </w:r>
          </w:p>
        </w:tc>
      </w:tr>
      <w:tr w:rsidR="00D006DC" w:rsidRPr="009423C3" w14:paraId="7B366E7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060F88D" w14:textId="29A88A9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PIE CREATIVE AGENCY PTY LTD</w:t>
            </w:r>
          </w:p>
        </w:tc>
        <w:tc>
          <w:tcPr>
            <w:tcW w:w="4096" w:type="dxa"/>
            <w:tcBorders>
              <w:top w:val="single" w:sz="4" w:space="0" w:color="auto"/>
              <w:bottom w:val="single" w:sz="4" w:space="0" w:color="auto"/>
            </w:tcBorders>
            <w:vAlign w:val="center"/>
          </w:tcPr>
          <w:p w14:paraId="532C19CE" w14:textId="41D9B02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DE6D2EB" w14:textId="574888B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35,173</w:t>
            </w:r>
          </w:p>
        </w:tc>
      </w:tr>
      <w:tr w:rsidR="00D006DC" w:rsidRPr="009423C3" w14:paraId="3DE8FF6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238B70D" w14:textId="14B18A3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PINNACLE GROUP AUSTRALIA PTY LTD</w:t>
            </w:r>
          </w:p>
        </w:tc>
        <w:tc>
          <w:tcPr>
            <w:tcW w:w="4096" w:type="dxa"/>
            <w:tcBorders>
              <w:top w:val="single" w:sz="4" w:space="0" w:color="auto"/>
              <w:bottom w:val="single" w:sz="4" w:space="0" w:color="auto"/>
            </w:tcBorders>
            <w:vAlign w:val="center"/>
          </w:tcPr>
          <w:p w14:paraId="04D35640" w14:textId="32D29994"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AA097B6" w14:textId="4BA395F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561,772</w:t>
            </w:r>
          </w:p>
        </w:tc>
      </w:tr>
      <w:tr w:rsidR="00D006DC" w:rsidRPr="009423C3" w14:paraId="40B3667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E99F30C" w14:textId="5DBCB18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PITCHER PARTNERS CONSULTING PTY LTD</w:t>
            </w:r>
          </w:p>
        </w:tc>
        <w:tc>
          <w:tcPr>
            <w:tcW w:w="4096" w:type="dxa"/>
            <w:tcBorders>
              <w:top w:val="single" w:sz="4" w:space="0" w:color="auto"/>
              <w:bottom w:val="single" w:sz="4" w:space="0" w:color="auto"/>
            </w:tcBorders>
            <w:vAlign w:val="center"/>
          </w:tcPr>
          <w:p w14:paraId="630DDFC9" w14:textId="2AF3FDA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Financial, accounting, audit, taxation, risk management, insurance service</w:t>
            </w:r>
          </w:p>
        </w:tc>
        <w:tc>
          <w:tcPr>
            <w:tcW w:w="1417" w:type="dxa"/>
            <w:tcBorders>
              <w:top w:val="single" w:sz="4" w:space="0" w:color="auto"/>
              <w:bottom w:val="single" w:sz="4" w:space="0" w:color="auto"/>
            </w:tcBorders>
            <w:shd w:val="clear" w:color="auto" w:fill="auto"/>
            <w:vAlign w:val="center"/>
          </w:tcPr>
          <w:p w14:paraId="264F065A" w14:textId="6D56FFE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12,030</w:t>
            </w:r>
          </w:p>
        </w:tc>
      </w:tr>
      <w:tr w:rsidR="00D006DC" w:rsidRPr="009423C3" w14:paraId="78E546A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D6FA14D" w14:textId="3DA4340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PITCHES GLENNIS</w:t>
            </w:r>
          </w:p>
        </w:tc>
        <w:tc>
          <w:tcPr>
            <w:tcW w:w="4096" w:type="dxa"/>
            <w:tcBorders>
              <w:top w:val="single" w:sz="4" w:space="0" w:color="auto"/>
              <w:bottom w:val="single" w:sz="4" w:space="0" w:color="auto"/>
            </w:tcBorders>
            <w:vAlign w:val="center"/>
          </w:tcPr>
          <w:p w14:paraId="7E8BE348" w14:textId="463BC0B1"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579B38F7" w14:textId="4EDE2E5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4,127</w:t>
            </w:r>
          </w:p>
        </w:tc>
      </w:tr>
      <w:tr w:rsidR="00D006DC" w:rsidRPr="009423C3" w14:paraId="7B0F6CC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D4563A" w14:textId="3CA4E5B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PIVOT PROFESSIONAL LEARNING PTY LTD</w:t>
            </w:r>
          </w:p>
        </w:tc>
        <w:tc>
          <w:tcPr>
            <w:tcW w:w="4096" w:type="dxa"/>
            <w:tcBorders>
              <w:top w:val="single" w:sz="4" w:space="0" w:color="auto"/>
              <w:bottom w:val="single" w:sz="4" w:space="0" w:color="auto"/>
            </w:tcBorders>
            <w:vAlign w:val="center"/>
          </w:tcPr>
          <w:p w14:paraId="02FCB5BB" w14:textId="1D0DB8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assessment services</w:t>
            </w:r>
          </w:p>
        </w:tc>
        <w:tc>
          <w:tcPr>
            <w:tcW w:w="1417" w:type="dxa"/>
            <w:tcBorders>
              <w:top w:val="single" w:sz="4" w:space="0" w:color="auto"/>
              <w:bottom w:val="single" w:sz="4" w:space="0" w:color="auto"/>
            </w:tcBorders>
            <w:shd w:val="clear" w:color="auto" w:fill="auto"/>
            <w:vAlign w:val="center"/>
          </w:tcPr>
          <w:p w14:paraId="33D4856D" w14:textId="3269461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492,235</w:t>
            </w:r>
          </w:p>
        </w:tc>
      </w:tr>
      <w:tr w:rsidR="00D006DC" w:rsidRPr="009423C3" w14:paraId="34D7679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CE1340" w14:textId="0BB2393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PIXEL PERFECT PTY LTD</w:t>
            </w:r>
          </w:p>
        </w:tc>
        <w:tc>
          <w:tcPr>
            <w:tcW w:w="4096" w:type="dxa"/>
            <w:tcBorders>
              <w:top w:val="single" w:sz="4" w:space="0" w:color="auto"/>
              <w:bottom w:val="single" w:sz="4" w:space="0" w:color="auto"/>
            </w:tcBorders>
            <w:vAlign w:val="center"/>
          </w:tcPr>
          <w:p w14:paraId="11C52DD5" w14:textId="5083AB2F"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547C04F7" w14:textId="068FCA4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178,069</w:t>
            </w:r>
          </w:p>
        </w:tc>
      </w:tr>
      <w:tr w:rsidR="00D006DC" w:rsidRPr="009423C3" w14:paraId="2DE6FB6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6AE39B0" w14:textId="5550C19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PKF INTEGRITY SERVICES BMNS PTY LTD</w:t>
            </w:r>
          </w:p>
        </w:tc>
        <w:tc>
          <w:tcPr>
            <w:tcW w:w="4096" w:type="dxa"/>
            <w:tcBorders>
              <w:top w:val="single" w:sz="4" w:space="0" w:color="auto"/>
              <w:bottom w:val="single" w:sz="4" w:space="0" w:color="auto"/>
            </w:tcBorders>
            <w:vAlign w:val="center"/>
          </w:tcPr>
          <w:p w14:paraId="24E7FE5D" w14:textId="162095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315FF10" w14:textId="7B13434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18,750</w:t>
            </w:r>
          </w:p>
        </w:tc>
      </w:tr>
      <w:tr w:rsidR="00D006DC" w:rsidRPr="009423C3" w14:paraId="5E067A0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14687BE" w14:textId="2D0A0D4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PLACARD PTY LTD</w:t>
            </w:r>
          </w:p>
        </w:tc>
        <w:tc>
          <w:tcPr>
            <w:tcW w:w="4096" w:type="dxa"/>
            <w:tcBorders>
              <w:top w:val="single" w:sz="4" w:space="0" w:color="auto"/>
              <w:bottom w:val="single" w:sz="4" w:space="0" w:color="auto"/>
            </w:tcBorders>
            <w:vAlign w:val="center"/>
          </w:tcPr>
          <w:p w14:paraId="59D22CC8" w14:textId="75AD60D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F0CEDAA" w14:textId="176933C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20,871</w:t>
            </w:r>
          </w:p>
        </w:tc>
      </w:tr>
      <w:tr w:rsidR="00D006DC" w:rsidRPr="009423C3" w14:paraId="59F3BE1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9838441" w14:textId="39F5510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PLANIT TEST MANAGEMENT SOLUTIONS PTY LTD</w:t>
            </w:r>
          </w:p>
        </w:tc>
        <w:tc>
          <w:tcPr>
            <w:tcW w:w="4096" w:type="dxa"/>
            <w:tcBorders>
              <w:top w:val="single" w:sz="4" w:space="0" w:color="auto"/>
              <w:bottom w:val="single" w:sz="4" w:space="0" w:color="auto"/>
            </w:tcBorders>
            <w:vAlign w:val="center"/>
          </w:tcPr>
          <w:p w14:paraId="0575902D" w14:textId="3CAF5A4C"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0A28CAAB" w14:textId="3A493B5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319,962</w:t>
            </w:r>
          </w:p>
        </w:tc>
      </w:tr>
      <w:tr w:rsidR="00D006DC" w:rsidRPr="009423C3" w14:paraId="6300F00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6CF51A3" w14:textId="2676510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PMH EDUCATIONAL CONSULTING PTY LTD</w:t>
            </w:r>
          </w:p>
        </w:tc>
        <w:tc>
          <w:tcPr>
            <w:tcW w:w="4096" w:type="dxa"/>
            <w:tcBorders>
              <w:top w:val="single" w:sz="4" w:space="0" w:color="auto"/>
              <w:bottom w:val="single" w:sz="4" w:space="0" w:color="auto"/>
            </w:tcBorders>
            <w:vAlign w:val="center"/>
          </w:tcPr>
          <w:p w14:paraId="0A7BD4A7" w14:textId="240F138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99B6A7" w14:textId="716D967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21,818</w:t>
            </w:r>
          </w:p>
        </w:tc>
      </w:tr>
      <w:tr w:rsidR="00D006DC" w:rsidRPr="009423C3" w14:paraId="1C88069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605CBDC" w14:textId="1431F3F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POLARON LANGUAGE SERVICES PTY LTD</w:t>
            </w:r>
          </w:p>
        </w:tc>
        <w:tc>
          <w:tcPr>
            <w:tcW w:w="4096" w:type="dxa"/>
            <w:tcBorders>
              <w:top w:val="single" w:sz="4" w:space="0" w:color="auto"/>
              <w:bottom w:val="single" w:sz="4" w:space="0" w:color="auto"/>
            </w:tcBorders>
            <w:vAlign w:val="center"/>
          </w:tcPr>
          <w:p w14:paraId="176A860D" w14:textId="5B697FD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CA54D01" w14:textId="7959E93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24,615</w:t>
            </w:r>
          </w:p>
        </w:tc>
      </w:tr>
      <w:tr w:rsidR="00D006DC" w:rsidRPr="009423C3" w14:paraId="6A29E59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9729A91" w14:textId="0953DC5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POLYGRAPH PRODUCTIONS</w:t>
            </w:r>
          </w:p>
        </w:tc>
        <w:tc>
          <w:tcPr>
            <w:tcW w:w="4096" w:type="dxa"/>
            <w:tcBorders>
              <w:top w:val="single" w:sz="4" w:space="0" w:color="auto"/>
              <w:bottom w:val="single" w:sz="4" w:space="0" w:color="auto"/>
            </w:tcBorders>
            <w:vAlign w:val="center"/>
          </w:tcPr>
          <w:p w14:paraId="2CA064E0" w14:textId="7138997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204AA1B2" w14:textId="2365773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36,007</w:t>
            </w:r>
          </w:p>
        </w:tc>
      </w:tr>
      <w:tr w:rsidR="00D006DC" w:rsidRPr="009423C3" w14:paraId="27FA65D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5A5122" w14:textId="069AC64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POP EDUCATION PTY LTD</w:t>
            </w:r>
          </w:p>
        </w:tc>
        <w:tc>
          <w:tcPr>
            <w:tcW w:w="4096" w:type="dxa"/>
            <w:tcBorders>
              <w:top w:val="single" w:sz="4" w:space="0" w:color="auto"/>
              <w:bottom w:val="single" w:sz="4" w:space="0" w:color="auto"/>
            </w:tcBorders>
            <w:vAlign w:val="center"/>
          </w:tcPr>
          <w:p w14:paraId="77E77FC8" w14:textId="7AB4869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71E1438" w14:textId="7A9BA2D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279,624</w:t>
            </w:r>
          </w:p>
        </w:tc>
      </w:tr>
      <w:tr w:rsidR="00D006DC" w:rsidRPr="009423C3" w14:paraId="0A1B7E9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C2287A1" w14:textId="3FC42D6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POPE KEVIN WAYNE</w:t>
            </w:r>
          </w:p>
        </w:tc>
        <w:tc>
          <w:tcPr>
            <w:tcW w:w="4096" w:type="dxa"/>
            <w:tcBorders>
              <w:top w:val="single" w:sz="4" w:space="0" w:color="auto"/>
              <w:bottom w:val="single" w:sz="4" w:space="0" w:color="auto"/>
            </w:tcBorders>
            <w:vAlign w:val="center"/>
          </w:tcPr>
          <w:p w14:paraId="63BA1C1B" w14:textId="640E09D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5D511DF" w14:textId="099CD6B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7,503</w:t>
            </w:r>
          </w:p>
        </w:tc>
      </w:tr>
      <w:tr w:rsidR="00D006DC" w:rsidRPr="009423C3" w14:paraId="6DE64CA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BD433F5" w14:textId="60E5571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POSITIVE VISION</w:t>
            </w:r>
          </w:p>
        </w:tc>
        <w:tc>
          <w:tcPr>
            <w:tcW w:w="4096" w:type="dxa"/>
            <w:tcBorders>
              <w:top w:val="single" w:sz="4" w:space="0" w:color="auto"/>
              <w:bottom w:val="single" w:sz="4" w:space="0" w:color="auto"/>
            </w:tcBorders>
            <w:vAlign w:val="center"/>
          </w:tcPr>
          <w:p w14:paraId="76DA1451" w14:textId="594ABA7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274A7139" w14:textId="22E0280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1,100</w:t>
            </w:r>
          </w:p>
        </w:tc>
      </w:tr>
      <w:tr w:rsidR="00D006DC" w:rsidRPr="009423C3" w14:paraId="4815403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7189929" w14:textId="0C6D0C6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POSSIBILITY TO REALITY PTY LTD</w:t>
            </w:r>
          </w:p>
        </w:tc>
        <w:tc>
          <w:tcPr>
            <w:tcW w:w="4096" w:type="dxa"/>
            <w:tcBorders>
              <w:top w:val="single" w:sz="4" w:space="0" w:color="auto"/>
              <w:bottom w:val="single" w:sz="4" w:space="0" w:color="auto"/>
            </w:tcBorders>
            <w:vAlign w:val="center"/>
          </w:tcPr>
          <w:p w14:paraId="45B88DBD" w14:textId="3262018D"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4226F50" w14:textId="63A9ED3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15,037</w:t>
            </w:r>
          </w:p>
        </w:tc>
      </w:tr>
      <w:tr w:rsidR="00D006DC" w:rsidRPr="009423C3" w14:paraId="0D15091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24DEE0C" w14:textId="08FEAF2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POWELL DES</w:t>
            </w:r>
          </w:p>
        </w:tc>
        <w:tc>
          <w:tcPr>
            <w:tcW w:w="4096" w:type="dxa"/>
            <w:tcBorders>
              <w:top w:val="single" w:sz="4" w:space="0" w:color="auto"/>
              <w:bottom w:val="single" w:sz="4" w:space="0" w:color="auto"/>
            </w:tcBorders>
            <w:vAlign w:val="center"/>
          </w:tcPr>
          <w:p w14:paraId="32B241AA" w14:textId="2D921FE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B8DE19C" w14:textId="59DF4F6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13,684</w:t>
            </w:r>
          </w:p>
        </w:tc>
      </w:tr>
      <w:tr w:rsidR="00D006DC" w:rsidRPr="009423C3" w14:paraId="542C298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0BB004" w14:textId="66F675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PRENSA PTY LTD</w:t>
            </w:r>
          </w:p>
        </w:tc>
        <w:tc>
          <w:tcPr>
            <w:tcW w:w="4096" w:type="dxa"/>
            <w:tcBorders>
              <w:top w:val="single" w:sz="4" w:space="0" w:color="auto"/>
              <w:bottom w:val="single" w:sz="4" w:space="0" w:color="auto"/>
            </w:tcBorders>
            <w:vAlign w:val="center"/>
          </w:tcPr>
          <w:p w14:paraId="0A6C8DC8" w14:textId="1809104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0187DCBF" w14:textId="2EC203A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15,000</w:t>
            </w:r>
          </w:p>
        </w:tc>
      </w:tr>
      <w:tr w:rsidR="00D006DC" w:rsidRPr="009423C3" w14:paraId="2EE4113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D413AD1" w14:textId="6413F12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PRICEWATERHOUSE COOPERS</w:t>
            </w:r>
          </w:p>
        </w:tc>
        <w:tc>
          <w:tcPr>
            <w:tcW w:w="4096" w:type="dxa"/>
            <w:tcBorders>
              <w:top w:val="single" w:sz="4" w:space="0" w:color="auto"/>
              <w:bottom w:val="single" w:sz="4" w:space="0" w:color="auto"/>
            </w:tcBorders>
            <w:vAlign w:val="center"/>
          </w:tcPr>
          <w:p w14:paraId="0A7A3A06" w14:textId="6C17D8F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Financial, accounting, audit, taxation, risk management, insurance service</w:t>
            </w:r>
          </w:p>
        </w:tc>
        <w:tc>
          <w:tcPr>
            <w:tcW w:w="1417" w:type="dxa"/>
            <w:tcBorders>
              <w:top w:val="single" w:sz="4" w:space="0" w:color="auto"/>
              <w:bottom w:val="single" w:sz="4" w:space="0" w:color="auto"/>
            </w:tcBorders>
            <w:shd w:val="clear" w:color="auto" w:fill="auto"/>
            <w:vAlign w:val="center"/>
          </w:tcPr>
          <w:p w14:paraId="0E10A058" w14:textId="69EC17A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407,757</w:t>
            </w:r>
          </w:p>
        </w:tc>
      </w:tr>
      <w:tr w:rsidR="00D006DC" w:rsidRPr="009423C3" w14:paraId="40BBA88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E75E649" w14:textId="215384D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PRICEWATERHOUSECOOPERS CONSULTING AUSTRALIA PTY LIMITED</w:t>
            </w:r>
          </w:p>
        </w:tc>
        <w:tc>
          <w:tcPr>
            <w:tcW w:w="4096" w:type="dxa"/>
            <w:tcBorders>
              <w:top w:val="single" w:sz="4" w:space="0" w:color="auto"/>
              <w:bottom w:val="single" w:sz="4" w:space="0" w:color="auto"/>
            </w:tcBorders>
            <w:vAlign w:val="center"/>
          </w:tcPr>
          <w:p w14:paraId="0C108744" w14:textId="1C1BB73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Financial, accounting, audit, taxation, risk management, insurance service</w:t>
            </w:r>
          </w:p>
        </w:tc>
        <w:tc>
          <w:tcPr>
            <w:tcW w:w="1417" w:type="dxa"/>
            <w:tcBorders>
              <w:top w:val="single" w:sz="4" w:space="0" w:color="auto"/>
              <w:bottom w:val="single" w:sz="4" w:space="0" w:color="auto"/>
            </w:tcBorders>
            <w:shd w:val="clear" w:color="auto" w:fill="auto"/>
            <w:vAlign w:val="center"/>
          </w:tcPr>
          <w:p w14:paraId="71220235" w14:textId="6E4FCE8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2,769,157</w:t>
            </w:r>
          </w:p>
        </w:tc>
      </w:tr>
      <w:tr w:rsidR="00D006DC" w:rsidRPr="009423C3" w14:paraId="1A2C4C9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A3D5E37" w14:textId="06B226C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PRIME FORENSIC PSYCHOLOGY PTY LTD</w:t>
            </w:r>
          </w:p>
        </w:tc>
        <w:tc>
          <w:tcPr>
            <w:tcW w:w="4096" w:type="dxa"/>
            <w:tcBorders>
              <w:top w:val="single" w:sz="4" w:space="0" w:color="auto"/>
              <w:bottom w:val="single" w:sz="4" w:space="0" w:color="auto"/>
            </w:tcBorders>
            <w:vAlign w:val="center"/>
          </w:tcPr>
          <w:p w14:paraId="1F546B01" w14:textId="7B87245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499C522" w14:textId="0A8B163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6,000</w:t>
            </w:r>
          </w:p>
        </w:tc>
      </w:tr>
      <w:tr w:rsidR="00D006DC" w:rsidRPr="009423C3" w14:paraId="1E0ED4B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823EC1" w14:textId="14DF534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PRINT &amp; MARKETING SERVICES (VIC) PTY LTD</w:t>
            </w:r>
          </w:p>
        </w:tc>
        <w:tc>
          <w:tcPr>
            <w:tcW w:w="4096" w:type="dxa"/>
            <w:tcBorders>
              <w:top w:val="single" w:sz="4" w:space="0" w:color="auto"/>
              <w:bottom w:val="single" w:sz="4" w:space="0" w:color="auto"/>
            </w:tcBorders>
            <w:vAlign w:val="center"/>
          </w:tcPr>
          <w:p w14:paraId="0FAE310E" w14:textId="568BBAB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289CAFBE" w14:textId="4985EC9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3,770</w:t>
            </w:r>
          </w:p>
        </w:tc>
      </w:tr>
      <w:tr w:rsidR="00D006DC" w:rsidRPr="009423C3" w14:paraId="1D393BA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A02DE93" w14:textId="31D26A5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PROCESS CONSULTING AND FACILITATING</w:t>
            </w:r>
          </w:p>
        </w:tc>
        <w:tc>
          <w:tcPr>
            <w:tcW w:w="4096" w:type="dxa"/>
            <w:tcBorders>
              <w:top w:val="single" w:sz="4" w:space="0" w:color="auto"/>
              <w:bottom w:val="single" w:sz="4" w:space="0" w:color="auto"/>
            </w:tcBorders>
            <w:vAlign w:val="center"/>
          </w:tcPr>
          <w:p w14:paraId="1B21776F" w14:textId="7045A3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DEFA27B" w14:textId="3A93E74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8,686</w:t>
            </w:r>
          </w:p>
        </w:tc>
      </w:tr>
      <w:tr w:rsidR="00D006DC" w:rsidRPr="009423C3" w14:paraId="4FAFDD1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7B1352E" w14:textId="571D38E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BEST PTY LTD_ATF PROFESSIONAL BEST TRUST</w:t>
            </w:r>
          </w:p>
        </w:tc>
        <w:tc>
          <w:tcPr>
            <w:tcW w:w="4096" w:type="dxa"/>
            <w:tcBorders>
              <w:top w:val="single" w:sz="4" w:space="0" w:color="auto"/>
              <w:bottom w:val="single" w:sz="4" w:space="0" w:color="auto"/>
            </w:tcBorders>
            <w:vAlign w:val="center"/>
          </w:tcPr>
          <w:p w14:paraId="2451E733" w14:textId="171DF9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51F5FEC" w14:textId="73E6361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44,000</w:t>
            </w:r>
          </w:p>
        </w:tc>
      </w:tr>
      <w:tr w:rsidR="00D006DC" w:rsidRPr="009423C3" w14:paraId="36609AD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8C28F75" w14:textId="61B6CA7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PROFILE SPEAKERS</w:t>
            </w:r>
          </w:p>
        </w:tc>
        <w:tc>
          <w:tcPr>
            <w:tcW w:w="4096" w:type="dxa"/>
            <w:tcBorders>
              <w:top w:val="single" w:sz="4" w:space="0" w:color="auto"/>
              <w:bottom w:val="single" w:sz="4" w:space="0" w:color="auto"/>
            </w:tcBorders>
            <w:vAlign w:val="center"/>
          </w:tcPr>
          <w:p w14:paraId="4B0640E3" w14:textId="3C81AEC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49F425F2" w14:textId="561A5AE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10,000</w:t>
            </w:r>
          </w:p>
        </w:tc>
      </w:tr>
      <w:tr w:rsidR="00D006DC" w:rsidRPr="009423C3" w14:paraId="5A5FF3B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3201EF7" w14:textId="4C1D8D7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PROJECT EVOKE PTY LTD</w:t>
            </w:r>
          </w:p>
        </w:tc>
        <w:tc>
          <w:tcPr>
            <w:tcW w:w="4096" w:type="dxa"/>
            <w:tcBorders>
              <w:top w:val="single" w:sz="4" w:space="0" w:color="auto"/>
              <w:bottom w:val="single" w:sz="4" w:space="0" w:color="auto"/>
            </w:tcBorders>
            <w:vAlign w:val="center"/>
          </w:tcPr>
          <w:p w14:paraId="7250B7CE" w14:textId="24C896E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1DA83E04" w14:textId="3E52B84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158,510</w:t>
            </w:r>
          </w:p>
        </w:tc>
      </w:tr>
      <w:tr w:rsidR="00D006DC" w:rsidRPr="009423C3" w14:paraId="725DC09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E16CD7D" w14:textId="0674156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QUEENSLAND UNIVERSITY OF TECHNOLOGY</w:t>
            </w:r>
          </w:p>
        </w:tc>
        <w:tc>
          <w:tcPr>
            <w:tcW w:w="4096" w:type="dxa"/>
            <w:tcBorders>
              <w:top w:val="single" w:sz="4" w:space="0" w:color="auto"/>
              <w:bottom w:val="single" w:sz="4" w:space="0" w:color="auto"/>
            </w:tcBorders>
            <w:vAlign w:val="center"/>
          </w:tcPr>
          <w:p w14:paraId="3BD60BDA" w14:textId="2E66885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D918310" w14:textId="2E89E6C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19,500</w:t>
            </w:r>
          </w:p>
        </w:tc>
      </w:tr>
      <w:tr w:rsidR="00D006DC" w:rsidRPr="009423C3" w14:paraId="73F6678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1B37C5D" w14:textId="7B66F9F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QUINN JAMES LIAM</w:t>
            </w:r>
          </w:p>
        </w:tc>
        <w:tc>
          <w:tcPr>
            <w:tcW w:w="4096" w:type="dxa"/>
            <w:tcBorders>
              <w:top w:val="single" w:sz="4" w:space="0" w:color="auto"/>
              <w:bottom w:val="single" w:sz="4" w:space="0" w:color="auto"/>
            </w:tcBorders>
            <w:vAlign w:val="center"/>
          </w:tcPr>
          <w:p w14:paraId="2DB6C524" w14:textId="38916A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7B5C93F" w14:textId="3DB8395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3,500</w:t>
            </w:r>
          </w:p>
        </w:tc>
      </w:tr>
      <w:tr w:rsidR="00D006DC" w:rsidRPr="009423C3" w14:paraId="668AC2E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EEF7B1E" w14:textId="5F7B807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 AND P MARTIN</w:t>
            </w:r>
          </w:p>
        </w:tc>
        <w:tc>
          <w:tcPr>
            <w:tcW w:w="4096" w:type="dxa"/>
            <w:tcBorders>
              <w:top w:val="single" w:sz="4" w:space="0" w:color="auto"/>
              <w:bottom w:val="single" w:sz="4" w:space="0" w:color="auto"/>
            </w:tcBorders>
            <w:vAlign w:val="center"/>
          </w:tcPr>
          <w:p w14:paraId="54530125" w14:textId="29FD33A0"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F5FBAB7" w14:textId="0062A6F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8,296</w:t>
            </w:r>
          </w:p>
        </w:tc>
      </w:tr>
      <w:tr w:rsidR="00D006DC" w:rsidRPr="009423C3" w14:paraId="304A2BF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637872" w14:textId="63AC801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RAMUS DENISE ELLEN</w:t>
            </w:r>
          </w:p>
        </w:tc>
        <w:tc>
          <w:tcPr>
            <w:tcW w:w="4096" w:type="dxa"/>
            <w:tcBorders>
              <w:top w:val="single" w:sz="4" w:space="0" w:color="auto"/>
              <w:bottom w:val="single" w:sz="4" w:space="0" w:color="auto"/>
            </w:tcBorders>
            <w:vAlign w:val="center"/>
          </w:tcPr>
          <w:p w14:paraId="2710A287" w14:textId="6BBABFD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437EB49" w14:textId="765E2F8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5,690</w:t>
            </w:r>
          </w:p>
        </w:tc>
      </w:tr>
      <w:tr w:rsidR="00D006DC" w:rsidRPr="009423C3" w14:paraId="450188B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8861B92" w14:textId="1653716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RANDSTAD PTY LIMITED</w:t>
            </w:r>
          </w:p>
        </w:tc>
        <w:tc>
          <w:tcPr>
            <w:tcW w:w="4096" w:type="dxa"/>
            <w:tcBorders>
              <w:top w:val="single" w:sz="4" w:space="0" w:color="auto"/>
              <w:bottom w:val="single" w:sz="4" w:space="0" w:color="auto"/>
            </w:tcBorders>
            <w:vAlign w:val="center"/>
          </w:tcPr>
          <w:p w14:paraId="3BDC6C48" w14:textId="1A32E21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1232E17F" w14:textId="2D17C2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7,689,490</w:t>
            </w:r>
          </w:p>
        </w:tc>
      </w:tr>
      <w:tr w:rsidR="00D006DC" w:rsidRPr="009423C3" w14:paraId="3943D23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6E6F4E6" w14:textId="0386D8A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RANGER SHARON</w:t>
            </w:r>
          </w:p>
        </w:tc>
        <w:tc>
          <w:tcPr>
            <w:tcW w:w="4096" w:type="dxa"/>
            <w:tcBorders>
              <w:top w:val="single" w:sz="4" w:space="0" w:color="auto"/>
              <w:bottom w:val="single" w:sz="4" w:space="0" w:color="auto"/>
            </w:tcBorders>
            <w:vAlign w:val="center"/>
          </w:tcPr>
          <w:p w14:paraId="454E17A3" w14:textId="66A87C44"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5FED9A42" w14:textId="2DC31F2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2,736</w:t>
            </w:r>
          </w:p>
        </w:tc>
      </w:tr>
      <w:tr w:rsidR="00D006DC" w:rsidRPr="009423C3" w14:paraId="795615B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9E41B3C" w14:textId="318DF7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RAPID IMPACT</w:t>
            </w:r>
          </w:p>
        </w:tc>
        <w:tc>
          <w:tcPr>
            <w:tcW w:w="4096" w:type="dxa"/>
            <w:tcBorders>
              <w:top w:val="single" w:sz="4" w:space="0" w:color="auto"/>
              <w:bottom w:val="single" w:sz="4" w:space="0" w:color="auto"/>
            </w:tcBorders>
            <w:vAlign w:val="center"/>
          </w:tcPr>
          <w:p w14:paraId="3EF5C0C9" w14:textId="5F112D2A"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4F1BFC0" w14:textId="5BF211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8,400</w:t>
            </w:r>
          </w:p>
        </w:tc>
      </w:tr>
      <w:tr w:rsidR="00D006DC" w:rsidRPr="009423C3" w14:paraId="200F9E3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68B2BB2" w14:textId="708FB6A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RAY ECKERMANN</w:t>
            </w:r>
          </w:p>
        </w:tc>
        <w:tc>
          <w:tcPr>
            <w:tcW w:w="4096" w:type="dxa"/>
            <w:tcBorders>
              <w:top w:val="single" w:sz="4" w:space="0" w:color="auto"/>
              <w:bottom w:val="single" w:sz="4" w:space="0" w:color="auto"/>
            </w:tcBorders>
            <w:vAlign w:val="center"/>
          </w:tcPr>
          <w:p w14:paraId="54184A5E" w14:textId="546012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2E9D7FB" w14:textId="04A0175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10,000</w:t>
            </w:r>
          </w:p>
        </w:tc>
      </w:tr>
      <w:tr w:rsidR="00D006DC" w:rsidRPr="009423C3" w14:paraId="1CF410B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2364CC6" w14:textId="0CAD4AE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RAYMUND FRANCES FLANAGAN</w:t>
            </w:r>
          </w:p>
        </w:tc>
        <w:tc>
          <w:tcPr>
            <w:tcW w:w="4096" w:type="dxa"/>
            <w:tcBorders>
              <w:top w:val="single" w:sz="4" w:space="0" w:color="auto"/>
              <w:bottom w:val="single" w:sz="4" w:space="0" w:color="auto"/>
            </w:tcBorders>
            <w:vAlign w:val="center"/>
          </w:tcPr>
          <w:p w14:paraId="482C0DC3" w14:textId="6F1FBDB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assessment services</w:t>
            </w:r>
          </w:p>
        </w:tc>
        <w:tc>
          <w:tcPr>
            <w:tcW w:w="1417" w:type="dxa"/>
            <w:tcBorders>
              <w:top w:val="single" w:sz="4" w:space="0" w:color="auto"/>
              <w:bottom w:val="single" w:sz="4" w:space="0" w:color="auto"/>
            </w:tcBorders>
            <w:shd w:val="clear" w:color="auto" w:fill="auto"/>
            <w:vAlign w:val="center"/>
          </w:tcPr>
          <w:p w14:paraId="5D18D6C4" w14:textId="2FBDCCA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16,703</w:t>
            </w:r>
          </w:p>
        </w:tc>
      </w:tr>
      <w:tr w:rsidR="00D006DC" w:rsidRPr="009423C3" w14:paraId="3C46FB5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33264F" w14:textId="1F600A5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RECORDPOINT SOFTWARE APAC PTY LTD</w:t>
            </w:r>
          </w:p>
        </w:tc>
        <w:tc>
          <w:tcPr>
            <w:tcW w:w="4096" w:type="dxa"/>
            <w:tcBorders>
              <w:top w:val="single" w:sz="4" w:space="0" w:color="auto"/>
              <w:bottom w:val="single" w:sz="4" w:space="0" w:color="auto"/>
            </w:tcBorders>
            <w:vAlign w:val="center"/>
          </w:tcPr>
          <w:p w14:paraId="77518401" w14:textId="42797AE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421C5E" w14:textId="496BEA5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15,000</w:t>
            </w:r>
          </w:p>
        </w:tc>
      </w:tr>
      <w:tr w:rsidR="00D006DC" w:rsidRPr="009423C3" w14:paraId="5ED6265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A2442F9" w14:textId="4C092AC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REEVE LINDSAY</w:t>
            </w:r>
          </w:p>
        </w:tc>
        <w:tc>
          <w:tcPr>
            <w:tcW w:w="4096" w:type="dxa"/>
            <w:tcBorders>
              <w:top w:val="single" w:sz="4" w:space="0" w:color="auto"/>
              <w:bottom w:val="single" w:sz="4" w:space="0" w:color="auto"/>
            </w:tcBorders>
            <w:vAlign w:val="center"/>
          </w:tcPr>
          <w:p w14:paraId="2C29F731" w14:textId="609ADB1D"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60FCD722" w14:textId="3AE47FB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8,850</w:t>
            </w:r>
          </w:p>
        </w:tc>
      </w:tr>
      <w:tr w:rsidR="00D006DC" w:rsidRPr="009423C3" w14:paraId="361E76A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88AB705" w14:textId="6B055DB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REFLECT-ED PTY LTD</w:t>
            </w:r>
          </w:p>
        </w:tc>
        <w:tc>
          <w:tcPr>
            <w:tcW w:w="4096" w:type="dxa"/>
            <w:tcBorders>
              <w:top w:val="single" w:sz="4" w:space="0" w:color="auto"/>
              <w:bottom w:val="single" w:sz="4" w:space="0" w:color="auto"/>
            </w:tcBorders>
            <w:vAlign w:val="center"/>
          </w:tcPr>
          <w:p w14:paraId="5C9C109C" w14:textId="47E9DA9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A3609AF" w14:textId="71740F9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19,500</w:t>
            </w:r>
          </w:p>
        </w:tc>
      </w:tr>
      <w:tr w:rsidR="00D006DC" w:rsidRPr="009423C3" w14:paraId="2CC1045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9BBF7EF" w14:textId="0C874FA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REGULATORY IMPACT SOLUTIONS PTY. LTD.</w:t>
            </w:r>
          </w:p>
        </w:tc>
        <w:tc>
          <w:tcPr>
            <w:tcW w:w="4096" w:type="dxa"/>
            <w:tcBorders>
              <w:top w:val="single" w:sz="4" w:space="0" w:color="auto"/>
              <w:bottom w:val="single" w:sz="4" w:space="0" w:color="auto"/>
            </w:tcBorders>
            <w:vAlign w:val="center"/>
          </w:tcPr>
          <w:p w14:paraId="4B2355EE" w14:textId="3E068E7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5A45797" w14:textId="1C93F67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10,909</w:t>
            </w:r>
          </w:p>
        </w:tc>
      </w:tr>
      <w:tr w:rsidR="00D006DC" w:rsidRPr="009423C3" w14:paraId="172E756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3CF3D58" w14:textId="73633CD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REHAB MANAGEMENT (AUST) PTY LTD</w:t>
            </w:r>
          </w:p>
        </w:tc>
        <w:tc>
          <w:tcPr>
            <w:tcW w:w="4096" w:type="dxa"/>
            <w:tcBorders>
              <w:top w:val="single" w:sz="4" w:space="0" w:color="auto"/>
              <w:bottom w:val="single" w:sz="4" w:space="0" w:color="auto"/>
            </w:tcBorders>
            <w:vAlign w:val="center"/>
          </w:tcPr>
          <w:p w14:paraId="40710900" w14:textId="41232A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730909" w14:textId="7D2A003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15,380</w:t>
            </w:r>
          </w:p>
        </w:tc>
      </w:tr>
      <w:tr w:rsidR="00D006DC" w:rsidRPr="009423C3" w14:paraId="027C383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C5B207F" w14:textId="4F586E5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RELATIONSHIPS AUSTRALIA VICTORIA INC</w:t>
            </w:r>
          </w:p>
        </w:tc>
        <w:tc>
          <w:tcPr>
            <w:tcW w:w="4096" w:type="dxa"/>
            <w:tcBorders>
              <w:top w:val="single" w:sz="4" w:space="0" w:color="auto"/>
              <w:bottom w:val="single" w:sz="4" w:space="0" w:color="auto"/>
            </w:tcBorders>
            <w:vAlign w:val="center"/>
          </w:tcPr>
          <w:p w14:paraId="7EFAA2CA" w14:textId="0E8CF5F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0442CEB" w14:textId="50C4C4B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47,095</w:t>
            </w:r>
          </w:p>
        </w:tc>
      </w:tr>
      <w:tr w:rsidR="00D006DC" w:rsidRPr="009423C3" w14:paraId="46105FF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2859821" w14:textId="27BBA55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RENOUF MARK</w:t>
            </w:r>
          </w:p>
        </w:tc>
        <w:tc>
          <w:tcPr>
            <w:tcW w:w="4096" w:type="dxa"/>
            <w:tcBorders>
              <w:top w:val="single" w:sz="4" w:space="0" w:color="auto"/>
              <w:bottom w:val="single" w:sz="4" w:space="0" w:color="auto"/>
            </w:tcBorders>
            <w:vAlign w:val="center"/>
          </w:tcPr>
          <w:p w14:paraId="0A2A1764" w14:textId="64C263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BD00304" w14:textId="10658E8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9,154</w:t>
            </w:r>
          </w:p>
        </w:tc>
      </w:tr>
      <w:tr w:rsidR="00D006DC" w:rsidRPr="009423C3" w14:paraId="515E0F7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D3E19FC" w14:textId="231883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RESOLUTION MEDIA PTY LTD</w:t>
            </w:r>
          </w:p>
        </w:tc>
        <w:tc>
          <w:tcPr>
            <w:tcW w:w="4096" w:type="dxa"/>
            <w:tcBorders>
              <w:top w:val="single" w:sz="4" w:space="0" w:color="auto"/>
              <w:bottom w:val="single" w:sz="4" w:space="0" w:color="auto"/>
            </w:tcBorders>
            <w:vAlign w:val="center"/>
          </w:tcPr>
          <w:p w14:paraId="5277CC89" w14:textId="7E7D0F7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8EE8480" w14:textId="1EC66F3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33,028</w:t>
            </w:r>
          </w:p>
        </w:tc>
      </w:tr>
      <w:tr w:rsidR="00D006DC" w:rsidRPr="009423C3" w14:paraId="572CD9E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083664D" w14:textId="3DA572E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REVOLUTION IT</w:t>
            </w:r>
          </w:p>
        </w:tc>
        <w:tc>
          <w:tcPr>
            <w:tcW w:w="4096" w:type="dxa"/>
            <w:tcBorders>
              <w:top w:val="single" w:sz="4" w:space="0" w:color="auto"/>
              <w:bottom w:val="single" w:sz="4" w:space="0" w:color="auto"/>
            </w:tcBorders>
            <w:vAlign w:val="center"/>
          </w:tcPr>
          <w:p w14:paraId="6BF8624D" w14:textId="0F363D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2E00502" w14:textId="2EF521F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301,201</w:t>
            </w:r>
          </w:p>
        </w:tc>
      </w:tr>
      <w:tr w:rsidR="00D006DC" w:rsidRPr="009423C3" w14:paraId="757B7CE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EAFFA8F" w14:textId="0D24379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RICHMOND JOHN</w:t>
            </w:r>
          </w:p>
        </w:tc>
        <w:tc>
          <w:tcPr>
            <w:tcW w:w="4096" w:type="dxa"/>
            <w:tcBorders>
              <w:top w:val="single" w:sz="4" w:space="0" w:color="auto"/>
              <w:bottom w:val="single" w:sz="4" w:space="0" w:color="auto"/>
            </w:tcBorders>
            <w:vAlign w:val="center"/>
          </w:tcPr>
          <w:p w14:paraId="702C2E04" w14:textId="4175DDF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9EE4936" w14:textId="61D24B5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38,700</w:t>
            </w:r>
          </w:p>
        </w:tc>
      </w:tr>
      <w:tr w:rsidR="00D006DC" w:rsidRPr="009423C3" w14:paraId="71F1711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736D0E" w14:textId="5BA027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RIGHT LANE CONSULTING PTY LTD</w:t>
            </w:r>
          </w:p>
        </w:tc>
        <w:tc>
          <w:tcPr>
            <w:tcW w:w="4096" w:type="dxa"/>
            <w:tcBorders>
              <w:top w:val="single" w:sz="4" w:space="0" w:color="auto"/>
              <w:bottom w:val="single" w:sz="4" w:space="0" w:color="auto"/>
            </w:tcBorders>
            <w:vAlign w:val="center"/>
          </w:tcPr>
          <w:p w14:paraId="702B8255" w14:textId="2A15B2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033E553" w14:textId="1D6714A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5,000</w:t>
            </w:r>
          </w:p>
        </w:tc>
      </w:tr>
      <w:tr w:rsidR="00D006DC" w:rsidRPr="009423C3" w14:paraId="6F53B14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68CC504" w14:textId="169070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RIVERSIDE EDUCATION</w:t>
            </w:r>
          </w:p>
        </w:tc>
        <w:tc>
          <w:tcPr>
            <w:tcW w:w="4096" w:type="dxa"/>
            <w:tcBorders>
              <w:top w:val="single" w:sz="4" w:space="0" w:color="auto"/>
              <w:bottom w:val="single" w:sz="4" w:space="0" w:color="auto"/>
            </w:tcBorders>
            <w:vAlign w:val="center"/>
          </w:tcPr>
          <w:p w14:paraId="716F0AE2" w14:textId="3E3AFDA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C017789" w14:textId="782107F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4,600</w:t>
            </w:r>
          </w:p>
        </w:tc>
      </w:tr>
      <w:tr w:rsidR="00D006DC" w:rsidRPr="009423C3" w14:paraId="2B11D38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C53AA6" w14:textId="263B7FF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RIXSTEWART PTY LTD</w:t>
            </w:r>
          </w:p>
        </w:tc>
        <w:tc>
          <w:tcPr>
            <w:tcW w:w="4096" w:type="dxa"/>
            <w:tcBorders>
              <w:top w:val="single" w:sz="4" w:space="0" w:color="auto"/>
              <w:bottom w:val="single" w:sz="4" w:space="0" w:color="auto"/>
            </w:tcBorders>
            <w:vAlign w:val="center"/>
          </w:tcPr>
          <w:p w14:paraId="4167D955" w14:textId="53A852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809626D" w14:textId="7B6F5F4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20,280</w:t>
            </w:r>
          </w:p>
        </w:tc>
      </w:tr>
      <w:tr w:rsidR="00D006DC" w:rsidRPr="009423C3" w14:paraId="56B765F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5EDADE6" w14:textId="7AA67F9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RMIT UNIVERSITY</w:t>
            </w:r>
          </w:p>
        </w:tc>
        <w:tc>
          <w:tcPr>
            <w:tcW w:w="4096" w:type="dxa"/>
            <w:tcBorders>
              <w:top w:val="single" w:sz="4" w:space="0" w:color="auto"/>
              <w:bottom w:val="single" w:sz="4" w:space="0" w:color="auto"/>
            </w:tcBorders>
            <w:vAlign w:val="center"/>
          </w:tcPr>
          <w:p w14:paraId="6A353D0C" w14:textId="607A374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773F62A" w14:textId="4BA83E4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111,108</w:t>
            </w:r>
          </w:p>
        </w:tc>
      </w:tr>
      <w:tr w:rsidR="00D006DC" w:rsidRPr="009423C3" w14:paraId="771E229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4CEFA10" w14:textId="106A9B5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ROBERT CLEVIN NEWTON</w:t>
            </w:r>
          </w:p>
        </w:tc>
        <w:tc>
          <w:tcPr>
            <w:tcW w:w="4096" w:type="dxa"/>
            <w:tcBorders>
              <w:top w:val="single" w:sz="4" w:space="0" w:color="auto"/>
              <w:bottom w:val="single" w:sz="4" w:space="0" w:color="auto"/>
            </w:tcBorders>
            <w:vAlign w:val="center"/>
          </w:tcPr>
          <w:p w14:paraId="235C0909" w14:textId="64D709A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CD37437" w14:textId="28999DA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4,170</w:t>
            </w:r>
          </w:p>
        </w:tc>
      </w:tr>
      <w:tr w:rsidR="00D006DC" w:rsidRPr="009423C3" w14:paraId="51DF89A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21048B" w14:textId="2842485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ROBINSON VIVIANE</w:t>
            </w:r>
          </w:p>
        </w:tc>
        <w:tc>
          <w:tcPr>
            <w:tcW w:w="4096" w:type="dxa"/>
            <w:tcBorders>
              <w:top w:val="single" w:sz="4" w:space="0" w:color="auto"/>
              <w:bottom w:val="single" w:sz="4" w:space="0" w:color="auto"/>
            </w:tcBorders>
            <w:vAlign w:val="center"/>
          </w:tcPr>
          <w:p w14:paraId="3FB829AE" w14:textId="11DF0E2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723C23E" w14:textId="352F878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59,250</w:t>
            </w:r>
          </w:p>
        </w:tc>
      </w:tr>
      <w:tr w:rsidR="00D006DC" w:rsidRPr="009423C3" w14:paraId="7D53D1C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7B1CB28" w14:textId="7B6EFBD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ROBOBAI PTY LTD</w:t>
            </w:r>
          </w:p>
        </w:tc>
        <w:tc>
          <w:tcPr>
            <w:tcW w:w="4096" w:type="dxa"/>
            <w:tcBorders>
              <w:top w:val="single" w:sz="4" w:space="0" w:color="auto"/>
              <w:bottom w:val="single" w:sz="4" w:space="0" w:color="auto"/>
            </w:tcBorders>
            <w:vAlign w:val="center"/>
          </w:tcPr>
          <w:p w14:paraId="4ACB6312" w14:textId="6BC050F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7A48373" w14:textId="4BEF79F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5,000</w:t>
            </w:r>
          </w:p>
        </w:tc>
      </w:tr>
      <w:tr w:rsidR="00D006DC" w:rsidRPr="009423C3" w14:paraId="180BCEC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3A3BB01" w14:textId="3D27996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ROBYN DAWN BARRY</w:t>
            </w:r>
          </w:p>
        </w:tc>
        <w:tc>
          <w:tcPr>
            <w:tcW w:w="4096" w:type="dxa"/>
            <w:tcBorders>
              <w:top w:val="single" w:sz="4" w:space="0" w:color="auto"/>
              <w:bottom w:val="single" w:sz="4" w:space="0" w:color="auto"/>
            </w:tcBorders>
            <w:vAlign w:val="center"/>
          </w:tcPr>
          <w:p w14:paraId="0B49C4A6" w14:textId="3335E5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809B905" w14:textId="35B175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1,675</w:t>
            </w:r>
          </w:p>
        </w:tc>
      </w:tr>
      <w:tr w:rsidR="00D006DC" w:rsidRPr="009423C3" w14:paraId="785F4C9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8099472" w14:textId="73EEE2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ROD ALLEN CONSULTING</w:t>
            </w:r>
          </w:p>
        </w:tc>
        <w:tc>
          <w:tcPr>
            <w:tcW w:w="4096" w:type="dxa"/>
            <w:tcBorders>
              <w:top w:val="single" w:sz="4" w:space="0" w:color="auto"/>
              <w:bottom w:val="single" w:sz="4" w:space="0" w:color="auto"/>
            </w:tcBorders>
            <w:vAlign w:val="center"/>
          </w:tcPr>
          <w:p w14:paraId="4290AA90" w14:textId="2E77BB3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2EC2549" w14:textId="4255BFF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1,100</w:t>
            </w:r>
          </w:p>
        </w:tc>
      </w:tr>
      <w:tr w:rsidR="00D006DC" w:rsidRPr="009423C3" w14:paraId="64FA278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0A2C58" w14:textId="6EB132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ROD WILLIAMSON EDUCATION CONSULTING</w:t>
            </w:r>
          </w:p>
        </w:tc>
        <w:tc>
          <w:tcPr>
            <w:tcW w:w="4096" w:type="dxa"/>
            <w:tcBorders>
              <w:top w:val="single" w:sz="4" w:space="0" w:color="auto"/>
              <w:bottom w:val="single" w:sz="4" w:space="0" w:color="auto"/>
            </w:tcBorders>
            <w:vAlign w:val="center"/>
          </w:tcPr>
          <w:p w14:paraId="505436F6" w14:textId="1EE3A53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9CD531C" w14:textId="1E450DF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24,135</w:t>
            </w:r>
          </w:p>
        </w:tc>
      </w:tr>
      <w:tr w:rsidR="00D006DC" w:rsidRPr="009423C3" w14:paraId="6EDD71B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BCBFF8C" w14:textId="5A3562F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ROOFTOP SOCIAL</w:t>
            </w:r>
          </w:p>
        </w:tc>
        <w:tc>
          <w:tcPr>
            <w:tcW w:w="4096" w:type="dxa"/>
            <w:tcBorders>
              <w:top w:val="single" w:sz="4" w:space="0" w:color="auto"/>
              <w:bottom w:val="single" w:sz="4" w:space="0" w:color="auto"/>
            </w:tcBorders>
            <w:vAlign w:val="center"/>
          </w:tcPr>
          <w:p w14:paraId="0C1787F6" w14:textId="4D21A9D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DC7A3A2" w14:textId="1F7C90D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13,500</w:t>
            </w:r>
          </w:p>
        </w:tc>
      </w:tr>
      <w:tr w:rsidR="00D006DC" w:rsidRPr="009423C3" w14:paraId="08D4148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05F663F" w14:textId="08CD60C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ROSEMARY ROBERTS</w:t>
            </w:r>
          </w:p>
        </w:tc>
        <w:tc>
          <w:tcPr>
            <w:tcW w:w="4096" w:type="dxa"/>
            <w:tcBorders>
              <w:top w:val="single" w:sz="4" w:space="0" w:color="auto"/>
              <w:bottom w:val="single" w:sz="4" w:space="0" w:color="auto"/>
            </w:tcBorders>
            <w:vAlign w:val="center"/>
          </w:tcPr>
          <w:p w14:paraId="26E25BBA" w14:textId="4A0554A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4E5A411" w14:textId="498D7FA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6,840</w:t>
            </w:r>
          </w:p>
        </w:tc>
      </w:tr>
      <w:tr w:rsidR="00D006DC" w:rsidRPr="009423C3" w14:paraId="6BE4D89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B24CF58" w14:textId="5466321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ROSS HUGGARD</w:t>
            </w:r>
          </w:p>
        </w:tc>
        <w:tc>
          <w:tcPr>
            <w:tcW w:w="4096" w:type="dxa"/>
            <w:tcBorders>
              <w:top w:val="single" w:sz="4" w:space="0" w:color="auto"/>
              <w:bottom w:val="single" w:sz="4" w:space="0" w:color="auto"/>
            </w:tcBorders>
            <w:vAlign w:val="center"/>
          </w:tcPr>
          <w:p w14:paraId="5E333B4F" w14:textId="6F9C2D5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E772574" w14:textId="55852B8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2,200</w:t>
            </w:r>
          </w:p>
        </w:tc>
      </w:tr>
      <w:tr w:rsidR="00D006DC" w:rsidRPr="009423C3" w14:paraId="5FBADF7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555DFAA" w14:textId="70E4368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RSM AUSTRALIA PTY LTD</w:t>
            </w:r>
          </w:p>
        </w:tc>
        <w:tc>
          <w:tcPr>
            <w:tcW w:w="4096" w:type="dxa"/>
            <w:tcBorders>
              <w:top w:val="single" w:sz="4" w:space="0" w:color="auto"/>
              <w:bottom w:val="single" w:sz="4" w:space="0" w:color="auto"/>
            </w:tcBorders>
            <w:vAlign w:val="center"/>
          </w:tcPr>
          <w:p w14:paraId="0A724943" w14:textId="4E8CBE27"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5D715446" w14:textId="73BA04C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373,344</w:t>
            </w:r>
          </w:p>
        </w:tc>
      </w:tr>
      <w:tr w:rsidR="00D006DC" w:rsidRPr="009423C3" w14:paraId="6C6931B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F1BB080" w14:textId="4256707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RUSSELL KENNEDY SOLICITORS</w:t>
            </w:r>
          </w:p>
        </w:tc>
        <w:tc>
          <w:tcPr>
            <w:tcW w:w="4096" w:type="dxa"/>
            <w:tcBorders>
              <w:top w:val="single" w:sz="4" w:space="0" w:color="auto"/>
              <w:bottom w:val="single" w:sz="4" w:space="0" w:color="auto"/>
            </w:tcBorders>
            <w:vAlign w:val="center"/>
          </w:tcPr>
          <w:p w14:paraId="044ED0EE" w14:textId="0924FF7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EB1F74D" w14:textId="6B692C3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3,735</w:t>
            </w:r>
          </w:p>
        </w:tc>
      </w:tr>
      <w:tr w:rsidR="00D006DC" w:rsidRPr="009423C3" w14:paraId="126CFB4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AA442A6" w14:textId="3CD2AF8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RUSSELL KOEHLER</w:t>
            </w:r>
          </w:p>
        </w:tc>
        <w:tc>
          <w:tcPr>
            <w:tcW w:w="4096" w:type="dxa"/>
            <w:tcBorders>
              <w:top w:val="single" w:sz="4" w:space="0" w:color="auto"/>
              <w:bottom w:val="single" w:sz="4" w:space="0" w:color="auto"/>
            </w:tcBorders>
            <w:vAlign w:val="center"/>
          </w:tcPr>
          <w:p w14:paraId="2A9D8AC9" w14:textId="12BD3283"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78E2087F" w14:textId="32A88F6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8,800</w:t>
            </w:r>
          </w:p>
        </w:tc>
      </w:tr>
      <w:tr w:rsidR="00D006DC" w:rsidRPr="009423C3" w14:paraId="295EAAC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9F0B878" w14:textId="07931DF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RUTH MOODIE</w:t>
            </w:r>
          </w:p>
        </w:tc>
        <w:tc>
          <w:tcPr>
            <w:tcW w:w="4096" w:type="dxa"/>
            <w:tcBorders>
              <w:top w:val="single" w:sz="4" w:space="0" w:color="auto"/>
              <w:bottom w:val="single" w:sz="4" w:space="0" w:color="auto"/>
            </w:tcBorders>
            <w:vAlign w:val="center"/>
          </w:tcPr>
          <w:p w14:paraId="22E1C018" w14:textId="31F07C1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9930CCB" w14:textId="71D6755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16,364</w:t>
            </w:r>
          </w:p>
        </w:tc>
      </w:tr>
      <w:tr w:rsidR="00D006DC" w:rsidRPr="009423C3" w14:paraId="36A10E8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FCB5942" w14:textId="4B619B9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RYPPLE LTD</w:t>
            </w:r>
          </w:p>
        </w:tc>
        <w:tc>
          <w:tcPr>
            <w:tcW w:w="4096" w:type="dxa"/>
            <w:tcBorders>
              <w:top w:val="single" w:sz="4" w:space="0" w:color="auto"/>
              <w:bottom w:val="single" w:sz="4" w:space="0" w:color="auto"/>
            </w:tcBorders>
            <w:vAlign w:val="center"/>
          </w:tcPr>
          <w:p w14:paraId="272C0A33" w14:textId="7A9C01F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F901C78" w14:textId="4E05684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1,500</w:t>
            </w:r>
          </w:p>
        </w:tc>
      </w:tr>
      <w:tr w:rsidR="00D006DC" w:rsidRPr="009423C3" w14:paraId="56AD5CE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BB7DA5D" w14:textId="407F5C1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SACS CONSULTING PTY LTD</w:t>
            </w:r>
          </w:p>
        </w:tc>
        <w:tc>
          <w:tcPr>
            <w:tcW w:w="4096" w:type="dxa"/>
            <w:tcBorders>
              <w:top w:val="single" w:sz="4" w:space="0" w:color="auto"/>
              <w:bottom w:val="single" w:sz="4" w:space="0" w:color="auto"/>
            </w:tcBorders>
            <w:vAlign w:val="center"/>
          </w:tcPr>
          <w:p w14:paraId="374102E5" w14:textId="70FBC8F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5418CE40" w14:textId="0658E4C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18,047</w:t>
            </w:r>
          </w:p>
        </w:tc>
      </w:tr>
      <w:tr w:rsidR="00D006DC" w:rsidRPr="009423C3" w14:paraId="3A9A69D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3D18965" w14:textId="1B4D595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SAFEGUARDING SERVICES</w:t>
            </w:r>
          </w:p>
        </w:tc>
        <w:tc>
          <w:tcPr>
            <w:tcW w:w="4096" w:type="dxa"/>
            <w:tcBorders>
              <w:top w:val="single" w:sz="4" w:space="0" w:color="auto"/>
              <w:bottom w:val="single" w:sz="4" w:space="0" w:color="auto"/>
            </w:tcBorders>
            <w:vAlign w:val="center"/>
          </w:tcPr>
          <w:p w14:paraId="2890B71E" w14:textId="01686D0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CDC20E" w14:textId="1E2AFE3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16,592</w:t>
            </w:r>
          </w:p>
        </w:tc>
      </w:tr>
      <w:tr w:rsidR="00D006DC" w:rsidRPr="009423C3" w14:paraId="5698190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0DBB712" w14:textId="7267033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SAFETYCULTURE PTY LTD</w:t>
            </w:r>
          </w:p>
        </w:tc>
        <w:tc>
          <w:tcPr>
            <w:tcW w:w="4096" w:type="dxa"/>
            <w:tcBorders>
              <w:top w:val="single" w:sz="4" w:space="0" w:color="auto"/>
              <w:bottom w:val="single" w:sz="4" w:space="0" w:color="auto"/>
            </w:tcBorders>
            <w:vAlign w:val="center"/>
          </w:tcPr>
          <w:p w14:paraId="180B1671" w14:textId="74F3DAD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C68ABEA" w14:textId="4A1E673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2,964</w:t>
            </w:r>
          </w:p>
        </w:tc>
      </w:tr>
      <w:tr w:rsidR="00D006DC" w:rsidRPr="009423C3" w14:paraId="462E102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4062167" w14:textId="0B6A29A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SAI GLOBAL PROPERTY DIVISION PTY LTD</w:t>
            </w:r>
          </w:p>
        </w:tc>
        <w:tc>
          <w:tcPr>
            <w:tcW w:w="4096" w:type="dxa"/>
            <w:tcBorders>
              <w:top w:val="single" w:sz="4" w:space="0" w:color="auto"/>
              <w:bottom w:val="single" w:sz="4" w:space="0" w:color="auto"/>
            </w:tcBorders>
            <w:vAlign w:val="center"/>
          </w:tcPr>
          <w:p w14:paraId="1A3C34CD" w14:textId="02CCDDD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2C261C9" w14:textId="086813D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2,282</w:t>
            </w:r>
          </w:p>
        </w:tc>
      </w:tr>
      <w:tr w:rsidR="00D006DC" w:rsidRPr="009423C3" w14:paraId="4738607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02F2BA4" w14:textId="1BCF086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SALLY HANRATTY PSYCHOLOGY</w:t>
            </w:r>
          </w:p>
        </w:tc>
        <w:tc>
          <w:tcPr>
            <w:tcW w:w="4096" w:type="dxa"/>
            <w:tcBorders>
              <w:top w:val="single" w:sz="4" w:space="0" w:color="auto"/>
              <w:bottom w:val="single" w:sz="4" w:space="0" w:color="auto"/>
            </w:tcBorders>
            <w:vAlign w:val="center"/>
          </w:tcPr>
          <w:p w14:paraId="5CAA339A" w14:textId="7082900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88A930F" w14:textId="5BDC631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17,850</w:t>
            </w:r>
          </w:p>
        </w:tc>
      </w:tr>
      <w:tr w:rsidR="00D006DC" w:rsidRPr="009423C3" w14:paraId="1E4D454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8D8BF84" w14:textId="30D1C22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SALTER HILL GROUP PTY LTD</w:t>
            </w:r>
          </w:p>
        </w:tc>
        <w:tc>
          <w:tcPr>
            <w:tcW w:w="4096" w:type="dxa"/>
            <w:tcBorders>
              <w:top w:val="single" w:sz="4" w:space="0" w:color="auto"/>
              <w:bottom w:val="single" w:sz="4" w:space="0" w:color="auto"/>
            </w:tcBorders>
            <w:vAlign w:val="center"/>
          </w:tcPr>
          <w:p w14:paraId="0E381D72" w14:textId="7A12C58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9CE66DF" w14:textId="3D30F16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35,150</w:t>
            </w:r>
          </w:p>
        </w:tc>
      </w:tr>
      <w:tr w:rsidR="00D006DC" w:rsidRPr="009423C3" w14:paraId="025262E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567FE47" w14:textId="19AA1E7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SARAH HOWELL</w:t>
            </w:r>
          </w:p>
        </w:tc>
        <w:tc>
          <w:tcPr>
            <w:tcW w:w="4096" w:type="dxa"/>
            <w:tcBorders>
              <w:top w:val="single" w:sz="4" w:space="0" w:color="auto"/>
              <w:bottom w:val="single" w:sz="4" w:space="0" w:color="auto"/>
            </w:tcBorders>
            <w:vAlign w:val="center"/>
          </w:tcPr>
          <w:p w14:paraId="5192ADD4" w14:textId="2E6076F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03237529" w14:textId="45C13F4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1,485</w:t>
            </w:r>
          </w:p>
        </w:tc>
      </w:tr>
      <w:tr w:rsidR="00D006DC" w:rsidRPr="009423C3" w14:paraId="6C3B61F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DA872C3" w14:textId="21A5FE5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SAXTON SPEAKERS BUREAU PTY LTD</w:t>
            </w:r>
          </w:p>
        </w:tc>
        <w:tc>
          <w:tcPr>
            <w:tcW w:w="4096" w:type="dxa"/>
            <w:tcBorders>
              <w:top w:val="single" w:sz="4" w:space="0" w:color="auto"/>
              <w:bottom w:val="single" w:sz="4" w:space="0" w:color="auto"/>
            </w:tcBorders>
            <w:vAlign w:val="center"/>
          </w:tcPr>
          <w:p w14:paraId="32477A94" w14:textId="781BC84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B36467F" w14:textId="5CDFB9E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7,299</w:t>
            </w:r>
          </w:p>
        </w:tc>
      </w:tr>
      <w:tr w:rsidR="00D006DC" w:rsidRPr="009423C3" w14:paraId="6E8AD27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D29DC88" w14:textId="0DEC29B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SCHOOL SAFE CONSULTING PTY LTD</w:t>
            </w:r>
          </w:p>
        </w:tc>
        <w:tc>
          <w:tcPr>
            <w:tcW w:w="4096" w:type="dxa"/>
            <w:tcBorders>
              <w:top w:val="single" w:sz="4" w:space="0" w:color="auto"/>
              <w:bottom w:val="single" w:sz="4" w:space="0" w:color="auto"/>
            </w:tcBorders>
            <w:vAlign w:val="center"/>
          </w:tcPr>
          <w:p w14:paraId="09FE0FDF" w14:textId="380A08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2B395E8" w14:textId="73F25CD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2D8B974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B878A4" w14:textId="33DFBD9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SCOTT RAMSDELL PSYCHOLOGY AND ASSESSMENT SERVICES</w:t>
            </w:r>
          </w:p>
        </w:tc>
        <w:tc>
          <w:tcPr>
            <w:tcW w:w="4096" w:type="dxa"/>
            <w:tcBorders>
              <w:top w:val="single" w:sz="4" w:space="0" w:color="auto"/>
              <w:bottom w:val="single" w:sz="4" w:space="0" w:color="auto"/>
            </w:tcBorders>
            <w:vAlign w:val="center"/>
          </w:tcPr>
          <w:p w14:paraId="65F916F3" w14:textId="2979AA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FF24D48" w14:textId="3B914C8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12,100</w:t>
            </w:r>
          </w:p>
        </w:tc>
      </w:tr>
      <w:tr w:rsidR="00D006DC" w:rsidRPr="009423C3" w14:paraId="0B1A23D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383E23" w14:textId="503288D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SEAMER DESIGN</w:t>
            </w:r>
          </w:p>
        </w:tc>
        <w:tc>
          <w:tcPr>
            <w:tcW w:w="4096" w:type="dxa"/>
            <w:tcBorders>
              <w:top w:val="single" w:sz="4" w:space="0" w:color="auto"/>
              <w:bottom w:val="single" w:sz="4" w:space="0" w:color="auto"/>
            </w:tcBorders>
            <w:vAlign w:val="center"/>
          </w:tcPr>
          <w:p w14:paraId="0BB4A467" w14:textId="3DB7EB0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C13B52C" w14:textId="53C1613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3,285</w:t>
            </w:r>
          </w:p>
        </w:tc>
      </w:tr>
      <w:tr w:rsidR="00D006DC" w:rsidRPr="009423C3" w14:paraId="1962702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4DDB431" w14:textId="3CBB286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SECMON1 PTY LTD</w:t>
            </w:r>
          </w:p>
        </w:tc>
        <w:tc>
          <w:tcPr>
            <w:tcW w:w="4096" w:type="dxa"/>
            <w:tcBorders>
              <w:top w:val="single" w:sz="4" w:space="0" w:color="auto"/>
              <w:bottom w:val="single" w:sz="4" w:space="0" w:color="auto"/>
            </w:tcBorders>
            <w:vAlign w:val="center"/>
          </w:tcPr>
          <w:p w14:paraId="48568169" w14:textId="73093AA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9AF692B" w14:textId="441BE69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14,364</w:t>
            </w:r>
          </w:p>
        </w:tc>
      </w:tr>
      <w:tr w:rsidR="00D006DC" w:rsidRPr="009423C3" w14:paraId="34311B8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075B10E" w14:textId="7D6A2B7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SECUREVENT PROTECTION GROUP</w:t>
            </w:r>
          </w:p>
        </w:tc>
        <w:tc>
          <w:tcPr>
            <w:tcW w:w="4096" w:type="dxa"/>
            <w:tcBorders>
              <w:top w:val="single" w:sz="4" w:space="0" w:color="auto"/>
              <w:bottom w:val="single" w:sz="4" w:space="0" w:color="auto"/>
            </w:tcBorders>
            <w:vAlign w:val="center"/>
          </w:tcPr>
          <w:p w14:paraId="6E164FF5" w14:textId="6D122A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9065D2B" w14:textId="6CEEB80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5,628</w:t>
            </w:r>
          </w:p>
        </w:tc>
      </w:tr>
      <w:tr w:rsidR="00D006DC" w:rsidRPr="009423C3" w14:paraId="447091B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F8F862" w14:textId="1D1794F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SEESAW STUDIO</w:t>
            </w:r>
          </w:p>
        </w:tc>
        <w:tc>
          <w:tcPr>
            <w:tcW w:w="4096" w:type="dxa"/>
            <w:tcBorders>
              <w:top w:val="single" w:sz="4" w:space="0" w:color="auto"/>
              <w:bottom w:val="single" w:sz="4" w:space="0" w:color="auto"/>
            </w:tcBorders>
            <w:vAlign w:val="center"/>
          </w:tcPr>
          <w:p w14:paraId="1C5D9D3F" w14:textId="2CBB14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4E6644F7" w14:textId="201FE88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17,950</w:t>
            </w:r>
          </w:p>
        </w:tc>
      </w:tr>
      <w:tr w:rsidR="00D006DC" w:rsidRPr="009423C3" w14:paraId="034E93A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D931F74" w14:textId="0329322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SEMANN SLATTERY AND ASSOCIATES PTY LTD</w:t>
            </w:r>
          </w:p>
        </w:tc>
        <w:tc>
          <w:tcPr>
            <w:tcW w:w="4096" w:type="dxa"/>
            <w:tcBorders>
              <w:top w:val="single" w:sz="4" w:space="0" w:color="auto"/>
              <w:bottom w:val="single" w:sz="4" w:space="0" w:color="auto"/>
            </w:tcBorders>
            <w:vAlign w:val="center"/>
          </w:tcPr>
          <w:p w14:paraId="002A764B" w14:textId="5E74EBB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808C3DB" w14:textId="4683892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1,065,922</w:t>
            </w:r>
          </w:p>
        </w:tc>
      </w:tr>
      <w:tr w:rsidR="00D006DC" w:rsidRPr="009423C3" w14:paraId="6E231C2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828571" w14:textId="3F31541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SENATESHJ</w:t>
            </w:r>
          </w:p>
        </w:tc>
        <w:tc>
          <w:tcPr>
            <w:tcW w:w="4096" w:type="dxa"/>
            <w:tcBorders>
              <w:top w:val="single" w:sz="4" w:space="0" w:color="auto"/>
              <w:bottom w:val="single" w:sz="4" w:space="0" w:color="auto"/>
            </w:tcBorders>
            <w:vAlign w:val="center"/>
          </w:tcPr>
          <w:p w14:paraId="424626DB" w14:textId="6273D5A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84D7235" w14:textId="10D8B66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406,004</w:t>
            </w:r>
          </w:p>
        </w:tc>
      </w:tr>
      <w:tr w:rsidR="00D006DC" w:rsidRPr="009423C3" w14:paraId="737D93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3FB7675" w14:textId="64DA202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SENTIENCE CONSULTING</w:t>
            </w:r>
          </w:p>
        </w:tc>
        <w:tc>
          <w:tcPr>
            <w:tcW w:w="4096" w:type="dxa"/>
            <w:tcBorders>
              <w:top w:val="single" w:sz="4" w:space="0" w:color="auto"/>
              <w:bottom w:val="single" w:sz="4" w:space="0" w:color="auto"/>
            </w:tcBorders>
            <w:vAlign w:val="center"/>
          </w:tcPr>
          <w:p w14:paraId="70FC3733" w14:textId="1F103B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6DE916C" w14:textId="4CC2CF7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6,250</w:t>
            </w:r>
          </w:p>
        </w:tc>
      </w:tr>
      <w:tr w:rsidR="00D006DC" w:rsidRPr="009423C3" w14:paraId="6B1E11C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3890495" w14:textId="689D7F7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SEVEN WAYS CONSULTANCY</w:t>
            </w:r>
          </w:p>
        </w:tc>
        <w:tc>
          <w:tcPr>
            <w:tcW w:w="4096" w:type="dxa"/>
            <w:tcBorders>
              <w:top w:val="single" w:sz="4" w:space="0" w:color="auto"/>
              <w:bottom w:val="single" w:sz="4" w:space="0" w:color="auto"/>
            </w:tcBorders>
            <w:vAlign w:val="center"/>
          </w:tcPr>
          <w:p w14:paraId="2A819BAD" w14:textId="7D2FC86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93E03A1" w14:textId="2D27FEE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1,840</w:t>
            </w:r>
          </w:p>
        </w:tc>
      </w:tr>
      <w:tr w:rsidR="00D006DC" w:rsidRPr="009423C3" w14:paraId="09212C5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9CD468" w14:textId="726A6B2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SFDC AUSTRALIA PTY LIMITED</w:t>
            </w:r>
          </w:p>
        </w:tc>
        <w:tc>
          <w:tcPr>
            <w:tcW w:w="4096" w:type="dxa"/>
            <w:tcBorders>
              <w:top w:val="single" w:sz="4" w:space="0" w:color="auto"/>
              <w:bottom w:val="single" w:sz="4" w:space="0" w:color="auto"/>
            </w:tcBorders>
            <w:vAlign w:val="center"/>
          </w:tcPr>
          <w:p w14:paraId="4A8DA72C" w14:textId="0E139604"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7531388" w14:textId="245DF0A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347,315</w:t>
            </w:r>
          </w:p>
        </w:tc>
      </w:tr>
      <w:tr w:rsidR="00D006DC" w:rsidRPr="009423C3" w14:paraId="375A2FF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8AFAB19" w14:textId="42E7410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SGS ECONOMICS AND PLANNING</w:t>
            </w:r>
          </w:p>
        </w:tc>
        <w:tc>
          <w:tcPr>
            <w:tcW w:w="4096" w:type="dxa"/>
            <w:tcBorders>
              <w:top w:val="single" w:sz="4" w:space="0" w:color="auto"/>
              <w:bottom w:val="single" w:sz="4" w:space="0" w:color="auto"/>
            </w:tcBorders>
            <w:vAlign w:val="center"/>
          </w:tcPr>
          <w:p w14:paraId="6643CA94" w14:textId="3CB60F5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1BF6A34" w14:textId="2F76809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144,123</w:t>
            </w:r>
          </w:p>
        </w:tc>
      </w:tr>
      <w:tr w:rsidR="00D006DC" w:rsidRPr="009423C3" w14:paraId="02AAA4C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EE35B3" w14:textId="7030562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SHAH CONSULTING</w:t>
            </w:r>
          </w:p>
        </w:tc>
        <w:tc>
          <w:tcPr>
            <w:tcW w:w="4096" w:type="dxa"/>
            <w:tcBorders>
              <w:top w:val="single" w:sz="4" w:space="0" w:color="auto"/>
              <w:bottom w:val="single" w:sz="4" w:space="0" w:color="auto"/>
            </w:tcBorders>
            <w:vAlign w:val="center"/>
          </w:tcPr>
          <w:p w14:paraId="628EE53F" w14:textId="0967126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EFD9E32" w14:textId="523AD93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31,000</w:t>
            </w:r>
          </w:p>
        </w:tc>
      </w:tr>
      <w:tr w:rsidR="00D006DC" w:rsidRPr="009423C3" w14:paraId="2282C97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77F499E" w14:textId="36AB98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SHERRY LINK COMMUNICATIONS</w:t>
            </w:r>
          </w:p>
        </w:tc>
        <w:tc>
          <w:tcPr>
            <w:tcW w:w="4096" w:type="dxa"/>
            <w:tcBorders>
              <w:top w:val="single" w:sz="4" w:space="0" w:color="auto"/>
              <w:bottom w:val="single" w:sz="4" w:space="0" w:color="auto"/>
            </w:tcBorders>
            <w:vAlign w:val="center"/>
          </w:tcPr>
          <w:p w14:paraId="19381383" w14:textId="7007377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7513C4B" w14:textId="5FE730C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6,000</w:t>
            </w:r>
          </w:p>
        </w:tc>
      </w:tr>
      <w:tr w:rsidR="00D006DC" w:rsidRPr="009423C3" w14:paraId="196DD57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7780E6" w14:textId="434677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SHK ASIA PACIFIC PTY LTD</w:t>
            </w:r>
          </w:p>
        </w:tc>
        <w:tc>
          <w:tcPr>
            <w:tcW w:w="4096" w:type="dxa"/>
            <w:tcBorders>
              <w:top w:val="single" w:sz="4" w:space="0" w:color="auto"/>
              <w:bottom w:val="single" w:sz="4" w:space="0" w:color="auto"/>
            </w:tcBorders>
            <w:vAlign w:val="center"/>
          </w:tcPr>
          <w:p w14:paraId="1998A08B" w14:textId="0166B20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0F53B5B0" w14:textId="5BC865A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44,100</w:t>
            </w:r>
          </w:p>
        </w:tc>
      </w:tr>
      <w:tr w:rsidR="00D006DC" w:rsidRPr="009423C3" w14:paraId="2281268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5A2F65F" w14:textId="31F15AF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SHORT BLACK OPERA COMPANY PTY LTD</w:t>
            </w:r>
          </w:p>
        </w:tc>
        <w:tc>
          <w:tcPr>
            <w:tcW w:w="4096" w:type="dxa"/>
            <w:tcBorders>
              <w:top w:val="single" w:sz="4" w:space="0" w:color="auto"/>
              <w:bottom w:val="single" w:sz="4" w:space="0" w:color="auto"/>
            </w:tcBorders>
            <w:vAlign w:val="center"/>
          </w:tcPr>
          <w:p w14:paraId="77D26091" w14:textId="133C899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CCF9482" w14:textId="1477D62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5,000</w:t>
            </w:r>
          </w:p>
        </w:tc>
      </w:tr>
      <w:tr w:rsidR="00D006DC" w:rsidRPr="009423C3" w14:paraId="28870AF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FB0DB91" w14:textId="545F5DA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SIGNORELLO INVESTMENTS PTY LTD</w:t>
            </w:r>
          </w:p>
        </w:tc>
        <w:tc>
          <w:tcPr>
            <w:tcW w:w="4096" w:type="dxa"/>
            <w:tcBorders>
              <w:top w:val="single" w:sz="4" w:space="0" w:color="auto"/>
              <w:bottom w:val="single" w:sz="4" w:space="0" w:color="auto"/>
            </w:tcBorders>
            <w:vAlign w:val="center"/>
          </w:tcPr>
          <w:p w14:paraId="4EE43C8A" w14:textId="69988E1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24F3656F" w14:textId="1C8FA13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45,000</w:t>
            </w:r>
          </w:p>
        </w:tc>
      </w:tr>
      <w:tr w:rsidR="00D006DC" w:rsidRPr="009423C3" w14:paraId="759C73B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BDB0E7" w14:textId="4D2939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SILENT PARTNERS LEARNING SERVICES</w:t>
            </w:r>
          </w:p>
        </w:tc>
        <w:tc>
          <w:tcPr>
            <w:tcW w:w="4096" w:type="dxa"/>
            <w:tcBorders>
              <w:top w:val="single" w:sz="4" w:space="0" w:color="auto"/>
              <w:bottom w:val="single" w:sz="4" w:space="0" w:color="auto"/>
            </w:tcBorders>
            <w:vAlign w:val="center"/>
          </w:tcPr>
          <w:p w14:paraId="0B3866B6" w14:textId="41A170E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C910F6" w14:textId="697616C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109,713</w:t>
            </w:r>
          </w:p>
        </w:tc>
      </w:tr>
      <w:tr w:rsidR="00D006DC" w:rsidRPr="009423C3" w14:paraId="39D71BC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106F8E" w14:textId="7254B29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SIMONE MALCOLM PSYCHOLOGIST</w:t>
            </w:r>
          </w:p>
        </w:tc>
        <w:tc>
          <w:tcPr>
            <w:tcW w:w="4096" w:type="dxa"/>
            <w:tcBorders>
              <w:top w:val="single" w:sz="4" w:space="0" w:color="auto"/>
              <w:bottom w:val="single" w:sz="4" w:space="0" w:color="auto"/>
            </w:tcBorders>
            <w:vAlign w:val="center"/>
          </w:tcPr>
          <w:p w14:paraId="27944B11" w14:textId="36547D6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F1092A7" w14:textId="625BF94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24,875</w:t>
            </w:r>
          </w:p>
        </w:tc>
      </w:tr>
      <w:tr w:rsidR="00D006DC" w:rsidRPr="009423C3" w14:paraId="1F19F1D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C52B9E1" w14:textId="7D77650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SINGING BOWL MEDIA</w:t>
            </w:r>
          </w:p>
        </w:tc>
        <w:tc>
          <w:tcPr>
            <w:tcW w:w="4096" w:type="dxa"/>
            <w:tcBorders>
              <w:top w:val="single" w:sz="4" w:space="0" w:color="auto"/>
              <w:bottom w:val="single" w:sz="4" w:space="0" w:color="auto"/>
            </w:tcBorders>
            <w:vAlign w:val="center"/>
          </w:tcPr>
          <w:p w14:paraId="5CB1B2DF" w14:textId="686C5D0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2827EF74" w14:textId="203A473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14,307</w:t>
            </w:r>
          </w:p>
        </w:tc>
      </w:tr>
      <w:tr w:rsidR="00D006DC" w:rsidRPr="009423C3" w14:paraId="531A441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15F572A" w14:textId="76C9CE4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SIOBHAN BOYD-SQUIRES CONSULTING</w:t>
            </w:r>
          </w:p>
        </w:tc>
        <w:tc>
          <w:tcPr>
            <w:tcW w:w="4096" w:type="dxa"/>
            <w:tcBorders>
              <w:top w:val="single" w:sz="4" w:space="0" w:color="auto"/>
              <w:bottom w:val="single" w:sz="4" w:space="0" w:color="auto"/>
            </w:tcBorders>
            <w:vAlign w:val="center"/>
          </w:tcPr>
          <w:p w14:paraId="019FB77C" w14:textId="36FAA14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74EBFA0" w14:textId="480AF36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62,250</w:t>
            </w:r>
          </w:p>
        </w:tc>
      </w:tr>
      <w:tr w:rsidR="00D006DC" w:rsidRPr="009423C3" w14:paraId="07C7B7F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1B2883C" w14:textId="67283D2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SIT OR STAND</w:t>
            </w:r>
          </w:p>
        </w:tc>
        <w:tc>
          <w:tcPr>
            <w:tcW w:w="4096" w:type="dxa"/>
            <w:tcBorders>
              <w:top w:val="single" w:sz="4" w:space="0" w:color="auto"/>
              <w:bottom w:val="single" w:sz="4" w:space="0" w:color="auto"/>
            </w:tcBorders>
            <w:vAlign w:val="center"/>
          </w:tcPr>
          <w:p w14:paraId="29213EE3" w14:textId="0DBF351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7B76632D" w14:textId="7B63D1F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2,340</w:t>
            </w:r>
          </w:p>
        </w:tc>
      </w:tr>
      <w:tr w:rsidR="00D006DC" w:rsidRPr="009423C3" w14:paraId="5BF27DD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3E8AFD6" w14:textId="3F7A2C0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SK SPATIAL PTY LTD</w:t>
            </w:r>
          </w:p>
        </w:tc>
        <w:tc>
          <w:tcPr>
            <w:tcW w:w="4096" w:type="dxa"/>
            <w:tcBorders>
              <w:top w:val="single" w:sz="4" w:space="0" w:color="auto"/>
              <w:bottom w:val="single" w:sz="4" w:space="0" w:color="auto"/>
            </w:tcBorders>
            <w:vAlign w:val="center"/>
          </w:tcPr>
          <w:p w14:paraId="60AE4DF3" w14:textId="4CF7A67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9F15FBC" w14:textId="53B902B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8,500</w:t>
            </w:r>
          </w:p>
        </w:tc>
      </w:tr>
      <w:tr w:rsidR="00D006DC" w:rsidRPr="009423C3" w14:paraId="5B845C0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0D1C8EB" w14:textId="7BAABD4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SKETCH GROUP</w:t>
            </w:r>
          </w:p>
        </w:tc>
        <w:tc>
          <w:tcPr>
            <w:tcW w:w="4096" w:type="dxa"/>
            <w:tcBorders>
              <w:top w:val="single" w:sz="4" w:space="0" w:color="auto"/>
              <w:bottom w:val="single" w:sz="4" w:space="0" w:color="auto"/>
            </w:tcBorders>
            <w:vAlign w:val="center"/>
          </w:tcPr>
          <w:p w14:paraId="0B159ADE" w14:textId="602C95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6E2F2AB" w14:textId="2968878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48,475</w:t>
            </w:r>
          </w:p>
        </w:tc>
      </w:tr>
      <w:tr w:rsidR="00D006DC" w:rsidRPr="009423C3" w14:paraId="2875DAE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FCC63A4" w14:textId="2A236C9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SKILLS4THE FUTURE PTY LTD</w:t>
            </w:r>
          </w:p>
        </w:tc>
        <w:tc>
          <w:tcPr>
            <w:tcW w:w="4096" w:type="dxa"/>
            <w:tcBorders>
              <w:top w:val="single" w:sz="4" w:space="0" w:color="auto"/>
              <w:bottom w:val="single" w:sz="4" w:space="0" w:color="auto"/>
            </w:tcBorders>
            <w:vAlign w:val="center"/>
          </w:tcPr>
          <w:p w14:paraId="5F17939F" w14:textId="2C09484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26871D25" w14:textId="7B259AF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18,050</w:t>
            </w:r>
          </w:p>
        </w:tc>
      </w:tr>
      <w:tr w:rsidR="00D006DC" w:rsidRPr="009423C3" w14:paraId="13C0EAE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C5A9353" w14:textId="6CB6B5C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SKP EVENTS</w:t>
            </w:r>
          </w:p>
        </w:tc>
        <w:tc>
          <w:tcPr>
            <w:tcW w:w="4096" w:type="dxa"/>
            <w:tcBorders>
              <w:top w:val="single" w:sz="4" w:space="0" w:color="auto"/>
              <w:bottom w:val="single" w:sz="4" w:space="0" w:color="auto"/>
            </w:tcBorders>
            <w:vAlign w:val="center"/>
          </w:tcPr>
          <w:p w14:paraId="49D2A9B9" w14:textId="3869124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31C5FE7E" w14:textId="31EEE61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8,152</w:t>
            </w:r>
          </w:p>
        </w:tc>
      </w:tr>
      <w:tr w:rsidR="00D006DC" w:rsidRPr="009423C3" w14:paraId="4A53A1C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B00BCE4" w14:textId="34FCDD7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SKUNK CONTROL PTY LTD</w:t>
            </w:r>
          </w:p>
        </w:tc>
        <w:tc>
          <w:tcPr>
            <w:tcW w:w="4096" w:type="dxa"/>
            <w:tcBorders>
              <w:top w:val="single" w:sz="4" w:space="0" w:color="auto"/>
              <w:bottom w:val="single" w:sz="4" w:space="0" w:color="auto"/>
            </w:tcBorders>
            <w:vAlign w:val="center"/>
          </w:tcPr>
          <w:p w14:paraId="165B6546" w14:textId="63C8D6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B48FE61" w14:textId="2AC896E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4,000</w:t>
            </w:r>
          </w:p>
        </w:tc>
      </w:tr>
      <w:tr w:rsidR="00D006DC" w:rsidRPr="009423C3" w14:paraId="0136C93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573627C" w14:textId="6C52D2A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SMART APPS PTY LTD</w:t>
            </w:r>
          </w:p>
        </w:tc>
        <w:tc>
          <w:tcPr>
            <w:tcW w:w="4096" w:type="dxa"/>
            <w:tcBorders>
              <w:top w:val="single" w:sz="4" w:space="0" w:color="auto"/>
              <w:bottom w:val="single" w:sz="4" w:space="0" w:color="auto"/>
            </w:tcBorders>
            <w:vAlign w:val="center"/>
          </w:tcPr>
          <w:p w14:paraId="3695F22F" w14:textId="5380543F"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3178C553" w14:textId="6D38220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887,885</w:t>
            </w:r>
          </w:p>
        </w:tc>
      </w:tr>
      <w:tr w:rsidR="00D006DC" w:rsidRPr="009423C3" w14:paraId="3DCB23C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DD2D299" w14:textId="1D7DEDE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SMARTCULTURE</w:t>
            </w:r>
          </w:p>
        </w:tc>
        <w:tc>
          <w:tcPr>
            <w:tcW w:w="4096" w:type="dxa"/>
            <w:tcBorders>
              <w:top w:val="single" w:sz="4" w:space="0" w:color="auto"/>
              <w:bottom w:val="single" w:sz="4" w:space="0" w:color="auto"/>
            </w:tcBorders>
            <w:vAlign w:val="center"/>
          </w:tcPr>
          <w:p w14:paraId="0BE5FC39" w14:textId="031BEFD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109BE03" w14:textId="61CBC9F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7,400</w:t>
            </w:r>
          </w:p>
        </w:tc>
      </w:tr>
      <w:tr w:rsidR="00D006DC" w:rsidRPr="009423C3" w14:paraId="7112632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527C78B" w14:textId="620EF2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SMILING MIND</w:t>
            </w:r>
          </w:p>
        </w:tc>
        <w:tc>
          <w:tcPr>
            <w:tcW w:w="4096" w:type="dxa"/>
            <w:tcBorders>
              <w:top w:val="single" w:sz="4" w:space="0" w:color="auto"/>
              <w:bottom w:val="single" w:sz="4" w:space="0" w:color="auto"/>
            </w:tcBorders>
            <w:vAlign w:val="center"/>
          </w:tcPr>
          <w:p w14:paraId="521EFD9B" w14:textId="7268C2D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9F4028C" w14:textId="3807EEC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62,832</w:t>
            </w:r>
          </w:p>
        </w:tc>
      </w:tr>
      <w:tr w:rsidR="00D006DC" w:rsidRPr="009423C3" w14:paraId="4302745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97325D6" w14:textId="23600A2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SNAPPER SCREEN PRODUCTIONS PTY LTD</w:t>
            </w:r>
          </w:p>
        </w:tc>
        <w:tc>
          <w:tcPr>
            <w:tcW w:w="4096" w:type="dxa"/>
            <w:tcBorders>
              <w:top w:val="single" w:sz="4" w:space="0" w:color="auto"/>
              <w:bottom w:val="single" w:sz="4" w:space="0" w:color="auto"/>
            </w:tcBorders>
            <w:vAlign w:val="center"/>
          </w:tcPr>
          <w:p w14:paraId="017F6C05" w14:textId="36726D6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105FB72A" w14:textId="5EDC168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31,649</w:t>
            </w:r>
          </w:p>
        </w:tc>
      </w:tr>
      <w:tr w:rsidR="00D006DC" w:rsidRPr="009423C3" w14:paraId="2FB6A4C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03607C8" w14:textId="3C5A356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SOCIAL RESEARCH CENTRE PTY LTD</w:t>
            </w:r>
          </w:p>
        </w:tc>
        <w:tc>
          <w:tcPr>
            <w:tcW w:w="4096" w:type="dxa"/>
            <w:tcBorders>
              <w:top w:val="single" w:sz="4" w:space="0" w:color="auto"/>
              <w:bottom w:val="single" w:sz="4" w:space="0" w:color="auto"/>
            </w:tcBorders>
            <w:vAlign w:val="center"/>
          </w:tcPr>
          <w:p w14:paraId="43D56177" w14:textId="30493EF6"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C08FBF4" w14:textId="0BB4E46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1,685,235</w:t>
            </w:r>
          </w:p>
        </w:tc>
      </w:tr>
      <w:tr w:rsidR="00D006DC" w:rsidRPr="009423C3" w14:paraId="707FC23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CDCE1FB" w14:textId="35ABCC4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SONG ROOM LIMITED</w:t>
            </w:r>
          </w:p>
        </w:tc>
        <w:tc>
          <w:tcPr>
            <w:tcW w:w="4096" w:type="dxa"/>
            <w:tcBorders>
              <w:top w:val="single" w:sz="4" w:space="0" w:color="auto"/>
              <w:bottom w:val="single" w:sz="4" w:space="0" w:color="auto"/>
            </w:tcBorders>
            <w:vAlign w:val="center"/>
          </w:tcPr>
          <w:p w14:paraId="10D612AF" w14:textId="1AC9108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7F977566" w14:textId="2E8C804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434,601</w:t>
            </w:r>
          </w:p>
        </w:tc>
      </w:tr>
      <w:tr w:rsidR="00D006DC" w:rsidRPr="009423C3" w14:paraId="255841D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04B857C" w14:textId="5F2237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SOULBOOK PTY LTD</w:t>
            </w:r>
          </w:p>
        </w:tc>
        <w:tc>
          <w:tcPr>
            <w:tcW w:w="4096" w:type="dxa"/>
            <w:tcBorders>
              <w:top w:val="single" w:sz="4" w:space="0" w:color="auto"/>
              <w:bottom w:val="single" w:sz="4" w:space="0" w:color="auto"/>
            </w:tcBorders>
            <w:vAlign w:val="center"/>
          </w:tcPr>
          <w:p w14:paraId="1C4CD278" w14:textId="3D118F93"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4A331923" w14:textId="0041088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485,365</w:t>
            </w:r>
          </w:p>
        </w:tc>
      </w:tr>
      <w:tr w:rsidR="00D006DC" w:rsidRPr="009423C3" w14:paraId="64A99EA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5E36F36" w14:textId="59F1EC8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SPECIALIST BEHAVIOUR SUPPORT SERVICES PTY LTD</w:t>
            </w:r>
          </w:p>
        </w:tc>
        <w:tc>
          <w:tcPr>
            <w:tcW w:w="4096" w:type="dxa"/>
            <w:tcBorders>
              <w:top w:val="single" w:sz="4" w:space="0" w:color="auto"/>
              <w:bottom w:val="single" w:sz="4" w:space="0" w:color="auto"/>
            </w:tcBorders>
            <w:vAlign w:val="center"/>
          </w:tcPr>
          <w:p w14:paraId="412E3FBC" w14:textId="310ADE3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64FF653" w14:textId="08FAD10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8,102</w:t>
            </w:r>
          </w:p>
        </w:tc>
      </w:tr>
      <w:tr w:rsidR="00D006DC" w:rsidRPr="009423C3" w14:paraId="23A47DF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373D1C" w14:textId="19328BA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SPECIALISTERNE CENTRE AUSTRALIA LIMITED</w:t>
            </w:r>
          </w:p>
        </w:tc>
        <w:tc>
          <w:tcPr>
            <w:tcW w:w="4096" w:type="dxa"/>
            <w:tcBorders>
              <w:top w:val="single" w:sz="4" w:space="0" w:color="auto"/>
              <w:bottom w:val="single" w:sz="4" w:space="0" w:color="auto"/>
            </w:tcBorders>
            <w:vAlign w:val="center"/>
          </w:tcPr>
          <w:p w14:paraId="143044F9" w14:textId="43238A4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AD2CA38" w14:textId="457BFFF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40,950</w:t>
            </w:r>
          </w:p>
        </w:tc>
      </w:tr>
      <w:tr w:rsidR="00D006DC" w:rsidRPr="009423C3" w14:paraId="266D868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8057D8" w14:textId="41174F1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SPEECH PATHOLOGY FOR SCHOOLS PTY LTD</w:t>
            </w:r>
          </w:p>
        </w:tc>
        <w:tc>
          <w:tcPr>
            <w:tcW w:w="4096" w:type="dxa"/>
            <w:tcBorders>
              <w:top w:val="single" w:sz="4" w:space="0" w:color="auto"/>
              <w:bottom w:val="single" w:sz="4" w:space="0" w:color="auto"/>
            </w:tcBorders>
            <w:vAlign w:val="center"/>
          </w:tcPr>
          <w:p w14:paraId="6EB6FCBE" w14:textId="3643081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D0AE7DA" w14:textId="449949A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12,300</w:t>
            </w:r>
          </w:p>
        </w:tc>
      </w:tr>
      <w:tr w:rsidR="00D006DC" w:rsidRPr="009423C3" w14:paraId="2D2917F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2CE3438" w14:textId="47AC08A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SPEECH PATHOLOGY PLUS</w:t>
            </w:r>
          </w:p>
        </w:tc>
        <w:tc>
          <w:tcPr>
            <w:tcW w:w="4096" w:type="dxa"/>
            <w:tcBorders>
              <w:top w:val="single" w:sz="4" w:space="0" w:color="auto"/>
              <w:bottom w:val="single" w:sz="4" w:space="0" w:color="auto"/>
            </w:tcBorders>
            <w:vAlign w:val="center"/>
          </w:tcPr>
          <w:p w14:paraId="4BB62002" w14:textId="2DD3C45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4F6DA80" w14:textId="3020B5E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22,771</w:t>
            </w:r>
          </w:p>
        </w:tc>
      </w:tr>
      <w:tr w:rsidR="00D006DC" w:rsidRPr="009423C3" w14:paraId="5173CA5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C8888A4" w14:textId="71EFD08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SPEIGHT BARRIE</w:t>
            </w:r>
          </w:p>
        </w:tc>
        <w:tc>
          <w:tcPr>
            <w:tcW w:w="4096" w:type="dxa"/>
            <w:tcBorders>
              <w:top w:val="single" w:sz="4" w:space="0" w:color="auto"/>
              <w:bottom w:val="single" w:sz="4" w:space="0" w:color="auto"/>
            </w:tcBorders>
            <w:vAlign w:val="center"/>
          </w:tcPr>
          <w:p w14:paraId="3CEEBA5E" w14:textId="1820F62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D708A3B" w14:textId="438F5DA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8,531</w:t>
            </w:r>
          </w:p>
        </w:tc>
      </w:tr>
      <w:tr w:rsidR="00D006DC" w:rsidRPr="009423C3" w14:paraId="40E0D7F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226E57D" w14:textId="6E09A23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SPENCE DEIRDRE GERALDINE</w:t>
            </w:r>
          </w:p>
        </w:tc>
        <w:tc>
          <w:tcPr>
            <w:tcW w:w="4096" w:type="dxa"/>
            <w:tcBorders>
              <w:top w:val="single" w:sz="4" w:space="0" w:color="auto"/>
              <w:bottom w:val="single" w:sz="4" w:space="0" w:color="auto"/>
            </w:tcBorders>
            <w:vAlign w:val="center"/>
          </w:tcPr>
          <w:p w14:paraId="093EE3D9" w14:textId="02A024A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CB7C3D6" w14:textId="54AB792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20,298</w:t>
            </w:r>
          </w:p>
        </w:tc>
      </w:tr>
      <w:tr w:rsidR="00D006DC" w:rsidRPr="009423C3" w14:paraId="7C4CE18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CC8DAF2" w14:textId="5152CBF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SPORT STAFF ONE PTY LTD</w:t>
            </w:r>
          </w:p>
        </w:tc>
        <w:tc>
          <w:tcPr>
            <w:tcW w:w="4096" w:type="dxa"/>
            <w:tcBorders>
              <w:top w:val="single" w:sz="4" w:space="0" w:color="auto"/>
              <w:bottom w:val="single" w:sz="4" w:space="0" w:color="auto"/>
            </w:tcBorders>
            <w:vAlign w:val="center"/>
          </w:tcPr>
          <w:p w14:paraId="108437B4" w14:textId="7068BA6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3B59BA4D" w14:textId="7CC491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8,956</w:t>
            </w:r>
          </w:p>
        </w:tc>
      </w:tr>
      <w:tr w:rsidR="00D006DC" w:rsidRPr="009423C3" w14:paraId="1E121A8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C740148" w14:textId="1C084A7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SPRINGFOX PTY LTD</w:t>
            </w:r>
          </w:p>
        </w:tc>
        <w:tc>
          <w:tcPr>
            <w:tcW w:w="4096" w:type="dxa"/>
            <w:tcBorders>
              <w:top w:val="single" w:sz="4" w:space="0" w:color="auto"/>
              <w:bottom w:val="single" w:sz="4" w:space="0" w:color="auto"/>
            </w:tcBorders>
            <w:vAlign w:val="center"/>
          </w:tcPr>
          <w:p w14:paraId="796204E3" w14:textId="051D6FF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0628195" w14:textId="555CAA5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4,250</w:t>
            </w:r>
          </w:p>
        </w:tc>
      </w:tr>
      <w:tr w:rsidR="00D006DC" w:rsidRPr="009423C3" w14:paraId="6D2807E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79182DE" w14:textId="5F00EA5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SQL TOOLS</w:t>
            </w:r>
          </w:p>
        </w:tc>
        <w:tc>
          <w:tcPr>
            <w:tcW w:w="4096" w:type="dxa"/>
            <w:tcBorders>
              <w:top w:val="single" w:sz="4" w:space="0" w:color="auto"/>
              <w:bottom w:val="single" w:sz="4" w:space="0" w:color="auto"/>
            </w:tcBorders>
            <w:vAlign w:val="center"/>
          </w:tcPr>
          <w:p w14:paraId="64564AD9" w14:textId="412AA75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D825C9E" w14:textId="1C62234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8,045</w:t>
            </w:r>
          </w:p>
        </w:tc>
      </w:tr>
      <w:tr w:rsidR="00D006DC" w:rsidRPr="009423C3" w14:paraId="10E4742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3C49924" w14:textId="7BF0F60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SQUARE THE CIRCLE</w:t>
            </w:r>
          </w:p>
        </w:tc>
        <w:tc>
          <w:tcPr>
            <w:tcW w:w="4096" w:type="dxa"/>
            <w:tcBorders>
              <w:top w:val="single" w:sz="4" w:space="0" w:color="auto"/>
              <w:bottom w:val="single" w:sz="4" w:space="0" w:color="auto"/>
            </w:tcBorders>
            <w:vAlign w:val="center"/>
          </w:tcPr>
          <w:p w14:paraId="1833BABE" w14:textId="661B0EB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38FDB80" w14:textId="371111F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27,320</w:t>
            </w:r>
          </w:p>
        </w:tc>
      </w:tr>
      <w:tr w:rsidR="00D006DC" w:rsidRPr="009423C3" w14:paraId="76EC764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747B310" w14:textId="24EA4DF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SQUIZS CONSULTING SERVICE</w:t>
            </w:r>
          </w:p>
        </w:tc>
        <w:tc>
          <w:tcPr>
            <w:tcW w:w="4096" w:type="dxa"/>
            <w:tcBorders>
              <w:top w:val="single" w:sz="4" w:space="0" w:color="auto"/>
              <w:bottom w:val="single" w:sz="4" w:space="0" w:color="auto"/>
            </w:tcBorders>
            <w:vAlign w:val="center"/>
          </w:tcPr>
          <w:p w14:paraId="04AD3293" w14:textId="4BBE3A3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379E901" w14:textId="5BCC84B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8,561</w:t>
            </w:r>
          </w:p>
        </w:tc>
      </w:tr>
      <w:tr w:rsidR="00D006DC" w:rsidRPr="009423C3" w14:paraId="5930752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831E85" w14:textId="500BF21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ST JOHN AMBULANCE AUSTRALIA VICTORIA INC</w:t>
            </w:r>
          </w:p>
        </w:tc>
        <w:tc>
          <w:tcPr>
            <w:tcW w:w="4096" w:type="dxa"/>
            <w:tcBorders>
              <w:top w:val="single" w:sz="4" w:space="0" w:color="auto"/>
              <w:bottom w:val="single" w:sz="4" w:space="0" w:color="auto"/>
            </w:tcBorders>
            <w:vAlign w:val="center"/>
          </w:tcPr>
          <w:p w14:paraId="0936B727" w14:textId="75532A2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131CF6B0" w14:textId="128422A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16,143</w:t>
            </w:r>
          </w:p>
        </w:tc>
      </w:tr>
      <w:tr w:rsidR="00D006DC" w:rsidRPr="009423C3" w14:paraId="0C2C9CB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30B7AB7" w14:textId="72326BC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ST. QUENTIN CONSULTING PTY LTD</w:t>
            </w:r>
          </w:p>
        </w:tc>
        <w:tc>
          <w:tcPr>
            <w:tcW w:w="4096" w:type="dxa"/>
            <w:tcBorders>
              <w:top w:val="single" w:sz="4" w:space="0" w:color="auto"/>
              <w:bottom w:val="single" w:sz="4" w:space="0" w:color="auto"/>
            </w:tcBorders>
            <w:vAlign w:val="center"/>
          </w:tcPr>
          <w:p w14:paraId="5A6F89A2" w14:textId="135EC9C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3FFECD0" w14:textId="3670A30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38,168</w:t>
            </w:r>
          </w:p>
        </w:tc>
      </w:tr>
      <w:tr w:rsidR="00D006DC" w:rsidRPr="009423C3" w14:paraId="6B3269F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683DD76" w14:textId="1A2A15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STENNING KARL MURRAY</w:t>
            </w:r>
          </w:p>
        </w:tc>
        <w:tc>
          <w:tcPr>
            <w:tcW w:w="4096" w:type="dxa"/>
            <w:tcBorders>
              <w:top w:val="single" w:sz="4" w:space="0" w:color="auto"/>
              <w:bottom w:val="single" w:sz="4" w:space="0" w:color="auto"/>
            </w:tcBorders>
            <w:vAlign w:val="center"/>
          </w:tcPr>
          <w:p w14:paraId="2BD3C352" w14:textId="5B89F1A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5F8F741" w14:textId="56078FC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5EF12F5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8189548" w14:textId="7B24449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STEPHEN W LYON</w:t>
            </w:r>
          </w:p>
        </w:tc>
        <w:tc>
          <w:tcPr>
            <w:tcW w:w="4096" w:type="dxa"/>
            <w:tcBorders>
              <w:top w:val="single" w:sz="4" w:space="0" w:color="auto"/>
              <w:bottom w:val="single" w:sz="4" w:space="0" w:color="auto"/>
            </w:tcBorders>
            <w:vAlign w:val="center"/>
          </w:tcPr>
          <w:p w14:paraId="3223AF91" w14:textId="39678F7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E13214C" w14:textId="54F7E74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1,150</w:t>
            </w:r>
          </w:p>
        </w:tc>
      </w:tr>
      <w:tr w:rsidR="00D006DC" w:rsidRPr="009423C3" w14:paraId="2CACC8F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5B2B296" w14:textId="457166B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STREAMING GUYS</w:t>
            </w:r>
          </w:p>
        </w:tc>
        <w:tc>
          <w:tcPr>
            <w:tcW w:w="4096" w:type="dxa"/>
            <w:tcBorders>
              <w:top w:val="single" w:sz="4" w:space="0" w:color="auto"/>
              <w:bottom w:val="single" w:sz="4" w:space="0" w:color="auto"/>
            </w:tcBorders>
            <w:vAlign w:val="center"/>
          </w:tcPr>
          <w:p w14:paraId="137A205A" w14:textId="2A7E49F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4F37D9D6" w14:textId="49E8F14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2,700</w:t>
            </w:r>
          </w:p>
        </w:tc>
      </w:tr>
      <w:tr w:rsidR="00D006DC" w:rsidRPr="009423C3" w14:paraId="565A948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A6D750" w14:textId="087E365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STRONGER SMARTER INSTITUTE LIMITED</w:t>
            </w:r>
          </w:p>
        </w:tc>
        <w:tc>
          <w:tcPr>
            <w:tcW w:w="4096" w:type="dxa"/>
            <w:tcBorders>
              <w:top w:val="single" w:sz="4" w:space="0" w:color="auto"/>
              <w:bottom w:val="single" w:sz="4" w:space="0" w:color="auto"/>
            </w:tcBorders>
            <w:vAlign w:val="center"/>
          </w:tcPr>
          <w:p w14:paraId="4A9F169E" w14:textId="171DDF66"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4337D4B" w14:textId="75F00AB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30,800</w:t>
            </w:r>
          </w:p>
        </w:tc>
      </w:tr>
      <w:tr w:rsidR="00D006DC" w:rsidRPr="009423C3" w14:paraId="390B262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C015A5B" w14:textId="14D82BE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SUCCESS MEASURES</w:t>
            </w:r>
          </w:p>
        </w:tc>
        <w:tc>
          <w:tcPr>
            <w:tcW w:w="4096" w:type="dxa"/>
            <w:tcBorders>
              <w:top w:val="single" w:sz="4" w:space="0" w:color="auto"/>
              <w:bottom w:val="single" w:sz="4" w:space="0" w:color="auto"/>
            </w:tcBorders>
            <w:vAlign w:val="center"/>
          </w:tcPr>
          <w:p w14:paraId="0AF4484D" w14:textId="44192EE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8867389" w14:textId="1528788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83,990</w:t>
            </w:r>
          </w:p>
        </w:tc>
      </w:tr>
      <w:tr w:rsidR="00D006DC" w:rsidRPr="009423C3" w14:paraId="568B76F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BC2DE9C" w14:textId="4CA3D5F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SUROTE PTY LTD</w:t>
            </w:r>
          </w:p>
        </w:tc>
        <w:tc>
          <w:tcPr>
            <w:tcW w:w="4096" w:type="dxa"/>
            <w:tcBorders>
              <w:top w:val="single" w:sz="4" w:space="0" w:color="auto"/>
              <w:bottom w:val="single" w:sz="4" w:space="0" w:color="auto"/>
            </w:tcBorders>
            <w:vAlign w:val="center"/>
          </w:tcPr>
          <w:p w14:paraId="7DE2F4F6" w14:textId="44551EA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6DC8FF6" w14:textId="1086D5E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13,925</w:t>
            </w:r>
          </w:p>
        </w:tc>
      </w:tr>
      <w:tr w:rsidR="00D006DC" w:rsidRPr="009423C3" w14:paraId="1D36269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F5F5D63" w14:textId="1FC8A6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SUSAN PATRICIA FARRELL</w:t>
            </w:r>
          </w:p>
        </w:tc>
        <w:tc>
          <w:tcPr>
            <w:tcW w:w="4096" w:type="dxa"/>
            <w:tcBorders>
              <w:top w:val="single" w:sz="4" w:space="0" w:color="auto"/>
              <w:bottom w:val="single" w:sz="4" w:space="0" w:color="auto"/>
            </w:tcBorders>
            <w:vAlign w:val="center"/>
          </w:tcPr>
          <w:p w14:paraId="488E6446" w14:textId="6FA792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9A9ABF2" w14:textId="0ABC6A9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2,044</w:t>
            </w:r>
          </w:p>
        </w:tc>
      </w:tr>
      <w:tr w:rsidR="00D006DC" w:rsidRPr="009423C3" w14:paraId="32B48A0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172B011" w14:textId="7950CF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SWINBURNE UNIVERSITY OF TECHNOLOGY</w:t>
            </w:r>
          </w:p>
        </w:tc>
        <w:tc>
          <w:tcPr>
            <w:tcW w:w="4096" w:type="dxa"/>
            <w:tcBorders>
              <w:top w:val="single" w:sz="4" w:space="0" w:color="auto"/>
              <w:bottom w:val="single" w:sz="4" w:space="0" w:color="auto"/>
            </w:tcBorders>
            <w:vAlign w:val="center"/>
          </w:tcPr>
          <w:p w14:paraId="67D94DC5" w14:textId="2C3492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689775B" w14:textId="77DA8E5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66,193</w:t>
            </w:r>
          </w:p>
        </w:tc>
      </w:tr>
      <w:tr w:rsidR="00D006DC" w:rsidRPr="009423C3" w14:paraId="63191DA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3209360" w14:textId="16928BB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SYNERGISTIQ PTY LTD</w:t>
            </w:r>
          </w:p>
        </w:tc>
        <w:tc>
          <w:tcPr>
            <w:tcW w:w="4096" w:type="dxa"/>
            <w:tcBorders>
              <w:top w:val="single" w:sz="4" w:space="0" w:color="auto"/>
              <w:bottom w:val="single" w:sz="4" w:space="0" w:color="auto"/>
            </w:tcBorders>
            <w:vAlign w:val="center"/>
          </w:tcPr>
          <w:p w14:paraId="23C29960" w14:textId="0F0616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B82C6FF" w14:textId="779D5A0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660,958</w:t>
            </w:r>
          </w:p>
        </w:tc>
      </w:tr>
      <w:tr w:rsidR="00D006DC" w:rsidRPr="009423C3" w14:paraId="5B09700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5932A44" w14:textId="6A946B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SYRIS CONSULTING PTY LTD</w:t>
            </w:r>
          </w:p>
        </w:tc>
        <w:tc>
          <w:tcPr>
            <w:tcW w:w="4096" w:type="dxa"/>
            <w:tcBorders>
              <w:top w:val="single" w:sz="4" w:space="0" w:color="auto"/>
              <w:bottom w:val="single" w:sz="4" w:space="0" w:color="auto"/>
            </w:tcBorders>
            <w:vAlign w:val="center"/>
          </w:tcPr>
          <w:p w14:paraId="09C95F0E" w14:textId="5AE28D6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50423A" w14:textId="4058640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104,310</w:t>
            </w:r>
          </w:p>
        </w:tc>
      </w:tr>
      <w:tr w:rsidR="00D006DC" w:rsidRPr="009423C3" w14:paraId="77E8D7F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41AB467" w14:textId="1A01C9F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TAFE QUEENSLAND</w:t>
            </w:r>
          </w:p>
        </w:tc>
        <w:tc>
          <w:tcPr>
            <w:tcW w:w="4096" w:type="dxa"/>
            <w:tcBorders>
              <w:top w:val="single" w:sz="4" w:space="0" w:color="auto"/>
              <w:bottom w:val="single" w:sz="4" w:space="0" w:color="auto"/>
            </w:tcBorders>
            <w:vAlign w:val="center"/>
          </w:tcPr>
          <w:p w14:paraId="5F878552" w14:textId="51AED54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D127394" w14:textId="3B3849D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280,589</w:t>
            </w:r>
          </w:p>
        </w:tc>
      </w:tr>
      <w:tr w:rsidR="00D006DC" w:rsidRPr="009423C3" w14:paraId="0434EB4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AB231D1" w14:textId="7974FF5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TALENT INTERNATIONAL (VIC) PTY LTD</w:t>
            </w:r>
          </w:p>
        </w:tc>
        <w:tc>
          <w:tcPr>
            <w:tcW w:w="4096" w:type="dxa"/>
            <w:tcBorders>
              <w:top w:val="single" w:sz="4" w:space="0" w:color="auto"/>
              <w:bottom w:val="single" w:sz="4" w:space="0" w:color="auto"/>
            </w:tcBorders>
            <w:vAlign w:val="center"/>
          </w:tcPr>
          <w:p w14:paraId="612DE7FB" w14:textId="1875793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Contract staff</w:t>
            </w:r>
          </w:p>
        </w:tc>
        <w:tc>
          <w:tcPr>
            <w:tcW w:w="1417" w:type="dxa"/>
            <w:tcBorders>
              <w:top w:val="single" w:sz="4" w:space="0" w:color="auto"/>
              <w:bottom w:val="single" w:sz="4" w:space="0" w:color="auto"/>
            </w:tcBorders>
            <w:shd w:val="clear" w:color="auto" w:fill="auto"/>
            <w:vAlign w:val="center"/>
          </w:tcPr>
          <w:p w14:paraId="392965D8" w14:textId="6DB7F22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3,211,174</w:t>
            </w:r>
          </w:p>
        </w:tc>
      </w:tr>
      <w:tr w:rsidR="00D006DC" w:rsidRPr="009423C3" w14:paraId="3F1E50A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D320A01" w14:textId="44D154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TALK RECRUITMENT LIMITED</w:t>
            </w:r>
          </w:p>
        </w:tc>
        <w:tc>
          <w:tcPr>
            <w:tcW w:w="4096" w:type="dxa"/>
            <w:tcBorders>
              <w:top w:val="single" w:sz="4" w:space="0" w:color="auto"/>
              <w:bottom w:val="single" w:sz="4" w:space="0" w:color="auto"/>
            </w:tcBorders>
            <w:vAlign w:val="center"/>
          </w:tcPr>
          <w:p w14:paraId="03B6D010" w14:textId="2D9066D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1758A77E" w14:textId="17C5C34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25,000</w:t>
            </w:r>
          </w:p>
        </w:tc>
      </w:tr>
      <w:tr w:rsidR="00D006DC" w:rsidRPr="009423C3" w14:paraId="2778C0C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9092C9A" w14:textId="18E098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TALKING THE TALK SEX AND HEALTH EDUCATION</w:t>
            </w:r>
          </w:p>
        </w:tc>
        <w:tc>
          <w:tcPr>
            <w:tcW w:w="4096" w:type="dxa"/>
            <w:tcBorders>
              <w:top w:val="single" w:sz="4" w:space="0" w:color="auto"/>
              <w:bottom w:val="single" w:sz="4" w:space="0" w:color="auto"/>
            </w:tcBorders>
            <w:vAlign w:val="center"/>
          </w:tcPr>
          <w:p w14:paraId="4000D52E" w14:textId="76133323"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7AFF1941" w14:textId="52B7608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10,650</w:t>
            </w:r>
          </w:p>
        </w:tc>
      </w:tr>
      <w:tr w:rsidR="00D006DC" w:rsidRPr="009423C3" w14:paraId="1A9862C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87ACEA" w14:textId="5FFE15E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TAM VU</w:t>
            </w:r>
          </w:p>
        </w:tc>
        <w:tc>
          <w:tcPr>
            <w:tcW w:w="4096" w:type="dxa"/>
            <w:tcBorders>
              <w:top w:val="single" w:sz="4" w:space="0" w:color="auto"/>
              <w:bottom w:val="single" w:sz="4" w:space="0" w:color="auto"/>
            </w:tcBorders>
            <w:vAlign w:val="center"/>
          </w:tcPr>
          <w:p w14:paraId="16017011" w14:textId="319AD4A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034F499" w14:textId="1BDCB1B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14,409</w:t>
            </w:r>
          </w:p>
        </w:tc>
      </w:tr>
      <w:tr w:rsidR="00D006DC" w:rsidRPr="009423C3" w14:paraId="733BB68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3134EC7" w14:textId="7C9A389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TAMARA NICOLE PEARCE</w:t>
            </w:r>
          </w:p>
        </w:tc>
        <w:tc>
          <w:tcPr>
            <w:tcW w:w="4096" w:type="dxa"/>
            <w:tcBorders>
              <w:top w:val="single" w:sz="4" w:space="0" w:color="auto"/>
              <w:bottom w:val="single" w:sz="4" w:space="0" w:color="auto"/>
            </w:tcBorders>
            <w:vAlign w:val="center"/>
          </w:tcPr>
          <w:p w14:paraId="76C20F3E" w14:textId="43797F1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CFAD65" w14:textId="270CD8B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27,068</w:t>
            </w:r>
          </w:p>
        </w:tc>
      </w:tr>
      <w:tr w:rsidR="00D006DC" w:rsidRPr="009423C3" w14:paraId="43FB0FF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4D5899E" w14:textId="32E3A68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TAMIKA BURDETT</w:t>
            </w:r>
          </w:p>
        </w:tc>
        <w:tc>
          <w:tcPr>
            <w:tcW w:w="4096" w:type="dxa"/>
            <w:tcBorders>
              <w:top w:val="single" w:sz="4" w:space="0" w:color="auto"/>
              <w:bottom w:val="single" w:sz="4" w:space="0" w:color="auto"/>
            </w:tcBorders>
            <w:vAlign w:val="center"/>
          </w:tcPr>
          <w:p w14:paraId="1F0D5DEC" w14:textId="627830A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ED8F34F" w14:textId="37F0606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3,750</w:t>
            </w:r>
          </w:p>
        </w:tc>
      </w:tr>
      <w:tr w:rsidR="00D006DC" w:rsidRPr="009423C3" w14:paraId="30E32EA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1A050A6" w14:textId="1BAFE79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TARR ALENA</w:t>
            </w:r>
          </w:p>
        </w:tc>
        <w:tc>
          <w:tcPr>
            <w:tcW w:w="4096" w:type="dxa"/>
            <w:tcBorders>
              <w:top w:val="single" w:sz="4" w:space="0" w:color="auto"/>
              <w:bottom w:val="single" w:sz="4" w:space="0" w:color="auto"/>
            </w:tcBorders>
            <w:vAlign w:val="center"/>
          </w:tcPr>
          <w:p w14:paraId="4E42A295" w14:textId="4653D22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D640365" w14:textId="18B24DF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17,610</w:t>
            </w:r>
          </w:p>
        </w:tc>
      </w:tr>
      <w:tr w:rsidR="00D006DC" w:rsidRPr="009423C3" w14:paraId="3E4FD48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81AB57" w14:textId="0B665CE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TARRYN SHEEHAN</w:t>
            </w:r>
          </w:p>
        </w:tc>
        <w:tc>
          <w:tcPr>
            <w:tcW w:w="4096" w:type="dxa"/>
            <w:tcBorders>
              <w:top w:val="single" w:sz="4" w:space="0" w:color="auto"/>
              <w:bottom w:val="single" w:sz="4" w:space="0" w:color="auto"/>
            </w:tcBorders>
            <w:vAlign w:val="center"/>
          </w:tcPr>
          <w:p w14:paraId="0796E6F3" w14:textId="710768D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326B08C" w14:textId="444D757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2,450</w:t>
            </w:r>
          </w:p>
        </w:tc>
      </w:tr>
      <w:tr w:rsidR="00D006DC" w:rsidRPr="009423C3" w14:paraId="46096CB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7985D6A" w14:textId="6AA0382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TEAM TEACH ASIA PACIFIC PTY LIMITED</w:t>
            </w:r>
          </w:p>
        </w:tc>
        <w:tc>
          <w:tcPr>
            <w:tcW w:w="4096" w:type="dxa"/>
            <w:tcBorders>
              <w:top w:val="single" w:sz="4" w:space="0" w:color="auto"/>
              <w:bottom w:val="single" w:sz="4" w:space="0" w:color="auto"/>
            </w:tcBorders>
            <w:vAlign w:val="center"/>
          </w:tcPr>
          <w:p w14:paraId="4B446B59" w14:textId="12743481"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1AD705E2" w14:textId="0E3A413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14,037</w:t>
            </w:r>
          </w:p>
        </w:tc>
      </w:tr>
      <w:tr w:rsidR="00D006DC" w:rsidRPr="009423C3" w14:paraId="0FF8E85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29BA7FA" w14:textId="6BE411D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TECH-SAVVY SOLUTIONS</w:t>
            </w:r>
          </w:p>
        </w:tc>
        <w:tc>
          <w:tcPr>
            <w:tcW w:w="4096" w:type="dxa"/>
            <w:tcBorders>
              <w:top w:val="single" w:sz="4" w:space="0" w:color="auto"/>
              <w:bottom w:val="single" w:sz="4" w:space="0" w:color="auto"/>
            </w:tcBorders>
            <w:vAlign w:val="center"/>
          </w:tcPr>
          <w:p w14:paraId="58880E51" w14:textId="278DA73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769A13DC" w14:textId="0055E7A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11,460</w:t>
            </w:r>
          </w:p>
        </w:tc>
      </w:tr>
      <w:tr w:rsidR="00D006DC" w:rsidRPr="009423C3" w14:paraId="7628729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AF6308A" w14:textId="7AA44A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TEGAN ANN PODUBINSKI</w:t>
            </w:r>
          </w:p>
        </w:tc>
        <w:tc>
          <w:tcPr>
            <w:tcW w:w="4096" w:type="dxa"/>
            <w:tcBorders>
              <w:top w:val="single" w:sz="4" w:space="0" w:color="auto"/>
              <w:bottom w:val="single" w:sz="4" w:space="0" w:color="auto"/>
            </w:tcBorders>
            <w:vAlign w:val="center"/>
          </w:tcPr>
          <w:p w14:paraId="31B0FD4B" w14:textId="0BCD0A7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DF1F3F2" w14:textId="5417809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1,820</w:t>
            </w:r>
          </w:p>
        </w:tc>
      </w:tr>
      <w:tr w:rsidR="00D006DC" w:rsidRPr="009423C3" w14:paraId="20FA446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8C1D9DD" w14:textId="24AC5F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TELSTRA CORPORATION LTD</w:t>
            </w:r>
          </w:p>
        </w:tc>
        <w:tc>
          <w:tcPr>
            <w:tcW w:w="4096" w:type="dxa"/>
            <w:tcBorders>
              <w:top w:val="single" w:sz="4" w:space="0" w:color="auto"/>
              <w:bottom w:val="single" w:sz="4" w:space="0" w:color="auto"/>
            </w:tcBorders>
            <w:vAlign w:val="center"/>
          </w:tcPr>
          <w:p w14:paraId="0FCFAB43" w14:textId="406CCA36"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2CE9D0C1" w14:textId="06CC818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4,150</w:t>
            </w:r>
          </w:p>
        </w:tc>
      </w:tr>
      <w:tr w:rsidR="00D006DC" w:rsidRPr="009423C3" w14:paraId="4EC4CA8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C1FA193" w14:textId="6E911C5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TELSTRA PURPLE PTY LTD</w:t>
            </w:r>
          </w:p>
        </w:tc>
        <w:tc>
          <w:tcPr>
            <w:tcW w:w="4096" w:type="dxa"/>
            <w:tcBorders>
              <w:top w:val="single" w:sz="4" w:space="0" w:color="auto"/>
              <w:bottom w:val="single" w:sz="4" w:space="0" w:color="auto"/>
            </w:tcBorders>
            <w:vAlign w:val="center"/>
          </w:tcPr>
          <w:p w14:paraId="2486630A" w14:textId="4FF8ED5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9239EB" w14:textId="1BB674E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10,154</w:t>
            </w:r>
          </w:p>
        </w:tc>
      </w:tr>
      <w:tr w:rsidR="00D006DC" w:rsidRPr="009423C3" w14:paraId="0CED860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E9B8FC9" w14:textId="41B0A32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TERRA FIRMA PTY LTD</w:t>
            </w:r>
          </w:p>
        </w:tc>
        <w:tc>
          <w:tcPr>
            <w:tcW w:w="4096" w:type="dxa"/>
            <w:tcBorders>
              <w:top w:val="single" w:sz="4" w:space="0" w:color="auto"/>
              <w:bottom w:val="single" w:sz="4" w:space="0" w:color="auto"/>
            </w:tcBorders>
            <w:vAlign w:val="center"/>
          </w:tcPr>
          <w:p w14:paraId="60E808EE" w14:textId="306F0C9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0AB767E" w14:textId="2F41FFE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677,567</w:t>
            </w:r>
          </w:p>
        </w:tc>
      </w:tr>
      <w:tr w:rsidR="00D006DC" w:rsidRPr="009423C3" w14:paraId="3F414F9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F3CAF77" w14:textId="12020F1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ALT SHIFT MELBOURNE</w:t>
            </w:r>
          </w:p>
        </w:tc>
        <w:tc>
          <w:tcPr>
            <w:tcW w:w="4096" w:type="dxa"/>
            <w:tcBorders>
              <w:top w:val="single" w:sz="4" w:space="0" w:color="auto"/>
              <w:bottom w:val="single" w:sz="4" w:space="0" w:color="auto"/>
            </w:tcBorders>
            <w:vAlign w:val="center"/>
          </w:tcPr>
          <w:p w14:paraId="26241CAF" w14:textId="740AA4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6D1EBE" w14:textId="574647B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470,350</w:t>
            </w:r>
          </w:p>
        </w:tc>
      </w:tr>
      <w:tr w:rsidR="00D006DC" w:rsidRPr="009423C3" w14:paraId="1CF38EE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79640C5" w14:textId="3E3B3D2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DUCENDI GROUP</w:t>
            </w:r>
          </w:p>
        </w:tc>
        <w:tc>
          <w:tcPr>
            <w:tcW w:w="4096" w:type="dxa"/>
            <w:tcBorders>
              <w:top w:val="single" w:sz="4" w:space="0" w:color="auto"/>
              <w:bottom w:val="single" w:sz="4" w:space="0" w:color="auto"/>
            </w:tcBorders>
            <w:vAlign w:val="center"/>
          </w:tcPr>
          <w:p w14:paraId="6A3FB043" w14:textId="01A702E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859ED5B" w14:textId="7F270EB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1BD2FC2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6BF1641" w14:textId="186B6DA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HATCHERY (HUB) PTY LTD</w:t>
            </w:r>
          </w:p>
        </w:tc>
        <w:tc>
          <w:tcPr>
            <w:tcW w:w="4096" w:type="dxa"/>
            <w:tcBorders>
              <w:top w:val="single" w:sz="4" w:space="0" w:color="auto"/>
              <w:bottom w:val="single" w:sz="4" w:space="0" w:color="auto"/>
            </w:tcBorders>
            <w:vAlign w:val="center"/>
          </w:tcPr>
          <w:p w14:paraId="2BC594A1" w14:textId="6C5B4EE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5E3B63C" w14:textId="05EED19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8,596</w:t>
            </w:r>
          </w:p>
        </w:tc>
      </w:tr>
      <w:tr w:rsidR="00D006DC" w:rsidRPr="009423C3" w14:paraId="46EC9EE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82054A4" w14:textId="35EAF6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LEARNER FIRST PTY LTD</w:t>
            </w:r>
          </w:p>
        </w:tc>
        <w:tc>
          <w:tcPr>
            <w:tcW w:w="4096" w:type="dxa"/>
            <w:tcBorders>
              <w:top w:val="single" w:sz="4" w:space="0" w:color="auto"/>
              <w:bottom w:val="single" w:sz="4" w:space="0" w:color="auto"/>
            </w:tcBorders>
            <w:vAlign w:val="center"/>
          </w:tcPr>
          <w:p w14:paraId="5B5BBD57" w14:textId="4B0931B7"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697BA16C" w14:textId="383D9E8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42,300</w:t>
            </w:r>
          </w:p>
        </w:tc>
      </w:tr>
      <w:tr w:rsidR="00D006DC" w:rsidRPr="009423C3" w14:paraId="5735E05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E97CDC4" w14:textId="2EF6E04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LIFESTYLE SUITE TALENT PTY LTD</w:t>
            </w:r>
          </w:p>
        </w:tc>
        <w:tc>
          <w:tcPr>
            <w:tcW w:w="4096" w:type="dxa"/>
            <w:tcBorders>
              <w:top w:val="single" w:sz="4" w:space="0" w:color="auto"/>
              <w:bottom w:val="single" w:sz="4" w:space="0" w:color="auto"/>
            </w:tcBorders>
            <w:vAlign w:val="center"/>
          </w:tcPr>
          <w:p w14:paraId="20BDC29B" w14:textId="5007EC9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ADF6517" w14:textId="5B0B8DE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6,474</w:t>
            </w:r>
          </w:p>
        </w:tc>
      </w:tr>
      <w:tr w:rsidR="00D006DC" w:rsidRPr="009423C3" w14:paraId="03A33D7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8EC8AA0" w14:textId="654EDFB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GREEN HERITAGE UNIT TRUST</w:t>
            </w:r>
          </w:p>
        </w:tc>
        <w:tc>
          <w:tcPr>
            <w:tcW w:w="4096" w:type="dxa"/>
            <w:tcBorders>
              <w:top w:val="single" w:sz="4" w:space="0" w:color="auto"/>
              <w:bottom w:val="single" w:sz="4" w:space="0" w:color="auto"/>
            </w:tcBorders>
            <w:vAlign w:val="center"/>
          </w:tcPr>
          <w:p w14:paraId="358F033A" w14:textId="1DE8FCF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A7B9F83" w14:textId="0E3D843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26,500</w:t>
            </w:r>
          </w:p>
        </w:tc>
      </w:tr>
      <w:tr w:rsidR="00D006DC" w:rsidRPr="009423C3" w14:paraId="454D98B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8797551" w14:textId="690729A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H W CAHILL FAMILY TRUST</w:t>
            </w:r>
          </w:p>
        </w:tc>
        <w:tc>
          <w:tcPr>
            <w:tcW w:w="4096" w:type="dxa"/>
            <w:tcBorders>
              <w:top w:val="single" w:sz="4" w:space="0" w:color="auto"/>
              <w:bottom w:val="single" w:sz="4" w:space="0" w:color="auto"/>
            </w:tcBorders>
            <w:vAlign w:val="center"/>
          </w:tcPr>
          <w:p w14:paraId="569666A9" w14:textId="37A24A05"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62ED511C" w14:textId="094FE3A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164,300</w:t>
            </w:r>
          </w:p>
        </w:tc>
      </w:tr>
      <w:tr w:rsidR="00D006DC" w:rsidRPr="009423C3" w14:paraId="3DE82C3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CE8230E" w14:textId="58DCBC4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HART FAMILY TRUST</w:t>
            </w:r>
          </w:p>
        </w:tc>
        <w:tc>
          <w:tcPr>
            <w:tcW w:w="4096" w:type="dxa"/>
            <w:tcBorders>
              <w:top w:val="single" w:sz="4" w:space="0" w:color="auto"/>
              <w:bottom w:val="single" w:sz="4" w:space="0" w:color="auto"/>
            </w:tcBorders>
            <w:vAlign w:val="center"/>
          </w:tcPr>
          <w:p w14:paraId="0095BEFC" w14:textId="272EF3D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BCC766F" w14:textId="4F4E2E7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8,350</w:t>
            </w:r>
          </w:p>
        </w:tc>
      </w:tr>
      <w:tr w:rsidR="00D006DC" w:rsidRPr="009423C3" w14:paraId="03CE67D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EF5C9B6" w14:textId="055A5D0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JWS RESEARCH UNIT TRUST</w:t>
            </w:r>
          </w:p>
        </w:tc>
        <w:tc>
          <w:tcPr>
            <w:tcW w:w="4096" w:type="dxa"/>
            <w:tcBorders>
              <w:top w:val="single" w:sz="4" w:space="0" w:color="auto"/>
              <w:bottom w:val="single" w:sz="4" w:space="0" w:color="auto"/>
            </w:tcBorders>
            <w:vAlign w:val="center"/>
          </w:tcPr>
          <w:p w14:paraId="06480710" w14:textId="76AEE94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443B048" w14:textId="2F37EA3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241,200</w:t>
            </w:r>
          </w:p>
        </w:tc>
      </w:tr>
      <w:tr w:rsidR="00D006DC" w:rsidRPr="009423C3" w14:paraId="00D7368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0735B7C" w14:textId="0F20F40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LEADING TEAMS BUSINESS UNIT 1 UNIT TRUST</w:t>
            </w:r>
          </w:p>
        </w:tc>
        <w:tc>
          <w:tcPr>
            <w:tcW w:w="4096" w:type="dxa"/>
            <w:tcBorders>
              <w:top w:val="single" w:sz="4" w:space="0" w:color="auto"/>
              <w:bottom w:val="single" w:sz="4" w:space="0" w:color="auto"/>
            </w:tcBorders>
            <w:vAlign w:val="center"/>
          </w:tcPr>
          <w:p w14:paraId="0489617E" w14:textId="7E3FA02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56DD027" w14:textId="69EF63D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6877151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B544C2F" w14:textId="1FD6E69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LEE FAMILY TRUST</w:t>
            </w:r>
          </w:p>
        </w:tc>
        <w:tc>
          <w:tcPr>
            <w:tcW w:w="4096" w:type="dxa"/>
            <w:tcBorders>
              <w:top w:val="single" w:sz="4" w:space="0" w:color="auto"/>
              <w:bottom w:val="single" w:sz="4" w:space="0" w:color="auto"/>
            </w:tcBorders>
            <w:vAlign w:val="center"/>
          </w:tcPr>
          <w:p w14:paraId="4BFB912C" w14:textId="1258BF0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CFD3215" w14:textId="71A5C57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6,000</w:t>
            </w:r>
          </w:p>
        </w:tc>
      </w:tr>
      <w:tr w:rsidR="00D006DC" w:rsidRPr="009423C3" w14:paraId="7B679D4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B70D571" w14:textId="7F95301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MMC FAMILY TRUST</w:t>
            </w:r>
          </w:p>
        </w:tc>
        <w:tc>
          <w:tcPr>
            <w:tcW w:w="4096" w:type="dxa"/>
            <w:tcBorders>
              <w:top w:val="single" w:sz="4" w:space="0" w:color="auto"/>
              <w:bottom w:val="single" w:sz="4" w:space="0" w:color="auto"/>
            </w:tcBorders>
            <w:vAlign w:val="center"/>
          </w:tcPr>
          <w:p w14:paraId="72B931D4" w14:textId="19637FE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45B993CB" w14:textId="192ECA1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18,400</w:t>
            </w:r>
          </w:p>
        </w:tc>
      </w:tr>
      <w:tr w:rsidR="00D006DC" w:rsidRPr="009423C3" w14:paraId="1889C3A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10A628C" w14:textId="330C846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MUNRO FAMILY TRUST</w:t>
            </w:r>
          </w:p>
        </w:tc>
        <w:tc>
          <w:tcPr>
            <w:tcW w:w="4096" w:type="dxa"/>
            <w:tcBorders>
              <w:top w:val="single" w:sz="4" w:space="0" w:color="auto"/>
              <w:bottom w:val="single" w:sz="4" w:space="0" w:color="auto"/>
            </w:tcBorders>
            <w:vAlign w:val="center"/>
          </w:tcPr>
          <w:p w14:paraId="16736B1B" w14:textId="0240B4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4E0A0E8" w14:textId="0749D18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39,000</w:t>
            </w:r>
          </w:p>
        </w:tc>
      </w:tr>
      <w:tr w:rsidR="00D006DC" w:rsidRPr="009423C3" w14:paraId="3A28202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24335C" w14:textId="35F8664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RAISE FOUNDATION</w:t>
            </w:r>
          </w:p>
        </w:tc>
        <w:tc>
          <w:tcPr>
            <w:tcW w:w="4096" w:type="dxa"/>
            <w:tcBorders>
              <w:top w:val="single" w:sz="4" w:space="0" w:color="auto"/>
              <w:bottom w:val="single" w:sz="4" w:space="0" w:color="auto"/>
            </w:tcBorders>
            <w:vAlign w:val="center"/>
          </w:tcPr>
          <w:p w14:paraId="1FD35220" w14:textId="1578F67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902594A" w14:textId="5C94431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2,000</w:t>
            </w:r>
          </w:p>
        </w:tc>
      </w:tr>
      <w:tr w:rsidR="00D006DC" w:rsidRPr="009423C3" w14:paraId="421D2DD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677CAC" w14:textId="3EDEBFF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ROBOSOFT DISCRETIONARY TRUST</w:t>
            </w:r>
          </w:p>
        </w:tc>
        <w:tc>
          <w:tcPr>
            <w:tcW w:w="4096" w:type="dxa"/>
            <w:tcBorders>
              <w:top w:val="single" w:sz="4" w:space="0" w:color="auto"/>
              <w:bottom w:val="single" w:sz="4" w:space="0" w:color="auto"/>
            </w:tcBorders>
            <w:vAlign w:val="center"/>
          </w:tcPr>
          <w:p w14:paraId="0D26A4E9" w14:textId="270BE287"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1E912AA1" w14:textId="370B6F2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10,245</w:t>
            </w:r>
          </w:p>
        </w:tc>
      </w:tr>
      <w:tr w:rsidR="00D006DC" w:rsidRPr="009423C3" w14:paraId="72B5FD0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4756D25" w14:textId="4CB3C97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THE ABFA TRUST</w:t>
            </w:r>
          </w:p>
        </w:tc>
        <w:tc>
          <w:tcPr>
            <w:tcW w:w="4096" w:type="dxa"/>
            <w:tcBorders>
              <w:top w:val="single" w:sz="4" w:space="0" w:color="auto"/>
              <w:bottom w:val="single" w:sz="4" w:space="0" w:color="auto"/>
            </w:tcBorders>
            <w:vAlign w:val="center"/>
          </w:tcPr>
          <w:p w14:paraId="57E919EE" w14:textId="2843CD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494921C" w14:textId="4C2496A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2,500</w:t>
            </w:r>
          </w:p>
        </w:tc>
      </w:tr>
      <w:tr w:rsidR="00D006DC" w:rsidRPr="009423C3" w14:paraId="62C5C02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ABA0DD4" w14:textId="32B4CFE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THE PEARSALL FAMILY TRUST</w:t>
            </w:r>
          </w:p>
        </w:tc>
        <w:tc>
          <w:tcPr>
            <w:tcW w:w="4096" w:type="dxa"/>
            <w:tcBorders>
              <w:top w:val="single" w:sz="4" w:space="0" w:color="auto"/>
              <w:bottom w:val="single" w:sz="4" w:space="0" w:color="auto"/>
            </w:tcBorders>
            <w:vAlign w:val="center"/>
          </w:tcPr>
          <w:p w14:paraId="5EB14EB6" w14:textId="5D978F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258E02" w14:textId="1A5E8F8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1,000</w:t>
            </w:r>
          </w:p>
        </w:tc>
      </w:tr>
      <w:tr w:rsidR="00D006DC" w:rsidRPr="009423C3" w14:paraId="0369F9C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69D224" w14:textId="38B4A6E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THE PREECE FAMILY TRUST</w:t>
            </w:r>
          </w:p>
        </w:tc>
        <w:tc>
          <w:tcPr>
            <w:tcW w:w="4096" w:type="dxa"/>
            <w:tcBorders>
              <w:top w:val="single" w:sz="4" w:space="0" w:color="auto"/>
              <w:bottom w:val="single" w:sz="4" w:space="0" w:color="auto"/>
            </w:tcBorders>
            <w:vAlign w:val="center"/>
          </w:tcPr>
          <w:p w14:paraId="11AF827A" w14:textId="0574A2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52D3C2B" w14:textId="667C58C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8,400</w:t>
            </w:r>
          </w:p>
        </w:tc>
      </w:tr>
      <w:tr w:rsidR="00D006DC" w:rsidRPr="009423C3" w14:paraId="1254C9E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3A08EC1" w14:textId="4B678CA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THE ROBINSON FAMILY TRUST</w:t>
            </w:r>
          </w:p>
        </w:tc>
        <w:tc>
          <w:tcPr>
            <w:tcW w:w="4096" w:type="dxa"/>
            <w:tcBorders>
              <w:top w:val="single" w:sz="4" w:space="0" w:color="auto"/>
              <w:bottom w:val="single" w:sz="4" w:space="0" w:color="auto"/>
            </w:tcBorders>
            <w:vAlign w:val="center"/>
          </w:tcPr>
          <w:p w14:paraId="119149D3" w14:textId="5E8B0CB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C9D09D" w14:textId="1774084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157,260</w:t>
            </w:r>
          </w:p>
        </w:tc>
      </w:tr>
      <w:tr w:rsidR="00D006DC" w:rsidRPr="009423C3" w14:paraId="59E19DB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9D2D64C" w14:textId="596F257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TRUSTEE FOR WISE OWL PSYCHOLOGY UNIT TRUST</w:t>
            </w:r>
          </w:p>
        </w:tc>
        <w:tc>
          <w:tcPr>
            <w:tcW w:w="4096" w:type="dxa"/>
            <w:tcBorders>
              <w:top w:val="single" w:sz="4" w:space="0" w:color="auto"/>
              <w:bottom w:val="single" w:sz="4" w:space="0" w:color="auto"/>
            </w:tcBorders>
            <w:vAlign w:val="center"/>
          </w:tcPr>
          <w:p w14:paraId="0873F59C" w14:textId="17FC7E7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A20689" w14:textId="4C8BDB2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5,364</w:t>
            </w:r>
          </w:p>
        </w:tc>
      </w:tr>
      <w:tr w:rsidR="00D006DC" w:rsidRPr="009423C3" w14:paraId="01E07A6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F6B8D08" w14:textId="2C63CED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 UNIVERSITY OF NEW ENGLAND</w:t>
            </w:r>
          </w:p>
        </w:tc>
        <w:tc>
          <w:tcPr>
            <w:tcW w:w="4096" w:type="dxa"/>
            <w:tcBorders>
              <w:top w:val="single" w:sz="4" w:space="0" w:color="auto"/>
              <w:bottom w:val="single" w:sz="4" w:space="0" w:color="auto"/>
            </w:tcBorders>
            <w:vAlign w:val="center"/>
          </w:tcPr>
          <w:p w14:paraId="1C0E3DCE" w14:textId="0C03269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965CFC4" w14:textId="6FEC147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163,921</w:t>
            </w:r>
          </w:p>
        </w:tc>
      </w:tr>
      <w:tr w:rsidR="00D006DC" w:rsidRPr="009423C3" w14:paraId="7EF8EFD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BC59AD7" w14:textId="4EDA207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THEIRCARE PTY LTD</w:t>
            </w:r>
          </w:p>
        </w:tc>
        <w:tc>
          <w:tcPr>
            <w:tcW w:w="4096" w:type="dxa"/>
            <w:tcBorders>
              <w:top w:val="single" w:sz="4" w:space="0" w:color="auto"/>
              <w:bottom w:val="single" w:sz="4" w:space="0" w:color="auto"/>
            </w:tcBorders>
            <w:vAlign w:val="center"/>
          </w:tcPr>
          <w:p w14:paraId="06D1EB86" w14:textId="211CBCE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E452DC0" w14:textId="6688399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4,005,178</w:t>
            </w:r>
          </w:p>
        </w:tc>
      </w:tr>
      <w:tr w:rsidR="00D006DC" w:rsidRPr="009423C3" w14:paraId="62BFFEB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F1539A9" w14:textId="13174FB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THERAPEUTIC ENGAGEMENT SUPPORT SERVICES ASSOCIATION</w:t>
            </w:r>
          </w:p>
        </w:tc>
        <w:tc>
          <w:tcPr>
            <w:tcW w:w="4096" w:type="dxa"/>
            <w:tcBorders>
              <w:top w:val="single" w:sz="4" w:space="0" w:color="auto"/>
              <w:bottom w:val="single" w:sz="4" w:space="0" w:color="auto"/>
            </w:tcBorders>
            <w:vAlign w:val="center"/>
          </w:tcPr>
          <w:p w14:paraId="5C51D14C" w14:textId="350F24EF"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9D746B2" w14:textId="1C926D5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38,056</w:t>
            </w:r>
          </w:p>
        </w:tc>
      </w:tr>
      <w:tr w:rsidR="00D006DC" w:rsidRPr="009423C3" w14:paraId="68801D1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A9AB8F2" w14:textId="3879858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THERESE RAULIN</w:t>
            </w:r>
          </w:p>
        </w:tc>
        <w:tc>
          <w:tcPr>
            <w:tcW w:w="4096" w:type="dxa"/>
            <w:tcBorders>
              <w:top w:val="single" w:sz="4" w:space="0" w:color="auto"/>
              <w:bottom w:val="single" w:sz="4" w:space="0" w:color="auto"/>
            </w:tcBorders>
            <w:vAlign w:val="center"/>
          </w:tcPr>
          <w:p w14:paraId="1CB6044B" w14:textId="2903D1D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DCF65C6" w14:textId="1295605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60,110</w:t>
            </w:r>
          </w:p>
        </w:tc>
      </w:tr>
      <w:tr w:rsidR="00D006DC" w:rsidRPr="009423C3" w14:paraId="58A9B8F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5E8019A" w14:textId="079D0D5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THINK PRODUCTIONS</w:t>
            </w:r>
          </w:p>
        </w:tc>
        <w:tc>
          <w:tcPr>
            <w:tcW w:w="4096" w:type="dxa"/>
            <w:tcBorders>
              <w:top w:val="single" w:sz="4" w:space="0" w:color="auto"/>
              <w:bottom w:val="single" w:sz="4" w:space="0" w:color="auto"/>
            </w:tcBorders>
            <w:vAlign w:val="center"/>
          </w:tcPr>
          <w:p w14:paraId="00921E0E" w14:textId="6884460C" w:rsidR="00D006DC" w:rsidRPr="008457E1" w:rsidRDefault="008C105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097BFE7" w14:textId="15AB091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14,550</w:t>
            </w:r>
          </w:p>
        </w:tc>
      </w:tr>
      <w:tr w:rsidR="00D006DC" w:rsidRPr="009423C3" w14:paraId="48DCF0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229BBFA" w14:textId="5D87D01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THINK PSYCHOLOGISTS</w:t>
            </w:r>
          </w:p>
        </w:tc>
        <w:tc>
          <w:tcPr>
            <w:tcW w:w="4096" w:type="dxa"/>
            <w:tcBorders>
              <w:top w:val="single" w:sz="4" w:space="0" w:color="auto"/>
              <w:bottom w:val="single" w:sz="4" w:space="0" w:color="auto"/>
            </w:tcBorders>
            <w:vAlign w:val="center"/>
          </w:tcPr>
          <w:p w14:paraId="161D21B1" w14:textId="3E476A1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6A23BCC" w14:textId="54BE86E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1,595</w:t>
            </w:r>
          </w:p>
        </w:tc>
      </w:tr>
      <w:tr w:rsidR="00D006DC" w:rsidRPr="009423C3" w14:paraId="79AA985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EFBA917" w14:textId="2C49C7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THINK THEN CREATE</w:t>
            </w:r>
          </w:p>
        </w:tc>
        <w:tc>
          <w:tcPr>
            <w:tcW w:w="4096" w:type="dxa"/>
            <w:tcBorders>
              <w:top w:val="single" w:sz="4" w:space="0" w:color="auto"/>
              <w:bottom w:val="single" w:sz="4" w:space="0" w:color="auto"/>
            </w:tcBorders>
            <w:vAlign w:val="center"/>
          </w:tcPr>
          <w:p w14:paraId="7792BF81" w14:textId="2565F89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3C9A422" w14:textId="53FF966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77,607</w:t>
            </w:r>
          </w:p>
        </w:tc>
      </w:tr>
      <w:tr w:rsidR="00D006DC" w:rsidRPr="009423C3" w14:paraId="4B352B0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0A2782E" w14:textId="0F3988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THINKA</w:t>
            </w:r>
          </w:p>
        </w:tc>
        <w:tc>
          <w:tcPr>
            <w:tcW w:w="4096" w:type="dxa"/>
            <w:tcBorders>
              <w:top w:val="single" w:sz="4" w:space="0" w:color="auto"/>
              <w:bottom w:val="single" w:sz="4" w:space="0" w:color="auto"/>
            </w:tcBorders>
            <w:vAlign w:val="center"/>
          </w:tcPr>
          <w:p w14:paraId="13E92FE4" w14:textId="2D26CDA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3DEF3A0" w14:textId="44AD07D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153,139</w:t>
            </w:r>
          </w:p>
        </w:tc>
      </w:tr>
      <w:tr w:rsidR="00D006DC" w:rsidRPr="009423C3" w14:paraId="74A90C8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1BF6BCD" w14:textId="3D1394F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THRIVE WELLNESS &amp; CONSULTING</w:t>
            </w:r>
          </w:p>
        </w:tc>
        <w:tc>
          <w:tcPr>
            <w:tcW w:w="4096" w:type="dxa"/>
            <w:tcBorders>
              <w:top w:val="single" w:sz="4" w:space="0" w:color="auto"/>
              <w:bottom w:val="single" w:sz="4" w:space="0" w:color="auto"/>
            </w:tcBorders>
            <w:vAlign w:val="center"/>
          </w:tcPr>
          <w:p w14:paraId="37977848" w14:textId="3346558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8EE2FB5" w14:textId="2C4B92F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1,909</w:t>
            </w:r>
          </w:p>
        </w:tc>
      </w:tr>
      <w:tr w:rsidR="00D006DC" w:rsidRPr="009423C3" w14:paraId="690E515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4521506" w14:textId="6A525B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TIMPERLEY CONSULTANTS</w:t>
            </w:r>
          </w:p>
        </w:tc>
        <w:tc>
          <w:tcPr>
            <w:tcW w:w="4096" w:type="dxa"/>
            <w:tcBorders>
              <w:top w:val="single" w:sz="4" w:space="0" w:color="auto"/>
              <w:bottom w:val="single" w:sz="4" w:space="0" w:color="auto"/>
            </w:tcBorders>
            <w:vAlign w:val="center"/>
          </w:tcPr>
          <w:p w14:paraId="2BFD3E67" w14:textId="748C75A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D4FCA3D" w14:textId="4B8A0D5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86,600</w:t>
            </w:r>
          </w:p>
        </w:tc>
      </w:tr>
      <w:tr w:rsidR="00D006DC" w:rsidRPr="009423C3" w14:paraId="1A8BCA6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5524B05" w14:textId="0A2F7B2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TMS CONSULTING</w:t>
            </w:r>
          </w:p>
        </w:tc>
        <w:tc>
          <w:tcPr>
            <w:tcW w:w="4096" w:type="dxa"/>
            <w:tcBorders>
              <w:top w:val="single" w:sz="4" w:space="0" w:color="auto"/>
              <w:bottom w:val="single" w:sz="4" w:space="0" w:color="auto"/>
            </w:tcBorders>
            <w:vAlign w:val="center"/>
          </w:tcPr>
          <w:p w14:paraId="2114DA4E" w14:textId="673A753C"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3807B3DC" w14:textId="6A70DF6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13,300</w:t>
            </w:r>
          </w:p>
        </w:tc>
      </w:tr>
      <w:tr w:rsidR="00D006DC" w:rsidRPr="009423C3" w14:paraId="59F813E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FDF9B57" w14:textId="0738747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TOTAL COMPUTER TECHNOLOGY PTY LIMITED</w:t>
            </w:r>
          </w:p>
        </w:tc>
        <w:tc>
          <w:tcPr>
            <w:tcW w:w="4096" w:type="dxa"/>
            <w:tcBorders>
              <w:top w:val="single" w:sz="4" w:space="0" w:color="auto"/>
              <w:bottom w:val="single" w:sz="4" w:space="0" w:color="auto"/>
            </w:tcBorders>
            <w:vAlign w:val="center"/>
          </w:tcPr>
          <w:p w14:paraId="405749F9" w14:textId="287A1348"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6FBDA88D" w14:textId="5013407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17,525</w:t>
            </w:r>
          </w:p>
        </w:tc>
      </w:tr>
      <w:tr w:rsidR="00D006DC" w:rsidRPr="009423C3" w14:paraId="1A6788C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211163" w14:textId="0D9DBA6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TRADEWIND AUSTRALIA PTY LTD</w:t>
            </w:r>
          </w:p>
        </w:tc>
        <w:tc>
          <w:tcPr>
            <w:tcW w:w="4096" w:type="dxa"/>
            <w:tcBorders>
              <w:top w:val="single" w:sz="4" w:space="0" w:color="auto"/>
              <w:bottom w:val="single" w:sz="4" w:space="0" w:color="auto"/>
            </w:tcBorders>
            <w:vAlign w:val="center"/>
          </w:tcPr>
          <w:p w14:paraId="18A4D5D7" w14:textId="7705B83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06AC488A" w14:textId="3179274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90,000</w:t>
            </w:r>
          </w:p>
        </w:tc>
      </w:tr>
      <w:tr w:rsidR="00D006DC" w:rsidRPr="009423C3" w14:paraId="2FD02A1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0F758C5" w14:textId="0FE43D5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TRANSCRIPT DIVAS AUSTRALIA</w:t>
            </w:r>
          </w:p>
        </w:tc>
        <w:tc>
          <w:tcPr>
            <w:tcW w:w="4096" w:type="dxa"/>
            <w:tcBorders>
              <w:top w:val="single" w:sz="4" w:space="0" w:color="auto"/>
              <w:bottom w:val="single" w:sz="4" w:space="0" w:color="auto"/>
            </w:tcBorders>
            <w:vAlign w:val="center"/>
          </w:tcPr>
          <w:p w14:paraId="7C15378F" w14:textId="4211D9B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5501596A" w14:textId="41DA3AA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1,825</w:t>
            </w:r>
          </w:p>
        </w:tc>
      </w:tr>
      <w:tr w:rsidR="00D006DC" w:rsidRPr="009423C3" w14:paraId="1B22E72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EAEA53" w14:textId="6C08746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TREASURY CORPORATION OF VICTORIA</w:t>
            </w:r>
          </w:p>
        </w:tc>
        <w:tc>
          <w:tcPr>
            <w:tcW w:w="4096" w:type="dxa"/>
            <w:tcBorders>
              <w:top w:val="single" w:sz="4" w:space="0" w:color="auto"/>
              <w:bottom w:val="single" w:sz="4" w:space="0" w:color="auto"/>
            </w:tcBorders>
            <w:vAlign w:val="center"/>
          </w:tcPr>
          <w:p w14:paraId="522C60AC" w14:textId="1B66708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B857D41" w14:textId="43F8C90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8,000</w:t>
            </w:r>
          </w:p>
        </w:tc>
      </w:tr>
      <w:tr w:rsidR="00D006DC" w:rsidRPr="009423C3" w14:paraId="4539FED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5099F87" w14:textId="3A4522C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TRINAMIX PTY LTD</w:t>
            </w:r>
          </w:p>
        </w:tc>
        <w:tc>
          <w:tcPr>
            <w:tcW w:w="4096" w:type="dxa"/>
            <w:tcBorders>
              <w:top w:val="single" w:sz="4" w:space="0" w:color="auto"/>
              <w:bottom w:val="single" w:sz="4" w:space="0" w:color="auto"/>
            </w:tcBorders>
            <w:vAlign w:val="center"/>
          </w:tcPr>
          <w:p w14:paraId="7D39BCE8" w14:textId="0A036880"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2B10F955" w14:textId="551A640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25,095</w:t>
            </w:r>
          </w:p>
        </w:tc>
      </w:tr>
      <w:tr w:rsidR="00D006DC" w:rsidRPr="009423C3" w14:paraId="1E5E347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CF1F9C2" w14:textId="707BEA5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TRIPLE P INTERNATIONAL PTY LTD</w:t>
            </w:r>
          </w:p>
        </w:tc>
        <w:tc>
          <w:tcPr>
            <w:tcW w:w="4096" w:type="dxa"/>
            <w:tcBorders>
              <w:top w:val="single" w:sz="4" w:space="0" w:color="auto"/>
              <w:bottom w:val="single" w:sz="4" w:space="0" w:color="auto"/>
            </w:tcBorders>
            <w:vAlign w:val="center"/>
          </w:tcPr>
          <w:p w14:paraId="4A077326" w14:textId="5CDA9D6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AD95352" w14:textId="49D4FAB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20,032</w:t>
            </w:r>
          </w:p>
        </w:tc>
      </w:tr>
      <w:tr w:rsidR="00D006DC" w:rsidRPr="009423C3" w14:paraId="6DFCFDE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F0EFA71" w14:textId="0AA416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TRITACTICS PTY LTD</w:t>
            </w:r>
          </w:p>
        </w:tc>
        <w:tc>
          <w:tcPr>
            <w:tcW w:w="4096" w:type="dxa"/>
            <w:tcBorders>
              <w:top w:val="single" w:sz="4" w:space="0" w:color="auto"/>
              <w:bottom w:val="single" w:sz="4" w:space="0" w:color="auto"/>
            </w:tcBorders>
            <w:vAlign w:val="center"/>
          </w:tcPr>
          <w:p w14:paraId="1CAA92A6" w14:textId="5407BC6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6C8BCBA" w14:textId="47D37A0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5,060</w:t>
            </w:r>
          </w:p>
        </w:tc>
      </w:tr>
      <w:tr w:rsidR="00D006DC" w:rsidRPr="009423C3" w14:paraId="386BAB4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A5EBC0" w14:textId="16FE659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TRUTH AGENCY</w:t>
            </w:r>
          </w:p>
        </w:tc>
        <w:tc>
          <w:tcPr>
            <w:tcW w:w="4096" w:type="dxa"/>
            <w:tcBorders>
              <w:top w:val="single" w:sz="4" w:space="0" w:color="auto"/>
              <w:bottom w:val="single" w:sz="4" w:space="0" w:color="auto"/>
            </w:tcBorders>
            <w:vAlign w:val="center"/>
          </w:tcPr>
          <w:p w14:paraId="0151F467" w14:textId="388C51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019CA1E" w14:textId="7A1AFC4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109,700</w:t>
            </w:r>
          </w:p>
        </w:tc>
      </w:tr>
      <w:tr w:rsidR="00D006DC" w:rsidRPr="009423C3" w14:paraId="19B86F1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5979C71" w14:textId="784D54A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TRY JULIANNE CHRISTINE</w:t>
            </w:r>
          </w:p>
        </w:tc>
        <w:tc>
          <w:tcPr>
            <w:tcW w:w="4096" w:type="dxa"/>
            <w:tcBorders>
              <w:top w:val="single" w:sz="4" w:space="0" w:color="auto"/>
              <w:bottom w:val="single" w:sz="4" w:space="0" w:color="auto"/>
            </w:tcBorders>
            <w:vAlign w:val="center"/>
          </w:tcPr>
          <w:p w14:paraId="74594B01" w14:textId="49B4BC1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09F48CC" w14:textId="359FC3B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11,474</w:t>
            </w:r>
          </w:p>
        </w:tc>
      </w:tr>
      <w:tr w:rsidR="00D006DC" w:rsidRPr="009423C3" w14:paraId="664DF38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38A6294" w14:textId="4D23769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TSA MANAGEMENT (VIC) PTY LIMITED</w:t>
            </w:r>
          </w:p>
        </w:tc>
        <w:tc>
          <w:tcPr>
            <w:tcW w:w="4096" w:type="dxa"/>
            <w:tcBorders>
              <w:top w:val="single" w:sz="4" w:space="0" w:color="auto"/>
              <w:bottom w:val="single" w:sz="4" w:space="0" w:color="auto"/>
            </w:tcBorders>
            <w:vAlign w:val="center"/>
          </w:tcPr>
          <w:p w14:paraId="7EF49B75" w14:textId="6489E43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8FCD397" w14:textId="1904C58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55,450</w:t>
            </w:r>
          </w:p>
        </w:tc>
      </w:tr>
      <w:tr w:rsidR="00D006DC" w:rsidRPr="009423C3" w14:paraId="61E633B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84CB00" w14:textId="671ACB0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TT RESOURCES PTY LTD</w:t>
            </w:r>
          </w:p>
        </w:tc>
        <w:tc>
          <w:tcPr>
            <w:tcW w:w="4096" w:type="dxa"/>
            <w:tcBorders>
              <w:top w:val="single" w:sz="4" w:space="0" w:color="auto"/>
              <w:bottom w:val="single" w:sz="4" w:space="0" w:color="auto"/>
            </w:tcBorders>
            <w:vAlign w:val="center"/>
          </w:tcPr>
          <w:p w14:paraId="1C6C9EFC" w14:textId="09EC60A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E1BF72D" w14:textId="4C43CF1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30,000</w:t>
            </w:r>
          </w:p>
        </w:tc>
      </w:tr>
      <w:tr w:rsidR="00D006DC" w:rsidRPr="009423C3" w14:paraId="56F531E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75AE06D" w14:textId="606C6D9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TURNER KAREN</w:t>
            </w:r>
          </w:p>
        </w:tc>
        <w:tc>
          <w:tcPr>
            <w:tcW w:w="4096" w:type="dxa"/>
            <w:tcBorders>
              <w:top w:val="single" w:sz="4" w:space="0" w:color="auto"/>
              <w:bottom w:val="single" w:sz="4" w:space="0" w:color="auto"/>
            </w:tcBorders>
            <w:vAlign w:val="center"/>
          </w:tcPr>
          <w:p w14:paraId="5460937B" w14:textId="3AB4F13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806C661" w14:textId="4A9720D3"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37,710</w:t>
            </w:r>
          </w:p>
        </w:tc>
      </w:tr>
      <w:tr w:rsidR="00D006DC" w:rsidRPr="009423C3" w14:paraId="195C928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78873BD" w14:textId="22D327E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TWOMEY TERENCE</w:t>
            </w:r>
          </w:p>
        </w:tc>
        <w:tc>
          <w:tcPr>
            <w:tcW w:w="4096" w:type="dxa"/>
            <w:tcBorders>
              <w:top w:val="single" w:sz="4" w:space="0" w:color="auto"/>
              <w:bottom w:val="single" w:sz="4" w:space="0" w:color="auto"/>
            </w:tcBorders>
            <w:vAlign w:val="center"/>
          </w:tcPr>
          <w:p w14:paraId="68CCE70F" w14:textId="32A3BB9A"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17C91CA5" w14:textId="7F53034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26,400</w:t>
            </w:r>
          </w:p>
        </w:tc>
      </w:tr>
      <w:tr w:rsidR="00D006DC" w:rsidRPr="009423C3" w14:paraId="1FBA361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F6DFB72" w14:textId="2EB1AFD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UNE PARTNERSHIPS PTY LTD</w:t>
            </w:r>
          </w:p>
        </w:tc>
        <w:tc>
          <w:tcPr>
            <w:tcW w:w="4096" w:type="dxa"/>
            <w:tcBorders>
              <w:top w:val="single" w:sz="4" w:space="0" w:color="auto"/>
              <w:bottom w:val="single" w:sz="4" w:space="0" w:color="auto"/>
            </w:tcBorders>
            <w:vAlign w:val="center"/>
          </w:tcPr>
          <w:p w14:paraId="0953F2F3" w14:textId="71B34DB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49C0008" w14:textId="06B9C02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19,180</w:t>
            </w:r>
          </w:p>
        </w:tc>
      </w:tr>
      <w:tr w:rsidR="00D006DC" w:rsidRPr="009423C3" w14:paraId="0FD6438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5BA85BF" w14:textId="1F0C40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UNITED MINDS COMMUNITY SERVICES LTD.</w:t>
            </w:r>
          </w:p>
        </w:tc>
        <w:tc>
          <w:tcPr>
            <w:tcW w:w="4096" w:type="dxa"/>
            <w:tcBorders>
              <w:top w:val="single" w:sz="4" w:space="0" w:color="auto"/>
              <w:bottom w:val="single" w:sz="4" w:space="0" w:color="auto"/>
            </w:tcBorders>
            <w:vAlign w:val="center"/>
          </w:tcPr>
          <w:p w14:paraId="1FA9C55C" w14:textId="340B980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F050D26" w14:textId="3BD4E88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62,340</w:t>
            </w:r>
          </w:p>
        </w:tc>
      </w:tr>
      <w:tr w:rsidR="00D006DC" w:rsidRPr="009423C3" w14:paraId="3F941DF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9E9218E" w14:textId="71E9CA5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UNIVERSITY OF MELBOURNE</w:t>
            </w:r>
          </w:p>
        </w:tc>
        <w:tc>
          <w:tcPr>
            <w:tcW w:w="4096" w:type="dxa"/>
            <w:tcBorders>
              <w:top w:val="single" w:sz="4" w:space="0" w:color="auto"/>
              <w:bottom w:val="single" w:sz="4" w:space="0" w:color="auto"/>
            </w:tcBorders>
            <w:vAlign w:val="center"/>
          </w:tcPr>
          <w:p w14:paraId="6FB90F10" w14:textId="3104BED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983C7C8" w14:textId="1E19A6A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3,856,163</w:t>
            </w:r>
          </w:p>
        </w:tc>
      </w:tr>
      <w:tr w:rsidR="00D006DC" w:rsidRPr="009423C3" w14:paraId="1F43889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04DA209" w14:textId="591B342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URBAN MAINTENANCE SYSTEMS PTY LTD</w:t>
            </w:r>
          </w:p>
        </w:tc>
        <w:tc>
          <w:tcPr>
            <w:tcW w:w="4096" w:type="dxa"/>
            <w:tcBorders>
              <w:top w:val="single" w:sz="4" w:space="0" w:color="auto"/>
              <w:bottom w:val="single" w:sz="4" w:space="0" w:color="auto"/>
            </w:tcBorders>
            <w:vAlign w:val="center"/>
          </w:tcPr>
          <w:p w14:paraId="2D4DF3EF" w14:textId="03AB993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 xml:space="preserve">Utilities, infrastructure/sustainability, </w:t>
            </w:r>
            <w:proofErr w:type="gramStart"/>
            <w:r>
              <w:rPr>
                <w:rFonts w:ascii="Calibri" w:hAnsi="Calibri" w:cs="Calibri"/>
                <w:color w:val="000000"/>
                <w:szCs w:val="20"/>
              </w:rPr>
              <w:t>transport</w:t>
            </w:r>
            <w:proofErr w:type="gramEnd"/>
            <w:r>
              <w:rPr>
                <w:rFonts w:ascii="Calibri" w:hAnsi="Calibri" w:cs="Calibri"/>
                <w:color w:val="000000"/>
                <w:szCs w:val="20"/>
              </w:rPr>
              <w:t xml:space="preserve"> and project management services</w:t>
            </w:r>
          </w:p>
        </w:tc>
        <w:tc>
          <w:tcPr>
            <w:tcW w:w="1417" w:type="dxa"/>
            <w:tcBorders>
              <w:top w:val="single" w:sz="4" w:space="0" w:color="auto"/>
              <w:bottom w:val="single" w:sz="4" w:space="0" w:color="auto"/>
            </w:tcBorders>
            <w:shd w:val="clear" w:color="auto" w:fill="auto"/>
            <w:vAlign w:val="center"/>
          </w:tcPr>
          <w:p w14:paraId="2293E84D" w14:textId="692110B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1,461</w:t>
            </w:r>
          </w:p>
        </w:tc>
      </w:tr>
      <w:tr w:rsidR="00D006DC" w:rsidRPr="009423C3" w14:paraId="176BBBF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CDC1904" w14:textId="348C335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URBIS PTY LTD</w:t>
            </w:r>
          </w:p>
        </w:tc>
        <w:tc>
          <w:tcPr>
            <w:tcW w:w="4096" w:type="dxa"/>
            <w:tcBorders>
              <w:top w:val="single" w:sz="4" w:space="0" w:color="auto"/>
              <w:bottom w:val="single" w:sz="4" w:space="0" w:color="auto"/>
            </w:tcBorders>
            <w:vAlign w:val="center"/>
          </w:tcPr>
          <w:p w14:paraId="22B89A94" w14:textId="019AAD8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F0ED771" w14:textId="25FF155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414,884</w:t>
            </w:r>
          </w:p>
        </w:tc>
      </w:tr>
      <w:tr w:rsidR="00D006DC" w:rsidRPr="009423C3" w14:paraId="29B9B02A"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B16586F" w14:textId="45E27E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VA SCIENCES PTY LTD</w:t>
            </w:r>
          </w:p>
        </w:tc>
        <w:tc>
          <w:tcPr>
            <w:tcW w:w="4096" w:type="dxa"/>
            <w:tcBorders>
              <w:top w:val="single" w:sz="4" w:space="0" w:color="auto"/>
              <w:bottom w:val="single" w:sz="4" w:space="0" w:color="auto"/>
            </w:tcBorders>
            <w:vAlign w:val="center"/>
          </w:tcPr>
          <w:p w14:paraId="434B572B" w14:textId="1D1CD0C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C5BD2FB" w14:textId="7583433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9,600</w:t>
            </w:r>
          </w:p>
        </w:tc>
      </w:tr>
      <w:tr w:rsidR="00D006DC" w:rsidRPr="009423C3" w14:paraId="4E0704A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3A811F3" w14:textId="47B60FF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VALAD SOLUTIONS PTY LTD</w:t>
            </w:r>
          </w:p>
        </w:tc>
        <w:tc>
          <w:tcPr>
            <w:tcW w:w="4096" w:type="dxa"/>
            <w:tcBorders>
              <w:top w:val="single" w:sz="4" w:space="0" w:color="auto"/>
              <w:bottom w:val="single" w:sz="4" w:space="0" w:color="auto"/>
            </w:tcBorders>
            <w:vAlign w:val="center"/>
          </w:tcPr>
          <w:p w14:paraId="71C5772F" w14:textId="2E8F23C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F7A3318" w14:textId="445BD00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525,113</w:t>
            </w:r>
          </w:p>
        </w:tc>
      </w:tr>
      <w:tr w:rsidR="00D006DC" w:rsidRPr="009423C3" w14:paraId="58CDF80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E4A217A" w14:textId="11493EE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VALUE LEARNING PTY LTD</w:t>
            </w:r>
          </w:p>
        </w:tc>
        <w:tc>
          <w:tcPr>
            <w:tcW w:w="4096" w:type="dxa"/>
            <w:tcBorders>
              <w:top w:val="single" w:sz="4" w:space="0" w:color="auto"/>
              <w:bottom w:val="single" w:sz="4" w:space="0" w:color="auto"/>
            </w:tcBorders>
            <w:vAlign w:val="center"/>
          </w:tcPr>
          <w:p w14:paraId="7CF348F7" w14:textId="41FE853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C43317B" w14:textId="5C48BD3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30,002</w:t>
            </w:r>
          </w:p>
        </w:tc>
      </w:tr>
      <w:tr w:rsidR="00D006DC" w:rsidRPr="009423C3" w14:paraId="5B74339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0AFFA4E" w14:textId="6D907A1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VAN REES MICHONNE</w:t>
            </w:r>
          </w:p>
        </w:tc>
        <w:tc>
          <w:tcPr>
            <w:tcW w:w="4096" w:type="dxa"/>
            <w:tcBorders>
              <w:top w:val="single" w:sz="4" w:space="0" w:color="auto"/>
              <w:bottom w:val="single" w:sz="4" w:space="0" w:color="auto"/>
            </w:tcBorders>
            <w:vAlign w:val="center"/>
          </w:tcPr>
          <w:p w14:paraId="2A22682A" w14:textId="5AA9AA2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502E768" w14:textId="39F0E77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35,818</w:t>
            </w:r>
          </w:p>
        </w:tc>
      </w:tr>
      <w:tr w:rsidR="00D006DC" w:rsidRPr="009423C3" w14:paraId="28D1F44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3EBBAD1" w14:textId="69EBB50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VAUGHAN RICHARD PRAIN</w:t>
            </w:r>
          </w:p>
        </w:tc>
        <w:tc>
          <w:tcPr>
            <w:tcW w:w="4096" w:type="dxa"/>
            <w:tcBorders>
              <w:top w:val="single" w:sz="4" w:space="0" w:color="auto"/>
              <w:bottom w:val="single" w:sz="4" w:space="0" w:color="auto"/>
            </w:tcBorders>
            <w:vAlign w:val="center"/>
          </w:tcPr>
          <w:p w14:paraId="556A95AD" w14:textId="128C219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4FCFF10" w14:textId="24F0534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10,500</w:t>
            </w:r>
          </w:p>
        </w:tc>
      </w:tr>
      <w:tr w:rsidR="00D006DC" w:rsidRPr="009423C3" w14:paraId="527DDE3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994741A" w14:textId="32B6921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VENDORPANEL</w:t>
            </w:r>
          </w:p>
        </w:tc>
        <w:tc>
          <w:tcPr>
            <w:tcW w:w="4096" w:type="dxa"/>
            <w:tcBorders>
              <w:top w:val="single" w:sz="4" w:space="0" w:color="auto"/>
              <w:bottom w:val="single" w:sz="4" w:space="0" w:color="auto"/>
            </w:tcBorders>
            <w:vAlign w:val="center"/>
          </w:tcPr>
          <w:p w14:paraId="6F36C10A" w14:textId="210F866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298944C" w14:textId="6BA2DAA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88,860</w:t>
            </w:r>
          </w:p>
        </w:tc>
      </w:tr>
      <w:tr w:rsidR="00D006DC" w:rsidRPr="009423C3" w14:paraId="305D5B2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1C3673C" w14:textId="61AC1BD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VERSA AGENCY PTY LTD</w:t>
            </w:r>
          </w:p>
        </w:tc>
        <w:tc>
          <w:tcPr>
            <w:tcW w:w="4096" w:type="dxa"/>
            <w:tcBorders>
              <w:top w:val="single" w:sz="4" w:space="0" w:color="auto"/>
              <w:bottom w:val="single" w:sz="4" w:space="0" w:color="auto"/>
            </w:tcBorders>
            <w:vAlign w:val="center"/>
          </w:tcPr>
          <w:p w14:paraId="005C2E8F" w14:textId="22B46CF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6B72DB8B" w14:textId="7EC4BDC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39,497</w:t>
            </w:r>
          </w:p>
        </w:tc>
      </w:tr>
      <w:tr w:rsidR="00D006DC" w:rsidRPr="009423C3" w14:paraId="507847E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87EF8E8" w14:textId="5CB1862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VET DEVELOPMENT CENTRE LTD</w:t>
            </w:r>
          </w:p>
        </w:tc>
        <w:tc>
          <w:tcPr>
            <w:tcW w:w="4096" w:type="dxa"/>
            <w:tcBorders>
              <w:top w:val="single" w:sz="4" w:space="0" w:color="auto"/>
              <w:bottom w:val="single" w:sz="4" w:space="0" w:color="auto"/>
            </w:tcBorders>
            <w:vAlign w:val="center"/>
          </w:tcPr>
          <w:p w14:paraId="0A1F9AED" w14:textId="2173B68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98723E0" w14:textId="6F2DE2E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30,048</w:t>
            </w:r>
          </w:p>
        </w:tc>
      </w:tr>
      <w:tr w:rsidR="00D006DC" w:rsidRPr="009423C3" w14:paraId="3F2C29B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316B48C1" w14:textId="4E67C3C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VICISSITUDE</w:t>
            </w:r>
          </w:p>
        </w:tc>
        <w:tc>
          <w:tcPr>
            <w:tcW w:w="4096" w:type="dxa"/>
            <w:tcBorders>
              <w:top w:val="single" w:sz="4" w:space="0" w:color="auto"/>
              <w:bottom w:val="single" w:sz="4" w:space="0" w:color="auto"/>
            </w:tcBorders>
            <w:vAlign w:val="center"/>
          </w:tcPr>
          <w:p w14:paraId="7BD2D3CD" w14:textId="711D6991"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62144872" w14:textId="630B618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7,400</w:t>
            </w:r>
          </w:p>
        </w:tc>
      </w:tr>
      <w:tr w:rsidR="00D006DC" w:rsidRPr="009423C3" w14:paraId="6FDD668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C480A79" w14:textId="46A98A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 UNIVERSITY</w:t>
            </w:r>
          </w:p>
        </w:tc>
        <w:tc>
          <w:tcPr>
            <w:tcW w:w="4096" w:type="dxa"/>
            <w:tcBorders>
              <w:top w:val="single" w:sz="4" w:space="0" w:color="auto"/>
              <w:bottom w:val="single" w:sz="4" w:space="0" w:color="auto"/>
            </w:tcBorders>
            <w:vAlign w:val="center"/>
          </w:tcPr>
          <w:p w14:paraId="12C68D04" w14:textId="71343B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61C89C0" w14:textId="7BC866A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77,834</w:t>
            </w:r>
          </w:p>
        </w:tc>
      </w:tr>
      <w:tr w:rsidR="00D006DC" w:rsidRPr="009423C3" w14:paraId="3A420E9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BB3832B" w14:textId="52173E6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ABORIGINAL EDUCATION ASSOCIATION INC</w:t>
            </w:r>
          </w:p>
        </w:tc>
        <w:tc>
          <w:tcPr>
            <w:tcW w:w="4096" w:type="dxa"/>
            <w:tcBorders>
              <w:top w:val="single" w:sz="4" w:space="0" w:color="auto"/>
              <w:bottom w:val="single" w:sz="4" w:space="0" w:color="auto"/>
            </w:tcBorders>
            <w:vAlign w:val="center"/>
          </w:tcPr>
          <w:p w14:paraId="50BBC397" w14:textId="60C0F91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E4B4FD2" w14:textId="66219A4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13,850</w:t>
            </w:r>
          </w:p>
        </w:tc>
      </w:tr>
      <w:tr w:rsidR="00D006DC" w:rsidRPr="009423C3" w14:paraId="5014C62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335C45E" w14:textId="3227D62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APPLIED LEARNING ASSOCIATION INC</w:t>
            </w:r>
          </w:p>
        </w:tc>
        <w:tc>
          <w:tcPr>
            <w:tcW w:w="4096" w:type="dxa"/>
            <w:tcBorders>
              <w:top w:val="single" w:sz="4" w:space="0" w:color="auto"/>
              <w:bottom w:val="single" w:sz="4" w:space="0" w:color="auto"/>
            </w:tcBorders>
            <w:vAlign w:val="center"/>
          </w:tcPr>
          <w:p w14:paraId="10BB0F03" w14:textId="3D50746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33B96CA" w14:textId="528DACF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47,000</w:t>
            </w:r>
          </w:p>
        </w:tc>
      </w:tr>
      <w:tr w:rsidR="00D006DC" w:rsidRPr="009423C3" w14:paraId="0E6240E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801DED7" w14:textId="20325A8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ASSESSMENT SERVICES</w:t>
            </w:r>
          </w:p>
        </w:tc>
        <w:tc>
          <w:tcPr>
            <w:tcW w:w="4096" w:type="dxa"/>
            <w:tcBorders>
              <w:top w:val="single" w:sz="4" w:space="0" w:color="auto"/>
              <w:bottom w:val="single" w:sz="4" w:space="0" w:color="auto"/>
            </w:tcBorders>
            <w:vAlign w:val="center"/>
          </w:tcPr>
          <w:p w14:paraId="0ACECBCE" w14:textId="46C6AC4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assessment services</w:t>
            </w:r>
          </w:p>
        </w:tc>
        <w:tc>
          <w:tcPr>
            <w:tcW w:w="1417" w:type="dxa"/>
            <w:tcBorders>
              <w:top w:val="single" w:sz="4" w:space="0" w:color="auto"/>
              <w:bottom w:val="single" w:sz="4" w:space="0" w:color="auto"/>
            </w:tcBorders>
            <w:shd w:val="clear" w:color="auto" w:fill="auto"/>
            <w:vAlign w:val="center"/>
          </w:tcPr>
          <w:p w14:paraId="3A6D4E51" w14:textId="4ECB059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317,510</w:t>
            </w:r>
          </w:p>
        </w:tc>
      </w:tr>
      <w:tr w:rsidR="00D006DC" w:rsidRPr="009423C3" w14:paraId="00AC87D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A60E90F" w14:textId="5DA252B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DEAF SOCIETY</w:t>
            </w:r>
          </w:p>
        </w:tc>
        <w:tc>
          <w:tcPr>
            <w:tcW w:w="4096" w:type="dxa"/>
            <w:tcBorders>
              <w:top w:val="single" w:sz="4" w:space="0" w:color="auto"/>
              <w:bottom w:val="single" w:sz="4" w:space="0" w:color="auto"/>
            </w:tcBorders>
            <w:vAlign w:val="center"/>
          </w:tcPr>
          <w:p w14:paraId="22D9CA0E" w14:textId="374CF12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8293A41" w14:textId="1DCD475B"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10,739</w:t>
            </w:r>
          </w:p>
        </w:tc>
      </w:tr>
      <w:tr w:rsidR="00D006DC" w:rsidRPr="009423C3" w14:paraId="4F9941C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5E2F2E0" w14:textId="6737392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GOVERNMENT SOLICITOR</w:t>
            </w:r>
          </w:p>
        </w:tc>
        <w:tc>
          <w:tcPr>
            <w:tcW w:w="4096" w:type="dxa"/>
            <w:tcBorders>
              <w:top w:val="single" w:sz="4" w:space="0" w:color="auto"/>
              <w:bottom w:val="single" w:sz="4" w:space="0" w:color="auto"/>
            </w:tcBorders>
            <w:vAlign w:val="center"/>
          </w:tcPr>
          <w:p w14:paraId="1E8C840C" w14:textId="4C97CDB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FB28B5E" w14:textId="76BB51F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38,471</w:t>
            </w:r>
          </w:p>
        </w:tc>
      </w:tr>
      <w:tr w:rsidR="00D006DC" w:rsidRPr="009423C3" w14:paraId="51846AB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57E5F91" w14:textId="0B459B2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INSTITUTE OF SPORT</w:t>
            </w:r>
          </w:p>
        </w:tc>
        <w:tc>
          <w:tcPr>
            <w:tcW w:w="4096" w:type="dxa"/>
            <w:tcBorders>
              <w:top w:val="single" w:sz="4" w:space="0" w:color="auto"/>
              <w:bottom w:val="single" w:sz="4" w:space="0" w:color="auto"/>
            </w:tcBorders>
            <w:vAlign w:val="center"/>
          </w:tcPr>
          <w:p w14:paraId="1C250E73" w14:textId="085DCFD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4A82446" w14:textId="11FBD03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10,400</w:t>
            </w:r>
          </w:p>
        </w:tc>
      </w:tr>
      <w:tr w:rsidR="00D006DC" w:rsidRPr="009423C3" w14:paraId="4952C18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FFFE8A4" w14:textId="0470792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PUBLIC SECTOR COMMISSION</w:t>
            </w:r>
          </w:p>
        </w:tc>
        <w:tc>
          <w:tcPr>
            <w:tcW w:w="4096" w:type="dxa"/>
            <w:tcBorders>
              <w:top w:val="single" w:sz="4" w:space="0" w:color="auto"/>
              <w:bottom w:val="single" w:sz="4" w:space="0" w:color="auto"/>
            </w:tcBorders>
            <w:vAlign w:val="center"/>
          </w:tcPr>
          <w:p w14:paraId="778CD1D0" w14:textId="69E54B9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05A0A87" w14:textId="1C930D4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147,918</w:t>
            </w:r>
          </w:p>
        </w:tc>
      </w:tr>
      <w:tr w:rsidR="00D006DC" w:rsidRPr="009423C3" w14:paraId="723451C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6D6FB7D" w14:textId="5070E93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VICTORIAN STUDENT REPRESENTATIVE COUNCIL</w:t>
            </w:r>
          </w:p>
        </w:tc>
        <w:tc>
          <w:tcPr>
            <w:tcW w:w="4096" w:type="dxa"/>
            <w:tcBorders>
              <w:top w:val="single" w:sz="4" w:space="0" w:color="auto"/>
              <w:bottom w:val="single" w:sz="4" w:space="0" w:color="auto"/>
            </w:tcBorders>
            <w:vAlign w:val="center"/>
          </w:tcPr>
          <w:p w14:paraId="007A9AAB" w14:textId="16B05C1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A8C44B2" w14:textId="06CAC305"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32,550</w:t>
            </w:r>
          </w:p>
        </w:tc>
      </w:tr>
      <w:tr w:rsidR="00D006DC" w:rsidRPr="009423C3" w14:paraId="00B645E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C333BDA" w14:textId="2BA83B4F"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VITALE ELAINE PATRICIA</w:t>
            </w:r>
          </w:p>
        </w:tc>
        <w:tc>
          <w:tcPr>
            <w:tcW w:w="4096" w:type="dxa"/>
            <w:tcBorders>
              <w:top w:val="single" w:sz="4" w:space="0" w:color="auto"/>
              <w:bottom w:val="single" w:sz="4" w:space="0" w:color="auto"/>
            </w:tcBorders>
            <w:vAlign w:val="center"/>
          </w:tcPr>
          <w:p w14:paraId="348C0951" w14:textId="6FF80AC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B4E2A36" w14:textId="19C286A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5,150</w:t>
            </w:r>
          </w:p>
        </w:tc>
      </w:tr>
      <w:tr w:rsidR="00D006DC" w:rsidRPr="009423C3" w14:paraId="087E5548"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BA4016F" w14:textId="56B39E9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VJA EDUCATION CONSULTANT</w:t>
            </w:r>
          </w:p>
        </w:tc>
        <w:tc>
          <w:tcPr>
            <w:tcW w:w="4096" w:type="dxa"/>
            <w:tcBorders>
              <w:top w:val="single" w:sz="4" w:space="0" w:color="auto"/>
              <w:bottom w:val="single" w:sz="4" w:space="0" w:color="auto"/>
            </w:tcBorders>
            <w:vAlign w:val="center"/>
          </w:tcPr>
          <w:p w14:paraId="0DD7F5B7" w14:textId="43D7C10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0FA2C32" w14:textId="4713F50A"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59,291</w:t>
            </w:r>
          </w:p>
        </w:tc>
      </w:tr>
      <w:tr w:rsidR="00D006DC" w:rsidRPr="009423C3" w14:paraId="6C97578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19A59D5" w14:textId="63AC6AE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WALL DEBORAH SUSAN</w:t>
            </w:r>
          </w:p>
        </w:tc>
        <w:tc>
          <w:tcPr>
            <w:tcW w:w="4096" w:type="dxa"/>
            <w:tcBorders>
              <w:top w:val="single" w:sz="4" w:space="0" w:color="auto"/>
              <w:bottom w:val="single" w:sz="4" w:space="0" w:color="auto"/>
            </w:tcBorders>
            <w:vAlign w:val="center"/>
          </w:tcPr>
          <w:p w14:paraId="497546CD" w14:textId="688D294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Education and community development services</w:t>
            </w:r>
          </w:p>
        </w:tc>
        <w:tc>
          <w:tcPr>
            <w:tcW w:w="1417" w:type="dxa"/>
            <w:tcBorders>
              <w:top w:val="single" w:sz="4" w:space="0" w:color="auto"/>
              <w:bottom w:val="single" w:sz="4" w:space="0" w:color="auto"/>
            </w:tcBorders>
            <w:shd w:val="clear" w:color="auto" w:fill="auto"/>
            <w:vAlign w:val="center"/>
          </w:tcPr>
          <w:p w14:paraId="3329FB38" w14:textId="0A7680F0"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3,500</w:t>
            </w:r>
          </w:p>
        </w:tc>
      </w:tr>
      <w:tr w:rsidR="00D006DC" w:rsidRPr="009423C3" w14:paraId="4CF5A352"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505BB20" w14:textId="7F3D245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WALLIS CONSULTING GROUP PTY LTD</w:t>
            </w:r>
          </w:p>
        </w:tc>
        <w:tc>
          <w:tcPr>
            <w:tcW w:w="4096" w:type="dxa"/>
            <w:tcBorders>
              <w:top w:val="single" w:sz="4" w:space="0" w:color="auto"/>
              <w:bottom w:val="single" w:sz="4" w:space="0" w:color="auto"/>
            </w:tcBorders>
            <w:vAlign w:val="center"/>
          </w:tcPr>
          <w:p w14:paraId="47E86F73" w14:textId="67A9184A"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Publishing, printing, promotions and communications or marketing services</w:t>
            </w:r>
          </w:p>
        </w:tc>
        <w:tc>
          <w:tcPr>
            <w:tcW w:w="1417" w:type="dxa"/>
            <w:tcBorders>
              <w:top w:val="single" w:sz="4" w:space="0" w:color="auto"/>
              <w:bottom w:val="single" w:sz="4" w:space="0" w:color="auto"/>
            </w:tcBorders>
            <w:shd w:val="clear" w:color="auto" w:fill="auto"/>
            <w:vAlign w:val="center"/>
          </w:tcPr>
          <w:p w14:paraId="3B086ACA" w14:textId="5D15CFA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874,767</w:t>
            </w:r>
          </w:p>
        </w:tc>
      </w:tr>
      <w:tr w:rsidR="00D006DC" w:rsidRPr="009423C3" w14:paraId="1DF26B9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68755C3" w14:textId="28CD4FA2"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WAVELENGTH AUSTRALIA</w:t>
            </w:r>
          </w:p>
        </w:tc>
        <w:tc>
          <w:tcPr>
            <w:tcW w:w="4096" w:type="dxa"/>
            <w:tcBorders>
              <w:top w:val="single" w:sz="4" w:space="0" w:color="auto"/>
              <w:bottom w:val="single" w:sz="4" w:space="0" w:color="auto"/>
            </w:tcBorders>
            <w:vAlign w:val="center"/>
          </w:tcPr>
          <w:p w14:paraId="10F1CC92" w14:textId="6774B24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741AF65" w14:textId="02E7F8A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41,537</w:t>
            </w:r>
          </w:p>
        </w:tc>
      </w:tr>
      <w:tr w:rsidR="00D006DC" w:rsidRPr="009423C3" w14:paraId="328A437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8156427" w14:textId="183AF49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WAY BACK WHEN CONSULTING HISTORIANS PTY. LTD.</w:t>
            </w:r>
          </w:p>
        </w:tc>
        <w:tc>
          <w:tcPr>
            <w:tcW w:w="4096" w:type="dxa"/>
            <w:tcBorders>
              <w:top w:val="single" w:sz="4" w:space="0" w:color="auto"/>
              <w:bottom w:val="single" w:sz="4" w:space="0" w:color="auto"/>
            </w:tcBorders>
            <w:vAlign w:val="center"/>
          </w:tcPr>
          <w:p w14:paraId="67B01B22" w14:textId="28C6EBA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A0DE800" w14:textId="724A39A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12,000</w:t>
            </w:r>
          </w:p>
        </w:tc>
      </w:tr>
      <w:tr w:rsidR="00D006DC" w:rsidRPr="009423C3" w14:paraId="6536ECA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D4BACB5" w14:textId="2491D3E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WEB SURVEY</w:t>
            </w:r>
          </w:p>
        </w:tc>
        <w:tc>
          <w:tcPr>
            <w:tcW w:w="4096" w:type="dxa"/>
            <w:tcBorders>
              <w:top w:val="single" w:sz="4" w:space="0" w:color="auto"/>
              <w:bottom w:val="single" w:sz="4" w:space="0" w:color="auto"/>
            </w:tcBorders>
            <w:vAlign w:val="center"/>
          </w:tcPr>
          <w:p w14:paraId="5B2D9297" w14:textId="097ABC2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7E5D87FD" w14:textId="4490F45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252,471</w:t>
            </w:r>
          </w:p>
        </w:tc>
      </w:tr>
      <w:tr w:rsidR="00D006DC" w:rsidRPr="009423C3" w14:paraId="628AA615"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72159F9" w14:textId="07FA9516"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WFDS PTY LTD</w:t>
            </w:r>
          </w:p>
        </w:tc>
        <w:tc>
          <w:tcPr>
            <w:tcW w:w="4096" w:type="dxa"/>
            <w:tcBorders>
              <w:top w:val="single" w:sz="4" w:space="0" w:color="auto"/>
              <w:bottom w:val="single" w:sz="4" w:space="0" w:color="auto"/>
            </w:tcBorders>
            <w:vAlign w:val="center"/>
          </w:tcPr>
          <w:p w14:paraId="25856BBE" w14:textId="33361A8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A831A0A" w14:textId="3DA5577C"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2,711</w:t>
            </w:r>
          </w:p>
        </w:tc>
      </w:tr>
      <w:tr w:rsidR="00D006DC" w:rsidRPr="009423C3" w14:paraId="03A40E1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C125329" w14:textId="0B19F5B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WHERETO RESEARCH BASED CONSULTING PTY LTD</w:t>
            </w:r>
          </w:p>
        </w:tc>
        <w:tc>
          <w:tcPr>
            <w:tcW w:w="4096" w:type="dxa"/>
            <w:tcBorders>
              <w:top w:val="single" w:sz="4" w:space="0" w:color="auto"/>
              <w:bottom w:val="single" w:sz="4" w:space="0" w:color="auto"/>
            </w:tcBorders>
            <w:vAlign w:val="center"/>
          </w:tcPr>
          <w:p w14:paraId="660D3C6F" w14:textId="7DF4DD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4D467EF" w14:textId="35F2A28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73,545</w:t>
            </w:r>
          </w:p>
        </w:tc>
      </w:tr>
      <w:tr w:rsidR="00D006DC" w:rsidRPr="009423C3" w14:paraId="7ACC6C3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7BD997E" w14:textId="38517E7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WHITE ANGELA EVELYN</w:t>
            </w:r>
          </w:p>
        </w:tc>
        <w:tc>
          <w:tcPr>
            <w:tcW w:w="4096" w:type="dxa"/>
            <w:tcBorders>
              <w:top w:val="single" w:sz="4" w:space="0" w:color="auto"/>
              <w:bottom w:val="single" w:sz="4" w:space="0" w:color="auto"/>
            </w:tcBorders>
            <w:vAlign w:val="center"/>
          </w:tcPr>
          <w:p w14:paraId="4FB64A65" w14:textId="296E67C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1F50D372" w14:textId="0B8F825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7,220</w:t>
            </w:r>
          </w:p>
        </w:tc>
      </w:tr>
      <w:tr w:rsidR="00D006DC" w:rsidRPr="009423C3" w14:paraId="1A3D94A7"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F6075D7" w14:textId="1B8785D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WILCOB PTY LTD</w:t>
            </w:r>
          </w:p>
        </w:tc>
        <w:tc>
          <w:tcPr>
            <w:tcW w:w="4096" w:type="dxa"/>
            <w:tcBorders>
              <w:top w:val="single" w:sz="4" w:space="0" w:color="auto"/>
              <w:bottom w:val="single" w:sz="4" w:space="0" w:color="auto"/>
            </w:tcBorders>
            <w:vAlign w:val="center"/>
          </w:tcPr>
          <w:p w14:paraId="02957653" w14:textId="77C8DD50"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3AE910FD" w14:textId="35100C92"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83,664</w:t>
            </w:r>
          </w:p>
        </w:tc>
      </w:tr>
      <w:tr w:rsidR="00D006DC" w:rsidRPr="009423C3" w14:paraId="6F1A751F"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77C93DF" w14:textId="43BF14A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WISE WORKPLACE</w:t>
            </w:r>
          </w:p>
        </w:tc>
        <w:tc>
          <w:tcPr>
            <w:tcW w:w="4096" w:type="dxa"/>
            <w:tcBorders>
              <w:top w:val="single" w:sz="4" w:space="0" w:color="auto"/>
              <w:bottom w:val="single" w:sz="4" w:space="0" w:color="auto"/>
            </w:tcBorders>
            <w:vAlign w:val="center"/>
          </w:tcPr>
          <w:p w14:paraId="1141BD9D" w14:textId="14874B4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213DD38" w14:textId="256037D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23,870</w:t>
            </w:r>
          </w:p>
        </w:tc>
      </w:tr>
      <w:tr w:rsidR="00D006DC" w:rsidRPr="009423C3" w14:paraId="179C3F0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50C26E9" w14:textId="774A0FE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WISE WORKPLACE SOLUTIONS PTY LTD</w:t>
            </w:r>
          </w:p>
        </w:tc>
        <w:tc>
          <w:tcPr>
            <w:tcW w:w="4096" w:type="dxa"/>
            <w:tcBorders>
              <w:top w:val="single" w:sz="4" w:space="0" w:color="auto"/>
              <w:bottom w:val="single" w:sz="4" w:space="0" w:color="auto"/>
            </w:tcBorders>
            <w:vAlign w:val="center"/>
          </w:tcPr>
          <w:p w14:paraId="1E3DB434" w14:textId="6F51465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036F686" w14:textId="1C038831"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26,758</w:t>
            </w:r>
          </w:p>
        </w:tc>
      </w:tr>
      <w:tr w:rsidR="00D006DC" w:rsidRPr="009423C3" w14:paraId="6BC0DBD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02AF344" w14:textId="4E8C6F8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WITCHELL DAVID</w:t>
            </w:r>
          </w:p>
        </w:tc>
        <w:tc>
          <w:tcPr>
            <w:tcW w:w="4096" w:type="dxa"/>
            <w:tcBorders>
              <w:top w:val="single" w:sz="4" w:space="0" w:color="auto"/>
              <w:bottom w:val="single" w:sz="4" w:space="0" w:color="auto"/>
            </w:tcBorders>
            <w:vAlign w:val="center"/>
          </w:tcPr>
          <w:p w14:paraId="6AC35DFA" w14:textId="7C9F82E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3F93DB3" w14:textId="0E6ECC1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1,900</w:t>
            </w:r>
          </w:p>
        </w:tc>
      </w:tr>
      <w:tr w:rsidR="00D006DC" w:rsidRPr="009423C3" w14:paraId="185F5C3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0BF6CF9" w14:textId="4B9849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WOMENS HEALTH IN THE NORTH INC</w:t>
            </w:r>
          </w:p>
        </w:tc>
        <w:tc>
          <w:tcPr>
            <w:tcW w:w="4096" w:type="dxa"/>
            <w:tcBorders>
              <w:top w:val="single" w:sz="4" w:space="0" w:color="auto"/>
              <w:bottom w:val="single" w:sz="4" w:space="0" w:color="auto"/>
            </w:tcBorders>
            <w:vAlign w:val="center"/>
          </w:tcPr>
          <w:p w14:paraId="2AC47595" w14:textId="62BA1A7B"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Training services</w:t>
            </w:r>
          </w:p>
        </w:tc>
        <w:tc>
          <w:tcPr>
            <w:tcW w:w="1417" w:type="dxa"/>
            <w:tcBorders>
              <w:top w:val="single" w:sz="4" w:space="0" w:color="auto"/>
              <w:bottom w:val="single" w:sz="4" w:space="0" w:color="auto"/>
            </w:tcBorders>
            <w:shd w:val="clear" w:color="auto" w:fill="auto"/>
            <w:vAlign w:val="center"/>
          </w:tcPr>
          <w:p w14:paraId="4DDFA8E6" w14:textId="659A2A4D"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11,728</w:t>
            </w:r>
          </w:p>
        </w:tc>
      </w:tr>
      <w:tr w:rsidR="00D006DC" w:rsidRPr="009423C3" w14:paraId="3623E52D"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D628474" w14:textId="6655C2A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WOMEN'S HEALTH VICTORIA INC</w:t>
            </w:r>
          </w:p>
        </w:tc>
        <w:tc>
          <w:tcPr>
            <w:tcW w:w="4096" w:type="dxa"/>
            <w:tcBorders>
              <w:top w:val="single" w:sz="4" w:space="0" w:color="auto"/>
              <w:bottom w:val="single" w:sz="4" w:space="0" w:color="auto"/>
            </w:tcBorders>
            <w:vAlign w:val="center"/>
          </w:tcPr>
          <w:p w14:paraId="67800605" w14:textId="03199C7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573CA47" w14:textId="08938D1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2,290</w:t>
            </w:r>
          </w:p>
        </w:tc>
      </w:tr>
      <w:tr w:rsidR="00D006DC" w:rsidRPr="009423C3" w14:paraId="22565143"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A1BD1F5" w14:textId="1F9896B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WORK ABLE CONSULTING PTY LTD</w:t>
            </w:r>
          </w:p>
        </w:tc>
        <w:tc>
          <w:tcPr>
            <w:tcW w:w="4096" w:type="dxa"/>
            <w:tcBorders>
              <w:top w:val="single" w:sz="4" w:space="0" w:color="auto"/>
              <w:bottom w:val="single" w:sz="4" w:space="0" w:color="auto"/>
            </w:tcBorders>
            <w:vAlign w:val="center"/>
          </w:tcPr>
          <w:p w14:paraId="385258FB" w14:textId="3BDB599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A2C58C5" w14:textId="6907F1D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2,369</w:t>
            </w:r>
          </w:p>
        </w:tc>
      </w:tr>
      <w:tr w:rsidR="00D006DC" w:rsidRPr="009423C3" w14:paraId="27778680"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4784D0E" w14:textId="70D6C03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WORKING TOGETHER</w:t>
            </w:r>
          </w:p>
        </w:tc>
        <w:tc>
          <w:tcPr>
            <w:tcW w:w="4096" w:type="dxa"/>
            <w:tcBorders>
              <w:top w:val="single" w:sz="4" w:space="0" w:color="auto"/>
              <w:bottom w:val="single" w:sz="4" w:space="0" w:color="auto"/>
            </w:tcBorders>
            <w:vAlign w:val="center"/>
          </w:tcPr>
          <w:p w14:paraId="76310A7E" w14:textId="7999E841"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526C8001" w14:textId="20700ECF"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8,750</w:t>
            </w:r>
          </w:p>
        </w:tc>
      </w:tr>
      <w:tr w:rsidR="00D006DC" w:rsidRPr="009423C3" w14:paraId="1ABF9026"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F6F91B3" w14:textId="05F4E528"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WORKLOGIC</w:t>
            </w:r>
          </w:p>
        </w:tc>
        <w:tc>
          <w:tcPr>
            <w:tcW w:w="4096" w:type="dxa"/>
            <w:tcBorders>
              <w:top w:val="single" w:sz="4" w:space="0" w:color="auto"/>
              <w:bottom w:val="single" w:sz="4" w:space="0" w:color="auto"/>
            </w:tcBorders>
            <w:vAlign w:val="center"/>
          </w:tcPr>
          <w:p w14:paraId="66355884" w14:textId="1F07EDB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791ADA6" w14:textId="0E37A2E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11,400</w:t>
            </w:r>
          </w:p>
        </w:tc>
      </w:tr>
      <w:tr w:rsidR="00D006DC" w:rsidRPr="009423C3" w14:paraId="70EDAC24"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4209C949" w14:textId="077169D0"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WORLD EDUCATION PROGRAM AUSTRALIA LIMITED</w:t>
            </w:r>
          </w:p>
        </w:tc>
        <w:tc>
          <w:tcPr>
            <w:tcW w:w="4096" w:type="dxa"/>
            <w:tcBorders>
              <w:top w:val="single" w:sz="4" w:space="0" w:color="auto"/>
              <w:bottom w:val="single" w:sz="4" w:space="0" w:color="auto"/>
            </w:tcBorders>
            <w:vAlign w:val="center"/>
          </w:tcPr>
          <w:p w14:paraId="0C7BDA4D" w14:textId="24F507A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06727B37" w14:textId="6732BF18"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43,323</w:t>
            </w:r>
          </w:p>
        </w:tc>
      </w:tr>
      <w:tr w:rsidR="00D006DC" w:rsidRPr="009423C3" w14:paraId="15937291"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68F1E600" w14:textId="20D9F57B"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WRIGHT GILLIAN</w:t>
            </w:r>
          </w:p>
        </w:tc>
        <w:tc>
          <w:tcPr>
            <w:tcW w:w="4096" w:type="dxa"/>
            <w:tcBorders>
              <w:top w:val="single" w:sz="4" w:space="0" w:color="auto"/>
              <w:bottom w:val="single" w:sz="4" w:space="0" w:color="auto"/>
            </w:tcBorders>
            <w:vAlign w:val="center"/>
          </w:tcPr>
          <w:p w14:paraId="231170D5" w14:textId="64AB298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6F226541" w14:textId="1565029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47,909</w:t>
            </w:r>
          </w:p>
        </w:tc>
      </w:tr>
      <w:tr w:rsidR="00D006DC" w:rsidRPr="009423C3" w14:paraId="389E3F0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549ED335" w14:textId="5F2095C5"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WURUNDJERI WOI WURRUNG CULTURAL HERITAGE ABORIGINAL CORPORATION</w:t>
            </w:r>
          </w:p>
        </w:tc>
        <w:tc>
          <w:tcPr>
            <w:tcW w:w="4096" w:type="dxa"/>
            <w:tcBorders>
              <w:top w:val="single" w:sz="4" w:space="0" w:color="auto"/>
              <w:bottom w:val="single" w:sz="4" w:space="0" w:color="auto"/>
            </w:tcBorders>
            <w:vAlign w:val="center"/>
          </w:tcPr>
          <w:p w14:paraId="6C196A5F" w14:textId="001E94A4"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612C1B7" w14:textId="30390489"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9,210</w:t>
            </w:r>
          </w:p>
        </w:tc>
      </w:tr>
      <w:tr w:rsidR="00D006DC" w:rsidRPr="009423C3" w14:paraId="4EC2340C"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29E5D10E" w14:textId="166FD50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YOLANDA FINETTE HOLISTIC COACHING AND CONSULTANCY</w:t>
            </w:r>
          </w:p>
        </w:tc>
        <w:tc>
          <w:tcPr>
            <w:tcW w:w="4096" w:type="dxa"/>
            <w:tcBorders>
              <w:top w:val="single" w:sz="4" w:space="0" w:color="auto"/>
              <w:bottom w:val="single" w:sz="4" w:space="0" w:color="auto"/>
            </w:tcBorders>
            <w:vAlign w:val="center"/>
          </w:tcPr>
          <w:p w14:paraId="7091DF2C" w14:textId="5B4BA2C3"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272B9A11" w14:textId="7FB0086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2,250</w:t>
            </w:r>
          </w:p>
        </w:tc>
      </w:tr>
      <w:tr w:rsidR="00D006DC" w:rsidRPr="009423C3" w14:paraId="1353F4D9"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B53A134" w14:textId="1F3F31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YOUTH AFFAIRS COUNCIL OF VICTORIA INC</w:t>
            </w:r>
          </w:p>
        </w:tc>
        <w:tc>
          <w:tcPr>
            <w:tcW w:w="4096" w:type="dxa"/>
            <w:tcBorders>
              <w:top w:val="single" w:sz="4" w:space="0" w:color="auto"/>
              <w:bottom w:val="single" w:sz="4" w:space="0" w:color="auto"/>
            </w:tcBorders>
            <w:vAlign w:val="center"/>
          </w:tcPr>
          <w:p w14:paraId="225C1080" w14:textId="5648E30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40F1B25A" w14:textId="453AB606"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3,566</w:t>
            </w:r>
          </w:p>
        </w:tc>
      </w:tr>
      <w:tr w:rsidR="00D006DC" w:rsidRPr="009423C3" w14:paraId="57BC9FFB"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16E4ED9E" w14:textId="7865D147"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ZBAR CONSULTING PTY LTD</w:t>
            </w:r>
          </w:p>
        </w:tc>
        <w:tc>
          <w:tcPr>
            <w:tcW w:w="4096" w:type="dxa"/>
            <w:tcBorders>
              <w:top w:val="single" w:sz="4" w:space="0" w:color="auto"/>
              <w:bottom w:val="single" w:sz="4" w:space="0" w:color="auto"/>
            </w:tcBorders>
            <w:vAlign w:val="center"/>
          </w:tcPr>
          <w:p w14:paraId="677C967F" w14:textId="751A8D79"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Professional services</w:t>
            </w:r>
          </w:p>
        </w:tc>
        <w:tc>
          <w:tcPr>
            <w:tcW w:w="1417" w:type="dxa"/>
            <w:tcBorders>
              <w:top w:val="single" w:sz="4" w:space="0" w:color="auto"/>
              <w:bottom w:val="single" w:sz="4" w:space="0" w:color="auto"/>
            </w:tcBorders>
            <w:shd w:val="clear" w:color="auto" w:fill="auto"/>
            <w:vAlign w:val="center"/>
          </w:tcPr>
          <w:p w14:paraId="31A666A5" w14:textId="16B23E64"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36,000</w:t>
            </w:r>
          </w:p>
        </w:tc>
      </w:tr>
      <w:tr w:rsidR="00D006DC" w:rsidRPr="009423C3" w14:paraId="645A89F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7A524A6E" w14:textId="4F10374D"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ZED BE PEOPLE PARTNERS PTY LTD</w:t>
            </w:r>
          </w:p>
        </w:tc>
        <w:tc>
          <w:tcPr>
            <w:tcW w:w="4096" w:type="dxa"/>
            <w:tcBorders>
              <w:top w:val="single" w:sz="4" w:space="0" w:color="auto"/>
              <w:bottom w:val="single" w:sz="4" w:space="0" w:color="auto"/>
            </w:tcBorders>
            <w:vAlign w:val="center"/>
          </w:tcPr>
          <w:p w14:paraId="41FE4D88" w14:textId="3C266EEC"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Recruitment services</w:t>
            </w:r>
          </w:p>
        </w:tc>
        <w:tc>
          <w:tcPr>
            <w:tcW w:w="1417" w:type="dxa"/>
            <w:tcBorders>
              <w:top w:val="single" w:sz="4" w:space="0" w:color="auto"/>
              <w:bottom w:val="single" w:sz="4" w:space="0" w:color="auto"/>
            </w:tcBorders>
            <w:shd w:val="clear" w:color="auto" w:fill="auto"/>
            <w:vAlign w:val="center"/>
          </w:tcPr>
          <w:p w14:paraId="53F11FB7" w14:textId="297A276E"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17,938</w:t>
            </w:r>
          </w:p>
        </w:tc>
      </w:tr>
      <w:tr w:rsidR="00D006DC" w:rsidRPr="009423C3" w14:paraId="3A66066E" w14:textId="77777777" w:rsidTr="001244A4">
        <w:trPr>
          <w:cantSplit/>
          <w:trHeight w:val="353"/>
        </w:trPr>
        <w:tc>
          <w:tcPr>
            <w:tcW w:w="3823" w:type="dxa"/>
            <w:tcBorders>
              <w:top w:val="single" w:sz="4" w:space="0" w:color="auto"/>
              <w:bottom w:val="single" w:sz="4" w:space="0" w:color="auto"/>
            </w:tcBorders>
            <w:shd w:val="clear" w:color="auto" w:fill="auto"/>
            <w:vAlign w:val="center"/>
          </w:tcPr>
          <w:p w14:paraId="006CBF4D" w14:textId="4E477CAE" w:rsidR="00D006DC" w:rsidRPr="008457E1" w:rsidRDefault="00D006DC"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ZYCUS INFOTECH PRIVATE LIMITED</w:t>
            </w:r>
          </w:p>
        </w:tc>
        <w:tc>
          <w:tcPr>
            <w:tcW w:w="4096" w:type="dxa"/>
            <w:tcBorders>
              <w:top w:val="single" w:sz="4" w:space="0" w:color="auto"/>
              <w:bottom w:val="single" w:sz="4" w:space="0" w:color="auto"/>
            </w:tcBorders>
            <w:vAlign w:val="center"/>
          </w:tcPr>
          <w:p w14:paraId="66F3A145" w14:textId="2C6A8D6C" w:rsidR="00D006DC" w:rsidRPr="008457E1" w:rsidRDefault="00F84AAA" w:rsidP="00D006DC">
            <w:pPr>
              <w:pStyle w:val="ESTablebody"/>
              <w:rPr>
                <w:rFonts w:ascii="Calibri" w:eastAsia="Times New Roman" w:hAnsi="Calibri" w:cs="Calibri"/>
                <w:color w:val="000000"/>
                <w:szCs w:val="20"/>
                <w:lang w:val="en-AU" w:eastAsia="en-AU"/>
              </w:rPr>
            </w:pPr>
            <w:r>
              <w:rPr>
                <w:rFonts w:ascii="Calibri" w:hAnsi="Calibri" w:cs="Calibri"/>
                <w:color w:val="000000"/>
                <w:szCs w:val="20"/>
              </w:rPr>
              <w:t>IT services</w:t>
            </w:r>
          </w:p>
        </w:tc>
        <w:tc>
          <w:tcPr>
            <w:tcW w:w="1417" w:type="dxa"/>
            <w:tcBorders>
              <w:top w:val="single" w:sz="4" w:space="0" w:color="auto"/>
              <w:bottom w:val="single" w:sz="4" w:space="0" w:color="auto"/>
            </w:tcBorders>
            <w:shd w:val="clear" w:color="auto" w:fill="auto"/>
            <w:vAlign w:val="center"/>
          </w:tcPr>
          <w:p w14:paraId="2B7ECC08" w14:textId="7EE246D7" w:rsidR="00D006DC" w:rsidRPr="008457E1" w:rsidRDefault="00D006DC" w:rsidP="00D006DC">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168,590</w:t>
            </w:r>
          </w:p>
        </w:tc>
      </w:tr>
    </w:tbl>
    <w:p w14:paraId="55CC4AB1" w14:textId="77777777" w:rsidR="00D34D92" w:rsidRPr="00925213" w:rsidRDefault="00D34D92" w:rsidP="00AD5101">
      <w:pPr>
        <w:pStyle w:val="ESTableintroheading"/>
        <w:rPr>
          <w:rFonts w:ascii="Calibri" w:hAnsi="Calibri" w:cs="Calibri"/>
        </w:rPr>
      </w:pPr>
    </w:p>
    <w:sectPr w:rsidR="00D34D92" w:rsidRPr="00925213" w:rsidSect="000A737C">
      <w:pgSz w:w="11900" w:h="16840"/>
      <w:pgMar w:top="1440" w:right="1418"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6B51" w14:textId="77777777" w:rsidR="00C724F5" w:rsidRDefault="00C724F5" w:rsidP="004625D4">
      <w:r>
        <w:separator/>
      </w:r>
    </w:p>
  </w:endnote>
  <w:endnote w:type="continuationSeparator" w:id="0">
    <w:p w14:paraId="4D8AD9AF" w14:textId="77777777" w:rsidR="00C724F5" w:rsidRDefault="00C724F5" w:rsidP="004625D4">
      <w:r>
        <w:continuationSeparator/>
      </w:r>
    </w:p>
  </w:endnote>
  <w:endnote w:type="continuationNotice" w:id="1">
    <w:p w14:paraId="0F3A891E" w14:textId="77777777" w:rsidR="00C724F5" w:rsidRDefault="00C72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F303" w14:textId="00BF2AAB" w:rsidR="00E768C6" w:rsidRDefault="00E76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AF4" w14:textId="77777777" w:rsidR="00E768C6" w:rsidRPr="003E29B5" w:rsidRDefault="00E768C6" w:rsidP="004625D4">
    <w:r w:rsidRPr="003E29B5">
      <w:tab/>
    </w:r>
  </w:p>
  <w:p w14:paraId="3CC568CE" w14:textId="441DA88A" w:rsidR="00E768C6" w:rsidRDefault="00E76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55F0" w14:textId="7E380079" w:rsidR="00E768C6" w:rsidRPr="00B8261F" w:rsidRDefault="00C724F5" w:rsidP="00FC51F2">
    <w:pPr>
      <w:pStyle w:val="ESFooter"/>
    </w:pPr>
    <w:sdt>
      <w:sdtPr>
        <w:rPr>
          <w:lang w:val="en-AU"/>
        </w:rPr>
        <w:id w:val="208384299"/>
        <w:docPartObj>
          <w:docPartGallery w:val="Page Numbers (Bottom of Page)"/>
          <w:docPartUnique/>
        </w:docPartObj>
      </w:sdtPr>
      <w:sdtEndPr/>
      <w:sdtContent>
        <w:r w:rsidR="00E768C6" w:rsidRPr="00B8261F">
          <w:rPr>
            <w:lang w:val="en-AU"/>
          </w:rPr>
          <w:t>Page</w:t>
        </w:r>
        <w:r w:rsidR="00E768C6">
          <w:rPr>
            <w:lang w:val="en-AU"/>
          </w:rPr>
          <w:t xml:space="preserve"> </w:t>
        </w:r>
        <w:r w:rsidR="00FB0926" w:rsidRPr="00FB0926">
          <w:rPr>
            <w:noProof w:val="0"/>
            <w:lang w:val="en-AU"/>
          </w:rPr>
          <w:fldChar w:fldCharType="begin"/>
        </w:r>
        <w:r w:rsidR="00FB0926" w:rsidRPr="00FB0926">
          <w:rPr>
            <w:lang w:val="en-AU"/>
          </w:rPr>
          <w:instrText xml:space="preserve"> PAGE   \* MERGEFORMAT </w:instrText>
        </w:r>
        <w:r w:rsidR="00FB0926" w:rsidRPr="00FB0926">
          <w:rPr>
            <w:noProof w:val="0"/>
            <w:lang w:val="en-AU"/>
          </w:rPr>
          <w:fldChar w:fldCharType="separate"/>
        </w:r>
        <w:r w:rsidR="00FB0926" w:rsidRPr="00FB0926">
          <w:rPr>
            <w:lang w:val="en-AU"/>
          </w:rPr>
          <w:t>1</w:t>
        </w:r>
        <w:r w:rsidR="00FB0926" w:rsidRPr="00FB0926">
          <w:rPr>
            <w:lang w:val="en-AU"/>
          </w:rPr>
          <w:fldChar w:fldCharType="end"/>
        </w:r>
        <w:r w:rsidR="00E768C6" w:rsidRPr="00B8261F">
          <w:rPr>
            <w:lang w:val="en-AU"/>
          </w:rPr>
          <w:t xml:space="preserve"> </w:t>
        </w:r>
        <w:r w:rsidR="00E768C6">
          <w:rPr>
            <w:lang w:val="en-AU"/>
          </w:rPr>
          <w:t xml:space="preserve">| </w:t>
        </w:r>
        <w:r w:rsidR="00E768C6" w:rsidRPr="00B8261F">
          <w:rPr>
            <w:lang w:val="en-AU"/>
          </w:rPr>
          <w:fldChar w:fldCharType="begin"/>
        </w:r>
        <w:r w:rsidR="00E768C6" w:rsidRPr="00B8261F">
          <w:rPr>
            <w:lang w:val="en-AU"/>
          </w:rPr>
          <w:instrText xml:space="preserve"> TITLE  \* MERGEFORMAT </w:instrText>
        </w:r>
        <w:r w:rsidR="00E768C6" w:rsidRPr="00B8261F">
          <w:rPr>
            <w:lang w:val="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05A7" w14:textId="77777777" w:rsidR="00C724F5" w:rsidRDefault="00C724F5" w:rsidP="004625D4">
      <w:r>
        <w:separator/>
      </w:r>
    </w:p>
  </w:footnote>
  <w:footnote w:type="continuationSeparator" w:id="0">
    <w:p w14:paraId="20B33474" w14:textId="77777777" w:rsidR="00C724F5" w:rsidRDefault="00C724F5" w:rsidP="004625D4">
      <w:r>
        <w:continuationSeparator/>
      </w:r>
    </w:p>
  </w:footnote>
  <w:footnote w:type="continuationNotice" w:id="1">
    <w:p w14:paraId="34085FE6" w14:textId="77777777" w:rsidR="00C724F5" w:rsidRDefault="00C724F5"/>
  </w:footnote>
  <w:footnote w:id="2">
    <w:p w14:paraId="195A424B" w14:textId="34974D8B" w:rsidR="00E768C6" w:rsidRPr="00D40D82" w:rsidRDefault="00E768C6" w:rsidP="00D34D92">
      <w:pPr>
        <w:pStyle w:val="FootnoteText"/>
        <w:rPr>
          <w:lang w:val="en-AU"/>
        </w:rPr>
      </w:pPr>
      <w:r>
        <w:rPr>
          <w:rStyle w:val="FootnoteReference"/>
        </w:rPr>
        <w:footnoteRef/>
      </w:r>
      <w:r>
        <w:t xml:space="preserve"> </w:t>
      </w:r>
      <w:r w:rsidRPr="00FB1B8F">
        <w:rPr>
          <w:rFonts w:cstheme="minorHAnsi"/>
          <w:szCs w:val="15"/>
        </w:rPr>
        <w:t>Contractors’ business names are as listed in the Australian Business Register</w:t>
      </w:r>
      <w:r w:rsidR="0048231C">
        <w:rPr>
          <w:rFonts w:cstheme="minorHAnsi"/>
          <w:szCs w:val="15"/>
        </w:rPr>
        <w:t>.</w:t>
      </w:r>
      <w:r w:rsidRPr="00FB1B8F">
        <w:rPr>
          <w:rFonts w:cstheme="minorHAnsi"/>
          <w:szCs w:val="15"/>
        </w:rPr>
        <w:t xml:space="preserve"> </w:t>
      </w:r>
      <w:r w:rsidR="008E6743">
        <w:rPr>
          <w:rFonts w:cstheme="minorHAnsi"/>
          <w:szCs w:val="15"/>
        </w:rPr>
        <w:t>C</w:t>
      </w:r>
      <w:r w:rsidRPr="00FB1B8F">
        <w:rPr>
          <w:rFonts w:cstheme="minorHAnsi"/>
          <w:szCs w:val="15"/>
        </w:rPr>
        <w:t>apitalisation, abbreviations, punctuation, spelling and any apparent errors or inconsistencies are as listed</w:t>
      </w:r>
      <w:r>
        <w:rPr>
          <w:rFonts w:cstheme="minorHAnsi"/>
          <w:szCs w:val="15"/>
        </w:rPr>
        <w:t xml:space="preserve"> in the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C562" w14:textId="03D1203C" w:rsidR="00E768C6" w:rsidRPr="00342783" w:rsidRDefault="00E768C6" w:rsidP="0034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128754"/>
    <w:lvl w:ilvl="0">
      <w:start w:val="1"/>
      <w:numFmt w:val="decimal"/>
      <w:pStyle w:val="ESbullet1indent"/>
      <w:lvlText w:val="%1."/>
      <w:lvlJc w:val="left"/>
      <w:pPr>
        <w:tabs>
          <w:tab w:val="num" w:pos="1209"/>
        </w:tabs>
        <w:ind w:left="1209" w:hanging="360"/>
      </w:pPr>
    </w:lvl>
  </w:abstractNum>
  <w:abstractNum w:abstractNumId="1" w15:restartNumberingAfterBreak="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D21372"/>
    <w:multiLevelType w:val="multilevel"/>
    <w:tmpl w:val="A95498EE"/>
    <w:lvl w:ilvl="0">
      <w:start w:val="1"/>
      <w:numFmt w:val="decimal"/>
      <w:pStyle w:val="HeadingLevel1"/>
      <w:suff w:val="space"/>
      <w:lvlText w:val="%1."/>
      <w:lvlJc w:val="left"/>
      <w:pPr>
        <w:ind w:left="57" w:hanging="57"/>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57" w:hanging="57"/>
      </w:pPr>
      <w:rPr>
        <w:rFonts w:hint="default"/>
      </w:rPr>
    </w:lvl>
    <w:lvl w:ilvl="3">
      <w:start w:val="1"/>
      <w:numFmt w:val="decimal"/>
      <w:lvlText w:val="(%4)"/>
      <w:lvlJc w:val="left"/>
      <w:pPr>
        <w:ind w:left="57" w:hanging="57"/>
      </w:pPr>
      <w:rPr>
        <w:rFonts w:hint="default"/>
      </w:rPr>
    </w:lvl>
    <w:lvl w:ilvl="4">
      <w:start w:val="1"/>
      <w:numFmt w:val="lowerLetter"/>
      <w:lvlText w:val="(%5)"/>
      <w:lvlJc w:val="left"/>
      <w:pPr>
        <w:ind w:left="57" w:hanging="57"/>
      </w:pPr>
      <w:rPr>
        <w:rFonts w:hint="default"/>
      </w:rPr>
    </w:lvl>
    <w:lvl w:ilvl="5">
      <w:start w:val="1"/>
      <w:numFmt w:val="lowerRoman"/>
      <w:lvlText w:val="(%6)"/>
      <w:lvlJc w:val="left"/>
      <w:pPr>
        <w:ind w:left="57" w:hanging="57"/>
      </w:pPr>
      <w:rPr>
        <w:rFonts w:hint="default"/>
      </w:rPr>
    </w:lvl>
    <w:lvl w:ilvl="6">
      <w:start w:val="1"/>
      <w:numFmt w:val="decimal"/>
      <w:lvlText w:val="%7."/>
      <w:lvlJc w:val="left"/>
      <w:pPr>
        <w:ind w:left="57" w:hanging="57"/>
      </w:pPr>
      <w:rPr>
        <w:rFonts w:hint="default"/>
      </w:rPr>
    </w:lvl>
    <w:lvl w:ilvl="7">
      <w:start w:val="1"/>
      <w:numFmt w:val="lowerLetter"/>
      <w:lvlText w:val="%8."/>
      <w:lvlJc w:val="left"/>
      <w:pPr>
        <w:ind w:left="57" w:hanging="57"/>
      </w:pPr>
      <w:rPr>
        <w:rFonts w:hint="default"/>
      </w:rPr>
    </w:lvl>
    <w:lvl w:ilvl="8">
      <w:start w:val="1"/>
      <w:numFmt w:val="lowerRoman"/>
      <w:lvlText w:val="%9."/>
      <w:lvlJc w:val="left"/>
      <w:pPr>
        <w:ind w:left="57" w:hanging="57"/>
      </w:pPr>
      <w:rPr>
        <w:rFonts w:hint="default"/>
      </w:rPr>
    </w:lvl>
  </w:abstractNum>
  <w:abstractNum w:abstractNumId="3" w15:restartNumberingAfterBreak="0">
    <w:nsid w:val="05AD7315"/>
    <w:multiLevelType w:val="hybridMultilevel"/>
    <w:tmpl w:val="D8748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5C804C6"/>
    <w:multiLevelType w:val="multilevel"/>
    <w:tmpl w:val="62421870"/>
    <w:styleLink w:val="GuidanceAlphaListStyle"/>
    <w:lvl w:ilvl="0">
      <w:start w:val="1"/>
      <w:numFmt w:val="lowerLetter"/>
      <w:lvlText w:val="(%1)"/>
      <w:lvlJc w:val="left"/>
      <w:pPr>
        <w:ind w:left="340" w:hanging="340"/>
      </w:pPr>
      <w:rPr>
        <w:color w:val="auto"/>
        <w:u w:color="FFFFFF" w:themeColor="background1"/>
      </w:rPr>
    </w:lvl>
    <w:lvl w:ilvl="1">
      <w:start w:val="1"/>
      <w:numFmt w:val="lowerRoman"/>
      <w:lvlText w:val=" (%2)"/>
      <w:lvlJc w:val="left"/>
      <w:pPr>
        <w:tabs>
          <w:tab w:val="num" w:pos="340"/>
        </w:tabs>
        <w:ind w:left="680" w:hanging="680"/>
      </w:pPr>
      <w:rPr>
        <w:rFonts w:hint="default"/>
      </w:rPr>
    </w:lvl>
    <w:lvl w:ilvl="2">
      <w:start w:val="1"/>
      <w:numFmt w:val="none"/>
      <w:lvlText w:val=" –"/>
      <w:lvlJc w:val="left"/>
      <w:pPr>
        <w:tabs>
          <w:tab w:val="num" w:pos="680"/>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EE77F9"/>
    <w:multiLevelType w:val="multilevel"/>
    <w:tmpl w:val="F104AB12"/>
    <w:numStyleLink w:val="NumberedHeadings"/>
  </w:abstractNum>
  <w:abstractNum w:abstractNumId="6" w15:restartNumberingAfterBreak="0">
    <w:nsid w:val="0A371B35"/>
    <w:multiLevelType w:val="hybridMultilevel"/>
    <w:tmpl w:val="F7F05A60"/>
    <w:lvl w:ilvl="0" w:tplc="F56267EE">
      <w:start w:val="1"/>
      <w:numFmt w:val="bullet"/>
      <w:pStyle w:val="BodyTextIndent"/>
      <w:lvlText w:val=""/>
      <w:lvlJc w:val="left"/>
      <w:pPr>
        <w:ind w:left="1077" w:hanging="360"/>
      </w:pPr>
      <w:rPr>
        <w:rFonts w:ascii="Symbol" w:hAnsi="Symbol" w:hint="default"/>
        <w:color w:val="44697D"/>
      </w:rPr>
    </w:lvl>
    <w:lvl w:ilvl="1" w:tplc="AB14B39E">
      <w:start w:val="1"/>
      <w:numFmt w:val="decimal"/>
      <w:lvlText w:val="%2."/>
      <w:lvlJc w:val="left"/>
      <w:pPr>
        <w:tabs>
          <w:tab w:val="num" w:pos="720"/>
        </w:tabs>
        <w:ind w:left="720" w:hanging="360"/>
      </w:pPr>
      <w:rPr>
        <w:rFonts w:hint="default"/>
        <w:color w:val="auto"/>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8B2608"/>
    <w:multiLevelType w:val="hybridMultilevel"/>
    <w:tmpl w:val="6D085EFC"/>
    <w:lvl w:ilvl="0" w:tplc="F56267EE">
      <w:start w:val="1"/>
      <w:numFmt w:val="bullet"/>
      <w:pStyle w:val="Notestextindentbullets"/>
      <w:lvlText w:val=""/>
      <w:lvlJc w:val="left"/>
      <w:pPr>
        <w:ind w:left="1440" w:hanging="360"/>
      </w:pPr>
      <w:rPr>
        <w:rFonts w:ascii="Symbol" w:hAnsi="Symbol" w:hint="default"/>
      </w:rPr>
    </w:lvl>
    <w:lvl w:ilvl="1" w:tplc="AB14B39E"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4732DB"/>
    <w:multiLevelType w:val="hybridMultilevel"/>
    <w:tmpl w:val="9A0A1EFC"/>
    <w:lvl w:ilvl="0" w:tplc="76981B82">
      <w:start w:val="1"/>
      <w:numFmt w:val="lowerLetter"/>
      <w:pStyle w:val="NotesIndentLetter"/>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9" w15:restartNumberingAfterBreak="0">
    <w:nsid w:val="0D6A4162"/>
    <w:multiLevelType w:val="multilevel"/>
    <w:tmpl w:val="67B4D2A4"/>
    <w:styleLink w:val="ListBulletAlphaStyle"/>
    <w:lvl w:ilvl="0">
      <w:start w:val="1"/>
      <w:numFmt w:val="bullet"/>
      <w:lvlText w:val=""/>
      <w:lvlJc w:val="left"/>
      <w:pPr>
        <w:ind w:left="340" w:hanging="340"/>
      </w:pPr>
      <w:rPr>
        <w:rFonts w:ascii="Symbol" w:hAnsi="Symbol" w:hint="default"/>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77788A"/>
    <w:multiLevelType w:val="hybridMultilevel"/>
    <w:tmpl w:val="784A3CD2"/>
    <w:lvl w:ilvl="0" w:tplc="0C090001">
      <w:start w:val="1"/>
      <w:numFmt w:val="bullet"/>
      <w:pStyle w:val="notestext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6386E"/>
    <w:multiLevelType w:val="multilevel"/>
    <w:tmpl w:val="F70623F0"/>
    <w:numStyleLink w:val="Bullet"/>
  </w:abstractNum>
  <w:abstractNum w:abstractNumId="12" w15:restartNumberingAfterBreak="0">
    <w:nsid w:val="1BB06538"/>
    <w:multiLevelType w:val="hybridMultilevel"/>
    <w:tmpl w:val="BFBC2904"/>
    <w:lvl w:ilvl="0" w:tplc="0E30C6C2">
      <w:start w:val="1"/>
      <w:numFmt w:val="bullet"/>
      <w:pStyle w:val="VFTextbullets"/>
      <w:lvlText w:val=""/>
      <w:lvlJc w:val="left"/>
      <w:pPr>
        <w:tabs>
          <w:tab w:val="num" w:pos="340"/>
        </w:tabs>
        <w:ind w:left="340" w:hanging="34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5"/>
      <w:numFmt w:val="bullet"/>
      <w:lvlText w:val="•"/>
      <w:lvlJc w:val="left"/>
      <w:pPr>
        <w:ind w:left="2370" w:hanging="57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47C6140"/>
    <w:multiLevelType w:val="hybridMultilevel"/>
    <w:tmpl w:val="1AA204C4"/>
    <w:lvl w:ilvl="0" w:tplc="93BE83A8">
      <w:start w:val="1"/>
      <w:numFmt w:val="decimal"/>
      <w:pStyle w:val="Note"/>
      <w:lvlText w:val="Note %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6B9383F"/>
    <w:multiLevelType w:val="hybridMultilevel"/>
    <w:tmpl w:val="1A56D874"/>
    <w:lvl w:ilvl="0" w:tplc="E6E6B4D2">
      <w:start w:val="1"/>
      <w:numFmt w:val="bullet"/>
      <w:pStyle w:val="ES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3080F"/>
    <w:multiLevelType w:val="hybridMultilevel"/>
    <w:tmpl w:val="0076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940CD5"/>
    <w:multiLevelType w:val="hybridMultilevel"/>
    <w:tmpl w:val="F70623F0"/>
    <w:styleLink w:val="Bullet"/>
    <w:lvl w:ilvl="0" w:tplc="0E30C6C2">
      <w:start w:val="1"/>
      <w:numFmt w:val="bullet"/>
      <w:pStyle w:val="Imprint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336268E0"/>
    <w:multiLevelType w:val="multilevel"/>
    <w:tmpl w:val="F104AB12"/>
    <w:numStyleLink w:val="NumberedHeadings"/>
  </w:abstractNum>
  <w:abstractNum w:abstractNumId="19" w15:restartNumberingAfterBreak="0">
    <w:nsid w:val="3DD004E2"/>
    <w:multiLevelType w:val="hybridMultilevel"/>
    <w:tmpl w:val="81AADF3E"/>
    <w:styleLink w:val="ArticleSection1"/>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A1403"/>
    <w:multiLevelType w:val="hybridMultilevel"/>
    <w:tmpl w:val="9DD69076"/>
    <w:lvl w:ilvl="0" w:tplc="836A17E2">
      <w:start w:val="1"/>
      <w:numFmt w:val="lowerLetter"/>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21"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15:restartNumberingAfterBreak="0">
    <w:nsid w:val="447F78E7"/>
    <w:multiLevelType w:val="hybridMultilevel"/>
    <w:tmpl w:val="F802F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3318"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CC02D17"/>
    <w:multiLevelType w:val="hybridMultilevel"/>
    <w:tmpl w:val="C8E0C006"/>
    <w:lvl w:ilvl="0" w:tplc="4DDE940A">
      <w:start w:val="1"/>
      <w:numFmt w:val="decimal"/>
      <w:pStyle w:val="Heading2notes"/>
      <w:lvlText w:val="Note %1"/>
      <w:lvlJc w:val="left"/>
      <w:pPr>
        <w:ind w:left="360" w:hanging="360"/>
      </w:pPr>
      <w:rPr>
        <w:rFonts w:hint="default"/>
      </w:rPr>
    </w:lvl>
    <w:lvl w:ilvl="1" w:tplc="0C090019" w:tentative="1">
      <w:start w:val="1"/>
      <w:numFmt w:val="lowerLetter"/>
      <w:pStyle w:val="Heading2notes"/>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2A78C3"/>
    <w:multiLevelType w:val="hybridMultilevel"/>
    <w:tmpl w:val="60E2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66773"/>
    <w:multiLevelType w:val="hybridMultilevel"/>
    <w:tmpl w:val="052E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5B0B7437"/>
    <w:multiLevelType w:val="hybridMultilevel"/>
    <w:tmpl w:val="94D2A6CA"/>
    <w:lvl w:ilvl="0" w:tplc="C8A4BD74">
      <w:numFmt w:val="bullet"/>
      <w:pStyle w:val="Bulletsquestionnaire"/>
      <w:lvlText w:val="•"/>
      <w:lvlJc w:val="left"/>
      <w:pPr>
        <w:ind w:left="1080" w:hanging="720"/>
      </w:pPr>
      <w:rPr>
        <w:rFonts w:ascii="Calibri" w:eastAsiaTheme="minorHAnsi" w:hAnsi="Calibri" w:cs="Calibri" w:hint="default"/>
      </w:rPr>
    </w:lvl>
    <w:lvl w:ilvl="1" w:tplc="29946B3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0149C3"/>
    <w:multiLevelType w:val="hybridMultilevel"/>
    <w:tmpl w:val="64CA19E2"/>
    <w:lvl w:ilvl="0" w:tplc="5FB03660">
      <w:start w:val="7"/>
      <w:numFmt w:val="bullet"/>
      <w:lvlText w:val="-"/>
      <w:lvlJc w:val="left"/>
      <w:pPr>
        <w:ind w:left="720" w:hanging="360"/>
      </w:pPr>
      <w:rPr>
        <w:rFonts w:ascii="Calibri" w:eastAsiaTheme="minorEastAsia"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AC0CC9"/>
    <w:multiLevelType w:val="hybridMultilevel"/>
    <w:tmpl w:val="66009A06"/>
    <w:lvl w:ilvl="0" w:tplc="CD164CB2">
      <w:start w:val="1"/>
      <w:numFmt w:val="decimal"/>
      <w:pStyle w:val="ESAppendix1"/>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215738"/>
    <w:multiLevelType w:val="hybridMultilevel"/>
    <w:tmpl w:val="D1728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36E51E7"/>
    <w:multiLevelType w:val="hybridMultilevel"/>
    <w:tmpl w:val="19E005EA"/>
    <w:lvl w:ilvl="0" w:tplc="0C090001">
      <w:start w:val="1"/>
      <w:numFmt w:val="decimal"/>
      <w:pStyle w:val="ReferenceTextNumbered"/>
      <w:lvlText w:val="%1."/>
      <w:lvlJc w:val="left"/>
      <w:pPr>
        <w:ind w:left="720" w:hanging="360"/>
      </w:pPr>
      <w:rPr>
        <w:b w:val="0"/>
      </w:rPr>
    </w:lvl>
    <w:lvl w:ilvl="1" w:tplc="D4E4CC0A"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4" w15:restartNumberingAfterBreak="0">
    <w:nsid w:val="64B36AF8"/>
    <w:multiLevelType w:val="hybridMultilevel"/>
    <w:tmpl w:val="AE7A32C2"/>
    <w:lvl w:ilvl="0" w:tplc="369C6E1E">
      <w:start w:val="1"/>
      <w:numFmt w:val="bullet"/>
      <w:lvlText w:val=""/>
      <w:lvlJc w:val="left"/>
      <w:pPr>
        <w:ind w:left="720" w:hanging="360"/>
      </w:pPr>
      <w:rPr>
        <w:rFonts w:ascii="Symbol" w:hAnsi="Symbol" w:hint="default"/>
        <w:color w:val="auto"/>
      </w:rPr>
    </w:lvl>
    <w:lvl w:ilvl="1" w:tplc="684A688C">
      <w:start w:val="1"/>
      <w:numFmt w:val="bullet"/>
      <w:lvlText w:val="o"/>
      <w:lvlJc w:val="left"/>
      <w:pPr>
        <w:ind w:left="1440" w:hanging="360"/>
      </w:pPr>
      <w:rPr>
        <w:rFonts w:ascii="Courier New" w:hAnsi="Courier New" w:cs="Courier New" w:hint="default"/>
      </w:rPr>
    </w:lvl>
    <w:lvl w:ilvl="2" w:tplc="42447B1C" w:tentative="1">
      <w:start w:val="1"/>
      <w:numFmt w:val="bullet"/>
      <w:lvlText w:val=""/>
      <w:lvlJc w:val="left"/>
      <w:pPr>
        <w:ind w:left="2160" w:hanging="360"/>
      </w:pPr>
      <w:rPr>
        <w:rFonts w:ascii="Wingdings" w:hAnsi="Wingdings" w:hint="default"/>
      </w:rPr>
    </w:lvl>
    <w:lvl w:ilvl="3" w:tplc="5158335E" w:tentative="1">
      <w:start w:val="1"/>
      <w:numFmt w:val="bullet"/>
      <w:lvlText w:val=""/>
      <w:lvlJc w:val="left"/>
      <w:pPr>
        <w:ind w:left="2880" w:hanging="360"/>
      </w:pPr>
      <w:rPr>
        <w:rFonts w:ascii="Symbol" w:hAnsi="Symbol" w:hint="default"/>
      </w:rPr>
    </w:lvl>
    <w:lvl w:ilvl="4" w:tplc="03144FB6" w:tentative="1">
      <w:start w:val="1"/>
      <w:numFmt w:val="bullet"/>
      <w:lvlText w:val="o"/>
      <w:lvlJc w:val="left"/>
      <w:pPr>
        <w:ind w:left="3600" w:hanging="360"/>
      </w:pPr>
      <w:rPr>
        <w:rFonts w:ascii="Courier New" w:hAnsi="Courier New" w:cs="Courier New" w:hint="default"/>
      </w:rPr>
    </w:lvl>
    <w:lvl w:ilvl="5" w:tplc="8EACC1BA" w:tentative="1">
      <w:start w:val="1"/>
      <w:numFmt w:val="bullet"/>
      <w:lvlText w:val=""/>
      <w:lvlJc w:val="left"/>
      <w:pPr>
        <w:ind w:left="4320" w:hanging="360"/>
      </w:pPr>
      <w:rPr>
        <w:rFonts w:ascii="Wingdings" w:hAnsi="Wingdings" w:hint="default"/>
      </w:rPr>
    </w:lvl>
    <w:lvl w:ilvl="6" w:tplc="9D08E536" w:tentative="1">
      <w:start w:val="1"/>
      <w:numFmt w:val="bullet"/>
      <w:lvlText w:val=""/>
      <w:lvlJc w:val="left"/>
      <w:pPr>
        <w:ind w:left="5040" w:hanging="360"/>
      </w:pPr>
      <w:rPr>
        <w:rFonts w:ascii="Symbol" w:hAnsi="Symbol" w:hint="default"/>
      </w:rPr>
    </w:lvl>
    <w:lvl w:ilvl="7" w:tplc="00D42DAC" w:tentative="1">
      <w:start w:val="1"/>
      <w:numFmt w:val="bullet"/>
      <w:lvlText w:val="o"/>
      <w:lvlJc w:val="left"/>
      <w:pPr>
        <w:ind w:left="5760" w:hanging="360"/>
      </w:pPr>
      <w:rPr>
        <w:rFonts w:ascii="Courier New" w:hAnsi="Courier New" w:cs="Courier New" w:hint="default"/>
      </w:rPr>
    </w:lvl>
    <w:lvl w:ilvl="8" w:tplc="98B85C00" w:tentative="1">
      <w:start w:val="1"/>
      <w:numFmt w:val="bullet"/>
      <w:lvlText w:val=""/>
      <w:lvlJc w:val="left"/>
      <w:pPr>
        <w:ind w:left="6480" w:hanging="360"/>
      </w:pPr>
      <w:rPr>
        <w:rFonts w:ascii="Wingdings" w:hAnsi="Wingdings" w:hint="default"/>
      </w:rPr>
    </w:lvl>
  </w:abstractNum>
  <w:abstractNum w:abstractNumId="35" w15:restartNumberingAfterBreak="0">
    <w:nsid w:val="72E921FA"/>
    <w:multiLevelType w:val="multilevel"/>
    <w:tmpl w:val="CBF63D70"/>
    <w:lvl w:ilvl="0">
      <w:start w:val="1"/>
      <w:numFmt w:val="decimal"/>
      <w:pStyle w:val="NotesHeading-Level1"/>
      <w:lvlText w:val="Note %1: "/>
      <w:lvlJc w:val="left"/>
      <w:pPr>
        <w:tabs>
          <w:tab w:val="num" w:pos="851"/>
        </w:tabs>
        <w:ind w:left="1134" w:hanging="1134"/>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73C7651A"/>
    <w:multiLevelType w:val="hybridMultilevel"/>
    <w:tmpl w:val="A6AC9E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F8B449F"/>
    <w:multiLevelType w:val="hybridMultilevel"/>
    <w:tmpl w:val="A580C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8793331">
    <w:abstractNumId w:val="0"/>
  </w:num>
  <w:num w:numId="2" w16cid:durableId="1049305686">
    <w:abstractNumId w:val="26"/>
  </w:num>
  <w:num w:numId="3" w16cid:durableId="899054080">
    <w:abstractNumId w:val="15"/>
  </w:num>
  <w:num w:numId="4" w16cid:durableId="478036530">
    <w:abstractNumId w:val="31"/>
  </w:num>
  <w:num w:numId="5" w16cid:durableId="710616215">
    <w:abstractNumId w:val="24"/>
  </w:num>
  <w:num w:numId="6" w16cid:durableId="958218592">
    <w:abstractNumId w:val="16"/>
  </w:num>
  <w:num w:numId="7" w16cid:durableId="1191844226">
    <w:abstractNumId w:val="36"/>
  </w:num>
  <w:num w:numId="8" w16cid:durableId="725294713">
    <w:abstractNumId w:val="37"/>
  </w:num>
  <w:num w:numId="9" w16cid:durableId="1855072232">
    <w:abstractNumId w:val="21"/>
  </w:num>
  <w:num w:numId="10" w16cid:durableId="1669822305">
    <w:abstractNumId w:val="14"/>
  </w:num>
  <w:num w:numId="11" w16cid:durableId="1970091027">
    <w:abstractNumId w:val="6"/>
  </w:num>
  <w:num w:numId="12" w16cid:durableId="257449344">
    <w:abstractNumId w:val="11"/>
  </w:num>
  <w:num w:numId="13" w16cid:durableId="1626958555">
    <w:abstractNumId w:val="23"/>
  </w:num>
  <w:num w:numId="14" w16cid:durableId="806971842">
    <w:abstractNumId w:val="5"/>
  </w:num>
  <w:num w:numId="15" w16cid:durableId="1615135027">
    <w:abstractNumId w:val="18"/>
  </w:num>
  <w:num w:numId="16" w16cid:durableId="131600658">
    <w:abstractNumId w:val="19"/>
  </w:num>
  <w:num w:numId="17" w16cid:durableId="1075400694">
    <w:abstractNumId w:val="17"/>
  </w:num>
  <w:num w:numId="18" w16cid:durableId="1597976384">
    <w:abstractNumId w:val="35"/>
  </w:num>
  <w:num w:numId="19" w16cid:durableId="1885363487">
    <w:abstractNumId w:val="28"/>
  </w:num>
  <w:num w:numId="20" w16cid:durableId="2058552937">
    <w:abstractNumId w:val="13"/>
  </w:num>
  <w:num w:numId="21" w16cid:durableId="485781329">
    <w:abstractNumId w:val="1"/>
  </w:num>
  <w:num w:numId="22" w16cid:durableId="692801870">
    <w:abstractNumId w:val="10"/>
  </w:num>
  <w:num w:numId="23" w16cid:durableId="1761179225">
    <w:abstractNumId w:val="33"/>
  </w:num>
  <w:num w:numId="24" w16cid:durableId="114102847">
    <w:abstractNumId w:val="7"/>
  </w:num>
  <w:num w:numId="25" w16cid:durableId="904490049">
    <w:abstractNumId w:val="8"/>
  </w:num>
  <w:num w:numId="26" w16cid:durableId="716777508">
    <w:abstractNumId w:val="2"/>
    <w:lvlOverride w:ilvl="0">
      <w:lvl w:ilvl="0">
        <w:start w:val="1"/>
        <w:numFmt w:val="decimal"/>
        <w:pStyle w:val="HeadingLevel1"/>
        <w:suff w:val="space"/>
        <w:lvlText w:val="%1."/>
        <w:lvlJc w:val="left"/>
        <w:pPr>
          <w:ind w:left="9696" w:hanging="3033"/>
        </w:pPr>
        <w:rPr>
          <w:rFonts w:hint="default"/>
        </w:rPr>
      </w:lvl>
    </w:lvlOverride>
    <w:lvlOverride w:ilvl="1">
      <w:lvl w:ilvl="1">
        <w:start w:val="1"/>
        <w:numFmt w:val="decimal"/>
        <w:suff w:val="space"/>
        <w:lvlText w:val="%1.%2      "/>
        <w:lvlJc w:val="left"/>
        <w:pPr>
          <w:ind w:left="6720" w:hanging="57"/>
        </w:pPr>
        <w:rPr>
          <w:rFonts w:hint="default"/>
        </w:rPr>
      </w:lvl>
    </w:lvlOverride>
    <w:lvlOverride w:ilvl="2">
      <w:lvl w:ilvl="2">
        <w:start w:val="1"/>
        <w:numFmt w:val="decimal"/>
        <w:suff w:val="space"/>
        <w:lvlText w:val="%1.%2.%3     "/>
        <w:lvlJc w:val="left"/>
        <w:pPr>
          <w:ind w:left="6720" w:hanging="57"/>
        </w:pPr>
        <w:rPr>
          <w:rFonts w:hint="default"/>
        </w:rPr>
      </w:lvl>
    </w:lvlOverride>
    <w:lvlOverride w:ilvl="3">
      <w:lvl w:ilvl="3">
        <w:start w:val="1"/>
        <w:numFmt w:val="decimal"/>
        <w:lvlText w:val="(%4)"/>
        <w:lvlJc w:val="left"/>
        <w:pPr>
          <w:ind w:left="6720" w:hanging="57"/>
        </w:pPr>
        <w:rPr>
          <w:rFonts w:hint="default"/>
        </w:rPr>
      </w:lvl>
    </w:lvlOverride>
    <w:lvlOverride w:ilvl="4">
      <w:lvl w:ilvl="4">
        <w:start w:val="1"/>
        <w:numFmt w:val="lowerLetter"/>
        <w:lvlText w:val="(%5)"/>
        <w:lvlJc w:val="left"/>
        <w:pPr>
          <w:ind w:left="6720" w:hanging="57"/>
        </w:pPr>
        <w:rPr>
          <w:rFonts w:hint="default"/>
        </w:rPr>
      </w:lvl>
    </w:lvlOverride>
    <w:lvlOverride w:ilvl="5">
      <w:lvl w:ilvl="5">
        <w:start w:val="1"/>
        <w:numFmt w:val="lowerRoman"/>
        <w:lvlText w:val="(%6)"/>
        <w:lvlJc w:val="left"/>
        <w:pPr>
          <w:ind w:left="6720" w:hanging="57"/>
        </w:pPr>
        <w:rPr>
          <w:rFonts w:hint="default"/>
        </w:rPr>
      </w:lvl>
    </w:lvlOverride>
    <w:lvlOverride w:ilvl="6">
      <w:lvl w:ilvl="6">
        <w:start w:val="1"/>
        <w:numFmt w:val="decimal"/>
        <w:lvlText w:val="%7."/>
        <w:lvlJc w:val="left"/>
        <w:pPr>
          <w:ind w:left="6720" w:hanging="57"/>
        </w:pPr>
        <w:rPr>
          <w:rFonts w:hint="default"/>
        </w:rPr>
      </w:lvl>
    </w:lvlOverride>
    <w:lvlOverride w:ilvl="7">
      <w:lvl w:ilvl="7">
        <w:start w:val="1"/>
        <w:numFmt w:val="lowerLetter"/>
        <w:lvlText w:val="%8."/>
        <w:lvlJc w:val="left"/>
        <w:pPr>
          <w:ind w:left="6720" w:hanging="57"/>
        </w:pPr>
        <w:rPr>
          <w:rFonts w:hint="default"/>
        </w:rPr>
      </w:lvl>
    </w:lvlOverride>
    <w:lvlOverride w:ilvl="8">
      <w:lvl w:ilvl="8">
        <w:start w:val="1"/>
        <w:numFmt w:val="lowerRoman"/>
        <w:lvlText w:val="%9."/>
        <w:lvlJc w:val="left"/>
        <w:pPr>
          <w:ind w:left="6720" w:hanging="57"/>
        </w:pPr>
        <w:rPr>
          <w:rFonts w:hint="default"/>
        </w:rPr>
      </w:lvl>
    </w:lvlOverride>
  </w:num>
  <w:num w:numId="27" w16cid:durableId="1023214089">
    <w:abstractNumId w:val="12"/>
  </w:num>
  <w:num w:numId="28" w16cid:durableId="285159418">
    <w:abstractNumId w:val="9"/>
  </w:num>
  <w:num w:numId="29" w16cid:durableId="1204516112">
    <w:abstractNumId w:val="4"/>
  </w:num>
  <w:num w:numId="30" w16cid:durableId="815102810">
    <w:abstractNumId w:val="20"/>
  </w:num>
  <w:num w:numId="31" w16cid:durableId="294601021">
    <w:abstractNumId w:val="32"/>
  </w:num>
  <w:num w:numId="32" w16cid:durableId="1933972545">
    <w:abstractNumId w:val="27"/>
  </w:num>
  <w:num w:numId="33" w16cid:durableId="1248539928">
    <w:abstractNumId w:val="29"/>
  </w:num>
  <w:num w:numId="34" w16cid:durableId="848760087">
    <w:abstractNumId w:val="25"/>
  </w:num>
  <w:num w:numId="35" w16cid:durableId="61493156">
    <w:abstractNumId w:val="22"/>
  </w:num>
  <w:num w:numId="36" w16cid:durableId="1128277806">
    <w:abstractNumId w:val="3"/>
  </w:num>
  <w:num w:numId="37" w16cid:durableId="1870559021">
    <w:abstractNumId w:val="34"/>
  </w:num>
  <w:num w:numId="38" w16cid:durableId="1253931747">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E4"/>
    <w:rsid w:val="000003C2"/>
    <w:rsid w:val="00000932"/>
    <w:rsid w:val="000043FE"/>
    <w:rsid w:val="000114F9"/>
    <w:rsid w:val="00015041"/>
    <w:rsid w:val="0001574F"/>
    <w:rsid w:val="00020D42"/>
    <w:rsid w:val="00022B63"/>
    <w:rsid w:val="00022C5D"/>
    <w:rsid w:val="00022DB1"/>
    <w:rsid w:val="000235C1"/>
    <w:rsid w:val="000257C7"/>
    <w:rsid w:val="00026183"/>
    <w:rsid w:val="00026E1D"/>
    <w:rsid w:val="00027004"/>
    <w:rsid w:val="000308CF"/>
    <w:rsid w:val="00031D28"/>
    <w:rsid w:val="00031FC9"/>
    <w:rsid w:val="00034595"/>
    <w:rsid w:val="00036651"/>
    <w:rsid w:val="000366A7"/>
    <w:rsid w:val="00037120"/>
    <w:rsid w:val="000419E0"/>
    <w:rsid w:val="00041CEF"/>
    <w:rsid w:val="00043D7B"/>
    <w:rsid w:val="00045BB1"/>
    <w:rsid w:val="00052609"/>
    <w:rsid w:val="000547D4"/>
    <w:rsid w:val="00054F02"/>
    <w:rsid w:val="00056EC4"/>
    <w:rsid w:val="0005727D"/>
    <w:rsid w:val="00057678"/>
    <w:rsid w:val="0006151F"/>
    <w:rsid w:val="00061F1C"/>
    <w:rsid w:val="00063E20"/>
    <w:rsid w:val="00064904"/>
    <w:rsid w:val="00065B32"/>
    <w:rsid w:val="000670D5"/>
    <w:rsid w:val="000719DC"/>
    <w:rsid w:val="000732CE"/>
    <w:rsid w:val="00074399"/>
    <w:rsid w:val="000750EA"/>
    <w:rsid w:val="00076B6C"/>
    <w:rsid w:val="00076CAF"/>
    <w:rsid w:val="00080EC8"/>
    <w:rsid w:val="00082E24"/>
    <w:rsid w:val="0008342E"/>
    <w:rsid w:val="000838F0"/>
    <w:rsid w:val="00086F8D"/>
    <w:rsid w:val="00087396"/>
    <w:rsid w:val="00087776"/>
    <w:rsid w:val="00087A88"/>
    <w:rsid w:val="00091D1F"/>
    <w:rsid w:val="0009352A"/>
    <w:rsid w:val="0009363A"/>
    <w:rsid w:val="00094A25"/>
    <w:rsid w:val="00095062"/>
    <w:rsid w:val="0009564B"/>
    <w:rsid w:val="0009617F"/>
    <w:rsid w:val="000A0FC2"/>
    <w:rsid w:val="000A47D4"/>
    <w:rsid w:val="000A6F8D"/>
    <w:rsid w:val="000A737C"/>
    <w:rsid w:val="000B23A8"/>
    <w:rsid w:val="000B2A02"/>
    <w:rsid w:val="000B393D"/>
    <w:rsid w:val="000B3CAD"/>
    <w:rsid w:val="000B5094"/>
    <w:rsid w:val="000B7ED8"/>
    <w:rsid w:val="000C0558"/>
    <w:rsid w:val="000C302D"/>
    <w:rsid w:val="000C55AE"/>
    <w:rsid w:val="000C58C0"/>
    <w:rsid w:val="000C7D83"/>
    <w:rsid w:val="000D087A"/>
    <w:rsid w:val="000D2C66"/>
    <w:rsid w:val="000D4A29"/>
    <w:rsid w:val="000D55FA"/>
    <w:rsid w:val="000D6158"/>
    <w:rsid w:val="000D6A07"/>
    <w:rsid w:val="000D7499"/>
    <w:rsid w:val="000D79A0"/>
    <w:rsid w:val="000E02A6"/>
    <w:rsid w:val="000E03D0"/>
    <w:rsid w:val="000E20D0"/>
    <w:rsid w:val="000E27F2"/>
    <w:rsid w:val="000E4031"/>
    <w:rsid w:val="000E4519"/>
    <w:rsid w:val="000E4F10"/>
    <w:rsid w:val="000E5AD9"/>
    <w:rsid w:val="000E7CF4"/>
    <w:rsid w:val="000F0B89"/>
    <w:rsid w:val="000F1766"/>
    <w:rsid w:val="000F206A"/>
    <w:rsid w:val="000F4694"/>
    <w:rsid w:val="000F49EE"/>
    <w:rsid w:val="000F5DEB"/>
    <w:rsid w:val="00101DD0"/>
    <w:rsid w:val="00101FC4"/>
    <w:rsid w:val="00104B50"/>
    <w:rsid w:val="001053BD"/>
    <w:rsid w:val="001100A7"/>
    <w:rsid w:val="00110A9B"/>
    <w:rsid w:val="0011173A"/>
    <w:rsid w:val="001124D0"/>
    <w:rsid w:val="00113354"/>
    <w:rsid w:val="00113CE2"/>
    <w:rsid w:val="001141DD"/>
    <w:rsid w:val="001170A7"/>
    <w:rsid w:val="001244A4"/>
    <w:rsid w:val="00124CD7"/>
    <w:rsid w:val="00125BAA"/>
    <w:rsid w:val="001274C7"/>
    <w:rsid w:val="00127A2E"/>
    <w:rsid w:val="00127C7F"/>
    <w:rsid w:val="001303CF"/>
    <w:rsid w:val="00130951"/>
    <w:rsid w:val="00133623"/>
    <w:rsid w:val="00133677"/>
    <w:rsid w:val="001341CD"/>
    <w:rsid w:val="00134D26"/>
    <w:rsid w:val="0013526D"/>
    <w:rsid w:val="00135498"/>
    <w:rsid w:val="00136CA7"/>
    <w:rsid w:val="00136E0F"/>
    <w:rsid w:val="0014022F"/>
    <w:rsid w:val="0014348D"/>
    <w:rsid w:val="00143D28"/>
    <w:rsid w:val="00145061"/>
    <w:rsid w:val="00150CB1"/>
    <w:rsid w:val="001510CB"/>
    <w:rsid w:val="001517DB"/>
    <w:rsid w:val="00151C3D"/>
    <w:rsid w:val="001540A0"/>
    <w:rsid w:val="00155B6B"/>
    <w:rsid w:val="001571E7"/>
    <w:rsid w:val="001619D9"/>
    <w:rsid w:val="00162D4C"/>
    <w:rsid w:val="0016370D"/>
    <w:rsid w:val="00164C16"/>
    <w:rsid w:val="001651D9"/>
    <w:rsid w:val="0016599E"/>
    <w:rsid w:val="00165D56"/>
    <w:rsid w:val="00165F23"/>
    <w:rsid w:val="00166743"/>
    <w:rsid w:val="00171C4E"/>
    <w:rsid w:val="00172CF3"/>
    <w:rsid w:val="001738ED"/>
    <w:rsid w:val="00173B89"/>
    <w:rsid w:val="00174A39"/>
    <w:rsid w:val="00174B63"/>
    <w:rsid w:val="00174D0D"/>
    <w:rsid w:val="00176CCA"/>
    <w:rsid w:val="001800BC"/>
    <w:rsid w:val="00180D44"/>
    <w:rsid w:val="001819B4"/>
    <w:rsid w:val="00183220"/>
    <w:rsid w:val="00184C61"/>
    <w:rsid w:val="001852A3"/>
    <w:rsid w:val="00186D38"/>
    <w:rsid w:val="001918F6"/>
    <w:rsid w:val="00191E22"/>
    <w:rsid w:val="001933E0"/>
    <w:rsid w:val="00193D7B"/>
    <w:rsid w:val="0019565A"/>
    <w:rsid w:val="00196B6D"/>
    <w:rsid w:val="00196E55"/>
    <w:rsid w:val="001A117D"/>
    <w:rsid w:val="001A173F"/>
    <w:rsid w:val="001A3102"/>
    <w:rsid w:val="001A4248"/>
    <w:rsid w:val="001A55E4"/>
    <w:rsid w:val="001A786F"/>
    <w:rsid w:val="001A7AD2"/>
    <w:rsid w:val="001B123D"/>
    <w:rsid w:val="001B25DF"/>
    <w:rsid w:val="001B2986"/>
    <w:rsid w:val="001B325B"/>
    <w:rsid w:val="001B590A"/>
    <w:rsid w:val="001B6D36"/>
    <w:rsid w:val="001C21DB"/>
    <w:rsid w:val="001C3818"/>
    <w:rsid w:val="001C39E3"/>
    <w:rsid w:val="001C535F"/>
    <w:rsid w:val="001C5B60"/>
    <w:rsid w:val="001C6E54"/>
    <w:rsid w:val="001C75CD"/>
    <w:rsid w:val="001D1E8A"/>
    <w:rsid w:val="001D20D3"/>
    <w:rsid w:val="001D587C"/>
    <w:rsid w:val="001D58BE"/>
    <w:rsid w:val="001D5C7A"/>
    <w:rsid w:val="001D6647"/>
    <w:rsid w:val="001D6AC6"/>
    <w:rsid w:val="001D7DAA"/>
    <w:rsid w:val="001E0D8A"/>
    <w:rsid w:val="001E1715"/>
    <w:rsid w:val="001E239A"/>
    <w:rsid w:val="001E331E"/>
    <w:rsid w:val="001E4251"/>
    <w:rsid w:val="001E4E5E"/>
    <w:rsid w:val="001E52FE"/>
    <w:rsid w:val="001E541D"/>
    <w:rsid w:val="001E6656"/>
    <w:rsid w:val="001E7931"/>
    <w:rsid w:val="001F1753"/>
    <w:rsid w:val="001F1BD6"/>
    <w:rsid w:val="001F2A57"/>
    <w:rsid w:val="001F2B15"/>
    <w:rsid w:val="001F3958"/>
    <w:rsid w:val="001F3A06"/>
    <w:rsid w:val="001F3C88"/>
    <w:rsid w:val="001F472D"/>
    <w:rsid w:val="001F4896"/>
    <w:rsid w:val="001F65BA"/>
    <w:rsid w:val="0020064D"/>
    <w:rsid w:val="002016AB"/>
    <w:rsid w:val="002029C7"/>
    <w:rsid w:val="002062C6"/>
    <w:rsid w:val="00207663"/>
    <w:rsid w:val="00207683"/>
    <w:rsid w:val="002077C7"/>
    <w:rsid w:val="00207CE3"/>
    <w:rsid w:val="00210179"/>
    <w:rsid w:val="0021069B"/>
    <w:rsid w:val="0021211A"/>
    <w:rsid w:val="002124FB"/>
    <w:rsid w:val="002149EE"/>
    <w:rsid w:val="00215719"/>
    <w:rsid w:val="00216C9D"/>
    <w:rsid w:val="00216F6E"/>
    <w:rsid w:val="0022038E"/>
    <w:rsid w:val="00222B1F"/>
    <w:rsid w:val="00224BD7"/>
    <w:rsid w:val="00225206"/>
    <w:rsid w:val="0022650B"/>
    <w:rsid w:val="00227233"/>
    <w:rsid w:val="00231836"/>
    <w:rsid w:val="0023284F"/>
    <w:rsid w:val="00232B74"/>
    <w:rsid w:val="002336EA"/>
    <w:rsid w:val="0023735B"/>
    <w:rsid w:val="0024093F"/>
    <w:rsid w:val="00241062"/>
    <w:rsid w:val="00241164"/>
    <w:rsid w:val="00241D6C"/>
    <w:rsid w:val="00245027"/>
    <w:rsid w:val="002463DA"/>
    <w:rsid w:val="002465E7"/>
    <w:rsid w:val="00252813"/>
    <w:rsid w:val="002529D6"/>
    <w:rsid w:val="002545C3"/>
    <w:rsid w:val="00254760"/>
    <w:rsid w:val="00254FB1"/>
    <w:rsid w:val="00256474"/>
    <w:rsid w:val="00257A88"/>
    <w:rsid w:val="00261972"/>
    <w:rsid w:val="00261EC6"/>
    <w:rsid w:val="002635F4"/>
    <w:rsid w:val="00265566"/>
    <w:rsid w:val="00266162"/>
    <w:rsid w:val="00266343"/>
    <w:rsid w:val="002668DA"/>
    <w:rsid w:val="00272DC3"/>
    <w:rsid w:val="00272E2F"/>
    <w:rsid w:val="00273A8B"/>
    <w:rsid w:val="00273C4B"/>
    <w:rsid w:val="00275815"/>
    <w:rsid w:val="002766EF"/>
    <w:rsid w:val="0027693B"/>
    <w:rsid w:val="0028057B"/>
    <w:rsid w:val="00281A83"/>
    <w:rsid w:val="00282B43"/>
    <w:rsid w:val="00283AF5"/>
    <w:rsid w:val="0028521E"/>
    <w:rsid w:val="0028532D"/>
    <w:rsid w:val="00285453"/>
    <w:rsid w:val="002922C8"/>
    <w:rsid w:val="002925BE"/>
    <w:rsid w:val="00292E72"/>
    <w:rsid w:val="00294EFF"/>
    <w:rsid w:val="002967A6"/>
    <w:rsid w:val="00296B8F"/>
    <w:rsid w:val="00297AD7"/>
    <w:rsid w:val="002A0659"/>
    <w:rsid w:val="002A2D1E"/>
    <w:rsid w:val="002A3D61"/>
    <w:rsid w:val="002A6CBB"/>
    <w:rsid w:val="002A6DD2"/>
    <w:rsid w:val="002B1311"/>
    <w:rsid w:val="002B19B7"/>
    <w:rsid w:val="002B26FB"/>
    <w:rsid w:val="002B5B59"/>
    <w:rsid w:val="002B613C"/>
    <w:rsid w:val="002B6DF2"/>
    <w:rsid w:val="002B7961"/>
    <w:rsid w:val="002C1365"/>
    <w:rsid w:val="002C199F"/>
    <w:rsid w:val="002C38B2"/>
    <w:rsid w:val="002C3948"/>
    <w:rsid w:val="002C3F9C"/>
    <w:rsid w:val="002C4E31"/>
    <w:rsid w:val="002C740F"/>
    <w:rsid w:val="002D3DCA"/>
    <w:rsid w:val="002D48A1"/>
    <w:rsid w:val="002D5B7F"/>
    <w:rsid w:val="002D6FB1"/>
    <w:rsid w:val="002D7D74"/>
    <w:rsid w:val="002E04A9"/>
    <w:rsid w:val="002E0D54"/>
    <w:rsid w:val="002E1A61"/>
    <w:rsid w:val="002E52A4"/>
    <w:rsid w:val="002E6936"/>
    <w:rsid w:val="002F118C"/>
    <w:rsid w:val="002F3185"/>
    <w:rsid w:val="002F5B1E"/>
    <w:rsid w:val="002F7050"/>
    <w:rsid w:val="002F7E62"/>
    <w:rsid w:val="00300A01"/>
    <w:rsid w:val="00311499"/>
    <w:rsid w:val="00311637"/>
    <w:rsid w:val="00311B38"/>
    <w:rsid w:val="00314461"/>
    <w:rsid w:val="0031798D"/>
    <w:rsid w:val="003217AA"/>
    <w:rsid w:val="0032202D"/>
    <w:rsid w:val="00322722"/>
    <w:rsid w:val="00323679"/>
    <w:rsid w:val="0032405B"/>
    <w:rsid w:val="003250CC"/>
    <w:rsid w:val="00326470"/>
    <w:rsid w:val="00327941"/>
    <w:rsid w:val="003326DB"/>
    <w:rsid w:val="0033295C"/>
    <w:rsid w:val="00333400"/>
    <w:rsid w:val="00333A41"/>
    <w:rsid w:val="00333AEB"/>
    <w:rsid w:val="00334CA0"/>
    <w:rsid w:val="00335CD6"/>
    <w:rsid w:val="003363B8"/>
    <w:rsid w:val="00336BB7"/>
    <w:rsid w:val="00341651"/>
    <w:rsid w:val="00342338"/>
    <w:rsid w:val="00342783"/>
    <w:rsid w:val="00343610"/>
    <w:rsid w:val="00343A5F"/>
    <w:rsid w:val="00344FCA"/>
    <w:rsid w:val="00346279"/>
    <w:rsid w:val="00346822"/>
    <w:rsid w:val="00347F57"/>
    <w:rsid w:val="00347F66"/>
    <w:rsid w:val="00350862"/>
    <w:rsid w:val="00350921"/>
    <w:rsid w:val="003513C8"/>
    <w:rsid w:val="00351E02"/>
    <w:rsid w:val="00352083"/>
    <w:rsid w:val="00353648"/>
    <w:rsid w:val="00353E82"/>
    <w:rsid w:val="003549D6"/>
    <w:rsid w:val="00355385"/>
    <w:rsid w:val="00355BD2"/>
    <w:rsid w:val="0035757C"/>
    <w:rsid w:val="00362463"/>
    <w:rsid w:val="00362992"/>
    <w:rsid w:val="0036516D"/>
    <w:rsid w:val="00366B16"/>
    <w:rsid w:val="003701EA"/>
    <w:rsid w:val="00371B6C"/>
    <w:rsid w:val="00372B38"/>
    <w:rsid w:val="003732E7"/>
    <w:rsid w:val="00375B4C"/>
    <w:rsid w:val="0037720C"/>
    <w:rsid w:val="0038027C"/>
    <w:rsid w:val="00380609"/>
    <w:rsid w:val="003811E8"/>
    <w:rsid w:val="0038363D"/>
    <w:rsid w:val="00383663"/>
    <w:rsid w:val="003838D0"/>
    <w:rsid w:val="0038417F"/>
    <w:rsid w:val="003847FD"/>
    <w:rsid w:val="00384C2E"/>
    <w:rsid w:val="00386736"/>
    <w:rsid w:val="00386DF8"/>
    <w:rsid w:val="0038770B"/>
    <w:rsid w:val="00391CFA"/>
    <w:rsid w:val="00391FF3"/>
    <w:rsid w:val="003978BB"/>
    <w:rsid w:val="003A1BF9"/>
    <w:rsid w:val="003A3128"/>
    <w:rsid w:val="003A61C0"/>
    <w:rsid w:val="003A768E"/>
    <w:rsid w:val="003A7A53"/>
    <w:rsid w:val="003A7E6E"/>
    <w:rsid w:val="003B03A5"/>
    <w:rsid w:val="003B0DD3"/>
    <w:rsid w:val="003B1444"/>
    <w:rsid w:val="003B1D35"/>
    <w:rsid w:val="003B21F3"/>
    <w:rsid w:val="003B3A5C"/>
    <w:rsid w:val="003B4B22"/>
    <w:rsid w:val="003C0418"/>
    <w:rsid w:val="003C0CD3"/>
    <w:rsid w:val="003C3424"/>
    <w:rsid w:val="003C4554"/>
    <w:rsid w:val="003C5B97"/>
    <w:rsid w:val="003C6B5B"/>
    <w:rsid w:val="003D0A2D"/>
    <w:rsid w:val="003D14DA"/>
    <w:rsid w:val="003D323F"/>
    <w:rsid w:val="003E175B"/>
    <w:rsid w:val="003E33F3"/>
    <w:rsid w:val="003E39C3"/>
    <w:rsid w:val="003E4431"/>
    <w:rsid w:val="003E4816"/>
    <w:rsid w:val="003E4823"/>
    <w:rsid w:val="003E5BF4"/>
    <w:rsid w:val="003E7947"/>
    <w:rsid w:val="003F06CA"/>
    <w:rsid w:val="003F1983"/>
    <w:rsid w:val="003F3CFA"/>
    <w:rsid w:val="003F447C"/>
    <w:rsid w:val="003F72B6"/>
    <w:rsid w:val="003F767D"/>
    <w:rsid w:val="003F7F75"/>
    <w:rsid w:val="00400DE6"/>
    <w:rsid w:val="00401072"/>
    <w:rsid w:val="00402275"/>
    <w:rsid w:val="004028B6"/>
    <w:rsid w:val="00402E2C"/>
    <w:rsid w:val="004040DD"/>
    <w:rsid w:val="0040413C"/>
    <w:rsid w:val="00405667"/>
    <w:rsid w:val="00406E49"/>
    <w:rsid w:val="004077F4"/>
    <w:rsid w:val="0041222B"/>
    <w:rsid w:val="00413489"/>
    <w:rsid w:val="00415272"/>
    <w:rsid w:val="004166CC"/>
    <w:rsid w:val="00416ED0"/>
    <w:rsid w:val="00417F80"/>
    <w:rsid w:val="004222FE"/>
    <w:rsid w:val="00423E1C"/>
    <w:rsid w:val="00423F2F"/>
    <w:rsid w:val="00426955"/>
    <w:rsid w:val="004270B1"/>
    <w:rsid w:val="00427F34"/>
    <w:rsid w:val="0043180A"/>
    <w:rsid w:val="00431A98"/>
    <w:rsid w:val="0043304C"/>
    <w:rsid w:val="004339E2"/>
    <w:rsid w:val="004345E0"/>
    <w:rsid w:val="004353AA"/>
    <w:rsid w:val="00435800"/>
    <w:rsid w:val="00435EC8"/>
    <w:rsid w:val="00441952"/>
    <w:rsid w:val="00443FC0"/>
    <w:rsid w:val="0044408F"/>
    <w:rsid w:val="00444A90"/>
    <w:rsid w:val="00445373"/>
    <w:rsid w:val="00445B6A"/>
    <w:rsid w:val="00446135"/>
    <w:rsid w:val="004500E2"/>
    <w:rsid w:val="00454B97"/>
    <w:rsid w:val="00455A71"/>
    <w:rsid w:val="00457F78"/>
    <w:rsid w:val="00461D4B"/>
    <w:rsid w:val="0046240F"/>
    <w:rsid w:val="004625D4"/>
    <w:rsid w:val="00464465"/>
    <w:rsid w:val="00464A31"/>
    <w:rsid w:val="00466E32"/>
    <w:rsid w:val="00470C7A"/>
    <w:rsid w:val="004730DE"/>
    <w:rsid w:val="00477271"/>
    <w:rsid w:val="00477D0D"/>
    <w:rsid w:val="004817C0"/>
    <w:rsid w:val="00481D56"/>
    <w:rsid w:val="00481DE2"/>
    <w:rsid w:val="0048208C"/>
    <w:rsid w:val="0048231C"/>
    <w:rsid w:val="00482320"/>
    <w:rsid w:val="0048252B"/>
    <w:rsid w:val="00483675"/>
    <w:rsid w:val="0048471B"/>
    <w:rsid w:val="00485A98"/>
    <w:rsid w:val="0048665E"/>
    <w:rsid w:val="00486B24"/>
    <w:rsid w:val="004877A4"/>
    <w:rsid w:val="0048794B"/>
    <w:rsid w:val="00490E1D"/>
    <w:rsid w:val="0049347C"/>
    <w:rsid w:val="0049589A"/>
    <w:rsid w:val="004A0D72"/>
    <w:rsid w:val="004A0F51"/>
    <w:rsid w:val="004A213A"/>
    <w:rsid w:val="004A38F2"/>
    <w:rsid w:val="004A3C1A"/>
    <w:rsid w:val="004A4077"/>
    <w:rsid w:val="004B152B"/>
    <w:rsid w:val="004B2D89"/>
    <w:rsid w:val="004B3047"/>
    <w:rsid w:val="004B444D"/>
    <w:rsid w:val="004B459E"/>
    <w:rsid w:val="004B6293"/>
    <w:rsid w:val="004B65EA"/>
    <w:rsid w:val="004B6B7F"/>
    <w:rsid w:val="004B7882"/>
    <w:rsid w:val="004C0CF7"/>
    <w:rsid w:val="004C1A9F"/>
    <w:rsid w:val="004C23C6"/>
    <w:rsid w:val="004C2BC1"/>
    <w:rsid w:val="004C5862"/>
    <w:rsid w:val="004C791F"/>
    <w:rsid w:val="004D1E5F"/>
    <w:rsid w:val="004D2C67"/>
    <w:rsid w:val="004D4577"/>
    <w:rsid w:val="004D4982"/>
    <w:rsid w:val="004D5592"/>
    <w:rsid w:val="004D586E"/>
    <w:rsid w:val="004D6CE7"/>
    <w:rsid w:val="004D6D1F"/>
    <w:rsid w:val="004E0014"/>
    <w:rsid w:val="004E0646"/>
    <w:rsid w:val="004E0ECC"/>
    <w:rsid w:val="004E1CE0"/>
    <w:rsid w:val="004E41FE"/>
    <w:rsid w:val="004E511C"/>
    <w:rsid w:val="004E51C7"/>
    <w:rsid w:val="004F5B66"/>
    <w:rsid w:val="004F64D4"/>
    <w:rsid w:val="004F665C"/>
    <w:rsid w:val="004F6F3C"/>
    <w:rsid w:val="004F7363"/>
    <w:rsid w:val="004F7546"/>
    <w:rsid w:val="0050505B"/>
    <w:rsid w:val="0050523F"/>
    <w:rsid w:val="00505878"/>
    <w:rsid w:val="00506148"/>
    <w:rsid w:val="00507F4D"/>
    <w:rsid w:val="005101FA"/>
    <w:rsid w:val="00512DA1"/>
    <w:rsid w:val="00513407"/>
    <w:rsid w:val="0051512E"/>
    <w:rsid w:val="0052085C"/>
    <w:rsid w:val="005211E8"/>
    <w:rsid w:val="005217E1"/>
    <w:rsid w:val="00521B80"/>
    <w:rsid w:val="00522127"/>
    <w:rsid w:val="005242B0"/>
    <w:rsid w:val="00524C48"/>
    <w:rsid w:val="0052581F"/>
    <w:rsid w:val="00527A7E"/>
    <w:rsid w:val="00530DBC"/>
    <w:rsid w:val="00531E5A"/>
    <w:rsid w:val="005327E7"/>
    <w:rsid w:val="00532CA3"/>
    <w:rsid w:val="00532F14"/>
    <w:rsid w:val="005364A5"/>
    <w:rsid w:val="005401AC"/>
    <w:rsid w:val="00541723"/>
    <w:rsid w:val="00541CC4"/>
    <w:rsid w:val="00542F36"/>
    <w:rsid w:val="00546221"/>
    <w:rsid w:val="00547053"/>
    <w:rsid w:val="0054793A"/>
    <w:rsid w:val="00547A7D"/>
    <w:rsid w:val="0055247B"/>
    <w:rsid w:val="00552A0B"/>
    <w:rsid w:val="0055375F"/>
    <w:rsid w:val="00554262"/>
    <w:rsid w:val="00554F44"/>
    <w:rsid w:val="00554F68"/>
    <w:rsid w:val="00555660"/>
    <w:rsid w:val="005559C0"/>
    <w:rsid w:val="00555B5C"/>
    <w:rsid w:val="00556BE9"/>
    <w:rsid w:val="00560923"/>
    <w:rsid w:val="00560D50"/>
    <w:rsid w:val="0056160F"/>
    <w:rsid w:val="00562BF6"/>
    <w:rsid w:val="0056497E"/>
    <w:rsid w:val="00564AD6"/>
    <w:rsid w:val="00565DAC"/>
    <w:rsid w:val="0056637C"/>
    <w:rsid w:val="00566BA3"/>
    <w:rsid w:val="00566D58"/>
    <w:rsid w:val="00573178"/>
    <w:rsid w:val="00574004"/>
    <w:rsid w:val="0057498B"/>
    <w:rsid w:val="00574BDC"/>
    <w:rsid w:val="005754BD"/>
    <w:rsid w:val="00575607"/>
    <w:rsid w:val="005764B3"/>
    <w:rsid w:val="005809FC"/>
    <w:rsid w:val="00581DFE"/>
    <w:rsid w:val="005840CC"/>
    <w:rsid w:val="005859CC"/>
    <w:rsid w:val="00587098"/>
    <w:rsid w:val="00587D57"/>
    <w:rsid w:val="00593503"/>
    <w:rsid w:val="00596F27"/>
    <w:rsid w:val="00596F70"/>
    <w:rsid w:val="005976C1"/>
    <w:rsid w:val="00597A09"/>
    <w:rsid w:val="00597DAE"/>
    <w:rsid w:val="005A04C2"/>
    <w:rsid w:val="005A0B5A"/>
    <w:rsid w:val="005A1410"/>
    <w:rsid w:val="005A14CD"/>
    <w:rsid w:val="005A20D1"/>
    <w:rsid w:val="005A4453"/>
    <w:rsid w:val="005A4862"/>
    <w:rsid w:val="005A6645"/>
    <w:rsid w:val="005A6762"/>
    <w:rsid w:val="005B140D"/>
    <w:rsid w:val="005B2D12"/>
    <w:rsid w:val="005B2FFC"/>
    <w:rsid w:val="005B4F18"/>
    <w:rsid w:val="005B622E"/>
    <w:rsid w:val="005B65A6"/>
    <w:rsid w:val="005B6770"/>
    <w:rsid w:val="005C3874"/>
    <w:rsid w:val="005C44A2"/>
    <w:rsid w:val="005C4A19"/>
    <w:rsid w:val="005C4DB6"/>
    <w:rsid w:val="005C4DC8"/>
    <w:rsid w:val="005C53BA"/>
    <w:rsid w:val="005C5CBD"/>
    <w:rsid w:val="005C61C4"/>
    <w:rsid w:val="005C6879"/>
    <w:rsid w:val="005D0EC8"/>
    <w:rsid w:val="005D1A8C"/>
    <w:rsid w:val="005D1BFB"/>
    <w:rsid w:val="005D3B5F"/>
    <w:rsid w:val="005D3D8B"/>
    <w:rsid w:val="005D4278"/>
    <w:rsid w:val="005D4A85"/>
    <w:rsid w:val="005D5FC8"/>
    <w:rsid w:val="005E0008"/>
    <w:rsid w:val="005E2043"/>
    <w:rsid w:val="005E23ED"/>
    <w:rsid w:val="005E2677"/>
    <w:rsid w:val="005E2BD1"/>
    <w:rsid w:val="005E303A"/>
    <w:rsid w:val="005E7F58"/>
    <w:rsid w:val="005F1264"/>
    <w:rsid w:val="005F1584"/>
    <w:rsid w:val="005F34B1"/>
    <w:rsid w:val="005F36AA"/>
    <w:rsid w:val="005F3A28"/>
    <w:rsid w:val="005F5181"/>
    <w:rsid w:val="005F54A8"/>
    <w:rsid w:val="005F6509"/>
    <w:rsid w:val="005F6A7E"/>
    <w:rsid w:val="005F6C97"/>
    <w:rsid w:val="005F6EE8"/>
    <w:rsid w:val="005F6FB3"/>
    <w:rsid w:val="005F7B58"/>
    <w:rsid w:val="006022FF"/>
    <w:rsid w:val="006035BB"/>
    <w:rsid w:val="0060557F"/>
    <w:rsid w:val="00610247"/>
    <w:rsid w:val="00610E13"/>
    <w:rsid w:val="006119D3"/>
    <w:rsid w:val="00614AA1"/>
    <w:rsid w:val="0061510B"/>
    <w:rsid w:val="006222B6"/>
    <w:rsid w:val="00622C7B"/>
    <w:rsid w:val="006235EE"/>
    <w:rsid w:val="006243B6"/>
    <w:rsid w:val="00627B7C"/>
    <w:rsid w:val="006310AD"/>
    <w:rsid w:val="00635DE7"/>
    <w:rsid w:val="00636DB0"/>
    <w:rsid w:val="006407EF"/>
    <w:rsid w:val="00642E70"/>
    <w:rsid w:val="006445C1"/>
    <w:rsid w:val="006451E5"/>
    <w:rsid w:val="006465CA"/>
    <w:rsid w:val="006475ED"/>
    <w:rsid w:val="00650905"/>
    <w:rsid w:val="0065157B"/>
    <w:rsid w:val="00654409"/>
    <w:rsid w:val="00654AED"/>
    <w:rsid w:val="00655E14"/>
    <w:rsid w:val="00657F19"/>
    <w:rsid w:val="00660008"/>
    <w:rsid w:val="00663B25"/>
    <w:rsid w:val="00664124"/>
    <w:rsid w:val="006645B0"/>
    <w:rsid w:val="006668A7"/>
    <w:rsid w:val="0066712A"/>
    <w:rsid w:val="006672AF"/>
    <w:rsid w:val="00670826"/>
    <w:rsid w:val="006711AF"/>
    <w:rsid w:val="00674596"/>
    <w:rsid w:val="00675820"/>
    <w:rsid w:val="00675A55"/>
    <w:rsid w:val="00676185"/>
    <w:rsid w:val="006764F7"/>
    <w:rsid w:val="0068002D"/>
    <w:rsid w:val="00681168"/>
    <w:rsid w:val="0068272F"/>
    <w:rsid w:val="00685F75"/>
    <w:rsid w:val="00686958"/>
    <w:rsid w:val="006909A9"/>
    <w:rsid w:val="00690C60"/>
    <w:rsid w:val="00691CB8"/>
    <w:rsid w:val="00691D50"/>
    <w:rsid w:val="00692AFC"/>
    <w:rsid w:val="0069303B"/>
    <w:rsid w:val="00693180"/>
    <w:rsid w:val="006943A2"/>
    <w:rsid w:val="00696FED"/>
    <w:rsid w:val="006A007C"/>
    <w:rsid w:val="006A1BA7"/>
    <w:rsid w:val="006A1F2B"/>
    <w:rsid w:val="006A296B"/>
    <w:rsid w:val="006A5DC5"/>
    <w:rsid w:val="006A6433"/>
    <w:rsid w:val="006B00FC"/>
    <w:rsid w:val="006B015D"/>
    <w:rsid w:val="006B01DF"/>
    <w:rsid w:val="006B1266"/>
    <w:rsid w:val="006B26E0"/>
    <w:rsid w:val="006B4211"/>
    <w:rsid w:val="006B55EF"/>
    <w:rsid w:val="006B75C1"/>
    <w:rsid w:val="006B7992"/>
    <w:rsid w:val="006C07BA"/>
    <w:rsid w:val="006C0888"/>
    <w:rsid w:val="006C27C1"/>
    <w:rsid w:val="006C3245"/>
    <w:rsid w:val="006C3D1D"/>
    <w:rsid w:val="006C5917"/>
    <w:rsid w:val="006C7386"/>
    <w:rsid w:val="006D0A3E"/>
    <w:rsid w:val="006D1341"/>
    <w:rsid w:val="006D2BFE"/>
    <w:rsid w:val="006D5733"/>
    <w:rsid w:val="006E2D0B"/>
    <w:rsid w:val="006E52DD"/>
    <w:rsid w:val="006E59E0"/>
    <w:rsid w:val="006E6C4E"/>
    <w:rsid w:val="006E6D13"/>
    <w:rsid w:val="006E713D"/>
    <w:rsid w:val="006E79A9"/>
    <w:rsid w:val="006F2C51"/>
    <w:rsid w:val="006F3304"/>
    <w:rsid w:val="006F36D0"/>
    <w:rsid w:val="006F38F3"/>
    <w:rsid w:val="006F3BD3"/>
    <w:rsid w:val="006F40EA"/>
    <w:rsid w:val="006F47F2"/>
    <w:rsid w:val="006F4FF2"/>
    <w:rsid w:val="006F6474"/>
    <w:rsid w:val="006F75F0"/>
    <w:rsid w:val="00703445"/>
    <w:rsid w:val="00703D7A"/>
    <w:rsid w:val="0070415B"/>
    <w:rsid w:val="007069CC"/>
    <w:rsid w:val="00710BD8"/>
    <w:rsid w:val="007120FD"/>
    <w:rsid w:val="00712505"/>
    <w:rsid w:val="0071403C"/>
    <w:rsid w:val="0071555B"/>
    <w:rsid w:val="00716A52"/>
    <w:rsid w:val="00717490"/>
    <w:rsid w:val="00717B51"/>
    <w:rsid w:val="00724727"/>
    <w:rsid w:val="007255E0"/>
    <w:rsid w:val="00725DC8"/>
    <w:rsid w:val="00731E55"/>
    <w:rsid w:val="00732A11"/>
    <w:rsid w:val="00732D21"/>
    <w:rsid w:val="0073335D"/>
    <w:rsid w:val="00735AF5"/>
    <w:rsid w:val="0073669E"/>
    <w:rsid w:val="00741F8A"/>
    <w:rsid w:val="007440A2"/>
    <w:rsid w:val="0074764F"/>
    <w:rsid w:val="007507AC"/>
    <w:rsid w:val="0075183B"/>
    <w:rsid w:val="00751BB5"/>
    <w:rsid w:val="0075266E"/>
    <w:rsid w:val="0075489D"/>
    <w:rsid w:val="007555F7"/>
    <w:rsid w:val="00755EE8"/>
    <w:rsid w:val="00756A90"/>
    <w:rsid w:val="00760694"/>
    <w:rsid w:val="00762221"/>
    <w:rsid w:val="00763E3E"/>
    <w:rsid w:val="00764A58"/>
    <w:rsid w:val="00764A80"/>
    <w:rsid w:val="00765BC5"/>
    <w:rsid w:val="00770BB2"/>
    <w:rsid w:val="00773101"/>
    <w:rsid w:val="007769EF"/>
    <w:rsid w:val="00777850"/>
    <w:rsid w:val="00780F2F"/>
    <w:rsid w:val="0078554D"/>
    <w:rsid w:val="0079001C"/>
    <w:rsid w:val="007903C1"/>
    <w:rsid w:val="00790D91"/>
    <w:rsid w:val="00795344"/>
    <w:rsid w:val="00795C6D"/>
    <w:rsid w:val="0079667E"/>
    <w:rsid w:val="007966F2"/>
    <w:rsid w:val="007A00B5"/>
    <w:rsid w:val="007A0AE1"/>
    <w:rsid w:val="007A3834"/>
    <w:rsid w:val="007A3857"/>
    <w:rsid w:val="007B0158"/>
    <w:rsid w:val="007B0205"/>
    <w:rsid w:val="007B0754"/>
    <w:rsid w:val="007B205F"/>
    <w:rsid w:val="007B2D77"/>
    <w:rsid w:val="007B4649"/>
    <w:rsid w:val="007B49F7"/>
    <w:rsid w:val="007B56A9"/>
    <w:rsid w:val="007B58C1"/>
    <w:rsid w:val="007C42B9"/>
    <w:rsid w:val="007C4B2D"/>
    <w:rsid w:val="007C546A"/>
    <w:rsid w:val="007C6189"/>
    <w:rsid w:val="007C697B"/>
    <w:rsid w:val="007D00BA"/>
    <w:rsid w:val="007D02F2"/>
    <w:rsid w:val="007D32BC"/>
    <w:rsid w:val="007D3E38"/>
    <w:rsid w:val="007D46F9"/>
    <w:rsid w:val="007D4D77"/>
    <w:rsid w:val="007D534C"/>
    <w:rsid w:val="007D6BEC"/>
    <w:rsid w:val="007D702E"/>
    <w:rsid w:val="007D7CE0"/>
    <w:rsid w:val="007E112E"/>
    <w:rsid w:val="007E3D9C"/>
    <w:rsid w:val="007E6337"/>
    <w:rsid w:val="007E6661"/>
    <w:rsid w:val="007E6A2B"/>
    <w:rsid w:val="007F233B"/>
    <w:rsid w:val="007F2E43"/>
    <w:rsid w:val="007F3516"/>
    <w:rsid w:val="007F44F8"/>
    <w:rsid w:val="007F511A"/>
    <w:rsid w:val="007F5E40"/>
    <w:rsid w:val="00800150"/>
    <w:rsid w:val="008028AF"/>
    <w:rsid w:val="00802CD4"/>
    <w:rsid w:val="008032A1"/>
    <w:rsid w:val="0080332D"/>
    <w:rsid w:val="008036AB"/>
    <w:rsid w:val="00803DB4"/>
    <w:rsid w:val="00805DA8"/>
    <w:rsid w:val="00806A71"/>
    <w:rsid w:val="00806AFE"/>
    <w:rsid w:val="00811CD9"/>
    <w:rsid w:val="00812443"/>
    <w:rsid w:val="00813D3C"/>
    <w:rsid w:val="008147C5"/>
    <w:rsid w:val="00815AF7"/>
    <w:rsid w:val="00816C52"/>
    <w:rsid w:val="00821AD9"/>
    <w:rsid w:val="00821C5E"/>
    <w:rsid w:val="00822E84"/>
    <w:rsid w:val="00823FD6"/>
    <w:rsid w:val="00824441"/>
    <w:rsid w:val="00825550"/>
    <w:rsid w:val="00826B16"/>
    <w:rsid w:val="0082731D"/>
    <w:rsid w:val="00830DB7"/>
    <w:rsid w:val="00831AE6"/>
    <w:rsid w:val="008339B0"/>
    <w:rsid w:val="008359DA"/>
    <w:rsid w:val="008362F9"/>
    <w:rsid w:val="00837050"/>
    <w:rsid w:val="008374F8"/>
    <w:rsid w:val="00840491"/>
    <w:rsid w:val="0084127C"/>
    <w:rsid w:val="00841B94"/>
    <w:rsid w:val="008454E7"/>
    <w:rsid w:val="0084687B"/>
    <w:rsid w:val="00846BD6"/>
    <w:rsid w:val="00850B3D"/>
    <w:rsid w:val="00851D06"/>
    <w:rsid w:val="008536D7"/>
    <w:rsid w:val="008545F6"/>
    <w:rsid w:val="00856D02"/>
    <w:rsid w:val="00860489"/>
    <w:rsid w:val="00862D75"/>
    <w:rsid w:val="00863257"/>
    <w:rsid w:val="00864190"/>
    <w:rsid w:val="00864610"/>
    <w:rsid w:val="00867077"/>
    <w:rsid w:val="00870062"/>
    <w:rsid w:val="00870593"/>
    <w:rsid w:val="00870DB8"/>
    <w:rsid w:val="00871534"/>
    <w:rsid w:val="0087169B"/>
    <w:rsid w:val="00872B9A"/>
    <w:rsid w:val="00882434"/>
    <w:rsid w:val="008828D7"/>
    <w:rsid w:val="00887E0B"/>
    <w:rsid w:val="00890A80"/>
    <w:rsid w:val="00890A8F"/>
    <w:rsid w:val="00890FAF"/>
    <w:rsid w:val="0089306B"/>
    <w:rsid w:val="0089315E"/>
    <w:rsid w:val="008938CC"/>
    <w:rsid w:val="00894417"/>
    <w:rsid w:val="00895C8B"/>
    <w:rsid w:val="008962AD"/>
    <w:rsid w:val="00896A88"/>
    <w:rsid w:val="00896B64"/>
    <w:rsid w:val="00897517"/>
    <w:rsid w:val="008A14F3"/>
    <w:rsid w:val="008A1E7C"/>
    <w:rsid w:val="008A22B9"/>
    <w:rsid w:val="008A3412"/>
    <w:rsid w:val="008A3484"/>
    <w:rsid w:val="008A4B3D"/>
    <w:rsid w:val="008A4E6F"/>
    <w:rsid w:val="008A5ED2"/>
    <w:rsid w:val="008A6577"/>
    <w:rsid w:val="008A6770"/>
    <w:rsid w:val="008A6A78"/>
    <w:rsid w:val="008B103E"/>
    <w:rsid w:val="008B1291"/>
    <w:rsid w:val="008B1301"/>
    <w:rsid w:val="008B41D4"/>
    <w:rsid w:val="008B450A"/>
    <w:rsid w:val="008B4546"/>
    <w:rsid w:val="008B5673"/>
    <w:rsid w:val="008B64B8"/>
    <w:rsid w:val="008C105A"/>
    <w:rsid w:val="008C2E5E"/>
    <w:rsid w:val="008C7C75"/>
    <w:rsid w:val="008C7F25"/>
    <w:rsid w:val="008D03EA"/>
    <w:rsid w:val="008D0580"/>
    <w:rsid w:val="008D37E8"/>
    <w:rsid w:val="008D52F6"/>
    <w:rsid w:val="008D64F8"/>
    <w:rsid w:val="008D67BD"/>
    <w:rsid w:val="008E07FB"/>
    <w:rsid w:val="008E08D1"/>
    <w:rsid w:val="008E1A8B"/>
    <w:rsid w:val="008E1E12"/>
    <w:rsid w:val="008E2832"/>
    <w:rsid w:val="008E34C2"/>
    <w:rsid w:val="008E51FD"/>
    <w:rsid w:val="008E58F5"/>
    <w:rsid w:val="008E6194"/>
    <w:rsid w:val="008E62FB"/>
    <w:rsid w:val="008E6743"/>
    <w:rsid w:val="008E764E"/>
    <w:rsid w:val="008E772C"/>
    <w:rsid w:val="008E7ABE"/>
    <w:rsid w:val="008F0C9F"/>
    <w:rsid w:val="008F141D"/>
    <w:rsid w:val="008F15C3"/>
    <w:rsid w:val="008F2002"/>
    <w:rsid w:val="008F343F"/>
    <w:rsid w:val="008F57E3"/>
    <w:rsid w:val="008F6DFE"/>
    <w:rsid w:val="008F76EF"/>
    <w:rsid w:val="008F7790"/>
    <w:rsid w:val="00900B73"/>
    <w:rsid w:val="009028B3"/>
    <w:rsid w:val="00904687"/>
    <w:rsid w:val="009069DB"/>
    <w:rsid w:val="00906A68"/>
    <w:rsid w:val="009110E5"/>
    <w:rsid w:val="00911ECD"/>
    <w:rsid w:val="00912A3B"/>
    <w:rsid w:val="0091304B"/>
    <w:rsid w:val="00913B69"/>
    <w:rsid w:val="00915157"/>
    <w:rsid w:val="009157FD"/>
    <w:rsid w:val="00916EC2"/>
    <w:rsid w:val="00920591"/>
    <w:rsid w:val="00920870"/>
    <w:rsid w:val="00920949"/>
    <w:rsid w:val="009215ED"/>
    <w:rsid w:val="00922215"/>
    <w:rsid w:val="00924707"/>
    <w:rsid w:val="009247AA"/>
    <w:rsid w:val="00925017"/>
    <w:rsid w:val="00925213"/>
    <w:rsid w:val="009254D3"/>
    <w:rsid w:val="00930ACA"/>
    <w:rsid w:val="00932E82"/>
    <w:rsid w:val="00935124"/>
    <w:rsid w:val="009402F4"/>
    <w:rsid w:val="00940968"/>
    <w:rsid w:val="009423C3"/>
    <w:rsid w:val="00942B1A"/>
    <w:rsid w:val="00942F24"/>
    <w:rsid w:val="0094596E"/>
    <w:rsid w:val="0094644C"/>
    <w:rsid w:val="00946824"/>
    <w:rsid w:val="009470A5"/>
    <w:rsid w:val="0095058A"/>
    <w:rsid w:val="00951BB7"/>
    <w:rsid w:val="009524D9"/>
    <w:rsid w:val="00952C15"/>
    <w:rsid w:val="00956A67"/>
    <w:rsid w:val="00956AA0"/>
    <w:rsid w:val="00956EAB"/>
    <w:rsid w:val="00962817"/>
    <w:rsid w:val="00962A98"/>
    <w:rsid w:val="0096792C"/>
    <w:rsid w:val="00967F32"/>
    <w:rsid w:val="0097184B"/>
    <w:rsid w:val="00971928"/>
    <w:rsid w:val="00972DAC"/>
    <w:rsid w:val="0097360D"/>
    <w:rsid w:val="009744B4"/>
    <w:rsid w:val="009777C4"/>
    <w:rsid w:val="00980EE1"/>
    <w:rsid w:val="00982180"/>
    <w:rsid w:val="009824E2"/>
    <w:rsid w:val="00982AF5"/>
    <w:rsid w:val="00984DBA"/>
    <w:rsid w:val="00985F00"/>
    <w:rsid w:val="00992739"/>
    <w:rsid w:val="00993BB4"/>
    <w:rsid w:val="00993FE4"/>
    <w:rsid w:val="00994D8F"/>
    <w:rsid w:val="0099598E"/>
    <w:rsid w:val="009970D9"/>
    <w:rsid w:val="009972EF"/>
    <w:rsid w:val="00997A0A"/>
    <w:rsid w:val="009A0569"/>
    <w:rsid w:val="009A0996"/>
    <w:rsid w:val="009A0D35"/>
    <w:rsid w:val="009A1A6D"/>
    <w:rsid w:val="009A26A8"/>
    <w:rsid w:val="009A32C4"/>
    <w:rsid w:val="009A3648"/>
    <w:rsid w:val="009A4125"/>
    <w:rsid w:val="009A515D"/>
    <w:rsid w:val="009A51F5"/>
    <w:rsid w:val="009A543E"/>
    <w:rsid w:val="009A7120"/>
    <w:rsid w:val="009B2C2D"/>
    <w:rsid w:val="009B31D3"/>
    <w:rsid w:val="009B362A"/>
    <w:rsid w:val="009B6F07"/>
    <w:rsid w:val="009C35DC"/>
    <w:rsid w:val="009C398D"/>
    <w:rsid w:val="009C4211"/>
    <w:rsid w:val="009C4769"/>
    <w:rsid w:val="009C616F"/>
    <w:rsid w:val="009D0B95"/>
    <w:rsid w:val="009D505F"/>
    <w:rsid w:val="009D5DAF"/>
    <w:rsid w:val="009E3413"/>
    <w:rsid w:val="009E3E6E"/>
    <w:rsid w:val="009E43F3"/>
    <w:rsid w:val="009E68CD"/>
    <w:rsid w:val="009E7478"/>
    <w:rsid w:val="009E75B6"/>
    <w:rsid w:val="009F2130"/>
    <w:rsid w:val="009F3808"/>
    <w:rsid w:val="009F5592"/>
    <w:rsid w:val="009F63BC"/>
    <w:rsid w:val="009F6941"/>
    <w:rsid w:val="009F6DE9"/>
    <w:rsid w:val="009F7FA2"/>
    <w:rsid w:val="00A0037F"/>
    <w:rsid w:val="00A03034"/>
    <w:rsid w:val="00A03928"/>
    <w:rsid w:val="00A03D4E"/>
    <w:rsid w:val="00A03F33"/>
    <w:rsid w:val="00A042AB"/>
    <w:rsid w:val="00A048F1"/>
    <w:rsid w:val="00A04ECA"/>
    <w:rsid w:val="00A05518"/>
    <w:rsid w:val="00A057B9"/>
    <w:rsid w:val="00A06BF7"/>
    <w:rsid w:val="00A07EAC"/>
    <w:rsid w:val="00A10EDB"/>
    <w:rsid w:val="00A12621"/>
    <w:rsid w:val="00A16445"/>
    <w:rsid w:val="00A171C6"/>
    <w:rsid w:val="00A1736A"/>
    <w:rsid w:val="00A21D08"/>
    <w:rsid w:val="00A239FB"/>
    <w:rsid w:val="00A24CDA"/>
    <w:rsid w:val="00A250E1"/>
    <w:rsid w:val="00A257EE"/>
    <w:rsid w:val="00A273B8"/>
    <w:rsid w:val="00A27616"/>
    <w:rsid w:val="00A30189"/>
    <w:rsid w:val="00A303BD"/>
    <w:rsid w:val="00A30DC6"/>
    <w:rsid w:val="00A33998"/>
    <w:rsid w:val="00A343F7"/>
    <w:rsid w:val="00A350C8"/>
    <w:rsid w:val="00A357C8"/>
    <w:rsid w:val="00A363E0"/>
    <w:rsid w:val="00A36D67"/>
    <w:rsid w:val="00A413D1"/>
    <w:rsid w:val="00A42377"/>
    <w:rsid w:val="00A443AE"/>
    <w:rsid w:val="00A44D3C"/>
    <w:rsid w:val="00A45134"/>
    <w:rsid w:val="00A460BC"/>
    <w:rsid w:val="00A46FA8"/>
    <w:rsid w:val="00A473A9"/>
    <w:rsid w:val="00A47D59"/>
    <w:rsid w:val="00A51583"/>
    <w:rsid w:val="00A51D50"/>
    <w:rsid w:val="00A522AE"/>
    <w:rsid w:val="00A529D8"/>
    <w:rsid w:val="00A5394B"/>
    <w:rsid w:val="00A539B6"/>
    <w:rsid w:val="00A54A03"/>
    <w:rsid w:val="00A55245"/>
    <w:rsid w:val="00A5663D"/>
    <w:rsid w:val="00A570A7"/>
    <w:rsid w:val="00A5774C"/>
    <w:rsid w:val="00A5794C"/>
    <w:rsid w:val="00A606A0"/>
    <w:rsid w:val="00A660DE"/>
    <w:rsid w:val="00A706DF"/>
    <w:rsid w:val="00A72FF7"/>
    <w:rsid w:val="00A7559C"/>
    <w:rsid w:val="00A7613C"/>
    <w:rsid w:val="00A766E2"/>
    <w:rsid w:val="00A767EE"/>
    <w:rsid w:val="00A77418"/>
    <w:rsid w:val="00A831E7"/>
    <w:rsid w:val="00A930B2"/>
    <w:rsid w:val="00A94D2D"/>
    <w:rsid w:val="00A95E6F"/>
    <w:rsid w:val="00A969C5"/>
    <w:rsid w:val="00A97078"/>
    <w:rsid w:val="00AA16E7"/>
    <w:rsid w:val="00AA2E93"/>
    <w:rsid w:val="00AA2FBC"/>
    <w:rsid w:val="00AA3C3C"/>
    <w:rsid w:val="00AA5D63"/>
    <w:rsid w:val="00AA6B8F"/>
    <w:rsid w:val="00AA70D7"/>
    <w:rsid w:val="00AA730F"/>
    <w:rsid w:val="00AA748D"/>
    <w:rsid w:val="00AA74E2"/>
    <w:rsid w:val="00AA753C"/>
    <w:rsid w:val="00AB095A"/>
    <w:rsid w:val="00AB0D28"/>
    <w:rsid w:val="00AB40E0"/>
    <w:rsid w:val="00AB4B8E"/>
    <w:rsid w:val="00AB67FE"/>
    <w:rsid w:val="00AC079D"/>
    <w:rsid w:val="00AC24DA"/>
    <w:rsid w:val="00AC3167"/>
    <w:rsid w:val="00AC3D11"/>
    <w:rsid w:val="00AC4396"/>
    <w:rsid w:val="00AC4788"/>
    <w:rsid w:val="00AC4AA7"/>
    <w:rsid w:val="00AC5801"/>
    <w:rsid w:val="00AC64B0"/>
    <w:rsid w:val="00AC785D"/>
    <w:rsid w:val="00AD04B4"/>
    <w:rsid w:val="00AD20F5"/>
    <w:rsid w:val="00AD5101"/>
    <w:rsid w:val="00AD590E"/>
    <w:rsid w:val="00AD7098"/>
    <w:rsid w:val="00AD78F4"/>
    <w:rsid w:val="00AE0CD1"/>
    <w:rsid w:val="00AE178B"/>
    <w:rsid w:val="00AE1B1F"/>
    <w:rsid w:val="00AE4178"/>
    <w:rsid w:val="00AE5ADA"/>
    <w:rsid w:val="00AE5D19"/>
    <w:rsid w:val="00AE703B"/>
    <w:rsid w:val="00AF1CBE"/>
    <w:rsid w:val="00AF279A"/>
    <w:rsid w:val="00AF4326"/>
    <w:rsid w:val="00AF4D90"/>
    <w:rsid w:val="00AF64FA"/>
    <w:rsid w:val="00AF6CFE"/>
    <w:rsid w:val="00AF7B53"/>
    <w:rsid w:val="00B007AF"/>
    <w:rsid w:val="00B01583"/>
    <w:rsid w:val="00B02065"/>
    <w:rsid w:val="00B03ACA"/>
    <w:rsid w:val="00B045F0"/>
    <w:rsid w:val="00B068C6"/>
    <w:rsid w:val="00B1041A"/>
    <w:rsid w:val="00B105CD"/>
    <w:rsid w:val="00B109EB"/>
    <w:rsid w:val="00B12BA2"/>
    <w:rsid w:val="00B130AA"/>
    <w:rsid w:val="00B14816"/>
    <w:rsid w:val="00B14A95"/>
    <w:rsid w:val="00B14EEF"/>
    <w:rsid w:val="00B15FA9"/>
    <w:rsid w:val="00B21C14"/>
    <w:rsid w:val="00B22742"/>
    <w:rsid w:val="00B22BAD"/>
    <w:rsid w:val="00B22E71"/>
    <w:rsid w:val="00B22FBC"/>
    <w:rsid w:val="00B25259"/>
    <w:rsid w:val="00B26DD9"/>
    <w:rsid w:val="00B3056C"/>
    <w:rsid w:val="00B32CFB"/>
    <w:rsid w:val="00B331EB"/>
    <w:rsid w:val="00B35699"/>
    <w:rsid w:val="00B35EA6"/>
    <w:rsid w:val="00B37280"/>
    <w:rsid w:val="00B43206"/>
    <w:rsid w:val="00B432E8"/>
    <w:rsid w:val="00B4392B"/>
    <w:rsid w:val="00B439AA"/>
    <w:rsid w:val="00B4680F"/>
    <w:rsid w:val="00B474D2"/>
    <w:rsid w:val="00B4758E"/>
    <w:rsid w:val="00B50DB9"/>
    <w:rsid w:val="00B524F6"/>
    <w:rsid w:val="00B52643"/>
    <w:rsid w:val="00B52F74"/>
    <w:rsid w:val="00B562D9"/>
    <w:rsid w:val="00B564EA"/>
    <w:rsid w:val="00B605E2"/>
    <w:rsid w:val="00B60B93"/>
    <w:rsid w:val="00B60E77"/>
    <w:rsid w:val="00B635C8"/>
    <w:rsid w:val="00B64004"/>
    <w:rsid w:val="00B64169"/>
    <w:rsid w:val="00B658F9"/>
    <w:rsid w:val="00B71362"/>
    <w:rsid w:val="00B734CC"/>
    <w:rsid w:val="00B749B5"/>
    <w:rsid w:val="00B74CF2"/>
    <w:rsid w:val="00B77C6E"/>
    <w:rsid w:val="00B80B42"/>
    <w:rsid w:val="00B8261F"/>
    <w:rsid w:val="00B831FF"/>
    <w:rsid w:val="00B85B32"/>
    <w:rsid w:val="00B85F69"/>
    <w:rsid w:val="00B907AB"/>
    <w:rsid w:val="00B914AF"/>
    <w:rsid w:val="00B91693"/>
    <w:rsid w:val="00B91FC6"/>
    <w:rsid w:val="00B93143"/>
    <w:rsid w:val="00B94DE1"/>
    <w:rsid w:val="00BA0262"/>
    <w:rsid w:val="00BA09DD"/>
    <w:rsid w:val="00BA3A7E"/>
    <w:rsid w:val="00BA48FC"/>
    <w:rsid w:val="00BA793C"/>
    <w:rsid w:val="00BA7986"/>
    <w:rsid w:val="00BB03D3"/>
    <w:rsid w:val="00BB3222"/>
    <w:rsid w:val="00BB39E6"/>
    <w:rsid w:val="00BB5E1F"/>
    <w:rsid w:val="00BC0E40"/>
    <w:rsid w:val="00BC18C9"/>
    <w:rsid w:val="00BC444A"/>
    <w:rsid w:val="00BC4480"/>
    <w:rsid w:val="00BC5556"/>
    <w:rsid w:val="00BC5B20"/>
    <w:rsid w:val="00BC5C02"/>
    <w:rsid w:val="00BC6934"/>
    <w:rsid w:val="00BC7EEC"/>
    <w:rsid w:val="00BD1FDC"/>
    <w:rsid w:val="00BD4000"/>
    <w:rsid w:val="00BD512A"/>
    <w:rsid w:val="00BD6569"/>
    <w:rsid w:val="00BE0D68"/>
    <w:rsid w:val="00BE182E"/>
    <w:rsid w:val="00BE7A69"/>
    <w:rsid w:val="00BE7F51"/>
    <w:rsid w:val="00BF103C"/>
    <w:rsid w:val="00BF432C"/>
    <w:rsid w:val="00BF43C9"/>
    <w:rsid w:val="00C03213"/>
    <w:rsid w:val="00C04847"/>
    <w:rsid w:val="00C05E29"/>
    <w:rsid w:val="00C111BB"/>
    <w:rsid w:val="00C12334"/>
    <w:rsid w:val="00C12FA8"/>
    <w:rsid w:val="00C1381B"/>
    <w:rsid w:val="00C13BE6"/>
    <w:rsid w:val="00C13E1C"/>
    <w:rsid w:val="00C1507A"/>
    <w:rsid w:val="00C1555F"/>
    <w:rsid w:val="00C16020"/>
    <w:rsid w:val="00C170F2"/>
    <w:rsid w:val="00C177B1"/>
    <w:rsid w:val="00C20E3D"/>
    <w:rsid w:val="00C216D6"/>
    <w:rsid w:val="00C22789"/>
    <w:rsid w:val="00C23C1F"/>
    <w:rsid w:val="00C3010C"/>
    <w:rsid w:val="00C31A24"/>
    <w:rsid w:val="00C32612"/>
    <w:rsid w:val="00C33105"/>
    <w:rsid w:val="00C33979"/>
    <w:rsid w:val="00C33E18"/>
    <w:rsid w:val="00C33F7A"/>
    <w:rsid w:val="00C342FB"/>
    <w:rsid w:val="00C344A2"/>
    <w:rsid w:val="00C4037D"/>
    <w:rsid w:val="00C43EBE"/>
    <w:rsid w:val="00C44667"/>
    <w:rsid w:val="00C465D0"/>
    <w:rsid w:val="00C47C5D"/>
    <w:rsid w:val="00C50BBD"/>
    <w:rsid w:val="00C534DF"/>
    <w:rsid w:val="00C5561A"/>
    <w:rsid w:val="00C56FC9"/>
    <w:rsid w:val="00C611A8"/>
    <w:rsid w:val="00C63A8F"/>
    <w:rsid w:val="00C6729E"/>
    <w:rsid w:val="00C67CAE"/>
    <w:rsid w:val="00C724F5"/>
    <w:rsid w:val="00C74B36"/>
    <w:rsid w:val="00C74C25"/>
    <w:rsid w:val="00C74E14"/>
    <w:rsid w:val="00C74E25"/>
    <w:rsid w:val="00C75292"/>
    <w:rsid w:val="00C764F1"/>
    <w:rsid w:val="00C80BF3"/>
    <w:rsid w:val="00C818FE"/>
    <w:rsid w:val="00C81A23"/>
    <w:rsid w:val="00C81E5F"/>
    <w:rsid w:val="00C82029"/>
    <w:rsid w:val="00C823CB"/>
    <w:rsid w:val="00C90BC7"/>
    <w:rsid w:val="00C93191"/>
    <w:rsid w:val="00C9429A"/>
    <w:rsid w:val="00C95123"/>
    <w:rsid w:val="00C9544F"/>
    <w:rsid w:val="00C95B2F"/>
    <w:rsid w:val="00C96670"/>
    <w:rsid w:val="00C97881"/>
    <w:rsid w:val="00CA0F81"/>
    <w:rsid w:val="00CA19E5"/>
    <w:rsid w:val="00CA4042"/>
    <w:rsid w:val="00CA5159"/>
    <w:rsid w:val="00CA5B71"/>
    <w:rsid w:val="00CA7331"/>
    <w:rsid w:val="00CA7DBD"/>
    <w:rsid w:val="00CB14C1"/>
    <w:rsid w:val="00CB1A5A"/>
    <w:rsid w:val="00CB1E9F"/>
    <w:rsid w:val="00CB3577"/>
    <w:rsid w:val="00CB432F"/>
    <w:rsid w:val="00CB55F8"/>
    <w:rsid w:val="00CB5CA0"/>
    <w:rsid w:val="00CB69AB"/>
    <w:rsid w:val="00CB6ABF"/>
    <w:rsid w:val="00CC052D"/>
    <w:rsid w:val="00CC0786"/>
    <w:rsid w:val="00CC4A74"/>
    <w:rsid w:val="00CC61E7"/>
    <w:rsid w:val="00CD0695"/>
    <w:rsid w:val="00CD44E8"/>
    <w:rsid w:val="00CD5811"/>
    <w:rsid w:val="00CD5911"/>
    <w:rsid w:val="00CD719B"/>
    <w:rsid w:val="00CE1022"/>
    <w:rsid w:val="00CE32AD"/>
    <w:rsid w:val="00CE3E50"/>
    <w:rsid w:val="00CF11F3"/>
    <w:rsid w:val="00CF1F52"/>
    <w:rsid w:val="00CF20EE"/>
    <w:rsid w:val="00CF2D68"/>
    <w:rsid w:val="00CF6B1E"/>
    <w:rsid w:val="00D006DC"/>
    <w:rsid w:val="00D016C4"/>
    <w:rsid w:val="00D01DBF"/>
    <w:rsid w:val="00D03868"/>
    <w:rsid w:val="00D051AA"/>
    <w:rsid w:val="00D05EA6"/>
    <w:rsid w:val="00D11F3C"/>
    <w:rsid w:val="00D13E65"/>
    <w:rsid w:val="00D14116"/>
    <w:rsid w:val="00D145D5"/>
    <w:rsid w:val="00D17425"/>
    <w:rsid w:val="00D17CA1"/>
    <w:rsid w:val="00D20525"/>
    <w:rsid w:val="00D211B0"/>
    <w:rsid w:val="00D211C5"/>
    <w:rsid w:val="00D214AE"/>
    <w:rsid w:val="00D22553"/>
    <w:rsid w:val="00D264A2"/>
    <w:rsid w:val="00D27F38"/>
    <w:rsid w:val="00D3017C"/>
    <w:rsid w:val="00D30E19"/>
    <w:rsid w:val="00D317BD"/>
    <w:rsid w:val="00D31D76"/>
    <w:rsid w:val="00D327BB"/>
    <w:rsid w:val="00D334B1"/>
    <w:rsid w:val="00D340C5"/>
    <w:rsid w:val="00D34D92"/>
    <w:rsid w:val="00D41103"/>
    <w:rsid w:val="00D426DA"/>
    <w:rsid w:val="00D42FC2"/>
    <w:rsid w:val="00D43073"/>
    <w:rsid w:val="00D431A5"/>
    <w:rsid w:val="00D447B6"/>
    <w:rsid w:val="00D44FDB"/>
    <w:rsid w:val="00D4653A"/>
    <w:rsid w:val="00D5084A"/>
    <w:rsid w:val="00D50B03"/>
    <w:rsid w:val="00D53206"/>
    <w:rsid w:val="00D543DA"/>
    <w:rsid w:val="00D548BA"/>
    <w:rsid w:val="00D55904"/>
    <w:rsid w:val="00D56BC0"/>
    <w:rsid w:val="00D56F4E"/>
    <w:rsid w:val="00D5744A"/>
    <w:rsid w:val="00D5796E"/>
    <w:rsid w:val="00D63B54"/>
    <w:rsid w:val="00D64812"/>
    <w:rsid w:val="00D66CF0"/>
    <w:rsid w:val="00D7158B"/>
    <w:rsid w:val="00D773AC"/>
    <w:rsid w:val="00D819FC"/>
    <w:rsid w:val="00D8405D"/>
    <w:rsid w:val="00D85AEC"/>
    <w:rsid w:val="00D85F3B"/>
    <w:rsid w:val="00D86003"/>
    <w:rsid w:val="00D87F48"/>
    <w:rsid w:val="00D90AAF"/>
    <w:rsid w:val="00D9296E"/>
    <w:rsid w:val="00D94151"/>
    <w:rsid w:val="00D9461E"/>
    <w:rsid w:val="00D9631B"/>
    <w:rsid w:val="00DA0D48"/>
    <w:rsid w:val="00DA12FD"/>
    <w:rsid w:val="00DA5FA7"/>
    <w:rsid w:val="00DA670B"/>
    <w:rsid w:val="00DA725B"/>
    <w:rsid w:val="00DB141B"/>
    <w:rsid w:val="00DB216C"/>
    <w:rsid w:val="00DB3503"/>
    <w:rsid w:val="00DB3C79"/>
    <w:rsid w:val="00DB53CA"/>
    <w:rsid w:val="00DB6A91"/>
    <w:rsid w:val="00DB7C83"/>
    <w:rsid w:val="00DC0A8C"/>
    <w:rsid w:val="00DC2642"/>
    <w:rsid w:val="00DC326E"/>
    <w:rsid w:val="00DC5923"/>
    <w:rsid w:val="00DC597B"/>
    <w:rsid w:val="00DC5C18"/>
    <w:rsid w:val="00DC5DC4"/>
    <w:rsid w:val="00DC71C5"/>
    <w:rsid w:val="00DD22EE"/>
    <w:rsid w:val="00DD5CEC"/>
    <w:rsid w:val="00DD6383"/>
    <w:rsid w:val="00DD79F0"/>
    <w:rsid w:val="00DD7F0E"/>
    <w:rsid w:val="00DE0DBA"/>
    <w:rsid w:val="00DE1611"/>
    <w:rsid w:val="00DE2886"/>
    <w:rsid w:val="00DE5A21"/>
    <w:rsid w:val="00DE6357"/>
    <w:rsid w:val="00DE757C"/>
    <w:rsid w:val="00DE7C88"/>
    <w:rsid w:val="00DF18DB"/>
    <w:rsid w:val="00DF2766"/>
    <w:rsid w:val="00DF5D54"/>
    <w:rsid w:val="00DF6209"/>
    <w:rsid w:val="00E00644"/>
    <w:rsid w:val="00E01205"/>
    <w:rsid w:val="00E017C8"/>
    <w:rsid w:val="00E01F95"/>
    <w:rsid w:val="00E031DC"/>
    <w:rsid w:val="00E03BA8"/>
    <w:rsid w:val="00E03DAE"/>
    <w:rsid w:val="00E04779"/>
    <w:rsid w:val="00E05201"/>
    <w:rsid w:val="00E0659C"/>
    <w:rsid w:val="00E066AE"/>
    <w:rsid w:val="00E06B4C"/>
    <w:rsid w:val="00E06C12"/>
    <w:rsid w:val="00E11A6D"/>
    <w:rsid w:val="00E11F50"/>
    <w:rsid w:val="00E15BED"/>
    <w:rsid w:val="00E17835"/>
    <w:rsid w:val="00E23628"/>
    <w:rsid w:val="00E24300"/>
    <w:rsid w:val="00E250C7"/>
    <w:rsid w:val="00E25CF1"/>
    <w:rsid w:val="00E25E09"/>
    <w:rsid w:val="00E26E1E"/>
    <w:rsid w:val="00E270FB"/>
    <w:rsid w:val="00E319F1"/>
    <w:rsid w:val="00E328F3"/>
    <w:rsid w:val="00E36040"/>
    <w:rsid w:val="00E367C5"/>
    <w:rsid w:val="00E36AC2"/>
    <w:rsid w:val="00E404CF"/>
    <w:rsid w:val="00E41827"/>
    <w:rsid w:val="00E42E20"/>
    <w:rsid w:val="00E4409C"/>
    <w:rsid w:val="00E47C47"/>
    <w:rsid w:val="00E47DFA"/>
    <w:rsid w:val="00E5186A"/>
    <w:rsid w:val="00E54512"/>
    <w:rsid w:val="00E61A61"/>
    <w:rsid w:val="00E642CB"/>
    <w:rsid w:val="00E64B1D"/>
    <w:rsid w:val="00E71643"/>
    <w:rsid w:val="00E716BD"/>
    <w:rsid w:val="00E71AC9"/>
    <w:rsid w:val="00E729A0"/>
    <w:rsid w:val="00E73938"/>
    <w:rsid w:val="00E73A02"/>
    <w:rsid w:val="00E73C25"/>
    <w:rsid w:val="00E768C6"/>
    <w:rsid w:val="00E82620"/>
    <w:rsid w:val="00E83265"/>
    <w:rsid w:val="00E841F0"/>
    <w:rsid w:val="00E850A2"/>
    <w:rsid w:val="00E853AC"/>
    <w:rsid w:val="00E861FB"/>
    <w:rsid w:val="00E86893"/>
    <w:rsid w:val="00E91327"/>
    <w:rsid w:val="00E91AA3"/>
    <w:rsid w:val="00E93411"/>
    <w:rsid w:val="00E9618C"/>
    <w:rsid w:val="00E9655D"/>
    <w:rsid w:val="00EA0052"/>
    <w:rsid w:val="00EA2B98"/>
    <w:rsid w:val="00EA4008"/>
    <w:rsid w:val="00EA6E10"/>
    <w:rsid w:val="00EA7305"/>
    <w:rsid w:val="00EB0150"/>
    <w:rsid w:val="00EB10F1"/>
    <w:rsid w:val="00EB1342"/>
    <w:rsid w:val="00EB6245"/>
    <w:rsid w:val="00EB7C14"/>
    <w:rsid w:val="00EB7E2B"/>
    <w:rsid w:val="00EB7EE6"/>
    <w:rsid w:val="00EC53F8"/>
    <w:rsid w:val="00EC5BCE"/>
    <w:rsid w:val="00EC734B"/>
    <w:rsid w:val="00ED23D2"/>
    <w:rsid w:val="00ED5144"/>
    <w:rsid w:val="00EE238C"/>
    <w:rsid w:val="00EE43BB"/>
    <w:rsid w:val="00EE728B"/>
    <w:rsid w:val="00EE73A0"/>
    <w:rsid w:val="00EE7FC1"/>
    <w:rsid w:val="00EF154E"/>
    <w:rsid w:val="00EF17F3"/>
    <w:rsid w:val="00EF2618"/>
    <w:rsid w:val="00EF2D9D"/>
    <w:rsid w:val="00EF3558"/>
    <w:rsid w:val="00EF5276"/>
    <w:rsid w:val="00EF62DF"/>
    <w:rsid w:val="00EF6912"/>
    <w:rsid w:val="00F0026B"/>
    <w:rsid w:val="00F00782"/>
    <w:rsid w:val="00F01AF7"/>
    <w:rsid w:val="00F02ACF"/>
    <w:rsid w:val="00F02E6C"/>
    <w:rsid w:val="00F02ECF"/>
    <w:rsid w:val="00F02FC3"/>
    <w:rsid w:val="00F03317"/>
    <w:rsid w:val="00F03BE8"/>
    <w:rsid w:val="00F04181"/>
    <w:rsid w:val="00F0563D"/>
    <w:rsid w:val="00F05699"/>
    <w:rsid w:val="00F06CBF"/>
    <w:rsid w:val="00F100C8"/>
    <w:rsid w:val="00F108E0"/>
    <w:rsid w:val="00F11B14"/>
    <w:rsid w:val="00F14C93"/>
    <w:rsid w:val="00F14D22"/>
    <w:rsid w:val="00F16AF0"/>
    <w:rsid w:val="00F17011"/>
    <w:rsid w:val="00F17AD9"/>
    <w:rsid w:val="00F20752"/>
    <w:rsid w:val="00F25657"/>
    <w:rsid w:val="00F25CF0"/>
    <w:rsid w:val="00F31408"/>
    <w:rsid w:val="00F31F6E"/>
    <w:rsid w:val="00F323C7"/>
    <w:rsid w:val="00F3248E"/>
    <w:rsid w:val="00F3490D"/>
    <w:rsid w:val="00F35F99"/>
    <w:rsid w:val="00F362FF"/>
    <w:rsid w:val="00F36390"/>
    <w:rsid w:val="00F37ACD"/>
    <w:rsid w:val="00F4085C"/>
    <w:rsid w:val="00F40D78"/>
    <w:rsid w:val="00F425AA"/>
    <w:rsid w:val="00F42800"/>
    <w:rsid w:val="00F4331F"/>
    <w:rsid w:val="00F43948"/>
    <w:rsid w:val="00F45CB8"/>
    <w:rsid w:val="00F46BF3"/>
    <w:rsid w:val="00F50634"/>
    <w:rsid w:val="00F50949"/>
    <w:rsid w:val="00F537DF"/>
    <w:rsid w:val="00F55FBA"/>
    <w:rsid w:val="00F56EEA"/>
    <w:rsid w:val="00F62DCE"/>
    <w:rsid w:val="00F63C3E"/>
    <w:rsid w:val="00F63F0C"/>
    <w:rsid w:val="00F64C6F"/>
    <w:rsid w:val="00F707EB"/>
    <w:rsid w:val="00F71579"/>
    <w:rsid w:val="00F71828"/>
    <w:rsid w:val="00F73C0E"/>
    <w:rsid w:val="00F74EB1"/>
    <w:rsid w:val="00F77222"/>
    <w:rsid w:val="00F81FCA"/>
    <w:rsid w:val="00F8208F"/>
    <w:rsid w:val="00F8366C"/>
    <w:rsid w:val="00F83A70"/>
    <w:rsid w:val="00F84521"/>
    <w:rsid w:val="00F84AAA"/>
    <w:rsid w:val="00F84B7B"/>
    <w:rsid w:val="00F84C1F"/>
    <w:rsid w:val="00F86E18"/>
    <w:rsid w:val="00F872A2"/>
    <w:rsid w:val="00F87439"/>
    <w:rsid w:val="00F87D12"/>
    <w:rsid w:val="00F90A93"/>
    <w:rsid w:val="00F91CFF"/>
    <w:rsid w:val="00F92588"/>
    <w:rsid w:val="00F93D2B"/>
    <w:rsid w:val="00F944E5"/>
    <w:rsid w:val="00F9453E"/>
    <w:rsid w:val="00F94684"/>
    <w:rsid w:val="00F94F3F"/>
    <w:rsid w:val="00F964B1"/>
    <w:rsid w:val="00F96BB9"/>
    <w:rsid w:val="00F976DF"/>
    <w:rsid w:val="00FA0897"/>
    <w:rsid w:val="00FA0A73"/>
    <w:rsid w:val="00FA2275"/>
    <w:rsid w:val="00FA30D0"/>
    <w:rsid w:val="00FA4912"/>
    <w:rsid w:val="00FA6935"/>
    <w:rsid w:val="00FA6CBD"/>
    <w:rsid w:val="00FA79A2"/>
    <w:rsid w:val="00FA7AD1"/>
    <w:rsid w:val="00FB0926"/>
    <w:rsid w:val="00FB1686"/>
    <w:rsid w:val="00FB2991"/>
    <w:rsid w:val="00FB52A9"/>
    <w:rsid w:val="00FB569D"/>
    <w:rsid w:val="00FB6D32"/>
    <w:rsid w:val="00FB7156"/>
    <w:rsid w:val="00FB754F"/>
    <w:rsid w:val="00FC146A"/>
    <w:rsid w:val="00FC1F95"/>
    <w:rsid w:val="00FC3B56"/>
    <w:rsid w:val="00FC3D68"/>
    <w:rsid w:val="00FC42A4"/>
    <w:rsid w:val="00FC51F2"/>
    <w:rsid w:val="00FC5826"/>
    <w:rsid w:val="00FC675F"/>
    <w:rsid w:val="00FC70E2"/>
    <w:rsid w:val="00FD14DE"/>
    <w:rsid w:val="00FD6B1E"/>
    <w:rsid w:val="00FD6BB8"/>
    <w:rsid w:val="00FD6DBA"/>
    <w:rsid w:val="00FD77E0"/>
    <w:rsid w:val="00FD7DA4"/>
    <w:rsid w:val="00FE06D4"/>
    <w:rsid w:val="00FE1C6C"/>
    <w:rsid w:val="00FE4E52"/>
    <w:rsid w:val="00FE7CCC"/>
    <w:rsid w:val="00FF1253"/>
    <w:rsid w:val="00FF360F"/>
    <w:rsid w:val="00FF3BE8"/>
    <w:rsid w:val="00FF560D"/>
    <w:rsid w:val="00FF5F5C"/>
    <w:rsid w:val="00FF63B6"/>
    <w:rsid w:val="00FF7F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5C"/>
    <w:rPr>
      <w:sz w:val="22"/>
    </w:rPr>
  </w:style>
  <w:style w:type="paragraph" w:styleId="Heading10">
    <w:name w:val="heading 1"/>
    <w:aliases w:val="Heading 1 do not use,Section heading 1,Front Page Title,1.,Para 1,Para 11"/>
    <w:basedOn w:val="Normal"/>
    <w:next w:val="Normal"/>
    <w:link w:val="Heading1Char"/>
    <w:uiPriority w:val="9"/>
    <w:qFormat/>
    <w:rsid w:val="00F63F0C"/>
    <w:pPr>
      <w:keepNext/>
      <w:keepLines/>
      <w:spacing w:after="480"/>
      <w:outlineLvl w:val="0"/>
    </w:pPr>
    <w:rPr>
      <w:rFonts w:asciiTheme="majorHAnsi" w:eastAsiaTheme="majorEastAsia" w:hAnsiTheme="majorHAnsi" w:cstheme="majorBidi"/>
      <w:b/>
      <w:color w:val="D9D9D6" w:themeColor="accent1"/>
      <w:sz w:val="40"/>
      <w:szCs w:val="32"/>
    </w:rPr>
  </w:style>
  <w:style w:type="paragraph" w:styleId="Heading20">
    <w:name w:val="heading 2"/>
    <w:aliases w:val="Reset numbering,Reset numbering1,Heading 2 do not use,Front Page List of Sections"/>
    <w:basedOn w:val="Normal"/>
    <w:next w:val="Normal"/>
    <w:link w:val="Heading2Char"/>
    <w:uiPriority w:val="9"/>
    <w:unhideWhenUsed/>
    <w:qFormat/>
    <w:rsid w:val="0028532D"/>
    <w:pPr>
      <w:keepNext/>
      <w:keepLines/>
      <w:spacing w:before="40"/>
      <w:outlineLvl w:val="1"/>
    </w:pPr>
    <w:rPr>
      <w:rFonts w:asciiTheme="majorHAnsi" w:eastAsiaTheme="majorEastAsia" w:hAnsiTheme="majorHAnsi" w:cstheme="majorBidi"/>
      <w:color w:val="A5A59D" w:themeColor="accent1" w:themeShade="BF"/>
      <w:sz w:val="26"/>
      <w:szCs w:val="26"/>
    </w:rPr>
  </w:style>
  <w:style w:type="paragraph" w:styleId="Heading30">
    <w:name w:val="heading 3"/>
    <w:aliases w:val="DET Heading 3,Level 1 - 1,Heading 3 do not use"/>
    <w:basedOn w:val="Normal"/>
    <w:next w:val="Normal"/>
    <w:link w:val="Heading3Char"/>
    <w:uiPriority w:val="9"/>
    <w:unhideWhenUsed/>
    <w:qFormat/>
    <w:rsid w:val="007E6337"/>
    <w:pPr>
      <w:keepNext/>
      <w:keepLines/>
      <w:spacing w:before="40"/>
      <w:outlineLvl w:val="2"/>
    </w:pPr>
    <w:rPr>
      <w:rFonts w:asciiTheme="majorHAnsi" w:eastAsiaTheme="majorEastAsia" w:hAnsiTheme="majorHAnsi" w:cstheme="majorBidi"/>
      <w:color w:val="6F6F67" w:themeColor="accent1" w:themeShade="7F"/>
    </w:rPr>
  </w:style>
  <w:style w:type="paragraph" w:styleId="Heading4">
    <w:name w:val="heading 4"/>
    <w:basedOn w:val="Normal"/>
    <w:next w:val="Normal"/>
    <w:link w:val="Heading4Char"/>
    <w:uiPriority w:val="9"/>
    <w:unhideWhenUsed/>
    <w:qFormat/>
    <w:rsid w:val="0028532D"/>
    <w:pPr>
      <w:keepNext/>
      <w:keepLines/>
      <w:spacing w:before="40"/>
      <w:ind w:left="864" w:hanging="144"/>
      <w:outlineLvl w:val="3"/>
    </w:pPr>
    <w:rPr>
      <w:rFonts w:asciiTheme="majorHAnsi" w:eastAsiaTheme="majorEastAsia" w:hAnsiTheme="majorHAnsi" w:cstheme="majorBidi"/>
      <w:i/>
      <w:iCs/>
      <w:color w:val="A5A59D" w:themeColor="accent1" w:themeShade="BF"/>
    </w:rPr>
  </w:style>
  <w:style w:type="paragraph" w:styleId="Heading5">
    <w:name w:val="heading 5"/>
    <w:basedOn w:val="Normal"/>
    <w:next w:val="Normal"/>
    <w:link w:val="Heading5Char"/>
    <w:uiPriority w:val="9"/>
    <w:unhideWhenUsed/>
    <w:qFormat/>
    <w:rsid w:val="0028532D"/>
    <w:pPr>
      <w:keepNext/>
      <w:keepLines/>
      <w:spacing w:before="40"/>
      <w:ind w:left="1008" w:hanging="432"/>
      <w:outlineLvl w:val="4"/>
    </w:pPr>
    <w:rPr>
      <w:rFonts w:asciiTheme="majorHAnsi" w:eastAsiaTheme="majorEastAsia" w:hAnsiTheme="majorHAnsi" w:cstheme="majorBidi"/>
      <w:color w:val="A5A59D" w:themeColor="accent1" w:themeShade="BF"/>
    </w:rPr>
  </w:style>
  <w:style w:type="paragraph" w:styleId="Heading6">
    <w:name w:val="heading 6"/>
    <w:basedOn w:val="Normal"/>
    <w:next w:val="Normal"/>
    <w:link w:val="Heading6Char"/>
    <w:uiPriority w:val="9"/>
    <w:unhideWhenUsed/>
    <w:qFormat/>
    <w:rsid w:val="0028532D"/>
    <w:pPr>
      <w:keepNext/>
      <w:keepLines/>
      <w:spacing w:before="40"/>
      <w:ind w:left="1152" w:hanging="432"/>
      <w:outlineLvl w:val="5"/>
    </w:pPr>
    <w:rPr>
      <w:rFonts w:asciiTheme="majorHAnsi" w:eastAsiaTheme="majorEastAsia" w:hAnsiTheme="majorHAnsi" w:cstheme="majorBidi"/>
      <w:color w:val="6F6F67" w:themeColor="accent1" w:themeShade="7F"/>
    </w:rPr>
  </w:style>
  <w:style w:type="paragraph" w:styleId="Heading7">
    <w:name w:val="heading 7"/>
    <w:aliases w:val="Section Sub-Heading 4"/>
    <w:basedOn w:val="Normal"/>
    <w:next w:val="Normal"/>
    <w:link w:val="Heading7Char"/>
    <w:uiPriority w:val="9"/>
    <w:unhideWhenUsed/>
    <w:qFormat/>
    <w:rsid w:val="0028532D"/>
    <w:pPr>
      <w:keepNext/>
      <w:keepLines/>
      <w:spacing w:before="40"/>
      <w:ind w:left="1296" w:hanging="288"/>
      <w:outlineLvl w:val="6"/>
    </w:pPr>
    <w:rPr>
      <w:rFonts w:asciiTheme="majorHAnsi" w:eastAsiaTheme="majorEastAsia" w:hAnsiTheme="majorHAnsi" w:cstheme="majorBidi"/>
      <w:i/>
      <w:iCs/>
      <w:color w:val="6F6F67" w:themeColor="accent1" w:themeShade="7F"/>
    </w:rPr>
  </w:style>
  <w:style w:type="paragraph" w:styleId="Heading8">
    <w:name w:val="heading 8"/>
    <w:basedOn w:val="Normal"/>
    <w:next w:val="Normal"/>
    <w:link w:val="Heading8Char"/>
    <w:uiPriority w:val="9"/>
    <w:unhideWhenUsed/>
    <w:qFormat/>
    <w:rsid w:val="0028532D"/>
    <w:pPr>
      <w:keepNext/>
      <w:keepLines/>
      <w:spacing w:before="40"/>
      <w:ind w:left="1440" w:hanging="432"/>
      <w:outlineLvl w:val="7"/>
    </w:pPr>
    <w:rPr>
      <w:rFonts w:asciiTheme="majorHAnsi" w:eastAsiaTheme="majorEastAsia" w:hAnsiTheme="majorHAnsi" w:cstheme="majorBidi"/>
      <w:color w:val="B0353C" w:themeColor="text1" w:themeTint="D8"/>
      <w:sz w:val="21"/>
      <w:szCs w:val="21"/>
    </w:rPr>
  </w:style>
  <w:style w:type="paragraph" w:styleId="Heading9">
    <w:name w:val="heading 9"/>
    <w:basedOn w:val="Normal"/>
    <w:next w:val="Normal"/>
    <w:link w:val="Heading9Char"/>
    <w:uiPriority w:val="9"/>
    <w:unhideWhenUsed/>
    <w:qFormat/>
    <w:rsid w:val="0028532D"/>
    <w:pPr>
      <w:keepNext/>
      <w:keepLines/>
      <w:spacing w:before="40"/>
      <w:ind w:left="1584" w:hanging="144"/>
      <w:outlineLvl w:val="8"/>
    </w:pPr>
    <w:rPr>
      <w:rFonts w:asciiTheme="majorHAnsi" w:eastAsiaTheme="majorEastAsia" w:hAnsiTheme="majorHAnsi" w:cstheme="majorBidi"/>
      <w:i/>
      <w:iCs/>
      <w:color w:val="B035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 not use Char,Section heading 1 Char,Front Page Title Char,1. Char,Para 1 Char,Para 11 Char"/>
    <w:basedOn w:val="DefaultParagraphFont"/>
    <w:link w:val="Heading10"/>
    <w:uiPriority w:val="9"/>
    <w:rsid w:val="00F63F0C"/>
    <w:rPr>
      <w:rFonts w:asciiTheme="majorHAnsi" w:eastAsiaTheme="majorEastAsia" w:hAnsiTheme="majorHAnsi" w:cstheme="majorBidi"/>
      <w:b/>
      <w:color w:val="D9D9D6" w:themeColor="accent1"/>
      <w:sz w:val="40"/>
      <w:szCs w:val="32"/>
    </w:rPr>
  </w:style>
  <w:style w:type="paragraph" w:styleId="TOCHeading">
    <w:name w:val="TOC Heading"/>
    <w:basedOn w:val="ESHeading1"/>
    <w:next w:val="Normal"/>
    <w:uiPriority w:val="39"/>
    <w:unhideWhenUsed/>
    <w:qFormat/>
    <w:rsid w:val="00EE728B"/>
    <w:pPr>
      <w:spacing w:after="480" w:line="240" w:lineRule="auto"/>
      <w:outlineLvl w:val="9"/>
    </w:pPr>
  </w:style>
  <w:style w:type="paragraph" w:styleId="Header">
    <w:name w:val="header"/>
    <w:basedOn w:val="Normal"/>
    <w:link w:val="HeaderChar"/>
    <w:unhideWhenUsed/>
    <w:rsid w:val="004625D4"/>
    <w:pPr>
      <w:tabs>
        <w:tab w:val="center" w:pos="4513"/>
        <w:tab w:val="right" w:pos="9026"/>
      </w:tabs>
    </w:pPr>
  </w:style>
  <w:style w:type="character" w:customStyle="1" w:styleId="HeaderChar">
    <w:name w:val="Header Char"/>
    <w:basedOn w:val="DefaultParagraphFont"/>
    <w:link w:val="Header"/>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3B3A5C"/>
    <w:pPr>
      <w:spacing w:after="40"/>
    </w:pPr>
    <w:rPr>
      <w:rFonts w:eastAsiaTheme="minorEastAsia" w:cs="Arial"/>
      <w:sz w:val="15"/>
      <w:szCs w:val="11"/>
      <w:lang w:val="en-US"/>
    </w:rPr>
  </w:style>
  <w:style w:type="character" w:customStyle="1" w:styleId="FootnoteTextChar">
    <w:name w:val="Footnote Text Char"/>
    <w:basedOn w:val="DefaultParagraphFont"/>
    <w:link w:val="FootnoteText"/>
    <w:uiPriority w:val="99"/>
    <w:rsid w:val="003B3A5C"/>
    <w:rPr>
      <w:rFonts w:eastAsiaTheme="minorEastAsia" w:cs="Arial"/>
      <w:sz w:val="15"/>
      <w:szCs w:val="11"/>
      <w:lang w:val="en-US"/>
    </w:rPr>
  </w:style>
  <w:style w:type="paragraph" w:customStyle="1" w:styleId="ESbullet1">
    <w:name w:val="ES_bullet 1"/>
    <w:basedOn w:val="Normal"/>
    <w:qFormat/>
    <w:rsid w:val="003B3A5C"/>
    <w:pPr>
      <w:numPr>
        <w:numId w:val="2"/>
      </w:numPr>
      <w:spacing w:after="180"/>
      <w:ind w:left="284" w:hanging="284"/>
    </w:pPr>
    <w:rPr>
      <w:rFonts w:ascii="Arial" w:eastAsiaTheme="minorEastAsia" w:hAnsi="Arial" w:cs="Arial"/>
      <w:szCs w:val="18"/>
      <w:lang w:val="en-US"/>
    </w:rPr>
  </w:style>
  <w:style w:type="paragraph" w:customStyle="1" w:styleId="ESHeading1">
    <w:name w:val="ES_Heading 1"/>
    <w:basedOn w:val="Title"/>
    <w:link w:val="ESHeading1Char"/>
    <w:qFormat/>
    <w:rsid w:val="009A32C4"/>
    <w:pPr>
      <w:spacing w:after="180" w:line="450" w:lineRule="atLeast"/>
      <w:contextualSpacing w:val="0"/>
      <w:outlineLvl w:val="0"/>
    </w:pPr>
    <w:rPr>
      <w:rFonts w:ascii="Arial" w:hAnsi="Arial"/>
      <w:b/>
      <w:color w:val="AF272F" w:themeColor="accent4"/>
      <w:spacing w:val="5"/>
      <w:sz w:val="44"/>
      <w:szCs w:val="52"/>
      <w:lang w:val="en-US"/>
    </w:rPr>
  </w:style>
  <w:style w:type="paragraph" w:customStyle="1" w:styleId="ESHeading2">
    <w:name w:val="ES_Heading 2"/>
    <w:basedOn w:val="ESHeading1"/>
    <w:link w:val="ESHeading2Char"/>
    <w:qFormat/>
    <w:rsid w:val="00717490"/>
    <w:pPr>
      <w:spacing w:before="240" w:line="240" w:lineRule="atLeast"/>
    </w:pPr>
    <w:rPr>
      <w:b w:val="0"/>
      <w:bCs/>
      <w:color w:val="8A2A2F" w:themeColor="text1"/>
      <w:sz w:val="28"/>
      <w:szCs w:val="20"/>
    </w:rPr>
  </w:style>
  <w:style w:type="paragraph" w:customStyle="1" w:styleId="ESHeading3">
    <w:name w:val="ES_Heading 3"/>
    <w:basedOn w:val="Heading30"/>
    <w:link w:val="ESHeading3Char"/>
    <w:qFormat/>
    <w:rsid w:val="003B3A5C"/>
    <w:pPr>
      <w:keepNext w:val="0"/>
      <w:keepLines w:val="0"/>
      <w:spacing w:before="240" w:after="120" w:line="240" w:lineRule="atLeast"/>
    </w:pPr>
    <w:rPr>
      <w:rFonts w:ascii="Arial" w:eastAsiaTheme="minorEastAsia" w:hAnsi="Arial" w:cs="Arial"/>
      <w:b/>
      <w:color w:val="53565A" w:themeColor="accent5"/>
      <w:szCs w:val="18"/>
      <w:lang w:val="en-US"/>
    </w:rPr>
  </w:style>
  <w:style w:type="paragraph" w:customStyle="1" w:styleId="ESTablenumberrightaligned">
    <w:name w:val="ES_Table number right aligned"/>
    <w:basedOn w:val="ESTablebody"/>
    <w:link w:val="ESTablenumberrightalignedChar"/>
    <w:qFormat/>
    <w:rsid w:val="006C0888"/>
    <w:pPr>
      <w:jc w:val="right"/>
    </w:p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aliases w:val="DET Heading 3 Char,Level 1 - 1 Char,Heading 3 do not use Char"/>
    <w:basedOn w:val="DefaultParagraphFont"/>
    <w:link w:val="Heading30"/>
    <w:uiPriority w:val="9"/>
    <w:rsid w:val="007E6337"/>
    <w:rPr>
      <w:rFonts w:asciiTheme="majorHAnsi" w:eastAsiaTheme="majorEastAsia" w:hAnsiTheme="majorHAnsi" w:cstheme="majorBidi"/>
      <w:color w:val="6F6F67" w:themeColor="accent1" w:themeShade="7F"/>
    </w:rPr>
  </w:style>
  <w:style w:type="paragraph" w:customStyle="1" w:styleId="ESbullet2">
    <w:name w:val="ES_bullet 2"/>
    <w:basedOn w:val="ESbullet1"/>
    <w:qFormat/>
    <w:rsid w:val="00724727"/>
    <w:pPr>
      <w:numPr>
        <w:numId w:val="16"/>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Normal"/>
    <w:link w:val="ESTableheadingwhiteChar"/>
    <w:qFormat/>
    <w:rsid w:val="003B3A5C"/>
    <w:pPr>
      <w:spacing w:before="80" w:after="80"/>
    </w:pPr>
    <w:rPr>
      <w:rFonts w:ascii="Arial" w:eastAsiaTheme="minorEastAsia" w:hAnsi="Arial" w:cs="Arial"/>
      <w:b/>
      <w:color w:val="FFFFFF" w:themeColor="background1"/>
      <w:sz w:val="19"/>
      <w:szCs w:val="18"/>
      <w:lang w:val="en-US"/>
    </w:rPr>
  </w:style>
  <w:style w:type="paragraph" w:customStyle="1" w:styleId="ESTableheading">
    <w:name w:val="ES_Table heading"/>
    <w:basedOn w:val="ESTableheadingwhite"/>
    <w:link w:val="ESTableheadingChar"/>
    <w:qFormat/>
    <w:rsid w:val="003B3A5C"/>
    <w:pPr>
      <w:spacing w:before="120" w:after="120"/>
    </w:pPr>
    <w:rPr>
      <w:sz w:val="20"/>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FC51F2"/>
    <w:pPr>
      <w:tabs>
        <w:tab w:val="right" w:leader="dot" w:pos="7938"/>
      </w:tabs>
      <w:spacing w:after="100"/>
    </w:pPr>
    <w:rPr>
      <w:b/>
    </w:rPr>
  </w:style>
  <w:style w:type="paragraph" w:styleId="TOC2">
    <w:name w:val="toc 2"/>
    <w:basedOn w:val="Normal"/>
    <w:next w:val="Normal"/>
    <w:autoRedefine/>
    <w:uiPriority w:val="39"/>
    <w:unhideWhenUsed/>
    <w:rsid w:val="008A3484"/>
    <w:pPr>
      <w:spacing w:after="100"/>
      <w:ind w:left="240"/>
    </w:pPr>
  </w:style>
  <w:style w:type="paragraph" w:customStyle="1" w:styleId="Imprintbullet">
    <w:name w:val="Imprint bullet"/>
    <w:basedOn w:val="Normal"/>
    <w:uiPriority w:val="99"/>
    <w:qFormat/>
    <w:rsid w:val="00890A8F"/>
    <w:pPr>
      <w:numPr>
        <w:numId w:val="17"/>
      </w:numPr>
      <w:tabs>
        <w:tab w:val="left" w:pos="170"/>
      </w:tabs>
      <w:spacing w:after="90" w:line="220" w:lineRule="atLeast"/>
    </w:pPr>
    <w:rPr>
      <w:rFonts w:ascii="Arial" w:eastAsia="Times New Roman" w:hAnsi="Arial" w:cs="Times New Roman"/>
      <w:sz w:val="16"/>
      <w:szCs w:val="20"/>
      <w:lang w:val="en-AU"/>
    </w:rPr>
  </w:style>
  <w:style w:type="paragraph" w:customStyle="1" w:styleId="Imprintinformation">
    <w:name w:val="Imprint information"/>
    <w:basedOn w:val="Normal"/>
    <w:uiPriority w:val="99"/>
    <w:rsid w:val="00890A8F"/>
    <w:pPr>
      <w:spacing w:after="90" w:line="220" w:lineRule="atLeast"/>
    </w:pPr>
    <w:rPr>
      <w:rFonts w:ascii="Arial" w:eastAsia="Times New Roman" w:hAnsi="Arial" w:cs="Times New Roman"/>
      <w:sz w:val="16"/>
      <w:lang w:val="en-AU"/>
    </w:rPr>
  </w:style>
  <w:style w:type="paragraph" w:customStyle="1" w:styleId="ESHeading4">
    <w:name w:val="ES_Heading 4"/>
    <w:basedOn w:val="ESHeading3"/>
    <w:link w:val="ESHeading4Char"/>
    <w:qFormat/>
    <w:rsid w:val="003B3A5C"/>
    <w:rPr>
      <w:b w:val="0"/>
    </w:rPr>
  </w:style>
  <w:style w:type="paragraph" w:customStyle="1" w:styleId="ESTableintroheading">
    <w:name w:val="ES_Table intro heading"/>
    <w:basedOn w:val="ESTableheading"/>
    <w:link w:val="ESTableintroheadingChar"/>
    <w:qFormat/>
    <w:rsid w:val="00E03DAE"/>
    <w:pPr>
      <w:keepNext/>
    </w:pPr>
    <w:rPr>
      <w:color w:val="AF272F" w:themeColor="accent4"/>
    </w:rPr>
  </w:style>
  <w:style w:type="paragraph" w:customStyle="1" w:styleId="ESTablebody">
    <w:name w:val="ES_Table body"/>
    <w:basedOn w:val="Normal"/>
    <w:link w:val="ESTablebodyChar"/>
    <w:qFormat/>
    <w:rsid w:val="003B3A5C"/>
    <w:pPr>
      <w:spacing w:before="120" w:after="120"/>
    </w:pPr>
    <w:rPr>
      <w:rFonts w:ascii="Arial" w:eastAsiaTheme="minorEastAsia" w:hAnsi="Arial" w:cs="Arial"/>
      <w:sz w:val="20"/>
      <w:szCs w:val="18"/>
      <w:lang w:val="en-US"/>
    </w:rPr>
  </w:style>
  <w:style w:type="paragraph" w:customStyle="1" w:styleId="ESTablebullet1">
    <w:name w:val="ES_Table bullet 1"/>
    <w:basedOn w:val="ESTablebody"/>
    <w:qFormat/>
    <w:rsid w:val="00AD20F5"/>
    <w:pPr>
      <w:numPr>
        <w:numId w:val="3"/>
      </w:numPr>
    </w:pPr>
  </w:style>
  <w:style w:type="paragraph" w:customStyle="1" w:styleId="ESFooter">
    <w:name w:val="ES_Footer"/>
    <w:basedOn w:val="Normal"/>
    <w:qFormat/>
    <w:rsid w:val="00C97881"/>
    <w:pPr>
      <w:jc w:val="right"/>
    </w:pPr>
    <w:rPr>
      <w:noProof/>
      <w:color w:val="000000" w:themeColor="text2"/>
      <w:sz w:val="15"/>
      <w:szCs w:val="15"/>
      <w:lang w:eastAsia="en-GB"/>
    </w:rPr>
  </w:style>
  <w:style w:type="character" w:styleId="FootnoteReference">
    <w:name w:val="footnote reference"/>
    <w:aliases w:val="DET Footnote Reference"/>
    <w:basedOn w:val="DefaultParagraphFont"/>
    <w:uiPriority w:val="99"/>
    <w:unhideWhenUsed/>
    <w:rsid w:val="003A3128"/>
    <w:rPr>
      <w:vertAlign w:val="superscript"/>
    </w:rPr>
  </w:style>
  <w:style w:type="paragraph" w:customStyle="1" w:styleId="ESQuotetext">
    <w:name w:val="ES_Quote text"/>
    <w:basedOn w:val="Normal"/>
    <w:qFormat/>
    <w:rsid w:val="003B3A5C"/>
    <w:pPr>
      <w:spacing w:after="120" w:line="240" w:lineRule="atLeast"/>
    </w:pPr>
    <w:rPr>
      <w:rFonts w:ascii="Arial" w:eastAsiaTheme="minorEastAsia" w:hAnsi="Arial" w:cs="Arial"/>
      <w:i/>
      <w:color w:val="53565A" w:themeColor="accent5"/>
      <w:szCs w:val="18"/>
      <w:lang w:val="en-US"/>
    </w:rPr>
  </w:style>
  <w:style w:type="paragraph" w:customStyle="1" w:styleId="ESAppendix1">
    <w:name w:val="ES_Appendix 1"/>
    <w:basedOn w:val="ESHeading1"/>
    <w:qFormat/>
    <w:rsid w:val="00717490"/>
    <w:pPr>
      <w:numPr>
        <w:numId w:val="4"/>
      </w:numPr>
      <w:ind w:left="3402" w:hanging="3402"/>
    </w:pPr>
  </w:style>
  <w:style w:type="paragraph" w:customStyle="1" w:styleId="ESTableheadingred">
    <w:name w:val="ES_Table heading red"/>
    <w:basedOn w:val="ESTableheadingwhite"/>
    <w:qFormat/>
    <w:rsid w:val="006C0888"/>
    <w:rPr>
      <w:color w:val="8A2A2F" w:themeColor="text1"/>
    </w:rPr>
  </w:style>
  <w:style w:type="paragraph" w:styleId="BalloonText">
    <w:name w:val="Balloon Text"/>
    <w:basedOn w:val="Normal"/>
    <w:link w:val="BalloonTextChar"/>
    <w:uiPriority w:val="99"/>
    <w:semiHidden/>
    <w:unhideWhenUsed/>
    <w:rsid w:val="003F3C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3CFA"/>
    <w:rPr>
      <w:rFonts w:ascii="Times New Roman" w:hAnsi="Times New Roman" w:cs="Times New Roman"/>
      <w:sz w:val="18"/>
      <w:szCs w:val="18"/>
    </w:rPr>
  </w:style>
  <w:style w:type="paragraph" w:customStyle="1" w:styleId="Tabletext">
    <w:name w:val="Table text"/>
    <w:basedOn w:val="TableofFigures"/>
    <w:link w:val="TabletextChar"/>
    <w:uiPriority w:val="9"/>
    <w:qFormat/>
    <w:rsid w:val="00DE757C"/>
    <w:pPr>
      <w:spacing w:before="20" w:after="20" w:line="240" w:lineRule="auto"/>
      <w:ind w:left="170" w:hanging="170"/>
    </w:pPr>
    <w:rPr>
      <w:rFonts w:eastAsia="Tahoma" w:cs="Arial"/>
      <w:noProof/>
      <w:spacing w:val="2"/>
      <w:sz w:val="16"/>
      <w:szCs w:val="18"/>
      <w:lang w:eastAsia="en-AU"/>
    </w:rPr>
  </w:style>
  <w:style w:type="character" w:customStyle="1" w:styleId="TabletextChar">
    <w:name w:val="Table text Char"/>
    <w:link w:val="Tabletext"/>
    <w:uiPriority w:val="9"/>
    <w:rsid w:val="00DE757C"/>
    <w:rPr>
      <w:rFonts w:eastAsia="Tahoma" w:cs="Arial"/>
      <w:noProof/>
      <w:spacing w:val="2"/>
      <w:sz w:val="16"/>
      <w:szCs w:val="18"/>
      <w:lang w:val="en-AU" w:eastAsia="en-AU"/>
    </w:rPr>
  </w:style>
  <w:style w:type="paragraph" w:styleId="TableofFigures">
    <w:name w:val="table of figures"/>
    <w:basedOn w:val="Normal"/>
    <w:next w:val="Normal"/>
    <w:link w:val="TableofFiguresChar"/>
    <w:unhideWhenUsed/>
    <w:qFormat/>
    <w:rsid w:val="00DE757C"/>
    <w:pPr>
      <w:spacing w:line="259" w:lineRule="auto"/>
    </w:pPr>
    <w:rPr>
      <w:szCs w:val="22"/>
      <w:lang w:val="en-AU"/>
    </w:rPr>
  </w:style>
  <w:style w:type="table" w:customStyle="1" w:styleId="DTFFinancialTable">
    <w:name w:val="DTF Financial Table"/>
    <w:basedOn w:val="TableNormal"/>
    <w:uiPriority w:val="99"/>
    <w:rsid w:val="00DE757C"/>
    <w:pPr>
      <w:spacing w:before="20" w:after="20"/>
    </w:pPr>
    <w:rPr>
      <w:rFonts w:ascii="Arial" w:hAnsi="Arial"/>
      <w:spacing w:val="2"/>
      <w:sz w:val="16"/>
      <w:szCs w:val="20"/>
      <w:lang w:val="en-AU"/>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60" w:beforeAutospacing="0" w:afterLines="0" w:after="60" w:afterAutospacing="0" w:line="240" w:lineRule="auto"/>
      </w:pPr>
      <w:rPr>
        <w:b w:val="0"/>
        <w:i w:val="0"/>
        <w:color w:val="FFFFFF" w:themeColor="background1"/>
        <w:sz w:val="16"/>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paragraph" w:customStyle="1" w:styleId="Tabletextbold">
    <w:name w:val="Table text bold"/>
    <w:qFormat/>
    <w:rsid w:val="00DE757C"/>
    <w:pPr>
      <w:spacing w:before="120" w:after="20" w:line="276" w:lineRule="auto"/>
    </w:pPr>
    <w:rPr>
      <w:rFonts w:ascii="Arial" w:hAnsi="Arial"/>
      <w:b/>
      <w:spacing w:val="6"/>
      <w:sz w:val="16"/>
      <w:szCs w:val="16"/>
      <w:lang w:val="en-AU"/>
    </w:rPr>
  </w:style>
  <w:style w:type="character" w:customStyle="1" w:styleId="TableofFiguresChar">
    <w:name w:val="Table of Figures Char"/>
    <w:link w:val="TableofFigures"/>
    <w:rsid w:val="00DE757C"/>
    <w:rPr>
      <w:sz w:val="22"/>
      <w:szCs w:val="22"/>
      <w:lang w:val="en-AU"/>
    </w:rPr>
  </w:style>
  <w:style w:type="paragraph" w:customStyle="1" w:styleId="Tabletextheading">
    <w:name w:val="Table text heading"/>
    <w:basedOn w:val="TableofFigures"/>
    <w:link w:val="TabletextheadingChar"/>
    <w:qFormat/>
    <w:rsid w:val="00DE757C"/>
    <w:pPr>
      <w:spacing w:before="20" w:after="20" w:line="240" w:lineRule="auto"/>
      <w:jc w:val="right"/>
    </w:pPr>
    <w:rPr>
      <w:rFonts w:eastAsia="Tahoma" w:cs="Arial"/>
      <w:i/>
      <w:iCs/>
      <w:noProof/>
      <w:spacing w:val="2"/>
      <w:sz w:val="16"/>
      <w:szCs w:val="18"/>
      <w:lang w:eastAsia="en-AU"/>
    </w:rPr>
  </w:style>
  <w:style w:type="character" w:customStyle="1" w:styleId="TabletextheadingChar">
    <w:name w:val="Table text heading Char"/>
    <w:link w:val="Tabletextheading"/>
    <w:rsid w:val="00DE757C"/>
    <w:rPr>
      <w:rFonts w:eastAsia="Tahoma" w:cs="Arial"/>
      <w:i/>
      <w:iCs/>
      <w:noProof/>
      <w:spacing w:val="2"/>
      <w:sz w:val="16"/>
      <w:szCs w:val="18"/>
      <w:lang w:val="en-AU" w:eastAsia="en-AU"/>
    </w:rPr>
  </w:style>
  <w:style w:type="paragraph" w:customStyle="1" w:styleId="TabletextheadingCentred">
    <w:name w:val="Table text heading Centred"/>
    <w:basedOn w:val="Tabletextheading"/>
    <w:link w:val="TabletextheadingCentredChar"/>
    <w:rsid w:val="00DE757C"/>
    <w:pPr>
      <w:jc w:val="center"/>
    </w:pPr>
    <w:rPr>
      <w:noProof w:val="0"/>
      <w:szCs w:val="20"/>
    </w:rPr>
  </w:style>
  <w:style w:type="character" w:customStyle="1" w:styleId="TabletextheadingCentredChar">
    <w:name w:val="Table text heading Centred Char"/>
    <w:link w:val="TabletextheadingCentred"/>
    <w:locked/>
    <w:rsid w:val="00DE757C"/>
    <w:rPr>
      <w:rFonts w:eastAsia="Tahoma" w:cs="Arial"/>
      <w:i/>
      <w:iCs/>
      <w:spacing w:val="2"/>
      <w:sz w:val="16"/>
      <w:szCs w:val="20"/>
      <w:lang w:val="en-AU" w:eastAsia="en-AU"/>
    </w:rPr>
  </w:style>
  <w:style w:type="paragraph" w:customStyle="1" w:styleId="ESBodyText">
    <w:name w:val="ES_Body Text"/>
    <w:basedOn w:val="Normal"/>
    <w:link w:val="ESBodyTextChar"/>
    <w:qFormat/>
    <w:rsid w:val="00F02ACF"/>
    <w:pPr>
      <w:spacing w:after="120" w:line="240" w:lineRule="atLeast"/>
    </w:pPr>
    <w:rPr>
      <w:rFonts w:ascii="Arial" w:eastAsiaTheme="minorEastAsia" w:hAnsi="Arial" w:cs="Arial"/>
      <w:sz w:val="19"/>
      <w:szCs w:val="18"/>
      <w:lang w:val="en-US"/>
    </w:rPr>
  </w:style>
  <w:style w:type="character" w:styleId="Hyperlink">
    <w:name w:val="Hyperlink"/>
    <w:basedOn w:val="DefaultParagraphFont"/>
    <w:uiPriority w:val="99"/>
    <w:unhideWhenUsed/>
    <w:rsid w:val="00F02ACF"/>
    <w:rPr>
      <w:color w:val="AF272F" w:themeColor="hyperlink"/>
      <w:u w:val="single"/>
    </w:rPr>
  </w:style>
  <w:style w:type="paragraph" w:customStyle="1" w:styleId="Heading2notes">
    <w:name w:val="Heading 2 notes"/>
    <w:basedOn w:val="Normal"/>
    <w:link w:val="Heading2notesChar"/>
    <w:qFormat/>
    <w:rsid w:val="00F02ACF"/>
    <w:pPr>
      <w:keepNext/>
      <w:numPr>
        <w:ilvl w:val="1"/>
        <w:numId w:val="5"/>
      </w:numPr>
      <w:tabs>
        <w:tab w:val="left" w:pos="1134"/>
      </w:tabs>
      <w:spacing w:before="430" w:after="90" w:line="360" w:lineRule="atLeast"/>
      <w:outlineLvl w:val="1"/>
    </w:pPr>
    <w:rPr>
      <w:rFonts w:ascii="Arial" w:eastAsia="Times New Roman" w:hAnsi="Arial" w:cs="Arial"/>
      <w:bCs/>
      <w:iCs/>
      <w:color w:val="8A2A2F" w:themeColor="text1"/>
      <w:sz w:val="28"/>
      <w:szCs w:val="28"/>
      <w:lang w:val="en-AU"/>
    </w:rPr>
  </w:style>
  <w:style w:type="paragraph" w:customStyle="1" w:styleId="ESbullet1indent">
    <w:name w:val="ES_bullet 1 + indent"/>
    <w:basedOn w:val="ESbullet1"/>
    <w:qFormat/>
    <w:rsid w:val="00F02ACF"/>
    <w:pPr>
      <w:numPr>
        <w:numId w:val="1"/>
      </w:numPr>
      <w:spacing w:after="120"/>
      <w:ind w:left="714" w:hanging="357"/>
    </w:pPr>
    <w:rPr>
      <w:sz w:val="19"/>
    </w:rPr>
  </w:style>
  <w:style w:type="paragraph" w:styleId="ListParagraph">
    <w:name w:val="List Paragraph"/>
    <w:aliases w:val="Bullet Point,List Paragraph IEPCP 11pt,List Paragraph1,List Paragraph11,Dot Points,L,Recommendation,List Paragraph Number,Bullet point,Content descriptions,NFP GP Bulleted List,FooterText,numbered,Paragraphe de liste1"/>
    <w:basedOn w:val="Normal"/>
    <w:link w:val="ListParagraphChar"/>
    <w:uiPriority w:val="34"/>
    <w:qFormat/>
    <w:rsid w:val="00087776"/>
    <w:pPr>
      <w:ind w:left="720"/>
      <w:contextualSpacing/>
    </w:pPr>
  </w:style>
  <w:style w:type="character" w:styleId="CommentReference">
    <w:name w:val="annotation reference"/>
    <w:basedOn w:val="DefaultParagraphFont"/>
    <w:unhideWhenUsed/>
    <w:rsid w:val="00C12FA8"/>
    <w:rPr>
      <w:sz w:val="16"/>
      <w:szCs w:val="16"/>
    </w:rPr>
  </w:style>
  <w:style w:type="paragraph" w:styleId="CommentText">
    <w:name w:val="annotation text"/>
    <w:basedOn w:val="Normal"/>
    <w:link w:val="CommentTextChar"/>
    <w:unhideWhenUsed/>
    <w:rsid w:val="00C12FA8"/>
    <w:rPr>
      <w:sz w:val="20"/>
      <w:szCs w:val="20"/>
    </w:rPr>
  </w:style>
  <w:style w:type="character" w:customStyle="1" w:styleId="CommentTextChar">
    <w:name w:val="Comment Text Char"/>
    <w:basedOn w:val="DefaultParagraphFont"/>
    <w:link w:val="CommentText"/>
    <w:rsid w:val="00C12FA8"/>
    <w:rPr>
      <w:sz w:val="20"/>
      <w:szCs w:val="20"/>
    </w:rPr>
  </w:style>
  <w:style w:type="paragraph" w:customStyle="1" w:styleId="Bullet1">
    <w:name w:val="Bullet 1"/>
    <w:qFormat/>
    <w:rsid w:val="00C12FA8"/>
    <w:pPr>
      <w:numPr>
        <w:numId w:val="9"/>
      </w:numPr>
      <w:tabs>
        <w:tab w:val="clear" w:pos="360"/>
      </w:tabs>
      <w:spacing w:before="100" w:after="100"/>
      <w:ind w:left="1080"/>
      <w:contextualSpacing/>
    </w:pPr>
    <w:rPr>
      <w:rFonts w:eastAsia="Times New Roman" w:cs="Calibri"/>
      <w:spacing w:val="2"/>
      <w:sz w:val="20"/>
      <w:szCs w:val="20"/>
      <w:lang w:val="en-AU" w:eastAsia="en-AU"/>
    </w:rPr>
  </w:style>
  <w:style w:type="paragraph" w:customStyle="1" w:styleId="Bullet2">
    <w:name w:val="Bullet 2"/>
    <w:basedOn w:val="Bullet1"/>
    <w:uiPriority w:val="11"/>
    <w:qFormat/>
    <w:rsid w:val="00C12FA8"/>
    <w:pPr>
      <w:numPr>
        <w:ilvl w:val="1"/>
      </w:numPr>
      <w:tabs>
        <w:tab w:val="clear" w:pos="720"/>
      </w:tabs>
      <w:ind w:left="1800"/>
    </w:pPr>
  </w:style>
  <w:style w:type="paragraph" w:customStyle="1" w:styleId="Bulletindent">
    <w:name w:val="Bullet indent"/>
    <w:basedOn w:val="Bullet2"/>
    <w:uiPriority w:val="9"/>
    <w:qFormat/>
    <w:rsid w:val="00C12FA8"/>
    <w:pPr>
      <w:numPr>
        <w:ilvl w:val="2"/>
      </w:numPr>
      <w:tabs>
        <w:tab w:val="clear" w:pos="1152"/>
      </w:tabs>
      <w:ind w:left="2520"/>
    </w:pPr>
  </w:style>
  <w:style w:type="paragraph" w:customStyle="1" w:styleId="Bulletindent2">
    <w:name w:val="Bullet indent 2"/>
    <w:basedOn w:val="Normal"/>
    <w:uiPriority w:val="9"/>
    <w:qFormat/>
    <w:rsid w:val="00C12FA8"/>
    <w:pPr>
      <w:numPr>
        <w:ilvl w:val="3"/>
        <w:numId w:val="9"/>
      </w:numPr>
      <w:spacing w:before="100" w:after="100" w:line="276" w:lineRule="auto"/>
      <w:contextualSpacing/>
    </w:pPr>
    <w:rPr>
      <w:rFonts w:eastAsiaTheme="minorEastAsia"/>
      <w:spacing w:val="2"/>
      <w:sz w:val="20"/>
      <w:szCs w:val="20"/>
      <w:lang w:val="en-AU" w:eastAsia="en-AU"/>
    </w:rPr>
  </w:style>
  <w:style w:type="character" w:customStyle="1" w:styleId="Heading2Char">
    <w:name w:val="Heading 2 Char"/>
    <w:aliases w:val="Reset numbering Char,Reset numbering1 Char,Heading 2 do not use Char,Front Page List of Sections Char"/>
    <w:basedOn w:val="DefaultParagraphFont"/>
    <w:link w:val="Heading20"/>
    <w:uiPriority w:val="9"/>
    <w:rsid w:val="0028532D"/>
    <w:rPr>
      <w:rFonts w:asciiTheme="majorHAnsi" w:eastAsiaTheme="majorEastAsia" w:hAnsiTheme="majorHAnsi" w:cstheme="majorBidi"/>
      <w:color w:val="A5A59D" w:themeColor="accent1" w:themeShade="BF"/>
      <w:sz w:val="26"/>
      <w:szCs w:val="26"/>
    </w:rPr>
  </w:style>
  <w:style w:type="character" w:customStyle="1" w:styleId="Heading4Char">
    <w:name w:val="Heading 4 Char"/>
    <w:basedOn w:val="DefaultParagraphFont"/>
    <w:link w:val="Heading4"/>
    <w:uiPriority w:val="9"/>
    <w:rsid w:val="0028532D"/>
    <w:rPr>
      <w:rFonts w:asciiTheme="majorHAnsi" w:eastAsiaTheme="majorEastAsia" w:hAnsiTheme="majorHAnsi" w:cstheme="majorBidi"/>
      <w:i/>
      <w:iCs/>
      <w:color w:val="A5A59D" w:themeColor="accent1" w:themeShade="BF"/>
      <w:sz w:val="22"/>
    </w:rPr>
  </w:style>
  <w:style w:type="character" w:customStyle="1" w:styleId="Heading5Char">
    <w:name w:val="Heading 5 Char"/>
    <w:basedOn w:val="DefaultParagraphFont"/>
    <w:link w:val="Heading5"/>
    <w:uiPriority w:val="9"/>
    <w:semiHidden/>
    <w:rsid w:val="0028532D"/>
    <w:rPr>
      <w:rFonts w:asciiTheme="majorHAnsi" w:eastAsiaTheme="majorEastAsia" w:hAnsiTheme="majorHAnsi" w:cstheme="majorBidi"/>
      <w:color w:val="A5A59D" w:themeColor="accent1" w:themeShade="BF"/>
      <w:sz w:val="22"/>
    </w:rPr>
  </w:style>
  <w:style w:type="character" w:customStyle="1" w:styleId="Heading6Char">
    <w:name w:val="Heading 6 Char"/>
    <w:basedOn w:val="DefaultParagraphFont"/>
    <w:link w:val="Heading6"/>
    <w:uiPriority w:val="9"/>
    <w:rsid w:val="0028532D"/>
    <w:rPr>
      <w:rFonts w:asciiTheme="majorHAnsi" w:eastAsiaTheme="majorEastAsia" w:hAnsiTheme="majorHAnsi" w:cstheme="majorBidi"/>
      <w:color w:val="6F6F67" w:themeColor="accent1" w:themeShade="7F"/>
      <w:sz w:val="22"/>
    </w:rPr>
  </w:style>
  <w:style w:type="character" w:customStyle="1" w:styleId="Heading7Char">
    <w:name w:val="Heading 7 Char"/>
    <w:aliases w:val="Section Sub-Heading 4 Char"/>
    <w:basedOn w:val="DefaultParagraphFont"/>
    <w:link w:val="Heading7"/>
    <w:uiPriority w:val="9"/>
    <w:semiHidden/>
    <w:rsid w:val="0028532D"/>
    <w:rPr>
      <w:rFonts w:asciiTheme="majorHAnsi" w:eastAsiaTheme="majorEastAsia" w:hAnsiTheme="majorHAnsi" w:cstheme="majorBidi"/>
      <w:i/>
      <w:iCs/>
      <w:color w:val="6F6F67" w:themeColor="accent1" w:themeShade="7F"/>
      <w:sz w:val="22"/>
    </w:rPr>
  </w:style>
  <w:style w:type="character" w:customStyle="1" w:styleId="Heading8Char">
    <w:name w:val="Heading 8 Char"/>
    <w:basedOn w:val="DefaultParagraphFont"/>
    <w:link w:val="Heading8"/>
    <w:uiPriority w:val="9"/>
    <w:semiHidden/>
    <w:rsid w:val="0028532D"/>
    <w:rPr>
      <w:rFonts w:asciiTheme="majorHAnsi" w:eastAsiaTheme="majorEastAsia" w:hAnsiTheme="majorHAnsi" w:cstheme="majorBidi"/>
      <w:color w:val="B0353C" w:themeColor="text1" w:themeTint="D8"/>
      <w:sz w:val="21"/>
      <w:szCs w:val="21"/>
    </w:rPr>
  </w:style>
  <w:style w:type="character" w:customStyle="1" w:styleId="Heading9Char">
    <w:name w:val="Heading 9 Char"/>
    <w:basedOn w:val="DefaultParagraphFont"/>
    <w:link w:val="Heading9"/>
    <w:uiPriority w:val="9"/>
    <w:semiHidden/>
    <w:rsid w:val="0028532D"/>
    <w:rPr>
      <w:rFonts w:asciiTheme="majorHAnsi" w:eastAsiaTheme="majorEastAsia" w:hAnsiTheme="majorHAnsi" w:cstheme="majorBidi"/>
      <w:i/>
      <w:iCs/>
      <w:color w:val="B0353C" w:themeColor="text1" w:themeTint="D8"/>
      <w:sz w:val="21"/>
      <w:szCs w:val="21"/>
    </w:rPr>
  </w:style>
  <w:style w:type="numbering" w:customStyle="1" w:styleId="ArticleSection1">
    <w:name w:val="Article / Section1"/>
    <w:basedOn w:val="NoList"/>
    <w:uiPriority w:val="99"/>
    <w:semiHidden/>
    <w:unhideWhenUsed/>
    <w:rsid w:val="0028532D"/>
    <w:pPr>
      <w:numPr>
        <w:numId w:val="16"/>
      </w:numPr>
    </w:pPr>
  </w:style>
  <w:style w:type="character" w:customStyle="1" w:styleId="ESTableheadingwhiteChar">
    <w:name w:val="ES_Table heading white Char"/>
    <w:basedOn w:val="DefaultParagraphFont"/>
    <w:link w:val="ESTableheadingwhite"/>
    <w:rsid w:val="00BE0D68"/>
    <w:rPr>
      <w:rFonts w:ascii="Arial" w:eastAsiaTheme="minorEastAsia" w:hAnsi="Arial" w:cs="Arial"/>
      <w:b/>
      <w:color w:val="FFFFFF" w:themeColor="background1"/>
      <w:sz w:val="19"/>
      <w:szCs w:val="18"/>
      <w:lang w:val="en-US"/>
    </w:rPr>
  </w:style>
  <w:style w:type="character" w:customStyle="1" w:styleId="ESTablebodyChar">
    <w:name w:val="ES_Table body Char"/>
    <w:basedOn w:val="DefaultParagraphFont"/>
    <w:link w:val="ESTablebody"/>
    <w:rsid w:val="00BE0D68"/>
    <w:rPr>
      <w:rFonts w:ascii="Arial" w:eastAsiaTheme="minorEastAsia" w:hAnsi="Arial" w:cs="Arial"/>
      <w:sz w:val="20"/>
      <w:szCs w:val="18"/>
      <w:lang w:val="en-US"/>
    </w:rPr>
  </w:style>
  <w:style w:type="paragraph" w:styleId="NormalWeb">
    <w:name w:val="Normal (Web)"/>
    <w:basedOn w:val="Normal"/>
    <w:uiPriority w:val="99"/>
    <w:unhideWhenUsed/>
    <w:rsid w:val="00C95B2F"/>
    <w:rPr>
      <w:rFonts w:ascii="Times New Roman" w:hAnsi="Times New Roman" w:cs="Times New Roman"/>
      <w:sz w:val="24"/>
      <w:lang w:val="en-AU" w:eastAsia="en-AU"/>
    </w:rPr>
  </w:style>
  <w:style w:type="character" w:customStyle="1" w:styleId="ListParagraphChar">
    <w:name w:val="List Paragraph Char"/>
    <w:aliases w:val="Bullet Point Char,List Paragraph IEPCP 11pt Char,List Paragraph1 Char,List Paragraph11 Char,Dot Points Char,L Char,Recommendation Char,List Paragraph Number Char,Bullet point Char,Content descriptions Char,NFP GP Bulleted List Char"/>
    <w:basedOn w:val="DefaultParagraphFont"/>
    <w:link w:val="ListParagraph"/>
    <w:uiPriority w:val="34"/>
    <w:qFormat/>
    <w:locked/>
    <w:rsid w:val="00942F24"/>
    <w:rPr>
      <w:sz w:val="22"/>
    </w:rPr>
  </w:style>
  <w:style w:type="paragraph" w:styleId="CommentSubject">
    <w:name w:val="annotation subject"/>
    <w:basedOn w:val="CommentText"/>
    <w:next w:val="CommentText"/>
    <w:link w:val="CommentSubjectChar"/>
    <w:uiPriority w:val="99"/>
    <w:semiHidden/>
    <w:unhideWhenUsed/>
    <w:rsid w:val="00AB4B8E"/>
    <w:rPr>
      <w:b/>
      <w:bCs/>
    </w:rPr>
  </w:style>
  <w:style w:type="character" w:customStyle="1" w:styleId="CommentSubjectChar">
    <w:name w:val="Comment Subject Char"/>
    <w:basedOn w:val="CommentTextChar"/>
    <w:link w:val="CommentSubject"/>
    <w:uiPriority w:val="99"/>
    <w:semiHidden/>
    <w:rsid w:val="00AB4B8E"/>
    <w:rPr>
      <w:b/>
      <w:bCs/>
      <w:sz w:val="20"/>
      <w:szCs w:val="20"/>
    </w:rPr>
  </w:style>
  <w:style w:type="paragraph" w:customStyle="1" w:styleId="DETTableTextFinancial">
    <w:name w:val="DET Table Text Financial"/>
    <w:basedOn w:val="Normal"/>
    <w:rsid w:val="00D55904"/>
    <w:pPr>
      <w:spacing w:before="60" w:after="60"/>
    </w:pPr>
    <w:rPr>
      <w:rFonts w:ascii="Arial" w:hAnsi="Arial" w:cs="Arial"/>
      <w:sz w:val="17"/>
      <w:szCs w:val="17"/>
      <w:lang w:val="en-AU"/>
    </w:rPr>
  </w:style>
  <w:style w:type="character" w:styleId="FollowedHyperlink">
    <w:name w:val="FollowedHyperlink"/>
    <w:basedOn w:val="DefaultParagraphFont"/>
    <w:uiPriority w:val="99"/>
    <w:semiHidden/>
    <w:unhideWhenUsed/>
    <w:rsid w:val="0068272F"/>
    <w:rPr>
      <w:color w:val="8A2A2B" w:themeColor="followedHyperlink"/>
      <w:u w:val="single"/>
    </w:rPr>
  </w:style>
  <w:style w:type="character" w:customStyle="1" w:styleId="ESBodyTextChar">
    <w:name w:val="ES_Body Text Char"/>
    <w:basedOn w:val="DefaultParagraphFont"/>
    <w:link w:val="ESBodyText"/>
    <w:rsid w:val="0016370D"/>
    <w:rPr>
      <w:rFonts w:ascii="Arial" w:eastAsiaTheme="minorEastAsia" w:hAnsi="Arial" w:cs="Arial"/>
      <w:sz w:val="19"/>
      <w:szCs w:val="18"/>
      <w:lang w:val="en-US"/>
    </w:rPr>
  </w:style>
  <w:style w:type="paragraph" w:customStyle="1" w:styleId="ESTableBody0">
    <w:name w:val="ES_Table Body"/>
    <w:basedOn w:val="ESBodyText"/>
    <w:link w:val="ESTableBodyChar0"/>
    <w:qFormat/>
    <w:rsid w:val="0016370D"/>
    <w:pPr>
      <w:spacing w:before="40" w:after="40" w:line="240" w:lineRule="auto"/>
    </w:pPr>
    <w:rPr>
      <w:sz w:val="16"/>
    </w:rPr>
  </w:style>
  <w:style w:type="character" w:customStyle="1" w:styleId="ESTableBodyChar0">
    <w:name w:val="ES_Table Body Char"/>
    <w:basedOn w:val="DefaultParagraphFont"/>
    <w:link w:val="ESTableBody0"/>
    <w:rsid w:val="0016370D"/>
    <w:rPr>
      <w:rFonts w:ascii="Arial" w:eastAsiaTheme="minorEastAsia" w:hAnsi="Arial" w:cs="Arial"/>
      <w:sz w:val="16"/>
      <w:szCs w:val="18"/>
      <w:lang w:val="en-US"/>
    </w:rPr>
  </w:style>
  <w:style w:type="paragraph" w:customStyle="1" w:styleId="W1">
    <w:name w:val="W1"/>
    <w:basedOn w:val="ESTableheadingwhite"/>
    <w:link w:val="W1Char"/>
    <w:qFormat/>
    <w:rsid w:val="0016370D"/>
  </w:style>
  <w:style w:type="character" w:customStyle="1" w:styleId="W1Char">
    <w:name w:val="W1 Char"/>
    <w:basedOn w:val="ESTableheadingwhiteChar"/>
    <w:link w:val="W1"/>
    <w:rsid w:val="0016370D"/>
    <w:rPr>
      <w:rFonts w:ascii="Arial" w:eastAsiaTheme="minorEastAsia" w:hAnsi="Arial" w:cs="Arial"/>
      <w:b/>
      <w:color w:val="FFFFFF" w:themeColor="background1"/>
      <w:sz w:val="19"/>
      <w:szCs w:val="18"/>
      <w:lang w:val="en-US"/>
    </w:rPr>
  </w:style>
  <w:style w:type="paragraph" w:customStyle="1" w:styleId="H5">
    <w:name w:val="H5"/>
    <w:basedOn w:val="ESTableintroheading"/>
    <w:link w:val="H5Char"/>
    <w:qFormat/>
    <w:rsid w:val="0016370D"/>
    <w:rPr>
      <w:lang w:val="en-AU"/>
    </w:rPr>
  </w:style>
  <w:style w:type="character" w:customStyle="1" w:styleId="H5Char">
    <w:name w:val="H5 Char"/>
    <w:basedOn w:val="DefaultParagraphFont"/>
    <w:link w:val="H5"/>
    <w:rsid w:val="0016370D"/>
    <w:rPr>
      <w:rFonts w:ascii="Arial" w:eastAsiaTheme="minorEastAsia" w:hAnsi="Arial" w:cs="Arial"/>
      <w:b/>
      <w:color w:val="AF272F" w:themeColor="accent4"/>
      <w:sz w:val="20"/>
      <w:szCs w:val="18"/>
      <w:lang w:val="en-AU"/>
    </w:rPr>
  </w:style>
  <w:style w:type="character" w:customStyle="1" w:styleId="ESTableheadingChar">
    <w:name w:val="ES_Table heading Char"/>
    <w:basedOn w:val="ESTableheadingwhiteChar"/>
    <w:link w:val="ESTableheading"/>
    <w:rsid w:val="0016370D"/>
    <w:rPr>
      <w:rFonts w:ascii="Arial" w:eastAsiaTheme="minorEastAsia" w:hAnsi="Arial" w:cs="Arial"/>
      <w:b/>
      <w:color w:val="FFFFFF" w:themeColor="background1"/>
      <w:sz w:val="20"/>
      <w:szCs w:val="18"/>
      <w:lang w:val="en-US"/>
    </w:rPr>
  </w:style>
  <w:style w:type="paragraph" w:customStyle="1" w:styleId="N1">
    <w:name w:val="N1"/>
    <w:basedOn w:val="ESBodyText"/>
    <w:link w:val="N1Char"/>
    <w:qFormat/>
    <w:rsid w:val="0016370D"/>
    <w:rPr>
      <w:rFonts w:cstheme="minorHAnsi"/>
      <w:sz w:val="22"/>
      <w:szCs w:val="22"/>
      <w:lang w:val="en-AU"/>
    </w:rPr>
  </w:style>
  <w:style w:type="character" w:customStyle="1" w:styleId="N1Char">
    <w:name w:val="N1 Char"/>
    <w:basedOn w:val="ESBodyTextChar"/>
    <w:link w:val="N1"/>
    <w:rsid w:val="0016370D"/>
    <w:rPr>
      <w:rFonts w:ascii="Arial" w:eastAsiaTheme="minorEastAsia" w:hAnsi="Arial" w:cstheme="minorHAnsi"/>
      <w:sz w:val="22"/>
      <w:szCs w:val="22"/>
      <w:lang w:val="en-AU"/>
    </w:rPr>
  </w:style>
  <w:style w:type="character" w:customStyle="1" w:styleId="ESTablenumberrightalignedChar">
    <w:name w:val="ES_Table number right aligned Char"/>
    <w:basedOn w:val="ESTablebodyChar"/>
    <w:link w:val="ESTablenumberrightaligned"/>
    <w:rsid w:val="0016370D"/>
    <w:rPr>
      <w:rFonts w:ascii="Arial" w:eastAsiaTheme="minorEastAsia" w:hAnsi="Arial" w:cs="Arial"/>
      <w:sz w:val="20"/>
      <w:szCs w:val="18"/>
      <w:lang w:val="en-US"/>
    </w:rPr>
  </w:style>
  <w:style w:type="paragraph" w:customStyle="1" w:styleId="ESBullet1indent0">
    <w:name w:val="ES_Bullet 1 + indent"/>
    <w:basedOn w:val="ESbullet1"/>
    <w:qFormat/>
    <w:rsid w:val="0016370D"/>
    <w:pPr>
      <w:numPr>
        <w:numId w:val="0"/>
      </w:numPr>
      <w:tabs>
        <w:tab w:val="num" w:pos="2058"/>
      </w:tabs>
      <w:spacing w:after="120"/>
      <w:ind w:left="2058" w:hanging="360"/>
    </w:pPr>
    <w:rPr>
      <w:sz w:val="19"/>
    </w:rPr>
  </w:style>
  <w:style w:type="character" w:customStyle="1" w:styleId="ESHeading1Char">
    <w:name w:val="ES_Heading 1 Char"/>
    <w:basedOn w:val="TitleChar"/>
    <w:link w:val="ESHeading1"/>
    <w:rsid w:val="009A32C4"/>
    <w:rPr>
      <w:rFonts w:ascii="Arial" w:eastAsiaTheme="majorEastAsia" w:hAnsi="Arial" w:cstheme="majorBidi"/>
      <w:b/>
      <w:color w:val="AF272F" w:themeColor="accent4"/>
      <w:spacing w:val="5"/>
      <w:kern w:val="28"/>
      <w:sz w:val="44"/>
      <w:szCs w:val="52"/>
      <w:lang w:val="en-US"/>
    </w:rPr>
  </w:style>
  <w:style w:type="character" w:customStyle="1" w:styleId="ESHeading2Char">
    <w:name w:val="ES_Heading 2 Char"/>
    <w:basedOn w:val="ESHeading1Char"/>
    <w:link w:val="ESHeading2"/>
    <w:rsid w:val="0016370D"/>
    <w:rPr>
      <w:rFonts w:ascii="Arial" w:eastAsiaTheme="majorEastAsia" w:hAnsi="Arial" w:cstheme="majorBidi"/>
      <w:b w:val="0"/>
      <w:bCs/>
      <w:color w:val="8A2A2F" w:themeColor="text1"/>
      <w:spacing w:val="5"/>
      <w:kern w:val="28"/>
      <w:sz w:val="28"/>
      <w:szCs w:val="20"/>
      <w:lang w:val="en-US"/>
    </w:rPr>
  </w:style>
  <w:style w:type="paragraph" w:customStyle="1" w:styleId="ESTableBullet1indent">
    <w:name w:val="ES_Table Bullet 1 + indent"/>
    <w:basedOn w:val="ESTablebullet1"/>
    <w:qFormat/>
    <w:rsid w:val="0016370D"/>
    <w:pPr>
      <w:numPr>
        <w:numId w:val="0"/>
      </w:numPr>
      <w:tabs>
        <w:tab w:val="num" w:pos="926"/>
      </w:tabs>
      <w:spacing w:before="60" w:after="60"/>
      <w:ind w:left="568" w:hanging="284"/>
    </w:pPr>
    <w:rPr>
      <w:sz w:val="16"/>
    </w:rPr>
  </w:style>
  <w:style w:type="character" w:customStyle="1" w:styleId="ESTableintroheadingChar">
    <w:name w:val="ES_Table intro heading Char"/>
    <w:basedOn w:val="ESTableheadingChar"/>
    <w:link w:val="ESTableintroheading"/>
    <w:rsid w:val="0016370D"/>
    <w:rPr>
      <w:rFonts w:ascii="Arial" w:eastAsiaTheme="minorEastAsia" w:hAnsi="Arial" w:cs="Arial"/>
      <w:b/>
      <w:color w:val="AF272F" w:themeColor="accent4"/>
      <w:sz w:val="20"/>
      <w:szCs w:val="18"/>
      <w:lang w:val="en-US"/>
    </w:rPr>
  </w:style>
  <w:style w:type="character" w:customStyle="1" w:styleId="ESHeading3Char">
    <w:name w:val="ES_Heading 3 Char"/>
    <w:basedOn w:val="Heading3Char"/>
    <w:link w:val="ESHeading3"/>
    <w:rsid w:val="0016370D"/>
    <w:rPr>
      <w:rFonts w:ascii="Arial" w:eastAsiaTheme="minorEastAsia" w:hAnsi="Arial" w:cs="Arial"/>
      <w:b/>
      <w:color w:val="53565A" w:themeColor="accent5"/>
      <w:sz w:val="22"/>
      <w:szCs w:val="18"/>
      <w:lang w:val="en-US"/>
    </w:rPr>
  </w:style>
  <w:style w:type="paragraph" w:customStyle="1" w:styleId="H2">
    <w:name w:val="H2"/>
    <w:basedOn w:val="ESHeading3"/>
    <w:link w:val="H2Char"/>
    <w:qFormat/>
    <w:rsid w:val="0016370D"/>
    <w:rPr>
      <w:b w:val="0"/>
      <w:color w:val="8A2A2F" w:themeColor="text1"/>
      <w:sz w:val="28"/>
      <w:szCs w:val="28"/>
      <w:lang w:val="en-AU"/>
    </w:rPr>
  </w:style>
  <w:style w:type="character" w:customStyle="1" w:styleId="H2Char">
    <w:name w:val="H2 Char"/>
    <w:basedOn w:val="ESHeading3Char"/>
    <w:link w:val="H2"/>
    <w:rsid w:val="0016370D"/>
    <w:rPr>
      <w:rFonts w:ascii="Arial" w:eastAsiaTheme="minorEastAsia" w:hAnsi="Arial" w:cs="Arial"/>
      <w:b w:val="0"/>
      <w:color w:val="8A2A2F" w:themeColor="text1"/>
      <w:sz w:val="28"/>
      <w:szCs w:val="28"/>
      <w:lang w:val="en-AU"/>
    </w:rPr>
  </w:style>
  <w:style w:type="table" w:customStyle="1" w:styleId="TableGrid3">
    <w:name w:val="Table Grid3"/>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ESQuotetext"/>
    <w:link w:val="H3Char"/>
    <w:qFormat/>
    <w:rsid w:val="0016370D"/>
    <w:rPr>
      <w:b/>
      <w:i w:val="0"/>
      <w:lang w:val="en-AU"/>
    </w:rPr>
  </w:style>
  <w:style w:type="character" w:customStyle="1" w:styleId="H3Char">
    <w:name w:val="H3 Char"/>
    <w:basedOn w:val="DefaultParagraphFont"/>
    <w:link w:val="H3"/>
    <w:rsid w:val="0016370D"/>
    <w:rPr>
      <w:rFonts w:ascii="Arial" w:eastAsiaTheme="minorEastAsia" w:hAnsi="Arial" w:cs="Arial"/>
      <w:b/>
      <w:color w:val="53565A" w:themeColor="accent5"/>
      <w:sz w:val="22"/>
      <w:szCs w:val="18"/>
      <w:lang w:val="en-AU"/>
    </w:rPr>
  </w:style>
  <w:style w:type="character" w:customStyle="1" w:styleId="ESHeading4Char">
    <w:name w:val="ES_Heading 4 Char"/>
    <w:basedOn w:val="ESHeading3Char"/>
    <w:link w:val="ESHeading4"/>
    <w:rsid w:val="0016370D"/>
    <w:rPr>
      <w:rFonts w:ascii="Arial" w:eastAsiaTheme="minorEastAsia" w:hAnsi="Arial" w:cs="Arial"/>
      <w:b w:val="0"/>
      <w:color w:val="53565A" w:themeColor="accent5"/>
      <w:sz w:val="22"/>
      <w:szCs w:val="18"/>
      <w:lang w:val="en-US"/>
    </w:rPr>
  </w:style>
  <w:style w:type="paragraph" w:styleId="TOC4">
    <w:name w:val="toc 4"/>
    <w:basedOn w:val="Normal"/>
    <w:next w:val="Normal"/>
    <w:autoRedefine/>
    <w:uiPriority w:val="39"/>
    <w:unhideWhenUsed/>
    <w:rsid w:val="0016370D"/>
    <w:pPr>
      <w:ind w:left="660"/>
    </w:pPr>
    <w:rPr>
      <w:rFonts w:cstheme="minorHAnsi"/>
      <w:sz w:val="18"/>
      <w:szCs w:val="18"/>
    </w:rPr>
  </w:style>
  <w:style w:type="paragraph" w:styleId="TOC5">
    <w:name w:val="toc 5"/>
    <w:basedOn w:val="Normal"/>
    <w:next w:val="Normal"/>
    <w:autoRedefine/>
    <w:uiPriority w:val="39"/>
    <w:unhideWhenUsed/>
    <w:rsid w:val="0016370D"/>
    <w:pPr>
      <w:ind w:left="880"/>
    </w:pPr>
    <w:rPr>
      <w:rFonts w:cstheme="minorHAnsi"/>
      <w:sz w:val="18"/>
      <w:szCs w:val="18"/>
    </w:rPr>
  </w:style>
  <w:style w:type="paragraph" w:styleId="TOC6">
    <w:name w:val="toc 6"/>
    <w:basedOn w:val="Normal"/>
    <w:next w:val="Normal"/>
    <w:autoRedefine/>
    <w:uiPriority w:val="39"/>
    <w:unhideWhenUsed/>
    <w:rsid w:val="0016370D"/>
    <w:pPr>
      <w:ind w:left="1100"/>
    </w:pPr>
    <w:rPr>
      <w:rFonts w:cstheme="minorHAnsi"/>
      <w:sz w:val="18"/>
      <w:szCs w:val="18"/>
    </w:rPr>
  </w:style>
  <w:style w:type="paragraph" w:styleId="TOC7">
    <w:name w:val="toc 7"/>
    <w:basedOn w:val="Normal"/>
    <w:next w:val="Normal"/>
    <w:autoRedefine/>
    <w:uiPriority w:val="39"/>
    <w:unhideWhenUsed/>
    <w:rsid w:val="0016370D"/>
    <w:pPr>
      <w:ind w:left="1320"/>
    </w:pPr>
    <w:rPr>
      <w:rFonts w:cstheme="minorHAnsi"/>
      <w:sz w:val="18"/>
      <w:szCs w:val="18"/>
    </w:rPr>
  </w:style>
  <w:style w:type="paragraph" w:styleId="TOC8">
    <w:name w:val="toc 8"/>
    <w:basedOn w:val="Normal"/>
    <w:next w:val="Normal"/>
    <w:autoRedefine/>
    <w:uiPriority w:val="39"/>
    <w:unhideWhenUsed/>
    <w:rsid w:val="0016370D"/>
    <w:pPr>
      <w:ind w:left="1540"/>
    </w:pPr>
    <w:rPr>
      <w:rFonts w:cstheme="minorHAnsi"/>
      <w:sz w:val="18"/>
      <w:szCs w:val="18"/>
    </w:rPr>
  </w:style>
  <w:style w:type="paragraph" w:styleId="TOC9">
    <w:name w:val="toc 9"/>
    <w:basedOn w:val="Normal"/>
    <w:next w:val="Normal"/>
    <w:autoRedefine/>
    <w:uiPriority w:val="39"/>
    <w:unhideWhenUsed/>
    <w:rsid w:val="0016370D"/>
    <w:pPr>
      <w:ind w:left="1760"/>
    </w:pPr>
    <w:rPr>
      <w:rFonts w:cstheme="minorHAnsi"/>
      <w:sz w:val="18"/>
      <w:szCs w:val="18"/>
    </w:rPr>
  </w:style>
  <w:style w:type="paragraph" w:customStyle="1" w:styleId="Heading4notes">
    <w:name w:val="Heading 4 notes"/>
    <w:basedOn w:val="Heading4"/>
    <w:link w:val="Heading4notesChar"/>
    <w:qFormat/>
    <w:rsid w:val="0016370D"/>
    <w:pPr>
      <w:keepLines w:val="0"/>
      <w:tabs>
        <w:tab w:val="left" w:pos="397"/>
      </w:tabs>
      <w:spacing w:before="200" w:after="90" w:line="220" w:lineRule="atLeast"/>
      <w:ind w:left="0" w:firstLine="0"/>
    </w:pPr>
    <w:rPr>
      <w:rFonts w:ascii="Arial" w:eastAsia="Times New Roman" w:hAnsi="Arial" w:cs="Times New Roman"/>
      <w:b/>
      <w:iCs w:val="0"/>
      <w:color w:val="8A2A2F" w:themeColor="text1"/>
      <w:sz w:val="19"/>
      <w:lang w:val="en-AU"/>
    </w:rPr>
  </w:style>
  <w:style w:type="character" w:customStyle="1" w:styleId="Heading4notesChar">
    <w:name w:val="Heading 4 notes Char"/>
    <w:basedOn w:val="DefaultParagraphFont"/>
    <w:link w:val="Heading4notes"/>
    <w:rsid w:val="0016370D"/>
    <w:rPr>
      <w:rFonts w:ascii="Arial" w:eastAsia="Times New Roman" w:hAnsi="Arial" w:cs="Times New Roman"/>
      <w:b/>
      <w:i/>
      <w:color w:val="8A2A2F" w:themeColor="text1"/>
      <w:sz w:val="19"/>
      <w:lang w:val="en-AU"/>
    </w:rPr>
  </w:style>
  <w:style w:type="paragraph" w:customStyle="1" w:styleId="Tablecolumnheading">
    <w:name w:val="Table column heading"/>
    <w:basedOn w:val="Normal"/>
    <w:link w:val="TablecolumnheadingChar"/>
    <w:rsid w:val="0016370D"/>
    <w:pPr>
      <w:keepNext/>
      <w:widowControl w:val="0"/>
      <w:tabs>
        <w:tab w:val="left" w:pos="205"/>
      </w:tabs>
      <w:autoSpaceDE w:val="0"/>
      <w:autoSpaceDN w:val="0"/>
      <w:adjustRightInd w:val="0"/>
      <w:spacing w:before="80" w:after="80"/>
    </w:pPr>
    <w:rPr>
      <w:rFonts w:ascii="Arial" w:eastAsia="Times New Roman" w:hAnsi="Arial" w:cs="Arial"/>
      <w:b/>
      <w:bCs/>
      <w:color w:val="FFFFFF"/>
      <w:sz w:val="17"/>
      <w:szCs w:val="18"/>
      <w:lang w:val="en-AU"/>
    </w:rPr>
  </w:style>
  <w:style w:type="character" w:customStyle="1" w:styleId="TablecolumnheadingChar">
    <w:name w:val="Table column heading Char"/>
    <w:basedOn w:val="DefaultParagraphFont"/>
    <w:link w:val="Tablecolumnheading"/>
    <w:rsid w:val="0016370D"/>
    <w:rPr>
      <w:rFonts w:ascii="Arial" w:eastAsia="Times New Roman" w:hAnsi="Arial" w:cs="Arial"/>
      <w:b/>
      <w:bCs/>
      <w:color w:val="FFFFFF"/>
      <w:sz w:val="17"/>
      <w:szCs w:val="18"/>
      <w:lang w:val="en-AU"/>
    </w:rPr>
  </w:style>
  <w:style w:type="paragraph" w:customStyle="1" w:styleId="TableTextFinancial">
    <w:name w:val="Table Text Financial"/>
    <w:basedOn w:val="Normal"/>
    <w:uiPriority w:val="99"/>
    <w:qFormat/>
    <w:rsid w:val="0016370D"/>
    <w:pPr>
      <w:spacing w:after="60"/>
    </w:pPr>
    <w:rPr>
      <w:rFonts w:ascii="Arial" w:hAnsi="Arial" w:cs="Arial"/>
      <w:bCs/>
      <w:sz w:val="16"/>
      <w:szCs w:val="52"/>
      <w:lang w:val="en-AU"/>
    </w:rPr>
  </w:style>
  <w:style w:type="paragraph" w:customStyle="1" w:styleId="Tabletextnoindent">
    <w:name w:val="Table text no indent"/>
    <w:basedOn w:val="Normal"/>
    <w:uiPriority w:val="99"/>
    <w:qFormat/>
    <w:rsid w:val="0016370D"/>
    <w:pPr>
      <w:widowControl w:val="0"/>
      <w:tabs>
        <w:tab w:val="left" w:pos="205"/>
      </w:tabs>
      <w:autoSpaceDE w:val="0"/>
      <w:autoSpaceDN w:val="0"/>
      <w:adjustRightInd w:val="0"/>
      <w:spacing w:before="80" w:after="80"/>
    </w:pPr>
    <w:rPr>
      <w:rFonts w:ascii="Arial" w:eastAsia="Times New Roman" w:hAnsi="Arial" w:cs="Arial"/>
      <w:sz w:val="17"/>
      <w:szCs w:val="18"/>
      <w:lang w:val="en-AU"/>
    </w:rPr>
  </w:style>
  <w:style w:type="character" w:customStyle="1" w:styleId="Heading2notesChar">
    <w:name w:val="Heading 2 notes Char"/>
    <w:basedOn w:val="DefaultParagraphFont"/>
    <w:link w:val="Heading2notes"/>
    <w:rsid w:val="0016370D"/>
    <w:rPr>
      <w:rFonts w:ascii="Arial" w:eastAsia="Times New Roman" w:hAnsi="Arial" w:cs="Arial"/>
      <w:bCs/>
      <w:iCs/>
      <w:color w:val="8A2A2F" w:themeColor="text1"/>
      <w:sz w:val="28"/>
      <w:szCs w:val="28"/>
      <w:lang w:val="en-AU"/>
    </w:rPr>
  </w:style>
  <w:style w:type="paragraph" w:styleId="Caption">
    <w:name w:val="caption"/>
    <w:aliases w:val="Note Text Bold Talic"/>
    <w:basedOn w:val="Normal"/>
    <w:next w:val="Normal"/>
    <w:qFormat/>
    <w:rsid w:val="0016370D"/>
    <w:pPr>
      <w:keepNext/>
      <w:spacing w:before="200" w:after="90" w:line="220" w:lineRule="atLeast"/>
    </w:pPr>
    <w:rPr>
      <w:rFonts w:ascii="Arial" w:eastAsia="Times New Roman" w:hAnsi="Arial" w:cs="Times New Roman"/>
      <w:b/>
      <w:i/>
      <w:color w:val="8A2A2F" w:themeColor="text1"/>
      <w:sz w:val="17"/>
      <w:lang w:val="en-AU"/>
    </w:rPr>
  </w:style>
  <w:style w:type="paragraph" w:customStyle="1" w:styleId="Note">
    <w:name w:val="Note"/>
    <w:basedOn w:val="ESAppendix1"/>
    <w:qFormat/>
    <w:rsid w:val="0016370D"/>
    <w:pPr>
      <w:numPr>
        <w:numId w:val="10"/>
      </w:numPr>
      <w:ind w:left="360"/>
    </w:pPr>
    <w:rPr>
      <w:b w:val="0"/>
    </w:rPr>
  </w:style>
  <w:style w:type="paragraph" w:customStyle="1" w:styleId="Default">
    <w:name w:val="Default"/>
    <w:basedOn w:val="Normal"/>
    <w:rsid w:val="0016370D"/>
    <w:pPr>
      <w:autoSpaceDE w:val="0"/>
      <w:autoSpaceDN w:val="0"/>
    </w:pPr>
    <w:rPr>
      <w:rFonts w:ascii="Arial" w:hAnsi="Arial" w:cs="Arial"/>
      <w:color w:val="000000"/>
      <w:sz w:val="24"/>
      <w:lang w:val="en-AU"/>
    </w:rPr>
  </w:style>
  <w:style w:type="paragraph" w:styleId="EndnoteText">
    <w:name w:val="endnote text"/>
    <w:basedOn w:val="Normal"/>
    <w:link w:val="EndnoteTextChar"/>
    <w:uiPriority w:val="99"/>
    <w:semiHidden/>
    <w:unhideWhenUsed/>
    <w:rsid w:val="0016370D"/>
    <w:rPr>
      <w:sz w:val="20"/>
      <w:szCs w:val="20"/>
    </w:rPr>
  </w:style>
  <w:style w:type="character" w:customStyle="1" w:styleId="EndnoteTextChar">
    <w:name w:val="Endnote Text Char"/>
    <w:basedOn w:val="DefaultParagraphFont"/>
    <w:link w:val="EndnoteText"/>
    <w:uiPriority w:val="99"/>
    <w:semiHidden/>
    <w:rsid w:val="0016370D"/>
    <w:rPr>
      <w:sz w:val="20"/>
      <w:szCs w:val="20"/>
    </w:rPr>
  </w:style>
  <w:style w:type="character" w:styleId="EndnoteReference">
    <w:name w:val="endnote reference"/>
    <w:basedOn w:val="DefaultParagraphFont"/>
    <w:uiPriority w:val="99"/>
    <w:semiHidden/>
    <w:unhideWhenUsed/>
    <w:rsid w:val="0016370D"/>
    <w:rPr>
      <w:vertAlign w:val="superscript"/>
    </w:rPr>
  </w:style>
  <w:style w:type="paragraph" w:customStyle="1" w:styleId="W2">
    <w:name w:val="W2"/>
    <w:basedOn w:val="ESTablenumberrightaligned"/>
    <w:link w:val="W2Char"/>
    <w:qFormat/>
    <w:rsid w:val="0016370D"/>
    <w:pPr>
      <w:jc w:val="left"/>
    </w:pPr>
    <w:rPr>
      <w:b/>
      <w:lang w:val="en-AU"/>
    </w:rPr>
  </w:style>
  <w:style w:type="paragraph" w:customStyle="1" w:styleId="T1">
    <w:name w:val="T1"/>
    <w:basedOn w:val="W1"/>
    <w:link w:val="T1Char"/>
    <w:qFormat/>
    <w:rsid w:val="0016370D"/>
    <w:rPr>
      <w:sz w:val="20"/>
    </w:rPr>
  </w:style>
  <w:style w:type="character" w:customStyle="1" w:styleId="W2Char">
    <w:name w:val="W2 Char"/>
    <w:basedOn w:val="ESTablenumberrightalignedChar"/>
    <w:link w:val="W2"/>
    <w:rsid w:val="0016370D"/>
    <w:rPr>
      <w:rFonts w:ascii="Arial" w:eastAsiaTheme="minorEastAsia" w:hAnsi="Arial" w:cs="Arial"/>
      <w:b/>
      <w:sz w:val="20"/>
      <w:szCs w:val="18"/>
      <w:lang w:val="en-AU"/>
    </w:rPr>
  </w:style>
  <w:style w:type="character" w:customStyle="1" w:styleId="T1Char">
    <w:name w:val="T1 Char"/>
    <w:basedOn w:val="W1Char"/>
    <w:link w:val="T1"/>
    <w:rsid w:val="0016370D"/>
    <w:rPr>
      <w:rFonts w:ascii="Arial" w:eastAsiaTheme="minorEastAsia" w:hAnsi="Arial" w:cs="Arial"/>
      <w:b/>
      <w:color w:val="FFFFFF" w:themeColor="background1"/>
      <w:sz w:val="20"/>
      <w:szCs w:val="18"/>
      <w:lang w:val="en-US"/>
    </w:rPr>
  </w:style>
  <w:style w:type="paragraph" w:customStyle="1" w:styleId="H4">
    <w:name w:val="H4"/>
    <w:basedOn w:val="ESHeading4"/>
    <w:link w:val="H4Char"/>
    <w:qFormat/>
    <w:rsid w:val="0016370D"/>
  </w:style>
  <w:style w:type="character" w:customStyle="1" w:styleId="H4Char">
    <w:name w:val="H4 Char"/>
    <w:basedOn w:val="ESHeading4Char"/>
    <w:link w:val="H4"/>
    <w:rsid w:val="0016370D"/>
    <w:rPr>
      <w:rFonts w:ascii="Arial" w:eastAsiaTheme="minorEastAsia" w:hAnsi="Arial" w:cs="Arial"/>
      <w:b w:val="0"/>
      <w:color w:val="53565A" w:themeColor="accent5"/>
      <w:sz w:val="22"/>
      <w:szCs w:val="18"/>
      <w:lang w:val="en-US"/>
    </w:rPr>
  </w:style>
  <w:style w:type="table" w:customStyle="1" w:styleId="TableGrid4">
    <w:name w:val="Table Grid4"/>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otal">
    <w:name w:val="Table total"/>
    <w:basedOn w:val="Normal"/>
    <w:link w:val="TabletotalChar"/>
    <w:qFormat/>
    <w:rsid w:val="0016370D"/>
    <w:pPr>
      <w:widowControl w:val="0"/>
      <w:tabs>
        <w:tab w:val="left" w:pos="205"/>
      </w:tabs>
      <w:spacing w:before="40" w:after="200" w:line="220" w:lineRule="atLeast"/>
    </w:pPr>
    <w:rPr>
      <w:rFonts w:ascii="Arial" w:eastAsia="Times New Roman" w:hAnsi="Arial" w:cs="Arial"/>
      <w:b/>
      <w:color w:val="8A2A2F" w:themeColor="text1"/>
      <w:sz w:val="17"/>
      <w:lang w:val="en-AU"/>
    </w:rPr>
  </w:style>
  <w:style w:type="character" w:customStyle="1" w:styleId="TabletotalChar">
    <w:name w:val="Table total Char"/>
    <w:basedOn w:val="DefaultParagraphFont"/>
    <w:link w:val="Tabletotal"/>
    <w:rsid w:val="0016370D"/>
    <w:rPr>
      <w:rFonts w:ascii="Arial" w:eastAsia="Times New Roman" w:hAnsi="Arial" w:cs="Arial"/>
      <w:b/>
      <w:color w:val="8A2A2F" w:themeColor="text1"/>
      <w:sz w:val="17"/>
      <w:lang w:val="en-AU"/>
    </w:rPr>
  </w:style>
  <w:style w:type="table" w:customStyle="1" w:styleId="TableGrid1">
    <w:name w:val="Table Grid1"/>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6370D"/>
    <w:pPr>
      <w:numPr>
        <w:numId w:val="11"/>
      </w:numPr>
      <w:tabs>
        <w:tab w:val="left" w:pos="284"/>
        <w:tab w:val="num" w:pos="360"/>
      </w:tabs>
      <w:spacing w:before="60" w:after="120" w:line="240" w:lineRule="exact"/>
      <w:ind w:left="360"/>
    </w:pPr>
    <w:rPr>
      <w:rFonts w:ascii="Arial" w:eastAsia="Cambria" w:hAnsi="Arial" w:cs="Times New Roman"/>
      <w:sz w:val="20"/>
      <w:lang w:val="en-US"/>
    </w:rPr>
  </w:style>
  <w:style w:type="character" w:customStyle="1" w:styleId="BodyTextIndentChar">
    <w:name w:val="Body Text Indent Char"/>
    <w:basedOn w:val="DefaultParagraphFont"/>
    <w:link w:val="BodyTextIndent"/>
    <w:uiPriority w:val="99"/>
    <w:rsid w:val="0016370D"/>
    <w:rPr>
      <w:rFonts w:ascii="Arial" w:eastAsia="Cambria" w:hAnsi="Arial" w:cs="Times New Roman"/>
      <w:sz w:val="20"/>
      <w:lang w:val="en-US"/>
    </w:rPr>
  </w:style>
  <w:style w:type="paragraph" w:customStyle="1" w:styleId="DETFootnoteTextforobjectivestablesOHStable">
    <w:name w:val="DET Footnote Text for objectives tables &amp; OHS table"/>
    <w:basedOn w:val="Normal"/>
    <w:next w:val="Normal"/>
    <w:link w:val="DETFootnoteTextforobjectivestablesOHStableChar"/>
    <w:qFormat/>
    <w:rsid w:val="0016370D"/>
    <w:pPr>
      <w:widowControl w:val="0"/>
      <w:tabs>
        <w:tab w:val="left" w:pos="142"/>
      </w:tabs>
      <w:autoSpaceDE w:val="0"/>
      <w:autoSpaceDN w:val="0"/>
      <w:adjustRightInd w:val="0"/>
      <w:spacing w:line="150" w:lineRule="exact"/>
      <w:ind w:left="113" w:hanging="113"/>
    </w:pPr>
    <w:rPr>
      <w:rFonts w:ascii="Arial Narrow" w:eastAsia="Times New Roman" w:hAnsi="Arial Narrow" w:cs="Arial"/>
      <w:color w:val="000000"/>
      <w:sz w:val="15"/>
      <w:szCs w:val="16"/>
      <w:lang w:val="en-AU"/>
    </w:rPr>
  </w:style>
  <w:style w:type="character" w:customStyle="1" w:styleId="DETFootnoteTextforobjectivestablesOHStableChar">
    <w:name w:val="DET Footnote Text for objectives tables &amp; OHS table Char"/>
    <w:link w:val="DETFootnoteTextforobjectivestablesOHStable"/>
    <w:rsid w:val="0016370D"/>
    <w:rPr>
      <w:rFonts w:ascii="Arial Narrow" w:eastAsia="Times New Roman" w:hAnsi="Arial Narrow" w:cs="Arial"/>
      <w:color w:val="000000"/>
      <w:sz w:val="15"/>
      <w:szCs w:val="16"/>
      <w:lang w:val="en-AU"/>
    </w:rPr>
  </w:style>
  <w:style w:type="paragraph" w:styleId="Revision">
    <w:name w:val="Revision"/>
    <w:hidden/>
    <w:uiPriority w:val="99"/>
    <w:semiHidden/>
    <w:rsid w:val="0016370D"/>
    <w:rPr>
      <w:sz w:val="22"/>
    </w:rPr>
  </w:style>
  <w:style w:type="numbering" w:customStyle="1" w:styleId="Bullet">
    <w:name w:val="Bullet"/>
    <w:uiPriority w:val="99"/>
    <w:rsid w:val="0016370D"/>
    <w:pPr>
      <w:numPr>
        <w:numId w:val="17"/>
      </w:numPr>
    </w:pPr>
  </w:style>
  <w:style w:type="paragraph" w:styleId="ListBullet2">
    <w:name w:val="List Bullet 2"/>
    <w:basedOn w:val="ListBullet"/>
    <w:uiPriority w:val="19"/>
    <w:rsid w:val="0016370D"/>
    <w:pPr>
      <w:numPr>
        <w:ilvl w:val="1"/>
      </w:numPr>
      <w:tabs>
        <w:tab w:val="num" w:pos="360"/>
      </w:tabs>
      <w:ind w:left="1800"/>
    </w:pPr>
  </w:style>
  <w:style w:type="paragraph" w:styleId="ListBullet">
    <w:name w:val="List Bullet"/>
    <w:basedOn w:val="Normal"/>
    <w:link w:val="ListBulletChar"/>
    <w:uiPriority w:val="19"/>
    <w:qFormat/>
    <w:rsid w:val="0016370D"/>
    <w:pPr>
      <w:keepLines/>
      <w:numPr>
        <w:numId w:val="12"/>
      </w:numPr>
      <w:spacing w:before="60"/>
      <w:ind w:left="1080"/>
      <w:contextualSpacing/>
    </w:pPr>
    <w:rPr>
      <w:spacing w:val="2"/>
      <w:sz w:val="18"/>
      <w:szCs w:val="18"/>
      <w:lang w:val="en-AU"/>
    </w:rPr>
  </w:style>
  <w:style w:type="paragraph" w:styleId="ListBullet3">
    <w:name w:val="List Bullet 3"/>
    <w:basedOn w:val="ListBullet2"/>
    <w:uiPriority w:val="19"/>
    <w:unhideWhenUsed/>
    <w:rsid w:val="0016370D"/>
    <w:pPr>
      <w:numPr>
        <w:ilvl w:val="2"/>
      </w:numPr>
      <w:tabs>
        <w:tab w:val="num" w:pos="360"/>
      </w:tabs>
      <w:ind w:left="2520" w:hanging="180"/>
    </w:pPr>
  </w:style>
  <w:style w:type="character" w:customStyle="1" w:styleId="ListBulletChar">
    <w:name w:val="List Bullet Char"/>
    <w:basedOn w:val="DefaultParagraphFont"/>
    <w:link w:val="ListBullet"/>
    <w:uiPriority w:val="19"/>
    <w:rsid w:val="0016370D"/>
    <w:rPr>
      <w:spacing w:val="2"/>
      <w:sz w:val="18"/>
      <w:szCs w:val="18"/>
      <w:lang w:val="en-AU"/>
    </w:rPr>
  </w:style>
  <w:style w:type="paragraph" w:customStyle="1" w:styleId="Heading2nonTOC">
    <w:name w:val="Heading 2 (non TOC)"/>
    <w:basedOn w:val="Heading20"/>
    <w:next w:val="Normal"/>
    <w:uiPriority w:val="12"/>
    <w:qFormat/>
    <w:rsid w:val="0016370D"/>
    <w:pPr>
      <w:numPr>
        <w:ilvl w:val="1"/>
      </w:numPr>
      <w:tabs>
        <w:tab w:val="left" w:pos="964"/>
        <w:tab w:val="right" w:pos="9582"/>
      </w:tabs>
      <w:spacing w:before="240"/>
    </w:pPr>
    <w:rPr>
      <w:b/>
      <w:color w:val="auto"/>
      <w:spacing w:val="-2"/>
      <w:sz w:val="24"/>
      <w:lang w:val="en-AU"/>
    </w:rPr>
  </w:style>
  <w:style w:type="character" w:styleId="UnresolvedMention">
    <w:name w:val="Unresolved Mention"/>
    <w:basedOn w:val="DefaultParagraphFont"/>
    <w:uiPriority w:val="99"/>
    <w:semiHidden/>
    <w:unhideWhenUsed/>
    <w:rsid w:val="0016370D"/>
    <w:rPr>
      <w:color w:val="605E5C"/>
      <w:shd w:val="clear" w:color="auto" w:fill="E1DFDD"/>
    </w:rPr>
  </w:style>
  <w:style w:type="paragraph" w:customStyle="1" w:styleId="Heading1">
    <w:name w:val="Heading 1 (#)"/>
    <w:basedOn w:val="Heading10"/>
    <w:uiPriority w:val="14"/>
    <w:qFormat/>
    <w:rsid w:val="00920591"/>
    <w:pPr>
      <w:pageBreakBefore/>
      <w:numPr>
        <w:numId w:val="14"/>
      </w:numPr>
      <w:pBdr>
        <w:bottom w:val="single" w:sz="12" w:space="1" w:color="auto"/>
      </w:pBdr>
      <w:tabs>
        <w:tab w:val="num" w:pos="360"/>
      </w:tabs>
      <w:spacing w:before="360" w:after="0"/>
      <w:ind w:left="0" w:firstLine="0"/>
    </w:pPr>
    <w:rPr>
      <w:color w:val="auto"/>
      <w:spacing w:val="-2"/>
      <w:sz w:val="28"/>
      <w:szCs w:val="28"/>
      <w:lang w:val="en-AU"/>
    </w:rPr>
  </w:style>
  <w:style w:type="paragraph" w:customStyle="1" w:styleId="Heading2">
    <w:name w:val="Heading 2 (#)"/>
    <w:basedOn w:val="Heading20"/>
    <w:link w:val="Heading2Char0"/>
    <w:uiPriority w:val="14"/>
    <w:qFormat/>
    <w:rsid w:val="00920591"/>
    <w:pPr>
      <w:numPr>
        <w:ilvl w:val="1"/>
        <w:numId w:val="14"/>
      </w:numPr>
      <w:tabs>
        <w:tab w:val="num" w:pos="360"/>
        <w:tab w:val="left" w:pos="964"/>
        <w:tab w:val="right" w:pos="9582"/>
      </w:tabs>
      <w:spacing w:before="240"/>
      <w:ind w:left="0" w:firstLine="0"/>
    </w:pPr>
    <w:rPr>
      <w:b/>
      <w:color w:val="auto"/>
      <w:spacing w:val="-2"/>
      <w:sz w:val="24"/>
    </w:rPr>
  </w:style>
  <w:style w:type="numbering" w:customStyle="1" w:styleId="NumberedHeadings">
    <w:name w:val="Numbered Headings"/>
    <w:uiPriority w:val="99"/>
    <w:rsid w:val="00920591"/>
    <w:pPr>
      <w:numPr>
        <w:numId w:val="13"/>
      </w:numPr>
    </w:pPr>
  </w:style>
  <w:style w:type="paragraph" w:customStyle="1" w:styleId="Heading3">
    <w:name w:val="Heading 3 (#)"/>
    <w:basedOn w:val="Heading30"/>
    <w:next w:val="Normal"/>
    <w:uiPriority w:val="14"/>
    <w:rsid w:val="00920591"/>
    <w:pPr>
      <w:numPr>
        <w:ilvl w:val="2"/>
        <w:numId w:val="14"/>
      </w:numPr>
      <w:tabs>
        <w:tab w:val="num" w:pos="360"/>
        <w:tab w:val="left" w:pos="737"/>
        <w:tab w:val="right" w:pos="9582"/>
      </w:tabs>
      <w:spacing w:before="180"/>
      <w:ind w:left="0" w:firstLine="0"/>
    </w:pPr>
    <w:rPr>
      <w:b/>
      <w:bCs/>
      <w:color w:val="auto"/>
      <w:spacing w:val="-2"/>
      <w:sz w:val="20"/>
      <w:szCs w:val="26"/>
      <w:lang w:val="en-AU"/>
    </w:rPr>
  </w:style>
  <w:style w:type="paragraph" w:customStyle="1" w:styleId="NumberedHeading1">
    <w:name w:val="Numbered Heading 1"/>
    <w:basedOn w:val="Heading10"/>
    <w:next w:val="Normal"/>
    <w:qFormat/>
    <w:rsid w:val="00920591"/>
    <w:pPr>
      <w:numPr>
        <w:numId w:val="15"/>
      </w:numPr>
      <w:tabs>
        <w:tab w:val="num" w:pos="360"/>
      </w:tabs>
      <w:spacing w:before="240" w:after="120"/>
      <w:ind w:left="0" w:firstLine="0"/>
    </w:pPr>
    <w:rPr>
      <w:rFonts w:ascii="Georgia" w:eastAsia="SimHei" w:hAnsi="Georgia" w:cs="Times New Roman"/>
      <w:color w:val="094183"/>
      <w:sz w:val="32"/>
      <w:lang w:val="en-AU"/>
    </w:rPr>
  </w:style>
  <w:style w:type="paragraph" w:customStyle="1" w:styleId="NumberedHeading2">
    <w:name w:val="Numbered Heading 2"/>
    <w:basedOn w:val="Heading20"/>
    <w:next w:val="Normal"/>
    <w:qFormat/>
    <w:rsid w:val="00A03F33"/>
    <w:pPr>
      <w:numPr>
        <w:ilvl w:val="1"/>
        <w:numId w:val="15"/>
      </w:numPr>
      <w:spacing w:before="160" w:after="60"/>
      <w:ind w:left="1440" w:hanging="360"/>
    </w:pPr>
    <w:rPr>
      <w:rFonts w:ascii="Georgia" w:eastAsia="SimHei" w:hAnsi="Georgia" w:cs="Times New Roman"/>
      <w:b/>
      <w:color w:val="auto"/>
      <w:sz w:val="24"/>
      <w:lang w:val="en-AU"/>
    </w:rPr>
  </w:style>
  <w:style w:type="paragraph" w:customStyle="1" w:styleId="NumberedHeading3">
    <w:name w:val="Numbered Heading 3"/>
    <w:basedOn w:val="Heading30"/>
    <w:next w:val="Normal"/>
    <w:qFormat/>
    <w:rsid w:val="00A03F33"/>
    <w:pPr>
      <w:numPr>
        <w:ilvl w:val="2"/>
        <w:numId w:val="15"/>
      </w:numPr>
      <w:spacing w:before="160" w:after="60"/>
      <w:ind w:left="2160" w:hanging="180"/>
    </w:pPr>
    <w:rPr>
      <w:rFonts w:ascii="Georgia" w:eastAsia="SimHei" w:hAnsi="Georgia" w:cs="Times New Roman"/>
      <w:color w:val="094183"/>
      <w:sz w:val="24"/>
      <w:lang w:val="en-AU"/>
    </w:rPr>
  </w:style>
  <w:style w:type="paragraph" w:customStyle="1" w:styleId="xmsonormal">
    <w:name w:val="x_msonormal"/>
    <w:basedOn w:val="Normal"/>
    <w:rsid w:val="00920591"/>
    <w:rPr>
      <w:rFonts w:ascii="Calibri" w:hAnsi="Calibri" w:cs="Calibri"/>
      <w:szCs w:val="22"/>
      <w:lang w:val="en-AU" w:eastAsia="en-AU"/>
    </w:rPr>
  </w:style>
  <w:style w:type="paragraph" w:styleId="BodyText">
    <w:name w:val="Body Text"/>
    <w:aliases w:val="1 VF Body Text"/>
    <w:basedOn w:val="Normal"/>
    <w:link w:val="BodyTextChar"/>
    <w:unhideWhenUsed/>
    <w:qFormat/>
    <w:rsid w:val="00D34D92"/>
    <w:pPr>
      <w:spacing w:after="120"/>
    </w:pPr>
    <w:rPr>
      <w:lang w:val="en-AU"/>
    </w:rPr>
  </w:style>
  <w:style w:type="character" w:customStyle="1" w:styleId="BodyTextChar">
    <w:name w:val="Body Text Char"/>
    <w:aliases w:val="1 VF Body Text Char"/>
    <w:basedOn w:val="DefaultParagraphFont"/>
    <w:link w:val="BodyText"/>
    <w:rsid w:val="00D34D92"/>
    <w:rPr>
      <w:sz w:val="22"/>
      <w:lang w:val="en-AU"/>
    </w:rPr>
  </w:style>
  <w:style w:type="paragraph" w:customStyle="1" w:styleId="StatementName">
    <w:name w:val="Statement Name"/>
    <w:basedOn w:val="Normal"/>
    <w:next w:val="Normal"/>
    <w:link w:val="StatementNameChar"/>
    <w:autoRedefine/>
    <w:rsid w:val="00D34D92"/>
    <w:pPr>
      <w:pBdr>
        <w:bottom w:val="single" w:sz="4" w:space="1" w:color="auto"/>
      </w:pBdr>
      <w:spacing w:line="260" w:lineRule="atLeast"/>
    </w:pPr>
    <w:rPr>
      <w:rFonts w:ascii="Arial" w:eastAsia="Times New Roman" w:hAnsi="Arial" w:cs="Arial"/>
      <w:b/>
      <w:sz w:val="24"/>
      <w:lang w:val="en-AU"/>
    </w:rPr>
  </w:style>
  <w:style w:type="paragraph" w:customStyle="1" w:styleId="StatementDateHeader">
    <w:name w:val="Statement Date Header"/>
    <w:basedOn w:val="Normal"/>
    <w:next w:val="Normal"/>
    <w:rsid w:val="00D34D92"/>
    <w:pPr>
      <w:pBdr>
        <w:bottom w:val="single" w:sz="4" w:space="1" w:color="auto"/>
      </w:pBdr>
      <w:spacing w:line="260" w:lineRule="atLeast"/>
    </w:pPr>
    <w:rPr>
      <w:rFonts w:ascii="Arial" w:eastAsia="Times New Roman" w:hAnsi="Arial" w:cs="Times New Roman"/>
      <w:i/>
      <w:sz w:val="24"/>
      <w:szCs w:val="20"/>
      <w:lang w:val="en-AU"/>
    </w:rPr>
  </w:style>
  <w:style w:type="paragraph" w:customStyle="1" w:styleId="StatementTextLevel3">
    <w:name w:val="Statement Text Level 3"/>
    <w:basedOn w:val="Normal"/>
    <w:next w:val="Normal"/>
    <w:rsid w:val="00D34D92"/>
    <w:pPr>
      <w:spacing w:line="260" w:lineRule="atLeast"/>
    </w:pPr>
    <w:rPr>
      <w:rFonts w:ascii="Arial" w:eastAsia="Times New Roman" w:hAnsi="Arial" w:cs="Times New Roman"/>
      <w:szCs w:val="20"/>
      <w:lang w:val="en-AU"/>
    </w:rPr>
  </w:style>
  <w:style w:type="paragraph" w:customStyle="1" w:styleId="ContinuedNotesHeading-Level1">
    <w:name w:val="Continued Notes Heading - Level 1"/>
    <w:basedOn w:val="NotesHeading-Level1"/>
    <w:qFormat/>
    <w:rsid w:val="00D34D92"/>
    <w:pPr>
      <w:numPr>
        <w:numId w:val="0"/>
      </w:numPr>
      <w:spacing w:line="240" w:lineRule="auto"/>
      <w:outlineLvl w:val="9"/>
    </w:pPr>
  </w:style>
  <w:style w:type="paragraph" w:customStyle="1" w:styleId="TableHeaderLevel1">
    <w:name w:val="Table Header Level 1"/>
    <w:basedOn w:val="Normal"/>
    <w:semiHidden/>
    <w:rsid w:val="00D34D92"/>
    <w:pPr>
      <w:spacing w:line="260" w:lineRule="atLeast"/>
      <w:jc w:val="center"/>
    </w:pPr>
    <w:rPr>
      <w:rFonts w:ascii="Arial" w:eastAsia="Times New Roman" w:hAnsi="Arial" w:cs="Times New Roman"/>
      <w:b/>
      <w:szCs w:val="18"/>
      <w:lang w:val="en-AU"/>
    </w:rPr>
  </w:style>
  <w:style w:type="paragraph" w:customStyle="1" w:styleId="StatementTextLevel1bItalic">
    <w:name w:val="Statement Text Level 1(b) + Italic"/>
    <w:basedOn w:val="Normal"/>
    <w:rsid w:val="00D34D92"/>
    <w:pPr>
      <w:spacing w:line="260" w:lineRule="atLeast"/>
    </w:pPr>
    <w:rPr>
      <w:rFonts w:ascii="Arial" w:eastAsia="Times New Roman" w:hAnsi="Arial" w:cs="Times New Roman"/>
      <w:b/>
      <w:bCs/>
      <w:i/>
      <w:iCs/>
      <w:szCs w:val="18"/>
      <w:lang w:val="en-AU"/>
    </w:rPr>
  </w:style>
  <w:style w:type="paragraph" w:customStyle="1" w:styleId="Graphic">
    <w:name w:val="Graphic"/>
    <w:basedOn w:val="Signature"/>
    <w:rsid w:val="00D34D92"/>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D34D92"/>
    <w:rPr>
      <w:rFonts w:ascii="Arial" w:eastAsia="Times New Roman" w:hAnsi="Arial" w:cs="Times New Roman"/>
      <w:szCs w:val="20"/>
      <w:lang w:val="en-AU"/>
    </w:rPr>
  </w:style>
  <w:style w:type="character" w:customStyle="1" w:styleId="SignatureChar">
    <w:name w:val="Signature Char"/>
    <w:basedOn w:val="DefaultParagraphFont"/>
    <w:link w:val="Signature"/>
    <w:rsid w:val="00D34D92"/>
    <w:rPr>
      <w:rFonts w:ascii="Arial" w:eastAsia="Times New Roman" w:hAnsi="Arial" w:cs="Times New Roman"/>
      <w:sz w:val="22"/>
      <w:szCs w:val="20"/>
      <w:lang w:val="en-AU"/>
    </w:rPr>
  </w:style>
  <w:style w:type="paragraph" w:styleId="MacroText">
    <w:name w:val="macro"/>
    <w:link w:val="MacroTextChar"/>
    <w:semiHidden/>
    <w:rsid w:val="00D34D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sz w:val="18"/>
      <w:szCs w:val="20"/>
    </w:rPr>
  </w:style>
  <w:style w:type="character" w:customStyle="1" w:styleId="MacroTextChar">
    <w:name w:val="Macro Text Char"/>
    <w:basedOn w:val="DefaultParagraphFont"/>
    <w:link w:val="MacroText"/>
    <w:semiHidden/>
    <w:rsid w:val="00D34D92"/>
    <w:rPr>
      <w:rFonts w:ascii="Courier New" w:eastAsia="Times New Roman" w:hAnsi="Courier New" w:cs="Courier New"/>
      <w:sz w:val="18"/>
      <w:szCs w:val="20"/>
    </w:rPr>
  </w:style>
  <w:style w:type="paragraph" w:customStyle="1" w:styleId="NotesTotal">
    <w:name w:val="Notes Total"/>
    <w:basedOn w:val="Normal"/>
    <w:autoRedefine/>
    <w:rsid w:val="00D34D92"/>
    <w:pPr>
      <w:spacing w:line="260" w:lineRule="atLeast"/>
      <w:ind w:left="139" w:right="57"/>
    </w:pPr>
    <w:rPr>
      <w:rFonts w:ascii="Arial" w:eastAsia="Times New Roman" w:hAnsi="Arial" w:cs="Times New Roman"/>
      <w:b/>
      <w:iCs/>
      <w:sz w:val="20"/>
      <w:szCs w:val="20"/>
      <w:lang w:val="en-AU"/>
    </w:rPr>
  </w:style>
  <w:style w:type="paragraph" w:customStyle="1" w:styleId="TitlePage">
    <w:name w:val="Title Page"/>
    <w:basedOn w:val="Normal"/>
    <w:autoRedefine/>
    <w:rsid w:val="00D34D92"/>
    <w:pPr>
      <w:spacing w:before="1200" w:after="1200" w:line="260" w:lineRule="atLeast"/>
      <w:ind w:left="57" w:right="57"/>
      <w:jc w:val="right"/>
    </w:pPr>
    <w:rPr>
      <w:rFonts w:ascii="Arial" w:eastAsia="Times New Roman" w:hAnsi="Arial" w:cs="Times New Roman"/>
      <w:b/>
      <w:bCs/>
      <w:sz w:val="48"/>
      <w:szCs w:val="20"/>
      <w:lang w:val="en-AU"/>
    </w:rPr>
  </w:style>
  <w:style w:type="paragraph" w:customStyle="1" w:styleId="zcontents">
    <w:name w:val="zcontents"/>
    <w:basedOn w:val="Normal"/>
    <w:semiHidden/>
    <w:rsid w:val="00D34D92"/>
    <w:pPr>
      <w:spacing w:after="260"/>
    </w:pPr>
    <w:rPr>
      <w:rFonts w:ascii="Arial" w:eastAsia="Times New Roman" w:hAnsi="Arial" w:cs="Times New Roman"/>
      <w:b/>
      <w:sz w:val="32"/>
      <w:szCs w:val="20"/>
      <w:lang w:val="en-AU"/>
    </w:rPr>
  </w:style>
  <w:style w:type="paragraph" w:customStyle="1" w:styleId="Normal10pt">
    <w:name w:val="Normal + 10 pt"/>
    <w:aliases w:val="Line spacing:  single"/>
    <w:basedOn w:val="Normal"/>
    <w:rsid w:val="00D34D92"/>
    <w:pPr>
      <w:spacing w:before="130" w:after="130" w:line="260" w:lineRule="atLeast"/>
    </w:pPr>
    <w:rPr>
      <w:rFonts w:ascii="Arial" w:eastAsia="Times New Roman" w:hAnsi="Arial" w:cs="Times New Roman"/>
      <w:b/>
      <w:sz w:val="20"/>
      <w:szCs w:val="20"/>
      <w:lang w:val="en-AU"/>
    </w:rPr>
  </w:style>
  <w:style w:type="paragraph" w:styleId="z-BottomofForm">
    <w:name w:val="HTML Bottom of Form"/>
    <w:basedOn w:val="Normal"/>
    <w:next w:val="Normal"/>
    <w:link w:val="z-BottomofFormChar"/>
    <w:hidden/>
    <w:rsid w:val="00D34D92"/>
    <w:pPr>
      <w:pBdr>
        <w:top w:val="single" w:sz="6" w:space="1" w:color="auto"/>
      </w:pBdr>
      <w:spacing w:line="260" w:lineRule="atLeast"/>
      <w:jc w:val="center"/>
    </w:pPr>
    <w:rPr>
      <w:rFonts w:ascii="Arial" w:eastAsia="Times New Roman" w:hAnsi="Arial" w:cs="Arial"/>
      <w:vanish/>
      <w:sz w:val="16"/>
      <w:szCs w:val="16"/>
      <w:lang w:val="en-AU"/>
    </w:rPr>
  </w:style>
  <w:style w:type="character" w:customStyle="1" w:styleId="z-BottomofFormChar">
    <w:name w:val="z-Bottom of Form Char"/>
    <w:basedOn w:val="DefaultParagraphFont"/>
    <w:link w:val="z-BottomofForm"/>
    <w:rsid w:val="00D34D92"/>
    <w:rPr>
      <w:rFonts w:ascii="Arial" w:eastAsia="Times New Roman" w:hAnsi="Arial" w:cs="Arial"/>
      <w:vanish/>
      <w:sz w:val="16"/>
      <w:szCs w:val="16"/>
      <w:lang w:val="en-AU"/>
    </w:rPr>
  </w:style>
  <w:style w:type="paragraph" w:styleId="z-TopofForm">
    <w:name w:val="HTML Top of Form"/>
    <w:basedOn w:val="Normal"/>
    <w:next w:val="Normal"/>
    <w:link w:val="z-TopofFormChar"/>
    <w:hidden/>
    <w:rsid w:val="00D34D92"/>
    <w:pPr>
      <w:pBdr>
        <w:bottom w:val="single" w:sz="6" w:space="1" w:color="auto"/>
      </w:pBdr>
      <w:spacing w:line="260" w:lineRule="atLeast"/>
      <w:jc w:val="center"/>
    </w:pPr>
    <w:rPr>
      <w:rFonts w:ascii="Arial" w:eastAsia="Times New Roman" w:hAnsi="Arial" w:cs="Arial"/>
      <w:vanish/>
      <w:sz w:val="16"/>
      <w:szCs w:val="16"/>
      <w:lang w:val="en-AU"/>
    </w:rPr>
  </w:style>
  <w:style w:type="character" w:customStyle="1" w:styleId="z-TopofFormChar">
    <w:name w:val="z-Top of Form Char"/>
    <w:basedOn w:val="DefaultParagraphFont"/>
    <w:link w:val="z-TopofForm"/>
    <w:rsid w:val="00D34D92"/>
    <w:rPr>
      <w:rFonts w:ascii="Arial" w:eastAsia="Times New Roman" w:hAnsi="Arial" w:cs="Arial"/>
      <w:vanish/>
      <w:sz w:val="16"/>
      <w:szCs w:val="16"/>
      <w:lang w:val="en-AU"/>
    </w:rPr>
  </w:style>
  <w:style w:type="paragraph" w:styleId="DocumentMap">
    <w:name w:val="Document Map"/>
    <w:basedOn w:val="Normal"/>
    <w:link w:val="DocumentMapChar"/>
    <w:semiHidden/>
    <w:rsid w:val="00D34D92"/>
    <w:pPr>
      <w:shd w:val="clear" w:color="auto" w:fill="000080"/>
    </w:pPr>
    <w:rPr>
      <w:rFonts w:ascii="Tahoma" w:eastAsia="Times New Roman" w:hAnsi="Tahoma" w:cs="Times New Roman"/>
      <w:sz w:val="20"/>
      <w:szCs w:val="20"/>
      <w:lang w:val="en-AU" w:eastAsia="en-AU"/>
    </w:rPr>
  </w:style>
  <w:style w:type="character" w:customStyle="1" w:styleId="DocumentMapChar">
    <w:name w:val="Document Map Char"/>
    <w:basedOn w:val="DefaultParagraphFont"/>
    <w:link w:val="DocumentMap"/>
    <w:semiHidden/>
    <w:rsid w:val="00D34D92"/>
    <w:rPr>
      <w:rFonts w:ascii="Tahoma" w:eastAsia="Times New Roman" w:hAnsi="Tahoma" w:cs="Times New Roman"/>
      <w:sz w:val="20"/>
      <w:szCs w:val="20"/>
      <w:shd w:val="clear" w:color="auto" w:fill="000080"/>
      <w:lang w:val="en-AU" w:eastAsia="en-AU"/>
    </w:rPr>
  </w:style>
  <w:style w:type="paragraph" w:customStyle="1" w:styleId="Normal8pt">
    <w:name w:val="Normal + 8 pt"/>
    <w:basedOn w:val="Normal"/>
    <w:rsid w:val="00D34D92"/>
    <w:pPr>
      <w:widowControl w:val="0"/>
      <w:autoSpaceDE w:val="0"/>
      <w:autoSpaceDN w:val="0"/>
    </w:pPr>
    <w:rPr>
      <w:rFonts w:ascii="Arial" w:eastAsia="Times New Roman" w:hAnsi="Arial" w:cs="Times New Roman"/>
      <w:bCs/>
      <w:iCs/>
      <w:spacing w:val="-6"/>
      <w:sz w:val="16"/>
      <w:szCs w:val="16"/>
      <w:lang w:val="en-US"/>
    </w:rPr>
  </w:style>
  <w:style w:type="paragraph" w:customStyle="1" w:styleId="NormalCalistoMT">
    <w:name w:val="Normal + Calisto MT"/>
    <w:aliases w:val="8 pt,Right"/>
    <w:basedOn w:val="Normal"/>
    <w:rsid w:val="00D34D92"/>
    <w:pPr>
      <w:framePr w:hSpace="180" w:wrap="around" w:vAnchor="text" w:hAnchor="margin" w:y="1"/>
      <w:spacing w:line="260" w:lineRule="atLeast"/>
      <w:ind w:right="212"/>
      <w:suppressOverlap/>
      <w:jc w:val="right"/>
    </w:pPr>
    <w:rPr>
      <w:rFonts w:ascii="Calisto MT" w:eastAsia="Times New Roman" w:hAnsi="Calisto MT" w:cs="Times New Roman"/>
      <w:sz w:val="16"/>
      <w:szCs w:val="20"/>
      <w:lang w:val="en-AU"/>
    </w:rPr>
  </w:style>
  <w:style w:type="paragraph" w:customStyle="1" w:styleId="ReferenceText">
    <w:name w:val="Reference Text"/>
    <w:basedOn w:val="Normal"/>
    <w:link w:val="ReferenceTextChar"/>
    <w:qFormat/>
    <w:rsid w:val="00D34D92"/>
    <w:pPr>
      <w:spacing w:before="60" w:after="60" w:line="200" w:lineRule="exact"/>
      <w:ind w:right="-1"/>
    </w:pPr>
    <w:rPr>
      <w:rFonts w:ascii="Arial" w:eastAsia="Times New Roman" w:hAnsi="Arial" w:cs="Arial"/>
      <w:sz w:val="18"/>
      <w:szCs w:val="18"/>
      <w:lang w:val="en-AU" w:eastAsia="en-AU"/>
    </w:rPr>
  </w:style>
  <w:style w:type="paragraph" w:customStyle="1" w:styleId="NotesHeading-Level1">
    <w:name w:val="Notes Heading - Level 1"/>
    <w:basedOn w:val="Normal"/>
    <w:qFormat/>
    <w:rsid w:val="00D34D92"/>
    <w:pPr>
      <w:numPr>
        <w:numId w:val="18"/>
      </w:numPr>
      <w:shd w:val="clear" w:color="auto" w:fill="8A2A2F" w:themeFill="text1"/>
      <w:tabs>
        <w:tab w:val="clear" w:pos="851"/>
        <w:tab w:val="num" w:pos="340"/>
      </w:tabs>
      <w:spacing w:line="260" w:lineRule="atLeast"/>
      <w:ind w:left="340" w:right="607" w:hanging="340"/>
      <w:outlineLvl w:val="0"/>
    </w:pPr>
    <w:rPr>
      <w:rFonts w:ascii="Arial" w:eastAsia="Times New Roman" w:hAnsi="Arial" w:cs="Times New Roman"/>
      <w:b/>
      <w:color w:val="FFFFFF" w:themeColor="background1"/>
      <w:sz w:val="20"/>
      <w:szCs w:val="20"/>
      <w:lang w:val="en-AU"/>
    </w:rPr>
  </w:style>
  <w:style w:type="paragraph" w:customStyle="1" w:styleId="NotesHeading-Level2">
    <w:name w:val="Notes Heading - Level 2"/>
    <w:basedOn w:val="NotesHeading-Level1"/>
    <w:rsid w:val="00D34D92"/>
    <w:pPr>
      <w:framePr w:hSpace="180" w:wrap="around" w:vAnchor="text" w:hAnchor="margin" w:y="1"/>
      <w:numPr>
        <w:ilvl w:val="1"/>
      </w:numPr>
      <w:tabs>
        <w:tab w:val="clear" w:pos="851"/>
        <w:tab w:val="num" w:pos="340"/>
      </w:tabs>
      <w:ind w:left="340" w:hanging="340"/>
      <w:suppressOverlap/>
    </w:pPr>
    <w:rPr>
      <w:sz w:val="18"/>
    </w:rPr>
  </w:style>
  <w:style w:type="character" w:customStyle="1" w:styleId="StatementNameChar">
    <w:name w:val="Statement Name Char"/>
    <w:basedOn w:val="DefaultParagraphFont"/>
    <w:link w:val="StatementName"/>
    <w:rsid w:val="00D34D92"/>
    <w:rPr>
      <w:rFonts w:ascii="Arial" w:eastAsia="Times New Roman" w:hAnsi="Arial" w:cs="Arial"/>
      <w:b/>
      <w:lang w:val="en-AU"/>
    </w:rPr>
  </w:style>
  <w:style w:type="numbering" w:customStyle="1" w:styleId="CurrentList1">
    <w:name w:val="Current List1"/>
    <w:rsid w:val="00207683"/>
    <w:pPr>
      <w:numPr>
        <w:numId w:val="19"/>
      </w:numPr>
    </w:pPr>
  </w:style>
  <w:style w:type="numbering" w:customStyle="1" w:styleId="Style2">
    <w:name w:val="Style2"/>
    <w:rsid w:val="00207683"/>
    <w:pPr>
      <w:numPr>
        <w:numId w:val="20"/>
      </w:numPr>
    </w:pPr>
  </w:style>
  <w:style w:type="numbering" w:customStyle="1" w:styleId="CurrentList2">
    <w:name w:val="Current List2"/>
    <w:rsid w:val="00207683"/>
    <w:pPr>
      <w:numPr>
        <w:numId w:val="21"/>
      </w:numPr>
    </w:pPr>
  </w:style>
  <w:style w:type="character" w:customStyle="1" w:styleId="ReferenceTextChar">
    <w:name w:val="Reference Text Char"/>
    <w:basedOn w:val="DefaultParagraphFont"/>
    <w:link w:val="ReferenceText"/>
    <w:rsid w:val="00D34D92"/>
    <w:rPr>
      <w:rFonts w:ascii="Arial" w:eastAsia="Times New Roman" w:hAnsi="Arial" w:cs="Arial"/>
      <w:sz w:val="18"/>
      <w:szCs w:val="18"/>
      <w:lang w:val="en-AU" w:eastAsia="en-AU"/>
    </w:rPr>
  </w:style>
  <w:style w:type="paragraph" w:customStyle="1" w:styleId="StatementHeading">
    <w:name w:val="Statement Heading"/>
    <w:basedOn w:val="Normal"/>
    <w:rsid w:val="00D34D92"/>
    <w:pPr>
      <w:spacing w:line="260" w:lineRule="atLeast"/>
    </w:pPr>
    <w:rPr>
      <w:rFonts w:ascii="Arial" w:eastAsia="Times New Roman" w:hAnsi="Arial" w:cs="Times New Roman"/>
      <w:b/>
      <w:sz w:val="24"/>
      <w:szCs w:val="20"/>
      <w:lang w:val="en-AU"/>
    </w:rPr>
  </w:style>
  <w:style w:type="paragraph" w:customStyle="1" w:styleId="GreyShadeTableBreak">
    <w:name w:val="Grey Shade Table Break"/>
    <w:basedOn w:val="Normal"/>
    <w:qFormat/>
    <w:rsid w:val="00D34D92"/>
    <w:pPr>
      <w:shd w:val="clear" w:color="auto" w:fill="D9D9D9" w:themeFill="background1" w:themeFillShade="D9"/>
      <w:tabs>
        <w:tab w:val="left" w:pos="9214"/>
      </w:tabs>
      <w:spacing w:line="260" w:lineRule="atLeast"/>
      <w:ind w:right="607"/>
    </w:pPr>
    <w:rPr>
      <w:rFonts w:ascii="Arial" w:eastAsia="Times New Roman" w:hAnsi="Arial" w:cs="Times New Roman"/>
      <w:szCs w:val="20"/>
      <w:lang w:val="en-AU"/>
    </w:rPr>
  </w:style>
  <w:style w:type="paragraph" w:customStyle="1" w:styleId="GreyShadeTableBreaknon-Standard">
    <w:name w:val="Grey Shade Table Break non-Standard"/>
    <w:qFormat/>
    <w:rsid w:val="00D34D92"/>
    <w:pPr>
      <w:shd w:val="clear" w:color="auto" w:fill="D9D9D9" w:themeFill="background1" w:themeFillShade="D9"/>
      <w:ind w:right="57"/>
    </w:pPr>
    <w:rPr>
      <w:rFonts w:ascii="Times New Roman" w:eastAsia="Times New Roman" w:hAnsi="Times New Roman" w:cs="Times New Roman"/>
      <w:sz w:val="22"/>
      <w:szCs w:val="20"/>
      <w:lang w:val="en-AU"/>
    </w:rPr>
  </w:style>
  <w:style w:type="paragraph" w:customStyle="1" w:styleId="ReferenceTextLetter">
    <w:name w:val="Reference Text Letter"/>
    <w:basedOn w:val="ReferenceText"/>
    <w:rsid w:val="00D34D92"/>
    <w:pPr>
      <w:spacing w:line="240" w:lineRule="auto"/>
      <w:ind w:left="567" w:right="567"/>
    </w:pPr>
  </w:style>
  <w:style w:type="paragraph" w:customStyle="1" w:styleId="NotesHeader">
    <w:name w:val="Notes Header"/>
    <w:basedOn w:val="Normal"/>
    <w:next w:val="Normal"/>
    <w:rsid w:val="00D34D92"/>
    <w:pPr>
      <w:spacing w:line="260" w:lineRule="atLeast"/>
      <w:jc w:val="center"/>
    </w:pPr>
    <w:rPr>
      <w:rFonts w:ascii="Arial" w:eastAsia="Times New Roman" w:hAnsi="Arial" w:cs="Times New Roman"/>
      <w:b/>
      <w:szCs w:val="20"/>
      <w:lang w:val="en-AU"/>
    </w:rPr>
  </w:style>
  <w:style w:type="paragraph" w:customStyle="1" w:styleId="NotesReferences">
    <w:name w:val="Notes References"/>
    <w:basedOn w:val="Normal"/>
    <w:next w:val="Normal"/>
    <w:rsid w:val="00D34D92"/>
    <w:pPr>
      <w:spacing w:line="260" w:lineRule="atLeast"/>
      <w:jc w:val="center"/>
    </w:pPr>
    <w:rPr>
      <w:rFonts w:ascii="Arial" w:eastAsia="Times New Roman" w:hAnsi="Arial" w:cs="Times New Roman"/>
      <w:szCs w:val="20"/>
      <w:lang w:val="en-AU"/>
    </w:rPr>
  </w:style>
  <w:style w:type="paragraph" w:customStyle="1" w:styleId="NotesData">
    <w:name w:val="Notes Data"/>
    <w:basedOn w:val="Normal"/>
    <w:rsid w:val="00D34D92"/>
    <w:pPr>
      <w:framePr w:hSpace="180" w:wrap="around" w:vAnchor="text" w:hAnchor="margin" w:y="1"/>
      <w:spacing w:line="260" w:lineRule="atLeast"/>
      <w:jc w:val="center"/>
    </w:pPr>
    <w:rPr>
      <w:rFonts w:ascii="Arial" w:eastAsia="Times New Roman" w:hAnsi="Arial" w:cs="Times New Roman"/>
      <w:sz w:val="20"/>
      <w:szCs w:val="20"/>
      <w:lang w:val="en-AU"/>
    </w:rPr>
  </w:style>
  <w:style w:type="paragraph" w:customStyle="1" w:styleId="NotesTextLevel1">
    <w:name w:val="Notes Text Level 1"/>
    <w:basedOn w:val="Normal"/>
    <w:next w:val="Normal"/>
    <w:rsid w:val="00D34D92"/>
    <w:pPr>
      <w:spacing w:line="260" w:lineRule="atLeast"/>
    </w:pPr>
    <w:rPr>
      <w:rFonts w:ascii="Arial" w:eastAsia="Times New Roman" w:hAnsi="Arial" w:cs="Times New Roman"/>
      <w:b/>
      <w:i/>
      <w:szCs w:val="20"/>
      <w:u w:val="single"/>
      <w:lang w:val="en-AU"/>
    </w:rPr>
  </w:style>
  <w:style w:type="paragraph" w:customStyle="1" w:styleId="NotesTextLevel3aboldItalic">
    <w:name w:val="Notes Text Level 3(a) bold + Italic"/>
    <w:basedOn w:val="Normal"/>
    <w:link w:val="NotesTextLevel3aboldItalicChar"/>
    <w:rsid w:val="00D34D92"/>
    <w:pPr>
      <w:spacing w:line="260" w:lineRule="atLeast"/>
    </w:pPr>
    <w:rPr>
      <w:rFonts w:ascii="Arial" w:eastAsia="Times New Roman" w:hAnsi="Arial" w:cs="Times New Roman"/>
      <w:b/>
      <w:bCs/>
      <w:i/>
      <w:iCs/>
      <w:szCs w:val="20"/>
      <w:lang w:val="en-AU"/>
    </w:rPr>
  </w:style>
  <w:style w:type="character" w:customStyle="1" w:styleId="NotesTextLevel3aboldItalicChar">
    <w:name w:val="Notes Text Level 3(a) bold + Italic Char"/>
    <w:basedOn w:val="DefaultParagraphFont"/>
    <w:link w:val="NotesTextLevel3aboldItalic"/>
    <w:rsid w:val="00D34D92"/>
    <w:rPr>
      <w:rFonts w:ascii="Arial" w:eastAsia="Times New Roman" w:hAnsi="Arial" w:cs="Times New Roman"/>
      <w:b/>
      <w:bCs/>
      <w:i/>
      <w:iCs/>
      <w:sz w:val="22"/>
      <w:szCs w:val="20"/>
      <w:lang w:val="en-AU"/>
    </w:rPr>
  </w:style>
  <w:style w:type="paragraph" w:customStyle="1" w:styleId="NotesHeading3">
    <w:name w:val="Notes Heading 3"/>
    <w:basedOn w:val="Normal"/>
    <w:autoRedefine/>
    <w:rsid w:val="00D34D92"/>
    <w:pPr>
      <w:spacing w:before="80" w:after="40" w:line="260" w:lineRule="atLeast"/>
      <w:ind w:left="113" w:right="113"/>
    </w:pPr>
    <w:rPr>
      <w:rFonts w:ascii="Arial" w:eastAsia="Times New Roman" w:hAnsi="Arial" w:cs="Times New Roman"/>
      <w:szCs w:val="20"/>
      <w:u w:val="single"/>
      <w:lang w:val="en-US"/>
    </w:rPr>
  </w:style>
  <w:style w:type="paragraph" w:customStyle="1" w:styleId="NotesHeading3a">
    <w:name w:val="Notes Heading 3a"/>
    <w:basedOn w:val="Normal"/>
    <w:autoRedefine/>
    <w:rsid w:val="00D34D92"/>
    <w:pPr>
      <w:tabs>
        <w:tab w:val="num" w:pos="473"/>
      </w:tabs>
      <w:spacing w:after="120" w:line="260" w:lineRule="atLeast"/>
      <w:ind w:left="113" w:right="113"/>
      <w:jc w:val="both"/>
    </w:pPr>
    <w:rPr>
      <w:rFonts w:ascii="Arial" w:eastAsia="Times New Roman" w:hAnsi="Arial" w:cs="Times New Roman"/>
      <w:szCs w:val="20"/>
      <w:u w:val="single"/>
      <w:lang w:val="en-US"/>
    </w:rPr>
  </w:style>
  <w:style w:type="paragraph" w:customStyle="1" w:styleId="Notessub-lineitem">
    <w:name w:val="Notes sub-line item"/>
    <w:basedOn w:val="Normal"/>
    <w:autoRedefine/>
    <w:rsid w:val="00D34D92"/>
    <w:pPr>
      <w:framePr w:hSpace="180" w:wrap="around" w:vAnchor="page" w:hAnchor="margin" w:y="1985"/>
      <w:tabs>
        <w:tab w:val="left" w:pos="593"/>
        <w:tab w:val="left" w:pos="1443"/>
      </w:tabs>
      <w:spacing w:line="260" w:lineRule="atLeast"/>
      <w:ind w:left="567" w:right="113"/>
    </w:pPr>
    <w:rPr>
      <w:rFonts w:ascii="Arial" w:eastAsia="Times New Roman" w:hAnsi="Arial" w:cs="Times New Roman"/>
      <w:sz w:val="20"/>
      <w:szCs w:val="20"/>
      <w:lang w:val="en-AU"/>
    </w:rPr>
  </w:style>
  <w:style w:type="paragraph" w:customStyle="1" w:styleId="NotesLineItem">
    <w:name w:val="Notes Line Item"/>
    <w:basedOn w:val="Normal"/>
    <w:autoRedefine/>
    <w:rsid w:val="00D34D92"/>
    <w:pPr>
      <w:spacing w:line="260" w:lineRule="atLeast"/>
      <w:ind w:left="34"/>
    </w:pPr>
    <w:rPr>
      <w:rFonts w:ascii="Arial" w:eastAsia="Times New Roman" w:hAnsi="Arial" w:cs="Times New Roman"/>
      <w:iCs/>
      <w:sz w:val="16"/>
      <w:szCs w:val="16"/>
      <w:lang w:val="en-AU" w:eastAsia="en-AU"/>
    </w:rPr>
  </w:style>
  <w:style w:type="paragraph" w:customStyle="1" w:styleId="NoteText">
    <w:name w:val="Note Text"/>
    <w:basedOn w:val="Normal"/>
    <w:autoRedefine/>
    <w:rsid w:val="00D34D92"/>
    <w:pPr>
      <w:tabs>
        <w:tab w:val="left" w:pos="284"/>
      </w:tabs>
      <w:spacing w:after="120" w:line="260" w:lineRule="atLeast"/>
      <w:ind w:left="567"/>
    </w:pPr>
    <w:rPr>
      <w:rFonts w:ascii="Arial" w:eastAsia="Times New Roman" w:hAnsi="Arial" w:cs="Times New Roman"/>
      <w:sz w:val="20"/>
      <w:szCs w:val="20"/>
      <w:lang w:val="en-AU"/>
    </w:rPr>
  </w:style>
  <w:style w:type="paragraph" w:customStyle="1" w:styleId="NotesHeading">
    <w:name w:val="'Notes' Heading"/>
    <w:basedOn w:val="Normal"/>
    <w:autoRedefine/>
    <w:rsid w:val="00D34D92"/>
    <w:pPr>
      <w:spacing w:line="260" w:lineRule="atLeast"/>
      <w:ind w:left="57" w:right="57"/>
      <w:jc w:val="center"/>
    </w:pPr>
    <w:rPr>
      <w:rFonts w:ascii="Arial" w:eastAsia="Times New Roman" w:hAnsi="Arial" w:cs="Times New Roman"/>
      <w:b/>
      <w:sz w:val="20"/>
      <w:szCs w:val="20"/>
      <w:lang w:val="en-AU"/>
    </w:rPr>
  </w:style>
  <w:style w:type="paragraph" w:customStyle="1" w:styleId="NotesReference">
    <w:name w:val="'Notes' Reference"/>
    <w:basedOn w:val="Normal"/>
    <w:autoRedefine/>
    <w:rsid w:val="00D34D92"/>
    <w:pPr>
      <w:spacing w:line="260" w:lineRule="atLeast"/>
      <w:ind w:left="57" w:right="57"/>
      <w:jc w:val="center"/>
    </w:pPr>
    <w:rPr>
      <w:rFonts w:ascii="Arial" w:eastAsia="Times New Roman" w:hAnsi="Arial" w:cs="Times New Roman"/>
      <w:sz w:val="20"/>
      <w:szCs w:val="20"/>
      <w:lang w:val="en-AU"/>
    </w:rPr>
  </w:style>
  <w:style w:type="paragraph" w:customStyle="1" w:styleId="NotesHeading4">
    <w:name w:val="Notes Heading 4"/>
    <w:basedOn w:val="NoteText"/>
    <w:autoRedefine/>
    <w:rsid w:val="00D34D92"/>
    <w:pPr>
      <w:keepNext/>
      <w:spacing w:before="200" w:after="80"/>
      <w:ind w:right="57"/>
    </w:pPr>
  </w:style>
  <w:style w:type="paragraph" w:customStyle="1" w:styleId="NotesHeading3NumberingOff">
    <w:name w:val="Notes Heading 3 Numbering Off"/>
    <w:basedOn w:val="NotesHeading3"/>
    <w:autoRedefine/>
    <w:rsid w:val="00D34D92"/>
    <w:pPr>
      <w:tabs>
        <w:tab w:val="left" w:pos="1132"/>
      </w:tabs>
    </w:pPr>
  </w:style>
  <w:style w:type="paragraph" w:customStyle="1" w:styleId="NotesHeadingPlain">
    <w:name w:val="'Notes' Heading Plain"/>
    <w:basedOn w:val="NotesHeading"/>
    <w:autoRedefine/>
    <w:rsid w:val="00D34D92"/>
    <w:rPr>
      <w:b w:val="0"/>
    </w:rPr>
  </w:style>
  <w:style w:type="paragraph" w:customStyle="1" w:styleId="NotesHeading5">
    <w:name w:val="Notes Heading 5"/>
    <w:basedOn w:val="Normal"/>
    <w:autoRedefine/>
    <w:rsid w:val="00D34D92"/>
    <w:pPr>
      <w:spacing w:before="120" w:after="40" w:line="260" w:lineRule="atLeast"/>
      <w:ind w:left="113" w:right="113"/>
      <w:jc w:val="both"/>
    </w:pPr>
    <w:rPr>
      <w:rFonts w:ascii="Arial" w:eastAsia="Times New Roman" w:hAnsi="Arial" w:cs="Times New Roman"/>
      <w:b/>
      <w:sz w:val="20"/>
      <w:szCs w:val="20"/>
      <w:lang w:val="en-AU"/>
    </w:rPr>
  </w:style>
  <w:style w:type="paragraph" w:customStyle="1" w:styleId="NoteTextBEFOREDotPoint">
    <w:name w:val="Note Text BEFORE Dot Point"/>
    <w:basedOn w:val="NoteText"/>
    <w:rsid w:val="00D34D92"/>
    <w:pPr>
      <w:spacing w:after="0"/>
      <w:ind w:left="178" w:right="57"/>
    </w:pPr>
  </w:style>
  <w:style w:type="paragraph" w:customStyle="1" w:styleId="ItalicLineItem">
    <w:name w:val="Italic Line Item"/>
    <w:basedOn w:val="Normal"/>
    <w:rsid w:val="00D34D92"/>
    <w:pPr>
      <w:tabs>
        <w:tab w:val="left" w:pos="566"/>
      </w:tabs>
      <w:spacing w:line="260" w:lineRule="atLeast"/>
      <w:ind w:left="284" w:right="113"/>
      <w:jc w:val="both"/>
    </w:pPr>
    <w:rPr>
      <w:rFonts w:ascii="Arial" w:eastAsia="Times New Roman" w:hAnsi="Arial" w:cs="Times New Roman"/>
      <w:i/>
      <w:sz w:val="20"/>
      <w:szCs w:val="20"/>
      <w:lang w:val="en-US"/>
    </w:rPr>
  </w:style>
  <w:style w:type="paragraph" w:customStyle="1" w:styleId="ItalicHeading">
    <w:name w:val="Italic Heading"/>
    <w:basedOn w:val="ItalicLineItem"/>
    <w:rsid w:val="00D34D92"/>
    <w:pPr>
      <w:ind w:left="57" w:right="0"/>
    </w:pPr>
  </w:style>
  <w:style w:type="paragraph" w:customStyle="1" w:styleId="Notes">
    <w:name w:val="'Notes'"/>
    <w:basedOn w:val="Normal"/>
    <w:rsid w:val="00D34D92"/>
    <w:pPr>
      <w:spacing w:line="260" w:lineRule="atLeast"/>
      <w:jc w:val="center"/>
    </w:pPr>
    <w:rPr>
      <w:rFonts w:ascii="Arial" w:eastAsia="Times New Roman" w:hAnsi="Arial" w:cs="Times New Roman"/>
      <w:b/>
      <w:szCs w:val="20"/>
      <w:lang w:val="en-AU"/>
    </w:rPr>
  </w:style>
  <w:style w:type="paragraph" w:customStyle="1" w:styleId="Lineitems">
    <w:name w:val="Line items"/>
    <w:basedOn w:val="Normal"/>
    <w:link w:val="LineitemsChar"/>
    <w:autoRedefine/>
    <w:rsid w:val="00D34D92"/>
    <w:pPr>
      <w:spacing w:line="260" w:lineRule="atLeast"/>
    </w:pPr>
    <w:rPr>
      <w:rFonts w:ascii="Arial" w:eastAsia="Times New Roman" w:hAnsi="Arial" w:cs="Times New Roman"/>
      <w:sz w:val="20"/>
      <w:szCs w:val="20"/>
      <w:lang w:val="en-AU"/>
    </w:rPr>
  </w:style>
  <w:style w:type="paragraph" w:customStyle="1" w:styleId="Notestext">
    <w:name w:val="Notes text"/>
    <w:basedOn w:val="Notes"/>
    <w:rsid w:val="00D34D92"/>
    <w:rPr>
      <w:b w:val="0"/>
    </w:rPr>
  </w:style>
  <w:style w:type="paragraph" w:customStyle="1" w:styleId="Lineitemtable">
    <w:name w:val="Line item table"/>
    <w:basedOn w:val="Lineitems"/>
    <w:rsid w:val="00D34D92"/>
  </w:style>
  <w:style w:type="paragraph" w:customStyle="1" w:styleId="12line">
    <w:name w:val="1/2 line"/>
    <w:basedOn w:val="Normal"/>
    <w:rsid w:val="00D34D92"/>
    <w:pPr>
      <w:spacing w:before="10" w:after="10"/>
    </w:pPr>
    <w:rPr>
      <w:rFonts w:ascii="Arial" w:eastAsia="Times New Roman" w:hAnsi="Arial" w:cs="Times New Roman"/>
      <w:sz w:val="20"/>
      <w:szCs w:val="20"/>
      <w:lang w:val="en-AU"/>
    </w:rPr>
  </w:style>
  <w:style w:type="paragraph" w:customStyle="1" w:styleId="lineitemitalic">
    <w:name w:val="line item italic"/>
    <w:basedOn w:val="Normal"/>
    <w:rsid w:val="00D34D92"/>
    <w:pPr>
      <w:spacing w:line="260" w:lineRule="atLeast"/>
    </w:pPr>
    <w:rPr>
      <w:rFonts w:ascii="Arial" w:eastAsia="Times New Roman" w:hAnsi="Arial" w:cs="Times New Roman"/>
      <w:i/>
      <w:szCs w:val="20"/>
      <w:lang w:val="en-AU"/>
    </w:rPr>
  </w:style>
  <w:style w:type="paragraph" w:customStyle="1" w:styleId="lineitembold">
    <w:name w:val="line item bold"/>
    <w:basedOn w:val="Normal"/>
    <w:rsid w:val="00D34D92"/>
    <w:pPr>
      <w:spacing w:line="260" w:lineRule="atLeast"/>
    </w:pPr>
    <w:rPr>
      <w:rFonts w:ascii="Arial" w:eastAsia="Times New Roman" w:hAnsi="Arial" w:cs="Times New Roman"/>
      <w:b/>
      <w:sz w:val="20"/>
      <w:szCs w:val="20"/>
      <w:lang w:val="en-AU"/>
    </w:rPr>
  </w:style>
  <w:style w:type="paragraph" w:customStyle="1" w:styleId="Notesheading0">
    <w:name w:val="Notes heading"/>
    <w:basedOn w:val="Normal"/>
    <w:rsid w:val="00D34D92"/>
    <w:rPr>
      <w:rFonts w:ascii="Calisto MT" w:eastAsia="Times New Roman" w:hAnsi="Calisto MT" w:cs="Times New Roman"/>
      <w:b/>
      <w:sz w:val="14"/>
      <w:szCs w:val="20"/>
      <w:lang w:val="en-AU" w:eastAsia="en-AU"/>
    </w:rPr>
  </w:style>
  <w:style w:type="paragraph" w:customStyle="1" w:styleId="Notestothefinancialstatements">
    <w:name w:val="Notes to the financial statements"/>
    <w:aliases w:val="Heading"/>
    <w:basedOn w:val="Normal"/>
    <w:rsid w:val="00D34D92"/>
    <w:pPr>
      <w:tabs>
        <w:tab w:val="left" w:pos="567"/>
        <w:tab w:val="left" w:pos="1134"/>
        <w:tab w:val="left" w:pos="1701"/>
      </w:tabs>
      <w:spacing w:before="60" w:after="60"/>
    </w:pPr>
    <w:rPr>
      <w:rFonts w:ascii="Tahoma" w:eastAsia="Times New Roman" w:hAnsi="Tahoma" w:cs="Times New Roman"/>
      <w:b/>
      <w:color w:val="000000"/>
      <w:sz w:val="16"/>
      <w:szCs w:val="20"/>
      <w:lang w:val="en-AU" w:eastAsia="en-AU"/>
    </w:rPr>
  </w:style>
  <w:style w:type="paragraph" w:customStyle="1" w:styleId="NotesBulletPoint">
    <w:name w:val="Notes Bullet Point"/>
    <w:basedOn w:val="Normal"/>
    <w:autoRedefine/>
    <w:rsid w:val="00D34D92"/>
    <w:pPr>
      <w:tabs>
        <w:tab w:val="left" w:pos="413"/>
        <w:tab w:val="num" w:pos="927"/>
      </w:tabs>
      <w:ind w:left="414" w:right="113" w:hanging="301"/>
      <w:jc w:val="both"/>
    </w:pPr>
    <w:rPr>
      <w:rFonts w:ascii="Arial" w:eastAsia="Times New Roman" w:hAnsi="Arial" w:cs="Times New Roman"/>
      <w:snapToGrid w:val="0"/>
      <w:sz w:val="20"/>
      <w:szCs w:val="20"/>
      <w:lang w:val="en-US" w:eastAsia="en-AU"/>
    </w:rPr>
  </w:style>
  <w:style w:type="paragraph" w:customStyle="1" w:styleId="Headinga">
    <w:name w:val="Heading a"/>
    <w:basedOn w:val="Normal"/>
    <w:rsid w:val="00D34D92"/>
    <w:rPr>
      <w:rFonts w:ascii="Arial" w:eastAsia="Times New Roman" w:hAnsi="Arial" w:cs="Times New Roman"/>
      <w:b/>
      <w:bCs/>
      <w:szCs w:val="18"/>
      <w:lang w:val="en-AU"/>
    </w:rPr>
  </w:style>
  <w:style w:type="paragraph" w:customStyle="1" w:styleId="LineitemsTotal">
    <w:name w:val="Line items Total"/>
    <w:basedOn w:val="Lineitems"/>
    <w:rsid w:val="00D34D92"/>
    <w:pPr>
      <w:framePr w:hSpace="180" w:wrap="around" w:vAnchor="text" w:hAnchor="margin" w:y="1"/>
    </w:pPr>
    <w:rPr>
      <w:b/>
      <w:i/>
    </w:rPr>
  </w:style>
  <w:style w:type="paragraph" w:customStyle="1" w:styleId="SAPHeading-Level1">
    <w:name w:val="SAP Heading - Level 1"/>
    <w:basedOn w:val="NotesHeading-Level1"/>
    <w:rsid w:val="00D34D92"/>
    <w:pPr>
      <w:numPr>
        <w:numId w:val="0"/>
      </w:numPr>
      <w:shd w:val="clear" w:color="auto" w:fill="auto"/>
      <w:tabs>
        <w:tab w:val="num" w:pos="851"/>
      </w:tabs>
      <w:ind w:left="851" w:hanging="851"/>
    </w:pPr>
    <w:rPr>
      <w:color w:val="auto"/>
    </w:rPr>
  </w:style>
  <w:style w:type="paragraph" w:customStyle="1" w:styleId="SAPHeading-Level2">
    <w:name w:val="SAP Heading - Level 2"/>
    <w:basedOn w:val="SAPHeading-Level1"/>
    <w:rsid w:val="00D34D92"/>
    <w:pPr>
      <w:spacing w:before="100" w:after="100" w:line="240" w:lineRule="auto"/>
      <w:outlineLvl w:val="9"/>
    </w:pPr>
  </w:style>
  <w:style w:type="paragraph" w:customStyle="1" w:styleId="SAPHeading-Level3">
    <w:name w:val="SAP Heading - Level 3"/>
    <w:basedOn w:val="SAPHeading-Level2"/>
    <w:rsid w:val="00D34D92"/>
  </w:style>
  <w:style w:type="paragraph" w:customStyle="1" w:styleId="NotesText0">
    <w:name w:val="Notes Text"/>
    <w:basedOn w:val="ReferenceText"/>
    <w:qFormat/>
    <w:rsid w:val="00D34D92"/>
    <w:pPr>
      <w:spacing w:before="100" w:after="100" w:line="240" w:lineRule="auto"/>
    </w:pPr>
  </w:style>
  <w:style w:type="paragraph" w:customStyle="1" w:styleId="NotesTextHeading">
    <w:name w:val="Notes Text Heading"/>
    <w:basedOn w:val="NotesText0"/>
    <w:rsid w:val="00D34D92"/>
    <w:rPr>
      <w:b/>
      <w:u w:val="single"/>
    </w:rPr>
  </w:style>
  <w:style w:type="paragraph" w:customStyle="1" w:styleId="NoteHeading-Level1">
    <w:name w:val="Note Heading - Level 1"/>
    <w:basedOn w:val="Normal"/>
    <w:rsid w:val="00D34D92"/>
    <w:pPr>
      <w:spacing w:line="260" w:lineRule="atLeast"/>
    </w:pPr>
    <w:rPr>
      <w:rFonts w:ascii="Arial" w:eastAsia="Times New Roman" w:hAnsi="Arial" w:cs="Times New Roman"/>
      <w:szCs w:val="20"/>
      <w:lang w:val="en-AU"/>
    </w:rPr>
  </w:style>
  <w:style w:type="paragraph" w:customStyle="1" w:styleId="NoteHeading-Level2">
    <w:name w:val="Note Heading - Level 2"/>
    <w:basedOn w:val="Normal"/>
    <w:rsid w:val="00D34D92"/>
    <w:pPr>
      <w:spacing w:line="260" w:lineRule="atLeast"/>
    </w:pPr>
    <w:rPr>
      <w:rFonts w:ascii="Arial" w:eastAsia="Times New Roman" w:hAnsi="Arial" w:cs="Times New Roman"/>
      <w:szCs w:val="20"/>
      <w:lang w:val="en-AU"/>
    </w:rPr>
  </w:style>
  <w:style w:type="character" w:customStyle="1" w:styleId="LineitemsChar">
    <w:name w:val="Line items Char"/>
    <w:basedOn w:val="DefaultParagraphFont"/>
    <w:link w:val="Lineitems"/>
    <w:rsid w:val="00D34D92"/>
    <w:rPr>
      <w:rFonts w:ascii="Arial" w:eastAsia="Times New Roman" w:hAnsi="Arial" w:cs="Times New Roman"/>
      <w:sz w:val="20"/>
      <w:szCs w:val="20"/>
      <w:lang w:val="en-AU"/>
    </w:rPr>
  </w:style>
  <w:style w:type="paragraph" w:customStyle="1" w:styleId="Notesreferencetext">
    <w:name w:val="Notes reference text"/>
    <w:basedOn w:val="Normal"/>
    <w:next w:val="Normal"/>
    <w:rsid w:val="00D34D92"/>
    <w:pPr>
      <w:spacing w:line="260" w:lineRule="atLeast"/>
      <w:jc w:val="center"/>
    </w:pPr>
    <w:rPr>
      <w:rFonts w:ascii="Arial" w:eastAsia="Times New Roman" w:hAnsi="Arial" w:cs="Times New Roman"/>
      <w:szCs w:val="20"/>
      <w:lang w:val="en-AU"/>
    </w:rPr>
  </w:style>
  <w:style w:type="paragraph" w:customStyle="1" w:styleId="SAPHeading-Level4">
    <w:name w:val="SAP Heading - Level 4"/>
    <w:basedOn w:val="SAPHeading-Level3"/>
    <w:rsid w:val="00D34D92"/>
    <w:pPr>
      <w:ind w:right="0"/>
    </w:pPr>
    <w:rPr>
      <w:rFonts w:ascii="Arial Bold" w:hAnsi="Arial Bold"/>
      <w:b w:val="0"/>
    </w:rPr>
  </w:style>
  <w:style w:type="paragraph" w:customStyle="1" w:styleId="notestextbulletpoint">
    <w:name w:val="notes text bullet point"/>
    <w:basedOn w:val="NotesText0"/>
    <w:qFormat/>
    <w:rsid w:val="00D34D92"/>
    <w:pPr>
      <w:numPr>
        <w:numId w:val="22"/>
      </w:numPr>
      <w:tabs>
        <w:tab w:val="left" w:pos="284"/>
        <w:tab w:val="num" w:pos="340"/>
      </w:tabs>
      <w:spacing w:after="160"/>
      <w:ind w:left="340" w:hanging="340"/>
    </w:pPr>
    <w:rPr>
      <w:lang w:eastAsia="en-US"/>
    </w:rPr>
  </w:style>
  <w:style w:type="paragraph" w:customStyle="1" w:styleId="StyleSAPHeading-Level3NotBoldItalicUnderlineLeft01">
    <w:name w:val="Style SAP Heading - Level 3 + Not Bold Italic Underline Left:  0...1"/>
    <w:basedOn w:val="SAPHeading-Level3"/>
    <w:rsid w:val="00D34D92"/>
    <w:pPr>
      <w:tabs>
        <w:tab w:val="clear" w:pos="851"/>
      </w:tabs>
      <w:ind w:left="0" w:right="0" w:firstLine="0"/>
    </w:pPr>
    <w:rPr>
      <w:b w:val="0"/>
      <w:i/>
      <w:iCs/>
      <w:u w:val="single"/>
    </w:rPr>
  </w:style>
  <w:style w:type="paragraph" w:customStyle="1" w:styleId="StyleSAPHeading-Level3NotBoldItalicUnderline">
    <w:name w:val="Style SAP Heading - Level 3 + Not Bold Italic Underline"/>
    <w:basedOn w:val="SAPHeading-Level3"/>
    <w:rsid w:val="00D34D92"/>
    <w:pPr>
      <w:tabs>
        <w:tab w:val="clear" w:pos="851"/>
      </w:tabs>
      <w:ind w:left="0" w:right="0" w:firstLine="0"/>
    </w:pPr>
    <w:rPr>
      <w:b w:val="0"/>
      <w:i/>
      <w:iCs/>
      <w:u w:val="single"/>
    </w:rPr>
  </w:style>
  <w:style w:type="paragraph" w:customStyle="1" w:styleId="FinancialStatementCurrentYearData">
    <w:name w:val="Financial Statement Current Year Data"/>
    <w:basedOn w:val="Normal"/>
    <w:autoRedefine/>
    <w:rsid w:val="00D34D92"/>
    <w:pPr>
      <w:tabs>
        <w:tab w:val="left" w:pos="866"/>
      </w:tabs>
      <w:spacing w:line="260" w:lineRule="atLeast"/>
      <w:ind w:left="57" w:right="57"/>
      <w:jc w:val="right"/>
    </w:pPr>
    <w:rPr>
      <w:rFonts w:ascii="Arial" w:eastAsia="Times New Roman" w:hAnsi="Arial" w:cs="Times New Roman"/>
      <w:snapToGrid w:val="0"/>
      <w:sz w:val="20"/>
      <w:szCs w:val="20"/>
      <w:lang w:val="en-AU"/>
    </w:rPr>
  </w:style>
  <w:style w:type="paragraph" w:customStyle="1" w:styleId="ReferenceTextNumbered">
    <w:name w:val="Reference Text Numbered"/>
    <w:basedOn w:val="ReferenceText"/>
    <w:qFormat/>
    <w:rsid w:val="00D34D92"/>
    <w:pPr>
      <w:numPr>
        <w:numId w:val="23"/>
      </w:numPr>
      <w:tabs>
        <w:tab w:val="left" w:pos="284"/>
        <w:tab w:val="num" w:pos="340"/>
      </w:tabs>
      <w:ind w:left="340" w:hanging="340"/>
    </w:pPr>
    <w:rPr>
      <w:lang w:eastAsia="en-US"/>
    </w:rPr>
  </w:style>
  <w:style w:type="paragraph" w:customStyle="1" w:styleId="Notestextindentbullets">
    <w:name w:val="Notes text indent bullets"/>
    <w:basedOn w:val="NotesText0"/>
    <w:qFormat/>
    <w:rsid w:val="00D34D92"/>
    <w:pPr>
      <w:numPr>
        <w:numId w:val="24"/>
      </w:numPr>
      <w:tabs>
        <w:tab w:val="left" w:pos="1418"/>
      </w:tabs>
      <w:spacing w:after="160"/>
      <w:ind w:left="397" w:hanging="397"/>
    </w:pPr>
    <w:rPr>
      <w:lang w:eastAsia="en-US"/>
    </w:rPr>
  </w:style>
  <w:style w:type="paragraph" w:customStyle="1" w:styleId="StyleNotesTextJustified">
    <w:name w:val="Style Notes Text + Justified"/>
    <w:basedOn w:val="NotesText0"/>
    <w:rsid w:val="00D34D92"/>
  </w:style>
  <w:style w:type="paragraph" w:customStyle="1" w:styleId="NotesIndentLetter">
    <w:name w:val="Notes Indent Letter"/>
    <w:basedOn w:val="Notestext"/>
    <w:qFormat/>
    <w:rsid w:val="00D34D92"/>
    <w:pPr>
      <w:numPr>
        <w:numId w:val="25"/>
      </w:numPr>
      <w:ind w:left="397" w:hanging="397"/>
      <w:jc w:val="both"/>
    </w:pPr>
  </w:style>
  <w:style w:type="paragraph" w:customStyle="1" w:styleId="Style1">
    <w:name w:val="Style1"/>
    <w:basedOn w:val="Footer"/>
    <w:link w:val="Style1Char"/>
    <w:qFormat/>
    <w:rsid w:val="00D34D92"/>
    <w:rPr>
      <w:rFonts w:ascii="Arial" w:eastAsia="Times New Roman" w:hAnsi="Arial" w:cs="Times New Roman"/>
      <w:szCs w:val="20"/>
      <w:lang w:val="en-AU"/>
    </w:rPr>
  </w:style>
  <w:style w:type="paragraph" w:customStyle="1" w:styleId="Style3">
    <w:name w:val="Style3"/>
    <w:basedOn w:val="Footer"/>
    <w:link w:val="Style3Char"/>
    <w:qFormat/>
    <w:rsid w:val="00D34D92"/>
    <w:rPr>
      <w:rFonts w:ascii="Arial" w:eastAsia="Times New Roman" w:hAnsi="Arial" w:cs="Times New Roman"/>
      <w:szCs w:val="20"/>
      <w:lang w:val="en-AU"/>
    </w:rPr>
  </w:style>
  <w:style w:type="character" w:customStyle="1" w:styleId="Style1Char">
    <w:name w:val="Style1 Char"/>
    <w:basedOn w:val="FooterChar"/>
    <w:link w:val="Style1"/>
    <w:rsid w:val="00D34D92"/>
    <w:rPr>
      <w:rFonts w:ascii="Arial" w:eastAsia="Times New Roman" w:hAnsi="Arial" w:cs="Times New Roman"/>
      <w:sz w:val="22"/>
      <w:szCs w:val="20"/>
      <w:lang w:val="en-AU"/>
    </w:rPr>
  </w:style>
  <w:style w:type="character" w:customStyle="1" w:styleId="Style3Char">
    <w:name w:val="Style3 Char"/>
    <w:basedOn w:val="FooterChar"/>
    <w:link w:val="Style3"/>
    <w:rsid w:val="00D34D92"/>
    <w:rPr>
      <w:rFonts w:ascii="Arial" w:eastAsia="Times New Roman" w:hAnsi="Arial" w:cs="Times New Roman"/>
      <w:sz w:val="22"/>
      <w:szCs w:val="20"/>
      <w:lang w:val="en-AU"/>
    </w:rPr>
  </w:style>
  <w:style w:type="paragraph" w:customStyle="1" w:styleId="SectionHeading">
    <w:name w:val="Section Heading"/>
    <w:basedOn w:val="ReferenceText"/>
    <w:link w:val="SectionHeadingChar"/>
    <w:rsid w:val="00D34D92"/>
    <w:pPr>
      <w:spacing w:before="120" w:after="120" w:line="360" w:lineRule="auto"/>
      <w:ind w:left="57" w:right="0" w:hanging="57"/>
    </w:pPr>
    <w:rPr>
      <w:b/>
      <w:sz w:val="28"/>
    </w:rPr>
  </w:style>
  <w:style w:type="character" w:customStyle="1" w:styleId="SectionHeadingChar">
    <w:name w:val="Section Heading Char"/>
    <w:basedOn w:val="DefaultParagraphFont"/>
    <w:link w:val="SectionHeading"/>
    <w:rsid w:val="00D34D92"/>
    <w:rPr>
      <w:rFonts w:ascii="Arial" w:eastAsia="Times New Roman" w:hAnsi="Arial" w:cs="Arial"/>
      <w:b/>
      <w:sz w:val="28"/>
      <w:szCs w:val="18"/>
      <w:lang w:val="en-AU" w:eastAsia="en-AU"/>
    </w:rPr>
  </w:style>
  <w:style w:type="paragraph" w:customStyle="1" w:styleId="SubHeading">
    <w:name w:val="Sub Heading"/>
    <w:basedOn w:val="SectionHeading"/>
    <w:qFormat/>
    <w:rsid w:val="00D34D92"/>
    <w:pPr>
      <w:numPr>
        <w:ilvl w:val="1"/>
      </w:numPr>
      <w:shd w:val="clear" w:color="auto" w:fill="8A2A2F" w:themeFill="text1"/>
      <w:ind w:left="57" w:hanging="57"/>
      <w:outlineLvl w:val="1"/>
    </w:pPr>
    <w:rPr>
      <w:sz w:val="20"/>
    </w:rPr>
  </w:style>
  <w:style w:type="paragraph" w:customStyle="1" w:styleId="SectionHeadingDescription">
    <w:name w:val="Section Heading Description"/>
    <w:basedOn w:val="SectionHeading"/>
    <w:next w:val="SubHeading"/>
    <w:qFormat/>
    <w:rsid w:val="00D34D92"/>
    <w:pPr>
      <w:ind w:left="0" w:firstLine="0"/>
    </w:pPr>
    <w:rPr>
      <w:b w:val="0"/>
      <w:sz w:val="18"/>
    </w:rPr>
  </w:style>
  <w:style w:type="paragraph" w:customStyle="1" w:styleId="PolicytextDept">
    <w:name w:val="Policy text Dept"/>
    <w:basedOn w:val="Normal"/>
    <w:link w:val="PolicytextDeptChar"/>
    <w:qFormat/>
    <w:rsid w:val="00D34D92"/>
    <w:pPr>
      <w:pBdr>
        <w:top w:val="single" w:sz="4" w:space="1" w:color="009560"/>
        <w:left w:val="single" w:sz="4" w:space="0" w:color="009560"/>
        <w:bottom w:val="single" w:sz="4" w:space="1" w:color="009560"/>
        <w:right w:val="single" w:sz="4" w:space="0" w:color="009560"/>
      </w:pBdr>
      <w:spacing w:after="120" w:line="120" w:lineRule="atLeast"/>
      <w:ind w:right="607"/>
    </w:pPr>
    <w:rPr>
      <w:rFonts w:ascii="Arial" w:eastAsia="Times New Roman" w:hAnsi="Arial" w:cs="Arial"/>
      <w:bCs/>
      <w:szCs w:val="18"/>
      <w:lang w:val="en-AU"/>
    </w:rPr>
  </w:style>
  <w:style w:type="character" w:customStyle="1" w:styleId="PolicytextDeptChar">
    <w:name w:val="Policy text Dept Char"/>
    <w:basedOn w:val="DefaultParagraphFont"/>
    <w:link w:val="PolicytextDept"/>
    <w:rsid w:val="00D34D92"/>
    <w:rPr>
      <w:rFonts w:ascii="Arial" w:eastAsia="Times New Roman" w:hAnsi="Arial" w:cs="Arial"/>
      <w:bCs/>
      <w:sz w:val="22"/>
      <w:szCs w:val="18"/>
      <w:lang w:val="en-AU"/>
    </w:rPr>
  </w:style>
  <w:style w:type="paragraph" w:customStyle="1" w:styleId="PolicyheadingDept">
    <w:name w:val="Policy heading Dept"/>
    <w:basedOn w:val="PolicytextDept"/>
    <w:qFormat/>
    <w:rsid w:val="00D34D92"/>
    <w:rPr>
      <w:b/>
    </w:rPr>
  </w:style>
  <w:style w:type="paragraph" w:customStyle="1" w:styleId="PrelimsCoverTitle">
    <w:name w:val="Prelims_CoverTitle"/>
    <w:qFormat/>
    <w:rsid w:val="00D34D92"/>
    <w:pPr>
      <w:spacing w:before="3400" w:after="560" w:line="400" w:lineRule="exact"/>
    </w:pPr>
    <w:rPr>
      <w:rFonts w:ascii="Arial" w:eastAsia="Times New Roman" w:hAnsi="Arial" w:cs="Times New Roman"/>
      <w:b/>
      <w:sz w:val="36"/>
      <w:lang w:val="en-AU"/>
    </w:rPr>
  </w:style>
  <w:style w:type="paragraph" w:customStyle="1" w:styleId="SectionHeadingNoNumber">
    <w:name w:val="Section Heading (No Number)"/>
    <w:basedOn w:val="SectionHeading"/>
    <w:qFormat/>
    <w:rsid w:val="00D34D92"/>
    <w:pPr>
      <w:shd w:val="clear" w:color="auto" w:fill="17365D"/>
      <w:ind w:left="0" w:firstLine="0"/>
    </w:pPr>
  </w:style>
  <w:style w:type="paragraph" w:customStyle="1" w:styleId="Policytextboxtable">
    <w:name w:val="Policy text box table"/>
    <w:basedOn w:val="Normal"/>
    <w:link w:val="PolicytextboxtableChar"/>
    <w:qFormat/>
    <w:rsid w:val="00D34D92"/>
    <w:pPr>
      <w:spacing w:line="260" w:lineRule="atLeast"/>
    </w:pPr>
    <w:rPr>
      <w:rFonts w:ascii="Calibri" w:eastAsia="Times New Roman" w:hAnsi="Calibri" w:cs="Arial"/>
      <w:szCs w:val="18"/>
      <w:lang w:val="en-AU"/>
    </w:rPr>
  </w:style>
  <w:style w:type="character" w:customStyle="1" w:styleId="PolicytextboxtableChar">
    <w:name w:val="Policy text box table Char"/>
    <w:basedOn w:val="DefaultParagraphFont"/>
    <w:link w:val="Policytextboxtable"/>
    <w:rsid w:val="00D34D92"/>
    <w:rPr>
      <w:rFonts w:ascii="Calibri" w:eastAsia="Times New Roman" w:hAnsi="Calibri" w:cs="Arial"/>
      <w:sz w:val="22"/>
      <w:szCs w:val="18"/>
      <w:lang w:val="en-AU"/>
    </w:rPr>
  </w:style>
  <w:style w:type="paragraph" w:customStyle="1" w:styleId="HeadingLevel1">
    <w:name w:val="Heading Level 1"/>
    <w:basedOn w:val="SectionHeading"/>
    <w:link w:val="HeadingLevel1Char"/>
    <w:qFormat/>
    <w:rsid w:val="00D34D92"/>
    <w:pPr>
      <w:numPr>
        <w:numId w:val="26"/>
      </w:numPr>
      <w:ind w:left="340" w:hanging="340"/>
      <w:outlineLvl w:val="0"/>
    </w:pPr>
  </w:style>
  <w:style w:type="character" w:customStyle="1" w:styleId="HeadingLevel1Char">
    <w:name w:val="Heading Level 1 Char"/>
    <w:basedOn w:val="SectionHeadingChar"/>
    <w:link w:val="HeadingLevel1"/>
    <w:rsid w:val="00D34D92"/>
    <w:rPr>
      <w:rFonts w:ascii="Arial" w:eastAsia="Times New Roman" w:hAnsi="Arial" w:cs="Arial"/>
      <w:b/>
      <w:sz w:val="28"/>
      <w:szCs w:val="18"/>
      <w:lang w:val="en-AU" w:eastAsia="en-AU"/>
    </w:rPr>
  </w:style>
  <w:style w:type="table" w:customStyle="1" w:styleId="TableGrid2">
    <w:name w:val="Table Grid2"/>
    <w:basedOn w:val="TableNormal"/>
    <w:next w:val="TableGrid"/>
    <w:uiPriority w:val="39"/>
    <w:rsid w:val="00D34D92"/>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TableRed">
    <w:name w:val="ES-Heading_Table Red"/>
    <w:basedOn w:val="Normal"/>
    <w:link w:val="ES-HeadingTableRedChar"/>
    <w:qFormat/>
    <w:rsid w:val="00D34D92"/>
    <w:pPr>
      <w:spacing w:before="80" w:after="80"/>
    </w:pPr>
    <w:rPr>
      <w:rFonts w:ascii="Arial" w:eastAsia="Times New Roman" w:hAnsi="Arial" w:cs="Arial"/>
      <w:b/>
      <w:color w:val="8A2A2F"/>
      <w:sz w:val="19"/>
      <w:szCs w:val="18"/>
      <w:lang w:val="en-US"/>
    </w:rPr>
  </w:style>
  <w:style w:type="character" w:customStyle="1" w:styleId="ES-HeadingTableRedChar">
    <w:name w:val="ES-Heading_Table Red Char"/>
    <w:basedOn w:val="DefaultParagraphFont"/>
    <w:link w:val="ES-HeadingTableRed"/>
    <w:rsid w:val="00D34D92"/>
    <w:rPr>
      <w:rFonts w:ascii="Arial" w:eastAsia="Times New Roman" w:hAnsi="Arial" w:cs="Arial"/>
      <w:b/>
      <w:color w:val="8A2A2F"/>
      <w:sz w:val="19"/>
      <w:szCs w:val="18"/>
      <w:lang w:val="en-US"/>
    </w:rPr>
  </w:style>
  <w:style w:type="table" w:customStyle="1" w:styleId="TableGrid6">
    <w:name w:val="Table Grid6"/>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FTextbullets">
    <w:name w:val="VF Text bullets"/>
    <w:basedOn w:val="BodyText"/>
    <w:link w:val="VFTextbulletsChar"/>
    <w:qFormat/>
    <w:rsid w:val="00D34D92"/>
    <w:pPr>
      <w:widowControl w:val="0"/>
      <w:numPr>
        <w:numId w:val="27"/>
      </w:numPr>
      <w:tabs>
        <w:tab w:val="clear" w:pos="340"/>
        <w:tab w:val="num" w:pos="851"/>
      </w:tabs>
      <w:autoSpaceDE w:val="0"/>
      <w:autoSpaceDN w:val="0"/>
      <w:spacing w:before="8" w:after="0"/>
      <w:ind w:left="1134" w:hanging="1134"/>
    </w:pPr>
    <w:rPr>
      <w:rFonts w:ascii="Arial" w:eastAsia="Times New Roman" w:hAnsi="Arial" w:cs="Arial"/>
      <w:sz w:val="18"/>
      <w:szCs w:val="20"/>
    </w:rPr>
  </w:style>
  <w:style w:type="character" w:customStyle="1" w:styleId="VFTextbulletsChar">
    <w:name w:val="VF Text bullets Char"/>
    <w:basedOn w:val="DefaultParagraphFont"/>
    <w:link w:val="VFTextbullets"/>
    <w:rsid w:val="00D34D92"/>
    <w:rPr>
      <w:rFonts w:ascii="Arial" w:eastAsia="Times New Roman" w:hAnsi="Arial" w:cs="Arial"/>
      <w:sz w:val="18"/>
      <w:szCs w:val="20"/>
      <w:lang w:val="en-AU"/>
    </w:rPr>
  </w:style>
  <w:style w:type="table" w:customStyle="1" w:styleId="DTFtexttable">
    <w:name w:val="DTF text table"/>
    <w:basedOn w:val="TableGrid"/>
    <w:uiPriority w:val="99"/>
    <w:rsid w:val="00D34D92"/>
    <w:pPr>
      <w:spacing w:before="30" w:after="30" w:line="264" w:lineRule="auto"/>
    </w:pPr>
    <w:rPr>
      <w:spacing w:val="2"/>
      <w:sz w:val="18"/>
      <w:szCs w:val="21"/>
      <w:lang w:val="en-AU"/>
    </w:rPr>
    <w:tblPr>
      <w:tblStyleRowBandSize w:val="1"/>
      <w:tblStyleColBandSize w:val="1"/>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A2A2F" w:themeFill="text1"/>
        <w:vAlign w:val="bottom"/>
      </w:tcPr>
    </w:tblStylePr>
    <w:tblStylePr w:type="lastRow">
      <w:rPr>
        <w:b/>
      </w:rPr>
      <w:tblPr/>
      <w:tcPr>
        <w:tcBorders>
          <w:top w:val="single" w:sz="6" w:space="0" w:color="D9D9D6" w:themeColor="accent1"/>
          <w:left w:val="nil"/>
          <w:bottom w:val="single" w:sz="12" w:space="0" w:color="D9D9D6" w:themeColor="accent1"/>
          <w:right w:val="nil"/>
          <w:insideV w:val="nil"/>
        </w:tcBorders>
        <w:shd w:val="clear" w:color="auto" w:fill="FFFFFF" w:themeFill="background1"/>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FSNote">
    <w:name w:val="FS_Note"/>
    <w:basedOn w:val="Normal"/>
    <w:qFormat/>
    <w:rsid w:val="00D34D92"/>
    <w:pPr>
      <w:ind w:left="360" w:hanging="360"/>
      <w:jc w:val="both"/>
    </w:pPr>
    <w:rPr>
      <w:rFonts w:ascii="Arial" w:eastAsia="Times New Roman" w:hAnsi="Arial" w:cs="Arial"/>
      <w:b/>
      <w:sz w:val="18"/>
      <w:szCs w:val="22"/>
      <w:lang w:val="en-AU"/>
    </w:rPr>
  </w:style>
  <w:style w:type="character" w:customStyle="1" w:styleId="SourceReference">
    <w:name w:val="Source Reference"/>
    <w:basedOn w:val="DefaultParagraphFont"/>
    <w:uiPriority w:val="54"/>
    <w:rsid w:val="00D34D92"/>
    <w:rPr>
      <w:noProof/>
      <w:color w:val="AF272F" w:themeColor="accent4"/>
      <w:sz w:val="14"/>
      <w:lang w:val="en-AU"/>
    </w:rPr>
  </w:style>
  <w:style w:type="character" w:customStyle="1" w:styleId="Heading2Char0">
    <w:name w:val="Heading 2 (#) Char"/>
    <w:basedOn w:val="DefaultParagraphFont"/>
    <w:link w:val="Heading2"/>
    <w:uiPriority w:val="14"/>
    <w:rsid w:val="00D34D92"/>
    <w:rPr>
      <w:rFonts w:asciiTheme="majorHAnsi" w:eastAsiaTheme="majorEastAsia" w:hAnsiTheme="majorHAnsi" w:cstheme="majorBidi"/>
      <w:b/>
      <w:spacing w:val="-2"/>
      <w:szCs w:val="26"/>
    </w:rPr>
  </w:style>
  <w:style w:type="numbering" w:customStyle="1" w:styleId="ListBulletAlphaStyle">
    <w:name w:val="List Bullet/Alpha Style"/>
    <w:uiPriority w:val="99"/>
    <w:rsid w:val="00207683"/>
    <w:pPr>
      <w:numPr>
        <w:numId w:val="28"/>
      </w:numPr>
    </w:pPr>
  </w:style>
  <w:style w:type="numbering" w:customStyle="1" w:styleId="GuidanceAlphaListStyle">
    <w:name w:val="Guidance Alpha List Style"/>
    <w:uiPriority w:val="99"/>
    <w:rsid w:val="00207683"/>
    <w:pPr>
      <w:numPr>
        <w:numId w:val="29"/>
      </w:numPr>
    </w:pPr>
  </w:style>
  <w:style w:type="character" w:styleId="Emphasis">
    <w:name w:val="Emphasis"/>
    <w:basedOn w:val="DefaultParagraphFont"/>
    <w:uiPriority w:val="20"/>
    <w:qFormat/>
    <w:rsid w:val="00D34D92"/>
    <w:rPr>
      <w:i/>
      <w:iCs/>
    </w:rPr>
  </w:style>
  <w:style w:type="paragraph" w:customStyle="1" w:styleId="msonormal0">
    <w:name w:val="msonormal"/>
    <w:basedOn w:val="Normal"/>
    <w:rsid w:val="00D34D92"/>
    <w:pPr>
      <w:spacing w:before="100" w:beforeAutospacing="1" w:after="100" w:afterAutospacing="1"/>
    </w:pPr>
    <w:rPr>
      <w:rFonts w:ascii="Times New Roman" w:eastAsia="Times New Roman" w:hAnsi="Times New Roman" w:cs="Times New Roman"/>
      <w:sz w:val="24"/>
      <w:lang w:val="en-AU" w:eastAsia="en-AU"/>
    </w:rPr>
  </w:style>
  <w:style w:type="paragraph" w:styleId="Quote">
    <w:name w:val="Quote"/>
    <w:basedOn w:val="Normal"/>
    <w:next w:val="Normal"/>
    <w:link w:val="QuoteChar"/>
    <w:uiPriority w:val="29"/>
    <w:qFormat/>
    <w:rsid w:val="009A0996"/>
    <w:pPr>
      <w:spacing w:before="200" w:after="160" w:line="259" w:lineRule="auto"/>
      <w:ind w:left="864" w:right="864"/>
      <w:jc w:val="center"/>
    </w:pPr>
    <w:rPr>
      <w:i/>
      <w:iCs/>
      <w:color w:val="C54148" w:themeColor="text1" w:themeTint="BF"/>
      <w:szCs w:val="22"/>
      <w:lang w:val="en-AU"/>
    </w:rPr>
  </w:style>
  <w:style w:type="character" w:customStyle="1" w:styleId="QuoteChar">
    <w:name w:val="Quote Char"/>
    <w:basedOn w:val="DefaultParagraphFont"/>
    <w:link w:val="Quote"/>
    <w:uiPriority w:val="29"/>
    <w:rsid w:val="009A0996"/>
    <w:rPr>
      <w:i/>
      <w:iCs/>
      <w:color w:val="C54148" w:themeColor="text1" w:themeTint="BF"/>
      <w:sz w:val="22"/>
      <w:szCs w:val="22"/>
      <w:lang w:val="en-AU"/>
    </w:rPr>
  </w:style>
  <w:style w:type="paragraph" w:customStyle="1" w:styleId="Bulletsquestionnaire">
    <w:name w:val="Bullets questionnaire"/>
    <w:basedOn w:val="ListParagraph"/>
    <w:qFormat/>
    <w:rsid w:val="007A0AE1"/>
    <w:pPr>
      <w:numPr>
        <w:numId w:val="33"/>
      </w:numPr>
      <w:spacing w:after="160" w:line="259" w:lineRule="auto"/>
    </w:pPr>
    <w:rPr>
      <w:szCs w:val="22"/>
      <w:lang w:val="en-AU"/>
    </w:rPr>
  </w:style>
  <w:style w:type="paragraph" w:customStyle="1" w:styleId="ng-binding">
    <w:name w:val="ng-binding"/>
    <w:basedOn w:val="Normal"/>
    <w:rsid w:val="0066712A"/>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703">
      <w:bodyDiv w:val="1"/>
      <w:marLeft w:val="0"/>
      <w:marRight w:val="0"/>
      <w:marTop w:val="0"/>
      <w:marBottom w:val="0"/>
      <w:divBdr>
        <w:top w:val="none" w:sz="0" w:space="0" w:color="auto"/>
        <w:left w:val="none" w:sz="0" w:space="0" w:color="auto"/>
        <w:bottom w:val="none" w:sz="0" w:space="0" w:color="auto"/>
        <w:right w:val="none" w:sz="0" w:space="0" w:color="auto"/>
      </w:divBdr>
    </w:div>
    <w:div w:id="17661404">
      <w:bodyDiv w:val="1"/>
      <w:marLeft w:val="0"/>
      <w:marRight w:val="0"/>
      <w:marTop w:val="0"/>
      <w:marBottom w:val="0"/>
      <w:divBdr>
        <w:top w:val="none" w:sz="0" w:space="0" w:color="auto"/>
        <w:left w:val="none" w:sz="0" w:space="0" w:color="auto"/>
        <w:bottom w:val="none" w:sz="0" w:space="0" w:color="auto"/>
        <w:right w:val="none" w:sz="0" w:space="0" w:color="auto"/>
      </w:divBdr>
    </w:div>
    <w:div w:id="18236858">
      <w:bodyDiv w:val="1"/>
      <w:marLeft w:val="0"/>
      <w:marRight w:val="0"/>
      <w:marTop w:val="0"/>
      <w:marBottom w:val="0"/>
      <w:divBdr>
        <w:top w:val="none" w:sz="0" w:space="0" w:color="auto"/>
        <w:left w:val="none" w:sz="0" w:space="0" w:color="auto"/>
        <w:bottom w:val="none" w:sz="0" w:space="0" w:color="auto"/>
        <w:right w:val="none" w:sz="0" w:space="0" w:color="auto"/>
      </w:divBdr>
    </w:div>
    <w:div w:id="27729708">
      <w:bodyDiv w:val="1"/>
      <w:marLeft w:val="0"/>
      <w:marRight w:val="0"/>
      <w:marTop w:val="0"/>
      <w:marBottom w:val="0"/>
      <w:divBdr>
        <w:top w:val="none" w:sz="0" w:space="0" w:color="auto"/>
        <w:left w:val="none" w:sz="0" w:space="0" w:color="auto"/>
        <w:bottom w:val="none" w:sz="0" w:space="0" w:color="auto"/>
        <w:right w:val="none" w:sz="0" w:space="0" w:color="auto"/>
      </w:divBdr>
    </w:div>
    <w:div w:id="32775356">
      <w:bodyDiv w:val="1"/>
      <w:marLeft w:val="0"/>
      <w:marRight w:val="0"/>
      <w:marTop w:val="0"/>
      <w:marBottom w:val="0"/>
      <w:divBdr>
        <w:top w:val="none" w:sz="0" w:space="0" w:color="auto"/>
        <w:left w:val="none" w:sz="0" w:space="0" w:color="auto"/>
        <w:bottom w:val="none" w:sz="0" w:space="0" w:color="auto"/>
        <w:right w:val="none" w:sz="0" w:space="0" w:color="auto"/>
      </w:divBdr>
    </w:div>
    <w:div w:id="73742429">
      <w:bodyDiv w:val="1"/>
      <w:marLeft w:val="0"/>
      <w:marRight w:val="0"/>
      <w:marTop w:val="0"/>
      <w:marBottom w:val="0"/>
      <w:divBdr>
        <w:top w:val="none" w:sz="0" w:space="0" w:color="auto"/>
        <w:left w:val="none" w:sz="0" w:space="0" w:color="auto"/>
        <w:bottom w:val="none" w:sz="0" w:space="0" w:color="auto"/>
        <w:right w:val="none" w:sz="0" w:space="0" w:color="auto"/>
      </w:divBdr>
    </w:div>
    <w:div w:id="76562345">
      <w:bodyDiv w:val="1"/>
      <w:marLeft w:val="0"/>
      <w:marRight w:val="0"/>
      <w:marTop w:val="0"/>
      <w:marBottom w:val="0"/>
      <w:divBdr>
        <w:top w:val="none" w:sz="0" w:space="0" w:color="auto"/>
        <w:left w:val="none" w:sz="0" w:space="0" w:color="auto"/>
        <w:bottom w:val="none" w:sz="0" w:space="0" w:color="auto"/>
        <w:right w:val="none" w:sz="0" w:space="0" w:color="auto"/>
      </w:divBdr>
    </w:div>
    <w:div w:id="86662292">
      <w:bodyDiv w:val="1"/>
      <w:marLeft w:val="0"/>
      <w:marRight w:val="0"/>
      <w:marTop w:val="0"/>
      <w:marBottom w:val="0"/>
      <w:divBdr>
        <w:top w:val="none" w:sz="0" w:space="0" w:color="auto"/>
        <w:left w:val="none" w:sz="0" w:space="0" w:color="auto"/>
        <w:bottom w:val="none" w:sz="0" w:space="0" w:color="auto"/>
        <w:right w:val="none" w:sz="0" w:space="0" w:color="auto"/>
      </w:divBdr>
    </w:div>
    <w:div w:id="96799775">
      <w:bodyDiv w:val="1"/>
      <w:marLeft w:val="0"/>
      <w:marRight w:val="0"/>
      <w:marTop w:val="0"/>
      <w:marBottom w:val="0"/>
      <w:divBdr>
        <w:top w:val="none" w:sz="0" w:space="0" w:color="auto"/>
        <w:left w:val="none" w:sz="0" w:space="0" w:color="auto"/>
        <w:bottom w:val="none" w:sz="0" w:space="0" w:color="auto"/>
        <w:right w:val="none" w:sz="0" w:space="0" w:color="auto"/>
      </w:divBdr>
    </w:div>
    <w:div w:id="109250472">
      <w:bodyDiv w:val="1"/>
      <w:marLeft w:val="0"/>
      <w:marRight w:val="0"/>
      <w:marTop w:val="0"/>
      <w:marBottom w:val="0"/>
      <w:divBdr>
        <w:top w:val="none" w:sz="0" w:space="0" w:color="auto"/>
        <w:left w:val="none" w:sz="0" w:space="0" w:color="auto"/>
        <w:bottom w:val="none" w:sz="0" w:space="0" w:color="auto"/>
        <w:right w:val="none" w:sz="0" w:space="0" w:color="auto"/>
      </w:divBdr>
    </w:div>
    <w:div w:id="128591247">
      <w:bodyDiv w:val="1"/>
      <w:marLeft w:val="0"/>
      <w:marRight w:val="0"/>
      <w:marTop w:val="0"/>
      <w:marBottom w:val="0"/>
      <w:divBdr>
        <w:top w:val="none" w:sz="0" w:space="0" w:color="auto"/>
        <w:left w:val="none" w:sz="0" w:space="0" w:color="auto"/>
        <w:bottom w:val="none" w:sz="0" w:space="0" w:color="auto"/>
        <w:right w:val="none" w:sz="0" w:space="0" w:color="auto"/>
      </w:divBdr>
    </w:div>
    <w:div w:id="133259791">
      <w:bodyDiv w:val="1"/>
      <w:marLeft w:val="0"/>
      <w:marRight w:val="0"/>
      <w:marTop w:val="0"/>
      <w:marBottom w:val="0"/>
      <w:divBdr>
        <w:top w:val="none" w:sz="0" w:space="0" w:color="auto"/>
        <w:left w:val="none" w:sz="0" w:space="0" w:color="auto"/>
        <w:bottom w:val="none" w:sz="0" w:space="0" w:color="auto"/>
        <w:right w:val="none" w:sz="0" w:space="0" w:color="auto"/>
      </w:divBdr>
    </w:div>
    <w:div w:id="155416695">
      <w:bodyDiv w:val="1"/>
      <w:marLeft w:val="0"/>
      <w:marRight w:val="0"/>
      <w:marTop w:val="0"/>
      <w:marBottom w:val="0"/>
      <w:divBdr>
        <w:top w:val="none" w:sz="0" w:space="0" w:color="auto"/>
        <w:left w:val="none" w:sz="0" w:space="0" w:color="auto"/>
        <w:bottom w:val="none" w:sz="0" w:space="0" w:color="auto"/>
        <w:right w:val="none" w:sz="0" w:space="0" w:color="auto"/>
      </w:divBdr>
    </w:div>
    <w:div w:id="158931656">
      <w:bodyDiv w:val="1"/>
      <w:marLeft w:val="0"/>
      <w:marRight w:val="0"/>
      <w:marTop w:val="0"/>
      <w:marBottom w:val="0"/>
      <w:divBdr>
        <w:top w:val="none" w:sz="0" w:space="0" w:color="auto"/>
        <w:left w:val="none" w:sz="0" w:space="0" w:color="auto"/>
        <w:bottom w:val="none" w:sz="0" w:space="0" w:color="auto"/>
        <w:right w:val="none" w:sz="0" w:space="0" w:color="auto"/>
      </w:divBdr>
    </w:div>
    <w:div w:id="159276723">
      <w:bodyDiv w:val="1"/>
      <w:marLeft w:val="0"/>
      <w:marRight w:val="0"/>
      <w:marTop w:val="0"/>
      <w:marBottom w:val="0"/>
      <w:divBdr>
        <w:top w:val="none" w:sz="0" w:space="0" w:color="auto"/>
        <w:left w:val="none" w:sz="0" w:space="0" w:color="auto"/>
        <w:bottom w:val="none" w:sz="0" w:space="0" w:color="auto"/>
        <w:right w:val="none" w:sz="0" w:space="0" w:color="auto"/>
      </w:divBdr>
    </w:div>
    <w:div w:id="159466572">
      <w:bodyDiv w:val="1"/>
      <w:marLeft w:val="0"/>
      <w:marRight w:val="0"/>
      <w:marTop w:val="0"/>
      <w:marBottom w:val="0"/>
      <w:divBdr>
        <w:top w:val="none" w:sz="0" w:space="0" w:color="auto"/>
        <w:left w:val="none" w:sz="0" w:space="0" w:color="auto"/>
        <w:bottom w:val="none" w:sz="0" w:space="0" w:color="auto"/>
        <w:right w:val="none" w:sz="0" w:space="0" w:color="auto"/>
      </w:divBdr>
    </w:div>
    <w:div w:id="167796882">
      <w:bodyDiv w:val="1"/>
      <w:marLeft w:val="0"/>
      <w:marRight w:val="0"/>
      <w:marTop w:val="0"/>
      <w:marBottom w:val="0"/>
      <w:divBdr>
        <w:top w:val="none" w:sz="0" w:space="0" w:color="auto"/>
        <w:left w:val="none" w:sz="0" w:space="0" w:color="auto"/>
        <w:bottom w:val="none" w:sz="0" w:space="0" w:color="auto"/>
        <w:right w:val="none" w:sz="0" w:space="0" w:color="auto"/>
      </w:divBdr>
    </w:div>
    <w:div w:id="198859275">
      <w:bodyDiv w:val="1"/>
      <w:marLeft w:val="0"/>
      <w:marRight w:val="0"/>
      <w:marTop w:val="0"/>
      <w:marBottom w:val="0"/>
      <w:divBdr>
        <w:top w:val="none" w:sz="0" w:space="0" w:color="auto"/>
        <w:left w:val="none" w:sz="0" w:space="0" w:color="auto"/>
        <w:bottom w:val="none" w:sz="0" w:space="0" w:color="auto"/>
        <w:right w:val="none" w:sz="0" w:space="0" w:color="auto"/>
      </w:divBdr>
    </w:div>
    <w:div w:id="199246233">
      <w:bodyDiv w:val="1"/>
      <w:marLeft w:val="0"/>
      <w:marRight w:val="0"/>
      <w:marTop w:val="0"/>
      <w:marBottom w:val="0"/>
      <w:divBdr>
        <w:top w:val="none" w:sz="0" w:space="0" w:color="auto"/>
        <w:left w:val="none" w:sz="0" w:space="0" w:color="auto"/>
        <w:bottom w:val="none" w:sz="0" w:space="0" w:color="auto"/>
        <w:right w:val="none" w:sz="0" w:space="0" w:color="auto"/>
      </w:divBdr>
    </w:div>
    <w:div w:id="203686449">
      <w:bodyDiv w:val="1"/>
      <w:marLeft w:val="0"/>
      <w:marRight w:val="0"/>
      <w:marTop w:val="0"/>
      <w:marBottom w:val="0"/>
      <w:divBdr>
        <w:top w:val="none" w:sz="0" w:space="0" w:color="auto"/>
        <w:left w:val="none" w:sz="0" w:space="0" w:color="auto"/>
        <w:bottom w:val="none" w:sz="0" w:space="0" w:color="auto"/>
        <w:right w:val="none" w:sz="0" w:space="0" w:color="auto"/>
      </w:divBdr>
    </w:div>
    <w:div w:id="210922421">
      <w:bodyDiv w:val="1"/>
      <w:marLeft w:val="0"/>
      <w:marRight w:val="0"/>
      <w:marTop w:val="0"/>
      <w:marBottom w:val="0"/>
      <w:divBdr>
        <w:top w:val="none" w:sz="0" w:space="0" w:color="auto"/>
        <w:left w:val="none" w:sz="0" w:space="0" w:color="auto"/>
        <w:bottom w:val="none" w:sz="0" w:space="0" w:color="auto"/>
        <w:right w:val="none" w:sz="0" w:space="0" w:color="auto"/>
      </w:divBdr>
      <w:divsChild>
        <w:div w:id="912735540">
          <w:marLeft w:val="0"/>
          <w:marRight w:val="0"/>
          <w:marTop w:val="0"/>
          <w:marBottom w:val="0"/>
          <w:divBdr>
            <w:top w:val="none" w:sz="0" w:space="0" w:color="auto"/>
            <w:left w:val="none" w:sz="0" w:space="0" w:color="auto"/>
            <w:bottom w:val="none" w:sz="0" w:space="0" w:color="auto"/>
            <w:right w:val="none" w:sz="0" w:space="0" w:color="auto"/>
          </w:divBdr>
          <w:divsChild>
            <w:div w:id="618293710">
              <w:marLeft w:val="0"/>
              <w:marRight w:val="0"/>
              <w:marTop w:val="0"/>
              <w:marBottom w:val="0"/>
              <w:divBdr>
                <w:top w:val="none" w:sz="0" w:space="0" w:color="auto"/>
                <w:left w:val="none" w:sz="0" w:space="0" w:color="auto"/>
                <w:bottom w:val="none" w:sz="0" w:space="0" w:color="auto"/>
                <w:right w:val="none" w:sz="0" w:space="0" w:color="auto"/>
              </w:divBdr>
              <w:divsChild>
                <w:div w:id="1879589663">
                  <w:marLeft w:val="0"/>
                  <w:marRight w:val="0"/>
                  <w:marTop w:val="0"/>
                  <w:marBottom w:val="0"/>
                  <w:divBdr>
                    <w:top w:val="none" w:sz="0" w:space="0" w:color="auto"/>
                    <w:left w:val="none" w:sz="0" w:space="0" w:color="auto"/>
                    <w:bottom w:val="none" w:sz="0" w:space="0" w:color="auto"/>
                    <w:right w:val="none" w:sz="0" w:space="0" w:color="auto"/>
                  </w:divBdr>
                  <w:divsChild>
                    <w:div w:id="507528473">
                      <w:marLeft w:val="0"/>
                      <w:marRight w:val="0"/>
                      <w:marTop w:val="0"/>
                      <w:marBottom w:val="0"/>
                      <w:divBdr>
                        <w:top w:val="none" w:sz="0" w:space="0" w:color="auto"/>
                        <w:left w:val="none" w:sz="0" w:space="0" w:color="auto"/>
                        <w:bottom w:val="none" w:sz="0" w:space="0" w:color="auto"/>
                        <w:right w:val="none" w:sz="0" w:space="0" w:color="auto"/>
                      </w:divBdr>
                      <w:divsChild>
                        <w:div w:id="1794324708">
                          <w:marLeft w:val="13380"/>
                          <w:marRight w:val="0"/>
                          <w:marTop w:val="0"/>
                          <w:marBottom w:val="0"/>
                          <w:divBdr>
                            <w:top w:val="none" w:sz="0" w:space="0" w:color="auto"/>
                            <w:left w:val="none" w:sz="0" w:space="0" w:color="auto"/>
                            <w:bottom w:val="none" w:sz="0" w:space="0" w:color="auto"/>
                            <w:right w:val="none" w:sz="0" w:space="0" w:color="auto"/>
                          </w:divBdr>
                          <w:divsChild>
                            <w:div w:id="2043702422">
                              <w:marLeft w:val="0"/>
                              <w:marRight w:val="0"/>
                              <w:marTop w:val="0"/>
                              <w:marBottom w:val="420"/>
                              <w:divBdr>
                                <w:top w:val="none" w:sz="0" w:space="0" w:color="auto"/>
                                <w:left w:val="none" w:sz="0" w:space="0" w:color="auto"/>
                                <w:bottom w:val="none" w:sz="0" w:space="0" w:color="auto"/>
                                <w:right w:val="none" w:sz="0" w:space="0" w:color="auto"/>
                              </w:divBdr>
                              <w:divsChild>
                                <w:div w:id="1921060408">
                                  <w:marLeft w:val="0"/>
                                  <w:marRight w:val="0"/>
                                  <w:marTop w:val="0"/>
                                  <w:marBottom w:val="0"/>
                                  <w:divBdr>
                                    <w:top w:val="none" w:sz="0" w:space="0" w:color="auto"/>
                                    <w:left w:val="none" w:sz="0" w:space="0" w:color="auto"/>
                                    <w:bottom w:val="none" w:sz="0" w:space="0" w:color="auto"/>
                                    <w:right w:val="none" w:sz="0" w:space="0" w:color="auto"/>
                                  </w:divBdr>
                                  <w:divsChild>
                                    <w:div w:id="178351531">
                                      <w:marLeft w:val="0"/>
                                      <w:marRight w:val="0"/>
                                      <w:marTop w:val="0"/>
                                      <w:marBottom w:val="0"/>
                                      <w:divBdr>
                                        <w:top w:val="none" w:sz="0" w:space="0" w:color="auto"/>
                                        <w:left w:val="none" w:sz="0" w:space="0" w:color="auto"/>
                                        <w:bottom w:val="none" w:sz="0" w:space="0" w:color="auto"/>
                                        <w:right w:val="none" w:sz="0" w:space="0" w:color="auto"/>
                                      </w:divBdr>
                                      <w:divsChild>
                                        <w:div w:id="1349986727">
                                          <w:marLeft w:val="0"/>
                                          <w:marRight w:val="0"/>
                                          <w:marTop w:val="0"/>
                                          <w:marBottom w:val="0"/>
                                          <w:divBdr>
                                            <w:top w:val="none" w:sz="0" w:space="0" w:color="auto"/>
                                            <w:left w:val="none" w:sz="0" w:space="0" w:color="auto"/>
                                            <w:bottom w:val="none" w:sz="0" w:space="0" w:color="auto"/>
                                            <w:right w:val="none" w:sz="0" w:space="0" w:color="auto"/>
                                          </w:divBdr>
                                          <w:divsChild>
                                            <w:div w:id="1966571174">
                                              <w:marLeft w:val="0"/>
                                              <w:marRight w:val="0"/>
                                              <w:marTop w:val="0"/>
                                              <w:marBottom w:val="0"/>
                                              <w:divBdr>
                                                <w:top w:val="none" w:sz="0" w:space="0" w:color="auto"/>
                                                <w:left w:val="none" w:sz="0" w:space="0" w:color="auto"/>
                                                <w:bottom w:val="none" w:sz="0" w:space="0" w:color="auto"/>
                                                <w:right w:val="none" w:sz="0" w:space="0" w:color="auto"/>
                                              </w:divBdr>
                                              <w:divsChild>
                                                <w:div w:id="2139564445">
                                                  <w:marLeft w:val="0"/>
                                                  <w:marRight w:val="0"/>
                                                  <w:marTop w:val="0"/>
                                                  <w:marBottom w:val="0"/>
                                                  <w:divBdr>
                                                    <w:top w:val="none" w:sz="0" w:space="0" w:color="auto"/>
                                                    <w:left w:val="none" w:sz="0" w:space="0" w:color="auto"/>
                                                    <w:bottom w:val="none" w:sz="0" w:space="0" w:color="auto"/>
                                                    <w:right w:val="none" w:sz="0" w:space="0" w:color="auto"/>
                                                  </w:divBdr>
                                                  <w:divsChild>
                                                    <w:div w:id="1911311058">
                                                      <w:marLeft w:val="0"/>
                                                      <w:marRight w:val="0"/>
                                                      <w:marTop w:val="0"/>
                                                      <w:marBottom w:val="0"/>
                                                      <w:divBdr>
                                                        <w:top w:val="none" w:sz="0" w:space="0" w:color="auto"/>
                                                        <w:left w:val="none" w:sz="0" w:space="0" w:color="auto"/>
                                                        <w:bottom w:val="none" w:sz="0" w:space="0" w:color="auto"/>
                                                        <w:right w:val="none" w:sz="0" w:space="0" w:color="auto"/>
                                                      </w:divBdr>
                                                      <w:divsChild>
                                                        <w:div w:id="1778257327">
                                                          <w:marLeft w:val="0"/>
                                                          <w:marRight w:val="0"/>
                                                          <w:marTop w:val="0"/>
                                                          <w:marBottom w:val="0"/>
                                                          <w:divBdr>
                                                            <w:top w:val="none" w:sz="0" w:space="0" w:color="auto"/>
                                                            <w:left w:val="none" w:sz="0" w:space="0" w:color="auto"/>
                                                            <w:bottom w:val="none" w:sz="0" w:space="0" w:color="auto"/>
                                                            <w:right w:val="none" w:sz="0" w:space="0" w:color="auto"/>
                                                          </w:divBdr>
                                                          <w:divsChild>
                                                            <w:div w:id="2028948555">
                                                              <w:marLeft w:val="0"/>
                                                              <w:marRight w:val="0"/>
                                                              <w:marTop w:val="0"/>
                                                              <w:marBottom w:val="0"/>
                                                              <w:divBdr>
                                                                <w:top w:val="none" w:sz="0" w:space="0" w:color="auto"/>
                                                                <w:left w:val="none" w:sz="0" w:space="0" w:color="auto"/>
                                                                <w:bottom w:val="none" w:sz="0" w:space="0" w:color="auto"/>
                                                                <w:right w:val="none" w:sz="0" w:space="0" w:color="auto"/>
                                                              </w:divBdr>
                                                              <w:divsChild>
                                                                <w:div w:id="17698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66783">
      <w:bodyDiv w:val="1"/>
      <w:marLeft w:val="0"/>
      <w:marRight w:val="0"/>
      <w:marTop w:val="0"/>
      <w:marBottom w:val="0"/>
      <w:divBdr>
        <w:top w:val="none" w:sz="0" w:space="0" w:color="auto"/>
        <w:left w:val="none" w:sz="0" w:space="0" w:color="auto"/>
        <w:bottom w:val="none" w:sz="0" w:space="0" w:color="auto"/>
        <w:right w:val="none" w:sz="0" w:space="0" w:color="auto"/>
      </w:divBdr>
    </w:div>
    <w:div w:id="228151789">
      <w:bodyDiv w:val="1"/>
      <w:marLeft w:val="0"/>
      <w:marRight w:val="0"/>
      <w:marTop w:val="0"/>
      <w:marBottom w:val="0"/>
      <w:divBdr>
        <w:top w:val="none" w:sz="0" w:space="0" w:color="auto"/>
        <w:left w:val="none" w:sz="0" w:space="0" w:color="auto"/>
        <w:bottom w:val="none" w:sz="0" w:space="0" w:color="auto"/>
        <w:right w:val="none" w:sz="0" w:space="0" w:color="auto"/>
      </w:divBdr>
    </w:div>
    <w:div w:id="256254439">
      <w:bodyDiv w:val="1"/>
      <w:marLeft w:val="0"/>
      <w:marRight w:val="0"/>
      <w:marTop w:val="0"/>
      <w:marBottom w:val="0"/>
      <w:divBdr>
        <w:top w:val="none" w:sz="0" w:space="0" w:color="auto"/>
        <w:left w:val="none" w:sz="0" w:space="0" w:color="auto"/>
        <w:bottom w:val="none" w:sz="0" w:space="0" w:color="auto"/>
        <w:right w:val="none" w:sz="0" w:space="0" w:color="auto"/>
      </w:divBdr>
    </w:div>
    <w:div w:id="261180811">
      <w:bodyDiv w:val="1"/>
      <w:marLeft w:val="0"/>
      <w:marRight w:val="0"/>
      <w:marTop w:val="0"/>
      <w:marBottom w:val="0"/>
      <w:divBdr>
        <w:top w:val="none" w:sz="0" w:space="0" w:color="auto"/>
        <w:left w:val="none" w:sz="0" w:space="0" w:color="auto"/>
        <w:bottom w:val="none" w:sz="0" w:space="0" w:color="auto"/>
        <w:right w:val="none" w:sz="0" w:space="0" w:color="auto"/>
      </w:divBdr>
    </w:div>
    <w:div w:id="266817969">
      <w:bodyDiv w:val="1"/>
      <w:marLeft w:val="0"/>
      <w:marRight w:val="0"/>
      <w:marTop w:val="0"/>
      <w:marBottom w:val="0"/>
      <w:divBdr>
        <w:top w:val="none" w:sz="0" w:space="0" w:color="auto"/>
        <w:left w:val="none" w:sz="0" w:space="0" w:color="auto"/>
        <w:bottom w:val="none" w:sz="0" w:space="0" w:color="auto"/>
        <w:right w:val="none" w:sz="0" w:space="0" w:color="auto"/>
      </w:divBdr>
    </w:div>
    <w:div w:id="277300609">
      <w:bodyDiv w:val="1"/>
      <w:marLeft w:val="0"/>
      <w:marRight w:val="0"/>
      <w:marTop w:val="0"/>
      <w:marBottom w:val="0"/>
      <w:divBdr>
        <w:top w:val="none" w:sz="0" w:space="0" w:color="auto"/>
        <w:left w:val="none" w:sz="0" w:space="0" w:color="auto"/>
        <w:bottom w:val="none" w:sz="0" w:space="0" w:color="auto"/>
        <w:right w:val="none" w:sz="0" w:space="0" w:color="auto"/>
      </w:divBdr>
    </w:div>
    <w:div w:id="278924228">
      <w:bodyDiv w:val="1"/>
      <w:marLeft w:val="0"/>
      <w:marRight w:val="0"/>
      <w:marTop w:val="0"/>
      <w:marBottom w:val="0"/>
      <w:divBdr>
        <w:top w:val="none" w:sz="0" w:space="0" w:color="auto"/>
        <w:left w:val="none" w:sz="0" w:space="0" w:color="auto"/>
        <w:bottom w:val="none" w:sz="0" w:space="0" w:color="auto"/>
        <w:right w:val="none" w:sz="0" w:space="0" w:color="auto"/>
      </w:divBdr>
    </w:div>
    <w:div w:id="282924099">
      <w:bodyDiv w:val="1"/>
      <w:marLeft w:val="0"/>
      <w:marRight w:val="0"/>
      <w:marTop w:val="0"/>
      <w:marBottom w:val="0"/>
      <w:divBdr>
        <w:top w:val="none" w:sz="0" w:space="0" w:color="auto"/>
        <w:left w:val="none" w:sz="0" w:space="0" w:color="auto"/>
        <w:bottom w:val="none" w:sz="0" w:space="0" w:color="auto"/>
        <w:right w:val="none" w:sz="0" w:space="0" w:color="auto"/>
      </w:divBdr>
    </w:div>
    <w:div w:id="283999824">
      <w:bodyDiv w:val="1"/>
      <w:marLeft w:val="0"/>
      <w:marRight w:val="0"/>
      <w:marTop w:val="0"/>
      <w:marBottom w:val="0"/>
      <w:divBdr>
        <w:top w:val="none" w:sz="0" w:space="0" w:color="auto"/>
        <w:left w:val="none" w:sz="0" w:space="0" w:color="auto"/>
        <w:bottom w:val="none" w:sz="0" w:space="0" w:color="auto"/>
        <w:right w:val="none" w:sz="0" w:space="0" w:color="auto"/>
      </w:divBdr>
    </w:div>
    <w:div w:id="289895440">
      <w:bodyDiv w:val="1"/>
      <w:marLeft w:val="0"/>
      <w:marRight w:val="0"/>
      <w:marTop w:val="0"/>
      <w:marBottom w:val="0"/>
      <w:divBdr>
        <w:top w:val="none" w:sz="0" w:space="0" w:color="auto"/>
        <w:left w:val="none" w:sz="0" w:space="0" w:color="auto"/>
        <w:bottom w:val="none" w:sz="0" w:space="0" w:color="auto"/>
        <w:right w:val="none" w:sz="0" w:space="0" w:color="auto"/>
      </w:divBdr>
    </w:div>
    <w:div w:id="307056191">
      <w:bodyDiv w:val="1"/>
      <w:marLeft w:val="0"/>
      <w:marRight w:val="0"/>
      <w:marTop w:val="0"/>
      <w:marBottom w:val="0"/>
      <w:divBdr>
        <w:top w:val="none" w:sz="0" w:space="0" w:color="auto"/>
        <w:left w:val="none" w:sz="0" w:space="0" w:color="auto"/>
        <w:bottom w:val="none" w:sz="0" w:space="0" w:color="auto"/>
        <w:right w:val="none" w:sz="0" w:space="0" w:color="auto"/>
      </w:divBdr>
    </w:div>
    <w:div w:id="310401929">
      <w:bodyDiv w:val="1"/>
      <w:marLeft w:val="0"/>
      <w:marRight w:val="0"/>
      <w:marTop w:val="0"/>
      <w:marBottom w:val="0"/>
      <w:divBdr>
        <w:top w:val="none" w:sz="0" w:space="0" w:color="auto"/>
        <w:left w:val="none" w:sz="0" w:space="0" w:color="auto"/>
        <w:bottom w:val="none" w:sz="0" w:space="0" w:color="auto"/>
        <w:right w:val="none" w:sz="0" w:space="0" w:color="auto"/>
      </w:divBdr>
    </w:div>
    <w:div w:id="312565709">
      <w:bodyDiv w:val="1"/>
      <w:marLeft w:val="0"/>
      <w:marRight w:val="0"/>
      <w:marTop w:val="0"/>
      <w:marBottom w:val="0"/>
      <w:divBdr>
        <w:top w:val="none" w:sz="0" w:space="0" w:color="auto"/>
        <w:left w:val="none" w:sz="0" w:space="0" w:color="auto"/>
        <w:bottom w:val="none" w:sz="0" w:space="0" w:color="auto"/>
        <w:right w:val="none" w:sz="0" w:space="0" w:color="auto"/>
      </w:divBdr>
    </w:div>
    <w:div w:id="317195939">
      <w:bodyDiv w:val="1"/>
      <w:marLeft w:val="0"/>
      <w:marRight w:val="0"/>
      <w:marTop w:val="0"/>
      <w:marBottom w:val="0"/>
      <w:divBdr>
        <w:top w:val="none" w:sz="0" w:space="0" w:color="auto"/>
        <w:left w:val="none" w:sz="0" w:space="0" w:color="auto"/>
        <w:bottom w:val="none" w:sz="0" w:space="0" w:color="auto"/>
        <w:right w:val="none" w:sz="0" w:space="0" w:color="auto"/>
      </w:divBdr>
    </w:div>
    <w:div w:id="349649888">
      <w:bodyDiv w:val="1"/>
      <w:marLeft w:val="0"/>
      <w:marRight w:val="0"/>
      <w:marTop w:val="0"/>
      <w:marBottom w:val="0"/>
      <w:divBdr>
        <w:top w:val="none" w:sz="0" w:space="0" w:color="auto"/>
        <w:left w:val="none" w:sz="0" w:space="0" w:color="auto"/>
        <w:bottom w:val="none" w:sz="0" w:space="0" w:color="auto"/>
        <w:right w:val="none" w:sz="0" w:space="0" w:color="auto"/>
      </w:divBdr>
    </w:div>
    <w:div w:id="353894547">
      <w:bodyDiv w:val="1"/>
      <w:marLeft w:val="0"/>
      <w:marRight w:val="0"/>
      <w:marTop w:val="0"/>
      <w:marBottom w:val="0"/>
      <w:divBdr>
        <w:top w:val="none" w:sz="0" w:space="0" w:color="auto"/>
        <w:left w:val="none" w:sz="0" w:space="0" w:color="auto"/>
        <w:bottom w:val="none" w:sz="0" w:space="0" w:color="auto"/>
        <w:right w:val="none" w:sz="0" w:space="0" w:color="auto"/>
      </w:divBdr>
    </w:div>
    <w:div w:id="382951224">
      <w:bodyDiv w:val="1"/>
      <w:marLeft w:val="0"/>
      <w:marRight w:val="0"/>
      <w:marTop w:val="0"/>
      <w:marBottom w:val="0"/>
      <w:divBdr>
        <w:top w:val="none" w:sz="0" w:space="0" w:color="auto"/>
        <w:left w:val="none" w:sz="0" w:space="0" w:color="auto"/>
        <w:bottom w:val="none" w:sz="0" w:space="0" w:color="auto"/>
        <w:right w:val="none" w:sz="0" w:space="0" w:color="auto"/>
      </w:divBdr>
    </w:div>
    <w:div w:id="395903211">
      <w:bodyDiv w:val="1"/>
      <w:marLeft w:val="0"/>
      <w:marRight w:val="0"/>
      <w:marTop w:val="0"/>
      <w:marBottom w:val="0"/>
      <w:divBdr>
        <w:top w:val="none" w:sz="0" w:space="0" w:color="auto"/>
        <w:left w:val="none" w:sz="0" w:space="0" w:color="auto"/>
        <w:bottom w:val="none" w:sz="0" w:space="0" w:color="auto"/>
        <w:right w:val="none" w:sz="0" w:space="0" w:color="auto"/>
      </w:divBdr>
    </w:div>
    <w:div w:id="397437901">
      <w:bodyDiv w:val="1"/>
      <w:marLeft w:val="0"/>
      <w:marRight w:val="0"/>
      <w:marTop w:val="0"/>
      <w:marBottom w:val="0"/>
      <w:divBdr>
        <w:top w:val="none" w:sz="0" w:space="0" w:color="auto"/>
        <w:left w:val="none" w:sz="0" w:space="0" w:color="auto"/>
        <w:bottom w:val="none" w:sz="0" w:space="0" w:color="auto"/>
        <w:right w:val="none" w:sz="0" w:space="0" w:color="auto"/>
      </w:divBdr>
    </w:div>
    <w:div w:id="418914470">
      <w:bodyDiv w:val="1"/>
      <w:marLeft w:val="0"/>
      <w:marRight w:val="0"/>
      <w:marTop w:val="0"/>
      <w:marBottom w:val="0"/>
      <w:divBdr>
        <w:top w:val="none" w:sz="0" w:space="0" w:color="auto"/>
        <w:left w:val="none" w:sz="0" w:space="0" w:color="auto"/>
        <w:bottom w:val="none" w:sz="0" w:space="0" w:color="auto"/>
        <w:right w:val="none" w:sz="0" w:space="0" w:color="auto"/>
      </w:divBdr>
    </w:div>
    <w:div w:id="419301643">
      <w:bodyDiv w:val="1"/>
      <w:marLeft w:val="0"/>
      <w:marRight w:val="0"/>
      <w:marTop w:val="0"/>
      <w:marBottom w:val="0"/>
      <w:divBdr>
        <w:top w:val="none" w:sz="0" w:space="0" w:color="auto"/>
        <w:left w:val="none" w:sz="0" w:space="0" w:color="auto"/>
        <w:bottom w:val="none" w:sz="0" w:space="0" w:color="auto"/>
        <w:right w:val="none" w:sz="0" w:space="0" w:color="auto"/>
      </w:divBdr>
    </w:div>
    <w:div w:id="423769451">
      <w:bodyDiv w:val="1"/>
      <w:marLeft w:val="0"/>
      <w:marRight w:val="0"/>
      <w:marTop w:val="0"/>
      <w:marBottom w:val="0"/>
      <w:divBdr>
        <w:top w:val="none" w:sz="0" w:space="0" w:color="auto"/>
        <w:left w:val="none" w:sz="0" w:space="0" w:color="auto"/>
        <w:bottom w:val="none" w:sz="0" w:space="0" w:color="auto"/>
        <w:right w:val="none" w:sz="0" w:space="0" w:color="auto"/>
      </w:divBdr>
    </w:div>
    <w:div w:id="438990885">
      <w:bodyDiv w:val="1"/>
      <w:marLeft w:val="0"/>
      <w:marRight w:val="0"/>
      <w:marTop w:val="0"/>
      <w:marBottom w:val="0"/>
      <w:divBdr>
        <w:top w:val="none" w:sz="0" w:space="0" w:color="auto"/>
        <w:left w:val="none" w:sz="0" w:space="0" w:color="auto"/>
        <w:bottom w:val="none" w:sz="0" w:space="0" w:color="auto"/>
        <w:right w:val="none" w:sz="0" w:space="0" w:color="auto"/>
      </w:divBdr>
    </w:div>
    <w:div w:id="441805780">
      <w:bodyDiv w:val="1"/>
      <w:marLeft w:val="0"/>
      <w:marRight w:val="0"/>
      <w:marTop w:val="0"/>
      <w:marBottom w:val="0"/>
      <w:divBdr>
        <w:top w:val="none" w:sz="0" w:space="0" w:color="auto"/>
        <w:left w:val="none" w:sz="0" w:space="0" w:color="auto"/>
        <w:bottom w:val="none" w:sz="0" w:space="0" w:color="auto"/>
        <w:right w:val="none" w:sz="0" w:space="0" w:color="auto"/>
      </w:divBdr>
    </w:div>
    <w:div w:id="444349627">
      <w:bodyDiv w:val="1"/>
      <w:marLeft w:val="0"/>
      <w:marRight w:val="0"/>
      <w:marTop w:val="0"/>
      <w:marBottom w:val="0"/>
      <w:divBdr>
        <w:top w:val="none" w:sz="0" w:space="0" w:color="auto"/>
        <w:left w:val="none" w:sz="0" w:space="0" w:color="auto"/>
        <w:bottom w:val="none" w:sz="0" w:space="0" w:color="auto"/>
        <w:right w:val="none" w:sz="0" w:space="0" w:color="auto"/>
      </w:divBdr>
    </w:div>
    <w:div w:id="449512186">
      <w:bodyDiv w:val="1"/>
      <w:marLeft w:val="0"/>
      <w:marRight w:val="0"/>
      <w:marTop w:val="0"/>
      <w:marBottom w:val="0"/>
      <w:divBdr>
        <w:top w:val="none" w:sz="0" w:space="0" w:color="auto"/>
        <w:left w:val="none" w:sz="0" w:space="0" w:color="auto"/>
        <w:bottom w:val="none" w:sz="0" w:space="0" w:color="auto"/>
        <w:right w:val="none" w:sz="0" w:space="0" w:color="auto"/>
      </w:divBdr>
    </w:div>
    <w:div w:id="463043402">
      <w:bodyDiv w:val="1"/>
      <w:marLeft w:val="0"/>
      <w:marRight w:val="0"/>
      <w:marTop w:val="0"/>
      <w:marBottom w:val="0"/>
      <w:divBdr>
        <w:top w:val="none" w:sz="0" w:space="0" w:color="auto"/>
        <w:left w:val="none" w:sz="0" w:space="0" w:color="auto"/>
        <w:bottom w:val="none" w:sz="0" w:space="0" w:color="auto"/>
        <w:right w:val="none" w:sz="0" w:space="0" w:color="auto"/>
      </w:divBdr>
    </w:div>
    <w:div w:id="475875482">
      <w:bodyDiv w:val="1"/>
      <w:marLeft w:val="0"/>
      <w:marRight w:val="0"/>
      <w:marTop w:val="0"/>
      <w:marBottom w:val="0"/>
      <w:divBdr>
        <w:top w:val="none" w:sz="0" w:space="0" w:color="auto"/>
        <w:left w:val="none" w:sz="0" w:space="0" w:color="auto"/>
        <w:bottom w:val="none" w:sz="0" w:space="0" w:color="auto"/>
        <w:right w:val="none" w:sz="0" w:space="0" w:color="auto"/>
      </w:divBdr>
    </w:div>
    <w:div w:id="488593061">
      <w:bodyDiv w:val="1"/>
      <w:marLeft w:val="0"/>
      <w:marRight w:val="0"/>
      <w:marTop w:val="0"/>
      <w:marBottom w:val="0"/>
      <w:divBdr>
        <w:top w:val="none" w:sz="0" w:space="0" w:color="auto"/>
        <w:left w:val="none" w:sz="0" w:space="0" w:color="auto"/>
        <w:bottom w:val="none" w:sz="0" w:space="0" w:color="auto"/>
        <w:right w:val="none" w:sz="0" w:space="0" w:color="auto"/>
      </w:divBdr>
    </w:div>
    <w:div w:id="488984637">
      <w:bodyDiv w:val="1"/>
      <w:marLeft w:val="0"/>
      <w:marRight w:val="0"/>
      <w:marTop w:val="0"/>
      <w:marBottom w:val="0"/>
      <w:divBdr>
        <w:top w:val="none" w:sz="0" w:space="0" w:color="auto"/>
        <w:left w:val="none" w:sz="0" w:space="0" w:color="auto"/>
        <w:bottom w:val="none" w:sz="0" w:space="0" w:color="auto"/>
        <w:right w:val="none" w:sz="0" w:space="0" w:color="auto"/>
      </w:divBdr>
    </w:div>
    <w:div w:id="490213797">
      <w:bodyDiv w:val="1"/>
      <w:marLeft w:val="0"/>
      <w:marRight w:val="0"/>
      <w:marTop w:val="0"/>
      <w:marBottom w:val="0"/>
      <w:divBdr>
        <w:top w:val="none" w:sz="0" w:space="0" w:color="auto"/>
        <w:left w:val="none" w:sz="0" w:space="0" w:color="auto"/>
        <w:bottom w:val="none" w:sz="0" w:space="0" w:color="auto"/>
        <w:right w:val="none" w:sz="0" w:space="0" w:color="auto"/>
      </w:divBdr>
    </w:div>
    <w:div w:id="513542666">
      <w:bodyDiv w:val="1"/>
      <w:marLeft w:val="0"/>
      <w:marRight w:val="0"/>
      <w:marTop w:val="0"/>
      <w:marBottom w:val="0"/>
      <w:divBdr>
        <w:top w:val="none" w:sz="0" w:space="0" w:color="auto"/>
        <w:left w:val="none" w:sz="0" w:space="0" w:color="auto"/>
        <w:bottom w:val="none" w:sz="0" w:space="0" w:color="auto"/>
        <w:right w:val="none" w:sz="0" w:space="0" w:color="auto"/>
      </w:divBdr>
    </w:div>
    <w:div w:id="523327450">
      <w:bodyDiv w:val="1"/>
      <w:marLeft w:val="0"/>
      <w:marRight w:val="0"/>
      <w:marTop w:val="0"/>
      <w:marBottom w:val="0"/>
      <w:divBdr>
        <w:top w:val="none" w:sz="0" w:space="0" w:color="auto"/>
        <w:left w:val="none" w:sz="0" w:space="0" w:color="auto"/>
        <w:bottom w:val="none" w:sz="0" w:space="0" w:color="auto"/>
        <w:right w:val="none" w:sz="0" w:space="0" w:color="auto"/>
      </w:divBdr>
    </w:div>
    <w:div w:id="526910028">
      <w:bodyDiv w:val="1"/>
      <w:marLeft w:val="0"/>
      <w:marRight w:val="0"/>
      <w:marTop w:val="0"/>
      <w:marBottom w:val="0"/>
      <w:divBdr>
        <w:top w:val="none" w:sz="0" w:space="0" w:color="auto"/>
        <w:left w:val="none" w:sz="0" w:space="0" w:color="auto"/>
        <w:bottom w:val="none" w:sz="0" w:space="0" w:color="auto"/>
        <w:right w:val="none" w:sz="0" w:space="0" w:color="auto"/>
      </w:divBdr>
    </w:div>
    <w:div w:id="541753068">
      <w:bodyDiv w:val="1"/>
      <w:marLeft w:val="0"/>
      <w:marRight w:val="0"/>
      <w:marTop w:val="0"/>
      <w:marBottom w:val="0"/>
      <w:divBdr>
        <w:top w:val="none" w:sz="0" w:space="0" w:color="auto"/>
        <w:left w:val="none" w:sz="0" w:space="0" w:color="auto"/>
        <w:bottom w:val="none" w:sz="0" w:space="0" w:color="auto"/>
        <w:right w:val="none" w:sz="0" w:space="0" w:color="auto"/>
      </w:divBdr>
    </w:div>
    <w:div w:id="554894815">
      <w:bodyDiv w:val="1"/>
      <w:marLeft w:val="0"/>
      <w:marRight w:val="0"/>
      <w:marTop w:val="0"/>
      <w:marBottom w:val="0"/>
      <w:divBdr>
        <w:top w:val="none" w:sz="0" w:space="0" w:color="auto"/>
        <w:left w:val="none" w:sz="0" w:space="0" w:color="auto"/>
        <w:bottom w:val="none" w:sz="0" w:space="0" w:color="auto"/>
        <w:right w:val="none" w:sz="0" w:space="0" w:color="auto"/>
      </w:divBdr>
    </w:div>
    <w:div w:id="564922307">
      <w:bodyDiv w:val="1"/>
      <w:marLeft w:val="0"/>
      <w:marRight w:val="0"/>
      <w:marTop w:val="0"/>
      <w:marBottom w:val="0"/>
      <w:divBdr>
        <w:top w:val="none" w:sz="0" w:space="0" w:color="auto"/>
        <w:left w:val="none" w:sz="0" w:space="0" w:color="auto"/>
        <w:bottom w:val="none" w:sz="0" w:space="0" w:color="auto"/>
        <w:right w:val="none" w:sz="0" w:space="0" w:color="auto"/>
      </w:divBdr>
    </w:div>
    <w:div w:id="570963048">
      <w:bodyDiv w:val="1"/>
      <w:marLeft w:val="0"/>
      <w:marRight w:val="0"/>
      <w:marTop w:val="0"/>
      <w:marBottom w:val="0"/>
      <w:divBdr>
        <w:top w:val="none" w:sz="0" w:space="0" w:color="auto"/>
        <w:left w:val="none" w:sz="0" w:space="0" w:color="auto"/>
        <w:bottom w:val="none" w:sz="0" w:space="0" w:color="auto"/>
        <w:right w:val="none" w:sz="0" w:space="0" w:color="auto"/>
      </w:divBdr>
    </w:div>
    <w:div w:id="571962178">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8558925">
      <w:bodyDiv w:val="1"/>
      <w:marLeft w:val="0"/>
      <w:marRight w:val="0"/>
      <w:marTop w:val="0"/>
      <w:marBottom w:val="0"/>
      <w:divBdr>
        <w:top w:val="none" w:sz="0" w:space="0" w:color="auto"/>
        <w:left w:val="none" w:sz="0" w:space="0" w:color="auto"/>
        <w:bottom w:val="none" w:sz="0" w:space="0" w:color="auto"/>
        <w:right w:val="none" w:sz="0" w:space="0" w:color="auto"/>
      </w:divBdr>
    </w:div>
    <w:div w:id="582228583">
      <w:bodyDiv w:val="1"/>
      <w:marLeft w:val="0"/>
      <w:marRight w:val="0"/>
      <w:marTop w:val="0"/>
      <w:marBottom w:val="0"/>
      <w:divBdr>
        <w:top w:val="none" w:sz="0" w:space="0" w:color="auto"/>
        <w:left w:val="none" w:sz="0" w:space="0" w:color="auto"/>
        <w:bottom w:val="none" w:sz="0" w:space="0" w:color="auto"/>
        <w:right w:val="none" w:sz="0" w:space="0" w:color="auto"/>
      </w:divBdr>
    </w:div>
    <w:div w:id="605892750">
      <w:bodyDiv w:val="1"/>
      <w:marLeft w:val="0"/>
      <w:marRight w:val="0"/>
      <w:marTop w:val="0"/>
      <w:marBottom w:val="0"/>
      <w:divBdr>
        <w:top w:val="none" w:sz="0" w:space="0" w:color="auto"/>
        <w:left w:val="none" w:sz="0" w:space="0" w:color="auto"/>
        <w:bottom w:val="none" w:sz="0" w:space="0" w:color="auto"/>
        <w:right w:val="none" w:sz="0" w:space="0" w:color="auto"/>
      </w:divBdr>
    </w:div>
    <w:div w:id="628508900">
      <w:bodyDiv w:val="1"/>
      <w:marLeft w:val="0"/>
      <w:marRight w:val="0"/>
      <w:marTop w:val="0"/>
      <w:marBottom w:val="0"/>
      <w:divBdr>
        <w:top w:val="none" w:sz="0" w:space="0" w:color="auto"/>
        <w:left w:val="none" w:sz="0" w:space="0" w:color="auto"/>
        <w:bottom w:val="none" w:sz="0" w:space="0" w:color="auto"/>
        <w:right w:val="none" w:sz="0" w:space="0" w:color="auto"/>
      </w:divBdr>
    </w:div>
    <w:div w:id="636646178">
      <w:bodyDiv w:val="1"/>
      <w:marLeft w:val="0"/>
      <w:marRight w:val="0"/>
      <w:marTop w:val="0"/>
      <w:marBottom w:val="0"/>
      <w:divBdr>
        <w:top w:val="none" w:sz="0" w:space="0" w:color="auto"/>
        <w:left w:val="none" w:sz="0" w:space="0" w:color="auto"/>
        <w:bottom w:val="none" w:sz="0" w:space="0" w:color="auto"/>
        <w:right w:val="none" w:sz="0" w:space="0" w:color="auto"/>
      </w:divBdr>
    </w:div>
    <w:div w:id="637733142">
      <w:bodyDiv w:val="1"/>
      <w:marLeft w:val="0"/>
      <w:marRight w:val="0"/>
      <w:marTop w:val="0"/>
      <w:marBottom w:val="0"/>
      <w:divBdr>
        <w:top w:val="none" w:sz="0" w:space="0" w:color="auto"/>
        <w:left w:val="none" w:sz="0" w:space="0" w:color="auto"/>
        <w:bottom w:val="none" w:sz="0" w:space="0" w:color="auto"/>
        <w:right w:val="none" w:sz="0" w:space="0" w:color="auto"/>
      </w:divBdr>
    </w:div>
    <w:div w:id="638219450">
      <w:bodyDiv w:val="1"/>
      <w:marLeft w:val="0"/>
      <w:marRight w:val="0"/>
      <w:marTop w:val="0"/>
      <w:marBottom w:val="0"/>
      <w:divBdr>
        <w:top w:val="none" w:sz="0" w:space="0" w:color="auto"/>
        <w:left w:val="none" w:sz="0" w:space="0" w:color="auto"/>
        <w:bottom w:val="none" w:sz="0" w:space="0" w:color="auto"/>
        <w:right w:val="none" w:sz="0" w:space="0" w:color="auto"/>
      </w:divBdr>
    </w:div>
    <w:div w:id="650599172">
      <w:bodyDiv w:val="1"/>
      <w:marLeft w:val="0"/>
      <w:marRight w:val="0"/>
      <w:marTop w:val="0"/>
      <w:marBottom w:val="0"/>
      <w:divBdr>
        <w:top w:val="none" w:sz="0" w:space="0" w:color="auto"/>
        <w:left w:val="none" w:sz="0" w:space="0" w:color="auto"/>
        <w:bottom w:val="none" w:sz="0" w:space="0" w:color="auto"/>
        <w:right w:val="none" w:sz="0" w:space="0" w:color="auto"/>
      </w:divBdr>
    </w:div>
    <w:div w:id="676275884">
      <w:bodyDiv w:val="1"/>
      <w:marLeft w:val="0"/>
      <w:marRight w:val="0"/>
      <w:marTop w:val="0"/>
      <w:marBottom w:val="0"/>
      <w:divBdr>
        <w:top w:val="none" w:sz="0" w:space="0" w:color="auto"/>
        <w:left w:val="none" w:sz="0" w:space="0" w:color="auto"/>
        <w:bottom w:val="none" w:sz="0" w:space="0" w:color="auto"/>
        <w:right w:val="none" w:sz="0" w:space="0" w:color="auto"/>
      </w:divBdr>
    </w:div>
    <w:div w:id="684013751">
      <w:bodyDiv w:val="1"/>
      <w:marLeft w:val="0"/>
      <w:marRight w:val="0"/>
      <w:marTop w:val="0"/>
      <w:marBottom w:val="0"/>
      <w:divBdr>
        <w:top w:val="none" w:sz="0" w:space="0" w:color="auto"/>
        <w:left w:val="none" w:sz="0" w:space="0" w:color="auto"/>
        <w:bottom w:val="none" w:sz="0" w:space="0" w:color="auto"/>
        <w:right w:val="none" w:sz="0" w:space="0" w:color="auto"/>
      </w:divBdr>
    </w:div>
    <w:div w:id="703554939">
      <w:bodyDiv w:val="1"/>
      <w:marLeft w:val="0"/>
      <w:marRight w:val="0"/>
      <w:marTop w:val="0"/>
      <w:marBottom w:val="0"/>
      <w:divBdr>
        <w:top w:val="none" w:sz="0" w:space="0" w:color="auto"/>
        <w:left w:val="none" w:sz="0" w:space="0" w:color="auto"/>
        <w:bottom w:val="none" w:sz="0" w:space="0" w:color="auto"/>
        <w:right w:val="none" w:sz="0" w:space="0" w:color="auto"/>
      </w:divBdr>
    </w:div>
    <w:div w:id="706374752">
      <w:bodyDiv w:val="1"/>
      <w:marLeft w:val="0"/>
      <w:marRight w:val="0"/>
      <w:marTop w:val="0"/>
      <w:marBottom w:val="0"/>
      <w:divBdr>
        <w:top w:val="none" w:sz="0" w:space="0" w:color="auto"/>
        <w:left w:val="none" w:sz="0" w:space="0" w:color="auto"/>
        <w:bottom w:val="none" w:sz="0" w:space="0" w:color="auto"/>
        <w:right w:val="none" w:sz="0" w:space="0" w:color="auto"/>
      </w:divBdr>
    </w:div>
    <w:div w:id="714622017">
      <w:bodyDiv w:val="1"/>
      <w:marLeft w:val="0"/>
      <w:marRight w:val="0"/>
      <w:marTop w:val="0"/>
      <w:marBottom w:val="0"/>
      <w:divBdr>
        <w:top w:val="none" w:sz="0" w:space="0" w:color="auto"/>
        <w:left w:val="none" w:sz="0" w:space="0" w:color="auto"/>
        <w:bottom w:val="none" w:sz="0" w:space="0" w:color="auto"/>
        <w:right w:val="none" w:sz="0" w:space="0" w:color="auto"/>
      </w:divBdr>
    </w:div>
    <w:div w:id="740522078">
      <w:bodyDiv w:val="1"/>
      <w:marLeft w:val="0"/>
      <w:marRight w:val="0"/>
      <w:marTop w:val="0"/>
      <w:marBottom w:val="0"/>
      <w:divBdr>
        <w:top w:val="none" w:sz="0" w:space="0" w:color="auto"/>
        <w:left w:val="none" w:sz="0" w:space="0" w:color="auto"/>
        <w:bottom w:val="none" w:sz="0" w:space="0" w:color="auto"/>
        <w:right w:val="none" w:sz="0" w:space="0" w:color="auto"/>
      </w:divBdr>
    </w:div>
    <w:div w:id="744033770">
      <w:bodyDiv w:val="1"/>
      <w:marLeft w:val="0"/>
      <w:marRight w:val="0"/>
      <w:marTop w:val="0"/>
      <w:marBottom w:val="0"/>
      <w:divBdr>
        <w:top w:val="none" w:sz="0" w:space="0" w:color="auto"/>
        <w:left w:val="none" w:sz="0" w:space="0" w:color="auto"/>
        <w:bottom w:val="none" w:sz="0" w:space="0" w:color="auto"/>
        <w:right w:val="none" w:sz="0" w:space="0" w:color="auto"/>
      </w:divBdr>
    </w:div>
    <w:div w:id="750855513">
      <w:bodyDiv w:val="1"/>
      <w:marLeft w:val="0"/>
      <w:marRight w:val="0"/>
      <w:marTop w:val="0"/>
      <w:marBottom w:val="0"/>
      <w:divBdr>
        <w:top w:val="none" w:sz="0" w:space="0" w:color="auto"/>
        <w:left w:val="none" w:sz="0" w:space="0" w:color="auto"/>
        <w:bottom w:val="none" w:sz="0" w:space="0" w:color="auto"/>
        <w:right w:val="none" w:sz="0" w:space="0" w:color="auto"/>
      </w:divBdr>
    </w:div>
    <w:div w:id="773404196">
      <w:bodyDiv w:val="1"/>
      <w:marLeft w:val="0"/>
      <w:marRight w:val="0"/>
      <w:marTop w:val="0"/>
      <w:marBottom w:val="0"/>
      <w:divBdr>
        <w:top w:val="none" w:sz="0" w:space="0" w:color="auto"/>
        <w:left w:val="none" w:sz="0" w:space="0" w:color="auto"/>
        <w:bottom w:val="none" w:sz="0" w:space="0" w:color="auto"/>
        <w:right w:val="none" w:sz="0" w:space="0" w:color="auto"/>
      </w:divBdr>
    </w:div>
    <w:div w:id="778718461">
      <w:bodyDiv w:val="1"/>
      <w:marLeft w:val="0"/>
      <w:marRight w:val="0"/>
      <w:marTop w:val="0"/>
      <w:marBottom w:val="0"/>
      <w:divBdr>
        <w:top w:val="none" w:sz="0" w:space="0" w:color="auto"/>
        <w:left w:val="none" w:sz="0" w:space="0" w:color="auto"/>
        <w:bottom w:val="none" w:sz="0" w:space="0" w:color="auto"/>
        <w:right w:val="none" w:sz="0" w:space="0" w:color="auto"/>
      </w:divBdr>
    </w:div>
    <w:div w:id="794181710">
      <w:bodyDiv w:val="1"/>
      <w:marLeft w:val="0"/>
      <w:marRight w:val="0"/>
      <w:marTop w:val="0"/>
      <w:marBottom w:val="0"/>
      <w:divBdr>
        <w:top w:val="none" w:sz="0" w:space="0" w:color="auto"/>
        <w:left w:val="none" w:sz="0" w:space="0" w:color="auto"/>
        <w:bottom w:val="none" w:sz="0" w:space="0" w:color="auto"/>
        <w:right w:val="none" w:sz="0" w:space="0" w:color="auto"/>
      </w:divBdr>
    </w:div>
    <w:div w:id="804853402">
      <w:bodyDiv w:val="1"/>
      <w:marLeft w:val="0"/>
      <w:marRight w:val="0"/>
      <w:marTop w:val="0"/>
      <w:marBottom w:val="0"/>
      <w:divBdr>
        <w:top w:val="none" w:sz="0" w:space="0" w:color="auto"/>
        <w:left w:val="none" w:sz="0" w:space="0" w:color="auto"/>
        <w:bottom w:val="none" w:sz="0" w:space="0" w:color="auto"/>
        <w:right w:val="none" w:sz="0" w:space="0" w:color="auto"/>
      </w:divBdr>
    </w:div>
    <w:div w:id="857157284">
      <w:bodyDiv w:val="1"/>
      <w:marLeft w:val="0"/>
      <w:marRight w:val="0"/>
      <w:marTop w:val="0"/>
      <w:marBottom w:val="0"/>
      <w:divBdr>
        <w:top w:val="none" w:sz="0" w:space="0" w:color="auto"/>
        <w:left w:val="none" w:sz="0" w:space="0" w:color="auto"/>
        <w:bottom w:val="none" w:sz="0" w:space="0" w:color="auto"/>
        <w:right w:val="none" w:sz="0" w:space="0" w:color="auto"/>
      </w:divBdr>
    </w:div>
    <w:div w:id="867377871">
      <w:bodyDiv w:val="1"/>
      <w:marLeft w:val="0"/>
      <w:marRight w:val="0"/>
      <w:marTop w:val="0"/>
      <w:marBottom w:val="0"/>
      <w:divBdr>
        <w:top w:val="none" w:sz="0" w:space="0" w:color="auto"/>
        <w:left w:val="none" w:sz="0" w:space="0" w:color="auto"/>
        <w:bottom w:val="none" w:sz="0" w:space="0" w:color="auto"/>
        <w:right w:val="none" w:sz="0" w:space="0" w:color="auto"/>
      </w:divBdr>
    </w:div>
    <w:div w:id="874804756">
      <w:bodyDiv w:val="1"/>
      <w:marLeft w:val="0"/>
      <w:marRight w:val="0"/>
      <w:marTop w:val="0"/>
      <w:marBottom w:val="0"/>
      <w:divBdr>
        <w:top w:val="none" w:sz="0" w:space="0" w:color="auto"/>
        <w:left w:val="none" w:sz="0" w:space="0" w:color="auto"/>
        <w:bottom w:val="none" w:sz="0" w:space="0" w:color="auto"/>
        <w:right w:val="none" w:sz="0" w:space="0" w:color="auto"/>
      </w:divBdr>
    </w:div>
    <w:div w:id="875510828">
      <w:bodyDiv w:val="1"/>
      <w:marLeft w:val="0"/>
      <w:marRight w:val="0"/>
      <w:marTop w:val="0"/>
      <w:marBottom w:val="0"/>
      <w:divBdr>
        <w:top w:val="none" w:sz="0" w:space="0" w:color="auto"/>
        <w:left w:val="none" w:sz="0" w:space="0" w:color="auto"/>
        <w:bottom w:val="none" w:sz="0" w:space="0" w:color="auto"/>
        <w:right w:val="none" w:sz="0" w:space="0" w:color="auto"/>
      </w:divBdr>
    </w:div>
    <w:div w:id="884171731">
      <w:bodyDiv w:val="1"/>
      <w:marLeft w:val="0"/>
      <w:marRight w:val="0"/>
      <w:marTop w:val="0"/>
      <w:marBottom w:val="0"/>
      <w:divBdr>
        <w:top w:val="none" w:sz="0" w:space="0" w:color="auto"/>
        <w:left w:val="none" w:sz="0" w:space="0" w:color="auto"/>
        <w:bottom w:val="none" w:sz="0" w:space="0" w:color="auto"/>
        <w:right w:val="none" w:sz="0" w:space="0" w:color="auto"/>
      </w:divBdr>
    </w:div>
    <w:div w:id="886337535">
      <w:bodyDiv w:val="1"/>
      <w:marLeft w:val="0"/>
      <w:marRight w:val="0"/>
      <w:marTop w:val="0"/>
      <w:marBottom w:val="0"/>
      <w:divBdr>
        <w:top w:val="none" w:sz="0" w:space="0" w:color="auto"/>
        <w:left w:val="none" w:sz="0" w:space="0" w:color="auto"/>
        <w:bottom w:val="none" w:sz="0" w:space="0" w:color="auto"/>
        <w:right w:val="none" w:sz="0" w:space="0" w:color="auto"/>
      </w:divBdr>
    </w:div>
    <w:div w:id="899708980">
      <w:bodyDiv w:val="1"/>
      <w:marLeft w:val="0"/>
      <w:marRight w:val="0"/>
      <w:marTop w:val="0"/>
      <w:marBottom w:val="0"/>
      <w:divBdr>
        <w:top w:val="none" w:sz="0" w:space="0" w:color="auto"/>
        <w:left w:val="none" w:sz="0" w:space="0" w:color="auto"/>
        <w:bottom w:val="none" w:sz="0" w:space="0" w:color="auto"/>
        <w:right w:val="none" w:sz="0" w:space="0" w:color="auto"/>
      </w:divBdr>
    </w:div>
    <w:div w:id="901208683">
      <w:bodyDiv w:val="1"/>
      <w:marLeft w:val="0"/>
      <w:marRight w:val="0"/>
      <w:marTop w:val="0"/>
      <w:marBottom w:val="0"/>
      <w:divBdr>
        <w:top w:val="none" w:sz="0" w:space="0" w:color="auto"/>
        <w:left w:val="none" w:sz="0" w:space="0" w:color="auto"/>
        <w:bottom w:val="none" w:sz="0" w:space="0" w:color="auto"/>
        <w:right w:val="none" w:sz="0" w:space="0" w:color="auto"/>
      </w:divBdr>
    </w:div>
    <w:div w:id="918178428">
      <w:bodyDiv w:val="1"/>
      <w:marLeft w:val="0"/>
      <w:marRight w:val="0"/>
      <w:marTop w:val="0"/>
      <w:marBottom w:val="0"/>
      <w:divBdr>
        <w:top w:val="none" w:sz="0" w:space="0" w:color="auto"/>
        <w:left w:val="none" w:sz="0" w:space="0" w:color="auto"/>
        <w:bottom w:val="none" w:sz="0" w:space="0" w:color="auto"/>
        <w:right w:val="none" w:sz="0" w:space="0" w:color="auto"/>
      </w:divBdr>
    </w:div>
    <w:div w:id="920022385">
      <w:bodyDiv w:val="1"/>
      <w:marLeft w:val="0"/>
      <w:marRight w:val="0"/>
      <w:marTop w:val="0"/>
      <w:marBottom w:val="0"/>
      <w:divBdr>
        <w:top w:val="none" w:sz="0" w:space="0" w:color="auto"/>
        <w:left w:val="none" w:sz="0" w:space="0" w:color="auto"/>
        <w:bottom w:val="none" w:sz="0" w:space="0" w:color="auto"/>
        <w:right w:val="none" w:sz="0" w:space="0" w:color="auto"/>
      </w:divBdr>
    </w:div>
    <w:div w:id="930234369">
      <w:bodyDiv w:val="1"/>
      <w:marLeft w:val="0"/>
      <w:marRight w:val="0"/>
      <w:marTop w:val="0"/>
      <w:marBottom w:val="0"/>
      <w:divBdr>
        <w:top w:val="none" w:sz="0" w:space="0" w:color="auto"/>
        <w:left w:val="none" w:sz="0" w:space="0" w:color="auto"/>
        <w:bottom w:val="none" w:sz="0" w:space="0" w:color="auto"/>
        <w:right w:val="none" w:sz="0" w:space="0" w:color="auto"/>
      </w:divBdr>
    </w:div>
    <w:div w:id="961693986">
      <w:bodyDiv w:val="1"/>
      <w:marLeft w:val="0"/>
      <w:marRight w:val="0"/>
      <w:marTop w:val="0"/>
      <w:marBottom w:val="0"/>
      <w:divBdr>
        <w:top w:val="none" w:sz="0" w:space="0" w:color="auto"/>
        <w:left w:val="none" w:sz="0" w:space="0" w:color="auto"/>
        <w:bottom w:val="none" w:sz="0" w:space="0" w:color="auto"/>
        <w:right w:val="none" w:sz="0" w:space="0" w:color="auto"/>
      </w:divBdr>
    </w:div>
    <w:div w:id="962730353">
      <w:bodyDiv w:val="1"/>
      <w:marLeft w:val="0"/>
      <w:marRight w:val="0"/>
      <w:marTop w:val="0"/>
      <w:marBottom w:val="0"/>
      <w:divBdr>
        <w:top w:val="none" w:sz="0" w:space="0" w:color="auto"/>
        <w:left w:val="none" w:sz="0" w:space="0" w:color="auto"/>
        <w:bottom w:val="none" w:sz="0" w:space="0" w:color="auto"/>
        <w:right w:val="none" w:sz="0" w:space="0" w:color="auto"/>
      </w:divBdr>
    </w:div>
    <w:div w:id="981881852">
      <w:bodyDiv w:val="1"/>
      <w:marLeft w:val="0"/>
      <w:marRight w:val="0"/>
      <w:marTop w:val="0"/>
      <w:marBottom w:val="0"/>
      <w:divBdr>
        <w:top w:val="none" w:sz="0" w:space="0" w:color="auto"/>
        <w:left w:val="none" w:sz="0" w:space="0" w:color="auto"/>
        <w:bottom w:val="none" w:sz="0" w:space="0" w:color="auto"/>
        <w:right w:val="none" w:sz="0" w:space="0" w:color="auto"/>
      </w:divBdr>
    </w:div>
    <w:div w:id="989208677">
      <w:bodyDiv w:val="1"/>
      <w:marLeft w:val="0"/>
      <w:marRight w:val="0"/>
      <w:marTop w:val="0"/>
      <w:marBottom w:val="0"/>
      <w:divBdr>
        <w:top w:val="none" w:sz="0" w:space="0" w:color="auto"/>
        <w:left w:val="none" w:sz="0" w:space="0" w:color="auto"/>
        <w:bottom w:val="none" w:sz="0" w:space="0" w:color="auto"/>
        <w:right w:val="none" w:sz="0" w:space="0" w:color="auto"/>
      </w:divBdr>
    </w:div>
    <w:div w:id="1002509457">
      <w:bodyDiv w:val="1"/>
      <w:marLeft w:val="0"/>
      <w:marRight w:val="0"/>
      <w:marTop w:val="0"/>
      <w:marBottom w:val="0"/>
      <w:divBdr>
        <w:top w:val="none" w:sz="0" w:space="0" w:color="auto"/>
        <w:left w:val="none" w:sz="0" w:space="0" w:color="auto"/>
        <w:bottom w:val="none" w:sz="0" w:space="0" w:color="auto"/>
        <w:right w:val="none" w:sz="0" w:space="0" w:color="auto"/>
      </w:divBdr>
    </w:div>
    <w:div w:id="1005549880">
      <w:bodyDiv w:val="1"/>
      <w:marLeft w:val="0"/>
      <w:marRight w:val="0"/>
      <w:marTop w:val="0"/>
      <w:marBottom w:val="0"/>
      <w:divBdr>
        <w:top w:val="none" w:sz="0" w:space="0" w:color="auto"/>
        <w:left w:val="none" w:sz="0" w:space="0" w:color="auto"/>
        <w:bottom w:val="none" w:sz="0" w:space="0" w:color="auto"/>
        <w:right w:val="none" w:sz="0" w:space="0" w:color="auto"/>
      </w:divBdr>
    </w:div>
    <w:div w:id="1007100637">
      <w:bodyDiv w:val="1"/>
      <w:marLeft w:val="0"/>
      <w:marRight w:val="0"/>
      <w:marTop w:val="0"/>
      <w:marBottom w:val="0"/>
      <w:divBdr>
        <w:top w:val="none" w:sz="0" w:space="0" w:color="auto"/>
        <w:left w:val="none" w:sz="0" w:space="0" w:color="auto"/>
        <w:bottom w:val="none" w:sz="0" w:space="0" w:color="auto"/>
        <w:right w:val="none" w:sz="0" w:space="0" w:color="auto"/>
      </w:divBdr>
    </w:div>
    <w:div w:id="1014503263">
      <w:bodyDiv w:val="1"/>
      <w:marLeft w:val="0"/>
      <w:marRight w:val="0"/>
      <w:marTop w:val="0"/>
      <w:marBottom w:val="0"/>
      <w:divBdr>
        <w:top w:val="none" w:sz="0" w:space="0" w:color="auto"/>
        <w:left w:val="none" w:sz="0" w:space="0" w:color="auto"/>
        <w:bottom w:val="none" w:sz="0" w:space="0" w:color="auto"/>
        <w:right w:val="none" w:sz="0" w:space="0" w:color="auto"/>
      </w:divBdr>
    </w:div>
    <w:div w:id="1039625378">
      <w:bodyDiv w:val="1"/>
      <w:marLeft w:val="0"/>
      <w:marRight w:val="0"/>
      <w:marTop w:val="0"/>
      <w:marBottom w:val="0"/>
      <w:divBdr>
        <w:top w:val="none" w:sz="0" w:space="0" w:color="auto"/>
        <w:left w:val="none" w:sz="0" w:space="0" w:color="auto"/>
        <w:bottom w:val="none" w:sz="0" w:space="0" w:color="auto"/>
        <w:right w:val="none" w:sz="0" w:space="0" w:color="auto"/>
      </w:divBdr>
    </w:div>
    <w:div w:id="1045908670">
      <w:bodyDiv w:val="1"/>
      <w:marLeft w:val="0"/>
      <w:marRight w:val="0"/>
      <w:marTop w:val="0"/>
      <w:marBottom w:val="0"/>
      <w:divBdr>
        <w:top w:val="none" w:sz="0" w:space="0" w:color="auto"/>
        <w:left w:val="none" w:sz="0" w:space="0" w:color="auto"/>
        <w:bottom w:val="none" w:sz="0" w:space="0" w:color="auto"/>
        <w:right w:val="none" w:sz="0" w:space="0" w:color="auto"/>
      </w:divBdr>
    </w:div>
    <w:div w:id="1049106376">
      <w:bodyDiv w:val="1"/>
      <w:marLeft w:val="0"/>
      <w:marRight w:val="0"/>
      <w:marTop w:val="0"/>
      <w:marBottom w:val="0"/>
      <w:divBdr>
        <w:top w:val="none" w:sz="0" w:space="0" w:color="auto"/>
        <w:left w:val="none" w:sz="0" w:space="0" w:color="auto"/>
        <w:bottom w:val="none" w:sz="0" w:space="0" w:color="auto"/>
        <w:right w:val="none" w:sz="0" w:space="0" w:color="auto"/>
      </w:divBdr>
    </w:div>
    <w:div w:id="1050032684">
      <w:bodyDiv w:val="1"/>
      <w:marLeft w:val="0"/>
      <w:marRight w:val="0"/>
      <w:marTop w:val="0"/>
      <w:marBottom w:val="0"/>
      <w:divBdr>
        <w:top w:val="none" w:sz="0" w:space="0" w:color="auto"/>
        <w:left w:val="none" w:sz="0" w:space="0" w:color="auto"/>
        <w:bottom w:val="none" w:sz="0" w:space="0" w:color="auto"/>
        <w:right w:val="none" w:sz="0" w:space="0" w:color="auto"/>
      </w:divBdr>
    </w:div>
    <w:div w:id="1051071583">
      <w:bodyDiv w:val="1"/>
      <w:marLeft w:val="0"/>
      <w:marRight w:val="0"/>
      <w:marTop w:val="0"/>
      <w:marBottom w:val="0"/>
      <w:divBdr>
        <w:top w:val="none" w:sz="0" w:space="0" w:color="auto"/>
        <w:left w:val="none" w:sz="0" w:space="0" w:color="auto"/>
        <w:bottom w:val="none" w:sz="0" w:space="0" w:color="auto"/>
        <w:right w:val="none" w:sz="0" w:space="0" w:color="auto"/>
      </w:divBdr>
    </w:div>
    <w:div w:id="1064335227">
      <w:bodyDiv w:val="1"/>
      <w:marLeft w:val="0"/>
      <w:marRight w:val="0"/>
      <w:marTop w:val="0"/>
      <w:marBottom w:val="0"/>
      <w:divBdr>
        <w:top w:val="none" w:sz="0" w:space="0" w:color="auto"/>
        <w:left w:val="none" w:sz="0" w:space="0" w:color="auto"/>
        <w:bottom w:val="none" w:sz="0" w:space="0" w:color="auto"/>
        <w:right w:val="none" w:sz="0" w:space="0" w:color="auto"/>
      </w:divBdr>
    </w:div>
    <w:div w:id="1068379194">
      <w:bodyDiv w:val="1"/>
      <w:marLeft w:val="0"/>
      <w:marRight w:val="0"/>
      <w:marTop w:val="0"/>
      <w:marBottom w:val="0"/>
      <w:divBdr>
        <w:top w:val="none" w:sz="0" w:space="0" w:color="auto"/>
        <w:left w:val="none" w:sz="0" w:space="0" w:color="auto"/>
        <w:bottom w:val="none" w:sz="0" w:space="0" w:color="auto"/>
        <w:right w:val="none" w:sz="0" w:space="0" w:color="auto"/>
      </w:divBdr>
    </w:div>
    <w:div w:id="1068383017">
      <w:bodyDiv w:val="1"/>
      <w:marLeft w:val="0"/>
      <w:marRight w:val="0"/>
      <w:marTop w:val="0"/>
      <w:marBottom w:val="0"/>
      <w:divBdr>
        <w:top w:val="none" w:sz="0" w:space="0" w:color="auto"/>
        <w:left w:val="none" w:sz="0" w:space="0" w:color="auto"/>
        <w:bottom w:val="none" w:sz="0" w:space="0" w:color="auto"/>
        <w:right w:val="none" w:sz="0" w:space="0" w:color="auto"/>
      </w:divBdr>
    </w:div>
    <w:div w:id="1090662440">
      <w:bodyDiv w:val="1"/>
      <w:marLeft w:val="0"/>
      <w:marRight w:val="0"/>
      <w:marTop w:val="0"/>
      <w:marBottom w:val="0"/>
      <w:divBdr>
        <w:top w:val="none" w:sz="0" w:space="0" w:color="auto"/>
        <w:left w:val="none" w:sz="0" w:space="0" w:color="auto"/>
        <w:bottom w:val="none" w:sz="0" w:space="0" w:color="auto"/>
        <w:right w:val="none" w:sz="0" w:space="0" w:color="auto"/>
      </w:divBdr>
    </w:div>
    <w:div w:id="1104349240">
      <w:bodyDiv w:val="1"/>
      <w:marLeft w:val="0"/>
      <w:marRight w:val="0"/>
      <w:marTop w:val="0"/>
      <w:marBottom w:val="0"/>
      <w:divBdr>
        <w:top w:val="none" w:sz="0" w:space="0" w:color="auto"/>
        <w:left w:val="none" w:sz="0" w:space="0" w:color="auto"/>
        <w:bottom w:val="none" w:sz="0" w:space="0" w:color="auto"/>
        <w:right w:val="none" w:sz="0" w:space="0" w:color="auto"/>
      </w:divBdr>
    </w:div>
    <w:div w:id="1107577795">
      <w:bodyDiv w:val="1"/>
      <w:marLeft w:val="0"/>
      <w:marRight w:val="0"/>
      <w:marTop w:val="0"/>
      <w:marBottom w:val="0"/>
      <w:divBdr>
        <w:top w:val="none" w:sz="0" w:space="0" w:color="auto"/>
        <w:left w:val="none" w:sz="0" w:space="0" w:color="auto"/>
        <w:bottom w:val="none" w:sz="0" w:space="0" w:color="auto"/>
        <w:right w:val="none" w:sz="0" w:space="0" w:color="auto"/>
      </w:divBdr>
    </w:div>
    <w:div w:id="1109665136">
      <w:bodyDiv w:val="1"/>
      <w:marLeft w:val="0"/>
      <w:marRight w:val="0"/>
      <w:marTop w:val="0"/>
      <w:marBottom w:val="0"/>
      <w:divBdr>
        <w:top w:val="none" w:sz="0" w:space="0" w:color="auto"/>
        <w:left w:val="none" w:sz="0" w:space="0" w:color="auto"/>
        <w:bottom w:val="none" w:sz="0" w:space="0" w:color="auto"/>
        <w:right w:val="none" w:sz="0" w:space="0" w:color="auto"/>
      </w:divBdr>
    </w:div>
    <w:div w:id="1164782928">
      <w:bodyDiv w:val="1"/>
      <w:marLeft w:val="0"/>
      <w:marRight w:val="0"/>
      <w:marTop w:val="0"/>
      <w:marBottom w:val="0"/>
      <w:divBdr>
        <w:top w:val="none" w:sz="0" w:space="0" w:color="auto"/>
        <w:left w:val="none" w:sz="0" w:space="0" w:color="auto"/>
        <w:bottom w:val="none" w:sz="0" w:space="0" w:color="auto"/>
        <w:right w:val="none" w:sz="0" w:space="0" w:color="auto"/>
      </w:divBdr>
    </w:div>
    <w:div w:id="1166477794">
      <w:bodyDiv w:val="1"/>
      <w:marLeft w:val="0"/>
      <w:marRight w:val="0"/>
      <w:marTop w:val="0"/>
      <w:marBottom w:val="0"/>
      <w:divBdr>
        <w:top w:val="none" w:sz="0" w:space="0" w:color="auto"/>
        <w:left w:val="none" w:sz="0" w:space="0" w:color="auto"/>
        <w:bottom w:val="none" w:sz="0" w:space="0" w:color="auto"/>
        <w:right w:val="none" w:sz="0" w:space="0" w:color="auto"/>
      </w:divBdr>
    </w:div>
    <w:div w:id="1185561581">
      <w:bodyDiv w:val="1"/>
      <w:marLeft w:val="0"/>
      <w:marRight w:val="0"/>
      <w:marTop w:val="0"/>
      <w:marBottom w:val="0"/>
      <w:divBdr>
        <w:top w:val="none" w:sz="0" w:space="0" w:color="auto"/>
        <w:left w:val="none" w:sz="0" w:space="0" w:color="auto"/>
        <w:bottom w:val="none" w:sz="0" w:space="0" w:color="auto"/>
        <w:right w:val="none" w:sz="0" w:space="0" w:color="auto"/>
      </w:divBdr>
    </w:div>
    <w:div w:id="1193691728">
      <w:bodyDiv w:val="1"/>
      <w:marLeft w:val="0"/>
      <w:marRight w:val="0"/>
      <w:marTop w:val="0"/>
      <w:marBottom w:val="0"/>
      <w:divBdr>
        <w:top w:val="none" w:sz="0" w:space="0" w:color="auto"/>
        <w:left w:val="none" w:sz="0" w:space="0" w:color="auto"/>
        <w:bottom w:val="none" w:sz="0" w:space="0" w:color="auto"/>
        <w:right w:val="none" w:sz="0" w:space="0" w:color="auto"/>
      </w:divBdr>
    </w:div>
    <w:div w:id="1200166615">
      <w:bodyDiv w:val="1"/>
      <w:marLeft w:val="0"/>
      <w:marRight w:val="0"/>
      <w:marTop w:val="0"/>
      <w:marBottom w:val="0"/>
      <w:divBdr>
        <w:top w:val="none" w:sz="0" w:space="0" w:color="auto"/>
        <w:left w:val="none" w:sz="0" w:space="0" w:color="auto"/>
        <w:bottom w:val="none" w:sz="0" w:space="0" w:color="auto"/>
        <w:right w:val="none" w:sz="0" w:space="0" w:color="auto"/>
      </w:divBdr>
    </w:div>
    <w:div w:id="1212613582">
      <w:bodyDiv w:val="1"/>
      <w:marLeft w:val="0"/>
      <w:marRight w:val="0"/>
      <w:marTop w:val="0"/>
      <w:marBottom w:val="0"/>
      <w:divBdr>
        <w:top w:val="none" w:sz="0" w:space="0" w:color="auto"/>
        <w:left w:val="none" w:sz="0" w:space="0" w:color="auto"/>
        <w:bottom w:val="none" w:sz="0" w:space="0" w:color="auto"/>
        <w:right w:val="none" w:sz="0" w:space="0" w:color="auto"/>
      </w:divBdr>
    </w:div>
    <w:div w:id="1216698960">
      <w:bodyDiv w:val="1"/>
      <w:marLeft w:val="0"/>
      <w:marRight w:val="0"/>
      <w:marTop w:val="0"/>
      <w:marBottom w:val="0"/>
      <w:divBdr>
        <w:top w:val="none" w:sz="0" w:space="0" w:color="auto"/>
        <w:left w:val="none" w:sz="0" w:space="0" w:color="auto"/>
        <w:bottom w:val="none" w:sz="0" w:space="0" w:color="auto"/>
        <w:right w:val="none" w:sz="0" w:space="0" w:color="auto"/>
      </w:divBdr>
    </w:div>
    <w:div w:id="1248340371">
      <w:bodyDiv w:val="1"/>
      <w:marLeft w:val="0"/>
      <w:marRight w:val="0"/>
      <w:marTop w:val="0"/>
      <w:marBottom w:val="0"/>
      <w:divBdr>
        <w:top w:val="none" w:sz="0" w:space="0" w:color="auto"/>
        <w:left w:val="none" w:sz="0" w:space="0" w:color="auto"/>
        <w:bottom w:val="none" w:sz="0" w:space="0" w:color="auto"/>
        <w:right w:val="none" w:sz="0" w:space="0" w:color="auto"/>
      </w:divBdr>
    </w:div>
    <w:div w:id="1251280710">
      <w:bodyDiv w:val="1"/>
      <w:marLeft w:val="0"/>
      <w:marRight w:val="0"/>
      <w:marTop w:val="0"/>
      <w:marBottom w:val="0"/>
      <w:divBdr>
        <w:top w:val="none" w:sz="0" w:space="0" w:color="auto"/>
        <w:left w:val="none" w:sz="0" w:space="0" w:color="auto"/>
        <w:bottom w:val="none" w:sz="0" w:space="0" w:color="auto"/>
        <w:right w:val="none" w:sz="0" w:space="0" w:color="auto"/>
      </w:divBdr>
    </w:div>
    <w:div w:id="1255631306">
      <w:bodyDiv w:val="1"/>
      <w:marLeft w:val="0"/>
      <w:marRight w:val="0"/>
      <w:marTop w:val="0"/>
      <w:marBottom w:val="0"/>
      <w:divBdr>
        <w:top w:val="none" w:sz="0" w:space="0" w:color="auto"/>
        <w:left w:val="none" w:sz="0" w:space="0" w:color="auto"/>
        <w:bottom w:val="none" w:sz="0" w:space="0" w:color="auto"/>
        <w:right w:val="none" w:sz="0" w:space="0" w:color="auto"/>
      </w:divBdr>
    </w:div>
    <w:div w:id="1259025494">
      <w:bodyDiv w:val="1"/>
      <w:marLeft w:val="0"/>
      <w:marRight w:val="0"/>
      <w:marTop w:val="0"/>
      <w:marBottom w:val="0"/>
      <w:divBdr>
        <w:top w:val="none" w:sz="0" w:space="0" w:color="auto"/>
        <w:left w:val="none" w:sz="0" w:space="0" w:color="auto"/>
        <w:bottom w:val="none" w:sz="0" w:space="0" w:color="auto"/>
        <w:right w:val="none" w:sz="0" w:space="0" w:color="auto"/>
      </w:divBdr>
    </w:div>
    <w:div w:id="1278684142">
      <w:bodyDiv w:val="1"/>
      <w:marLeft w:val="0"/>
      <w:marRight w:val="0"/>
      <w:marTop w:val="0"/>
      <w:marBottom w:val="0"/>
      <w:divBdr>
        <w:top w:val="none" w:sz="0" w:space="0" w:color="auto"/>
        <w:left w:val="none" w:sz="0" w:space="0" w:color="auto"/>
        <w:bottom w:val="none" w:sz="0" w:space="0" w:color="auto"/>
        <w:right w:val="none" w:sz="0" w:space="0" w:color="auto"/>
      </w:divBdr>
    </w:div>
    <w:div w:id="1280720843">
      <w:bodyDiv w:val="1"/>
      <w:marLeft w:val="0"/>
      <w:marRight w:val="0"/>
      <w:marTop w:val="0"/>
      <w:marBottom w:val="0"/>
      <w:divBdr>
        <w:top w:val="none" w:sz="0" w:space="0" w:color="auto"/>
        <w:left w:val="none" w:sz="0" w:space="0" w:color="auto"/>
        <w:bottom w:val="none" w:sz="0" w:space="0" w:color="auto"/>
        <w:right w:val="none" w:sz="0" w:space="0" w:color="auto"/>
      </w:divBdr>
    </w:div>
    <w:div w:id="1284070078">
      <w:bodyDiv w:val="1"/>
      <w:marLeft w:val="0"/>
      <w:marRight w:val="0"/>
      <w:marTop w:val="0"/>
      <w:marBottom w:val="0"/>
      <w:divBdr>
        <w:top w:val="none" w:sz="0" w:space="0" w:color="auto"/>
        <w:left w:val="none" w:sz="0" w:space="0" w:color="auto"/>
        <w:bottom w:val="none" w:sz="0" w:space="0" w:color="auto"/>
        <w:right w:val="none" w:sz="0" w:space="0" w:color="auto"/>
      </w:divBdr>
    </w:div>
    <w:div w:id="1303074788">
      <w:bodyDiv w:val="1"/>
      <w:marLeft w:val="0"/>
      <w:marRight w:val="0"/>
      <w:marTop w:val="0"/>
      <w:marBottom w:val="0"/>
      <w:divBdr>
        <w:top w:val="none" w:sz="0" w:space="0" w:color="auto"/>
        <w:left w:val="none" w:sz="0" w:space="0" w:color="auto"/>
        <w:bottom w:val="none" w:sz="0" w:space="0" w:color="auto"/>
        <w:right w:val="none" w:sz="0" w:space="0" w:color="auto"/>
      </w:divBdr>
    </w:div>
    <w:div w:id="1318727722">
      <w:bodyDiv w:val="1"/>
      <w:marLeft w:val="0"/>
      <w:marRight w:val="0"/>
      <w:marTop w:val="0"/>
      <w:marBottom w:val="0"/>
      <w:divBdr>
        <w:top w:val="none" w:sz="0" w:space="0" w:color="auto"/>
        <w:left w:val="none" w:sz="0" w:space="0" w:color="auto"/>
        <w:bottom w:val="none" w:sz="0" w:space="0" w:color="auto"/>
        <w:right w:val="none" w:sz="0" w:space="0" w:color="auto"/>
      </w:divBdr>
    </w:div>
    <w:div w:id="1324969679">
      <w:bodyDiv w:val="1"/>
      <w:marLeft w:val="0"/>
      <w:marRight w:val="0"/>
      <w:marTop w:val="0"/>
      <w:marBottom w:val="0"/>
      <w:divBdr>
        <w:top w:val="none" w:sz="0" w:space="0" w:color="auto"/>
        <w:left w:val="none" w:sz="0" w:space="0" w:color="auto"/>
        <w:bottom w:val="none" w:sz="0" w:space="0" w:color="auto"/>
        <w:right w:val="none" w:sz="0" w:space="0" w:color="auto"/>
      </w:divBdr>
    </w:div>
    <w:div w:id="1334138569">
      <w:bodyDiv w:val="1"/>
      <w:marLeft w:val="0"/>
      <w:marRight w:val="0"/>
      <w:marTop w:val="0"/>
      <w:marBottom w:val="0"/>
      <w:divBdr>
        <w:top w:val="none" w:sz="0" w:space="0" w:color="auto"/>
        <w:left w:val="none" w:sz="0" w:space="0" w:color="auto"/>
        <w:bottom w:val="none" w:sz="0" w:space="0" w:color="auto"/>
        <w:right w:val="none" w:sz="0" w:space="0" w:color="auto"/>
      </w:divBdr>
    </w:div>
    <w:div w:id="1334145407">
      <w:bodyDiv w:val="1"/>
      <w:marLeft w:val="0"/>
      <w:marRight w:val="0"/>
      <w:marTop w:val="0"/>
      <w:marBottom w:val="0"/>
      <w:divBdr>
        <w:top w:val="none" w:sz="0" w:space="0" w:color="auto"/>
        <w:left w:val="none" w:sz="0" w:space="0" w:color="auto"/>
        <w:bottom w:val="none" w:sz="0" w:space="0" w:color="auto"/>
        <w:right w:val="none" w:sz="0" w:space="0" w:color="auto"/>
      </w:divBdr>
    </w:div>
    <w:div w:id="1350915698">
      <w:bodyDiv w:val="1"/>
      <w:marLeft w:val="0"/>
      <w:marRight w:val="0"/>
      <w:marTop w:val="0"/>
      <w:marBottom w:val="0"/>
      <w:divBdr>
        <w:top w:val="none" w:sz="0" w:space="0" w:color="auto"/>
        <w:left w:val="none" w:sz="0" w:space="0" w:color="auto"/>
        <w:bottom w:val="none" w:sz="0" w:space="0" w:color="auto"/>
        <w:right w:val="none" w:sz="0" w:space="0" w:color="auto"/>
      </w:divBdr>
    </w:div>
    <w:div w:id="1361275864">
      <w:bodyDiv w:val="1"/>
      <w:marLeft w:val="0"/>
      <w:marRight w:val="0"/>
      <w:marTop w:val="0"/>
      <w:marBottom w:val="0"/>
      <w:divBdr>
        <w:top w:val="none" w:sz="0" w:space="0" w:color="auto"/>
        <w:left w:val="none" w:sz="0" w:space="0" w:color="auto"/>
        <w:bottom w:val="none" w:sz="0" w:space="0" w:color="auto"/>
        <w:right w:val="none" w:sz="0" w:space="0" w:color="auto"/>
      </w:divBdr>
    </w:div>
    <w:div w:id="1369723611">
      <w:bodyDiv w:val="1"/>
      <w:marLeft w:val="0"/>
      <w:marRight w:val="0"/>
      <w:marTop w:val="0"/>
      <w:marBottom w:val="0"/>
      <w:divBdr>
        <w:top w:val="none" w:sz="0" w:space="0" w:color="auto"/>
        <w:left w:val="none" w:sz="0" w:space="0" w:color="auto"/>
        <w:bottom w:val="none" w:sz="0" w:space="0" w:color="auto"/>
        <w:right w:val="none" w:sz="0" w:space="0" w:color="auto"/>
      </w:divBdr>
    </w:div>
    <w:div w:id="1372001725">
      <w:bodyDiv w:val="1"/>
      <w:marLeft w:val="0"/>
      <w:marRight w:val="0"/>
      <w:marTop w:val="0"/>
      <w:marBottom w:val="0"/>
      <w:divBdr>
        <w:top w:val="none" w:sz="0" w:space="0" w:color="auto"/>
        <w:left w:val="none" w:sz="0" w:space="0" w:color="auto"/>
        <w:bottom w:val="none" w:sz="0" w:space="0" w:color="auto"/>
        <w:right w:val="none" w:sz="0" w:space="0" w:color="auto"/>
      </w:divBdr>
    </w:div>
    <w:div w:id="1373462239">
      <w:bodyDiv w:val="1"/>
      <w:marLeft w:val="0"/>
      <w:marRight w:val="0"/>
      <w:marTop w:val="0"/>
      <w:marBottom w:val="0"/>
      <w:divBdr>
        <w:top w:val="none" w:sz="0" w:space="0" w:color="auto"/>
        <w:left w:val="none" w:sz="0" w:space="0" w:color="auto"/>
        <w:bottom w:val="none" w:sz="0" w:space="0" w:color="auto"/>
        <w:right w:val="none" w:sz="0" w:space="0" w:color="auto"/>
      </w:divBdr>
    </w:div>
    <w:div w:id="1374305811">
      <w:bodyDiv w:val="1"/>
      <w:marLeft w:val="0"/>
      <w:marRight w:val="0"/>
      <w:marTop w:val="0"/>
      <w:marBottom w:val="0"/>
      <w:divBdr>
        <w:top w:val="none" w:sz="0" w:space="0" w:color="auto"/>
        <w:left w:val="none" w:sz="0" w:space="0" w:color="auto"/>
        <w:bottom w:val="none" w:sz="0" w:space="0" w:color="auto"/>
        <w:right w:val="none" w:sz="0" w:space="0" w:color="auto"/>
      </w:divBdr>
    </w:div>
    <w:div w:id="1374622542">
      <w:bodyDiv w:val="1"/>
      <w:marLeft w:val="0"/>
      <w:marRight w:val="0"/>
      <w:marTop w:val="0"/>
      <w:marBottom w:val="0"/>
      <w:divBdr>
        <w:top w:val="none" w:sz="0" w:space="0" w:color="auto"/>
        <w:left w:val="none" w:sz="0" w:space="0" w:color="auto"/>
        <w:bottom w:val="none" w:sz="0" w:space="0" w:color="auto"/>
        <w:right w:val="none" w:sz="0" w:space="0" w:color="auto"/>
      </w:divBdr>
    </w:div>
    <w:div w:id="1396467466">
      <w:bodyDiv w:val="1"/>
      <w:marLeft w:val="0"/>
      <w:marRight w:val="0"/>
      <w:marTop w:val="0"/>
      <w:marBottom w:val="0"/>
      <w:divBdr>
        <w:top w:val="none" w:sz="0" w:space="0" w:color="auto"/>
        <w:left w:val="none" w:sz="0" w:space="0" w:color="auto"/>
        <w:bottom w:val="none" w:sz="0" w:space="0" w:color="auto"/>
        <w:right w:val="none" w:sz="0" w:space="0" w:color="auto"/>
      </w:divBdr>
    </w:div>
    <w:div w:id="1411849106">
      <w:bodyDiv w:val="1"/>
      <w:marLeft w:val="0"/>
      <w:marRight w:val="0"/>
      <w:marTop w:val="0"/>
      <w:marBottom w:val="0"/>
      <w:divBdr>
        <w:top w:val="none" w:sz="0" w:space="0" w:color="auto"/>
        <w:left w:val="none" w:sz="0" w:space="0" w:color="auto"/>
        <w:bottom w:val="none" w:sz="0" w:space="0" w:color="auto"/>
        <w:right w:val="none" w:sz="0" w:space="0" w:color="auto"/>
      </w:divBdr>
    </w:div>
    <w:div w:id="1413745851">
      <w:bodyDiv w:val="1"/>
      <w:marLeft w:val="0"/>
      <w:marRight w:val="0"/>
      <w:marTop w:val="0"/>
      <w:marBottom w:val="0"/>
      <w:divBdr>
        <w:top w:val="none" w:sz="0" w:space="0" w:color="auto"/>
        <w:left w:val="none" w:sz="0" w:space="0" w:color="auto"/>
        <w:bottom w:val="none" w:sz="0" w:space="0" w:color="auto"/>
        <w:right w:val="none" w:sz="0" w:space="0" w:color="auto"/>
      </w:divBdr>
    </w:div>
    <w:div w:id="1431580388">
      <w:bodyDiv w:val="1"/>
      <w:marLeft w:val="0"/>
      <w:marRight w:val="0"/>
      <w:marTop w:val="0"/>
      <w:marBottom w:val="0"/>
      <w:divBdr>
        <w:top w:val="none" w:sz="0" w:space="0" w:color="auto"/>
        <w:left w:val="none" w:sz="0" w:space="0" w:color="auto"/>
        <w:bottom w:val="none" w:sz="0" w:space="0" w:color="auto"/>
        <w:right w:val="none" w:sz="0" w:space="0" w:color="auto"/>
      </w:divBdr>
    </w:div>
    <w:div w:id="1452629676">
      <w:bodyDiv w:val="1"/>
      <w:marLeft w:val="0"/>
      <w:marRight w:val="0"/>
      <w:marTop w:val="0"/>
      <w:marBottom w:val="0"/>
      <w:divBdr>
        <w:top w:val="none" w:sz="0" w:space="0" w:color="auto"/>
        <w:left w:val="none" w:sz="0" w:space="0" w:color="auto"/>
        <w:bottom w:val="none" w:sz="0" w:space="0" w:color="auto"/>
        <w:right w:val="none" w:sz="0" w:space="0" w:color="auto"/>
      </w:divBdr>
    </w:div>
    <w:div w:id="1454207151">
      <w:bodyDiv w:val="1"/>
      <w:marLeft w:val="0"/>
      <w:marRight w:val="0"/>
      <w:marTop w:val="0"/>
      <w:marBottom w:val="0"/>
      <w:divBdr>
        <w:top w:val="none" w:sz="0" w:space="0" w:color="auto"/>
        <w:left w:val="none" w:sz="0" w:space="0" w:color="auto"/>
        <w:bottom w:val="none" w:sz="0" w:space="0" w:color="auto"/>
        <w:right w:val="none" w:sz="0" w:space="0" w:color="auto"/>
      </w:divBdr>
    </w:div>
    <w:div w:id="1460491005">
      <w:bodyDiv w:val="1"/>
      <w:marLeft w:val="0"/>
      <w:marRight w:val="0"/>
      <w:marTop w:val="0"/>
      <w:marBottom w:val="0"/>
      <w:divBdr>
        <w:top w:val="none" w:sz="0" w:space="0" w:color="auto"/>
        <w:left w:val="none" w:sz="0" w:space="0" w:color="auto"/>
        <w:bottom w:val="none" w:sz="0" w:space="0" w:color="auto"/>
        <w:right w:val="none" w:sz="0" w:space="0" w:color="auto"/>
      </w:divBdr>
    </w:div>
    <w:div w:id="1460613048">
      <w:bodyDiv w:val="1"/>
      <w:marLeft w:val="0"/>
      <w:marRight w:val="0"/>
      <w:marTop w:val="0"/>
      <w:marBottom w:val="0"/>
      <w:divBdr>
        <w:top w:val="none" w:sz="0" w:space="0" w:color="auto"/>
        <w:left w:val="none" w:sz="0" w:space="0" w:color="auto"/>
        <w:bottom w:val="none" w:sz="0" w:space="0" w:color="auto"/>
        <w:right w:val="none" w:sz="0" w:space="0" w:color="auto"/>
      </w:divBdr>
    </w:div>
    <w:div w:id="1467507366">
      <w:bodyDiv w:val="1"/>
      <w:marLeft w:val="0"/>
      <w:marRight w:val="0"/>
      <w:marTop w:val="0"/>
      <w:marBottom w:val="0"/>
      <w:divBdr>
        <w:top w:val="none" w:sz="0" w:space="0" w:color="auto"/>
        <w:left w:val="none" w:sz="0" w:space="0" w:color="auto"/>
        <w:bottom w:val="none" w:sz="0" w:space="0" w:color="auto"/>
        <w:right w:val="none" w:sz="0" w:space="0" w:color="auto"/>
      </w:divBdr>
    </w:div>
    <w:div w:id="1472284135">
      <w:bodyDiv w:val="1"/>
      <w:marLeft w:val="0"/>
      <w:marRight w:val="0"/>
      <w:marTop w:val="0"/>
      <w:marBottom w:val="0"/>
      <w:divBdr>
        <w:top w:val="none" w:sz="0" w:space="0" w:color="auto"/>
        <w:left w:val="none" w:sz="0" w:space="0" w:color="auto"/>
        <w:bottom w:val="none" w:sz="0" w:space="0" w:color="auto"/>
        <w:right w:val="none" w:sz="0" w:space="0" w:color="auto"/>
      </w:divBdr>
    </w:div>
    <w:div w:id="1498880074">
      <w:bodyDiv w:val="1"/>
      <w:marLeft w:val="0"/>
      <w:marRight w:val="0"/>
      <w:marTop w:val="0"/>
      <w:marBottom w:val="0"/>
      <w:divBdr>
        <w:top w:val="none" w:sz="0" w:space="0" w:color="auto"/>
        <w:left w:val="none" w:sz="0" w:space="0" w:color="auto"/>
        <w:bottom w:val="none" w:sz="0" w:space="0" w:color="auto"/>
        <w:right w:val="none" w:sz="0" w:space="0" w:color="auto"/>
      </w:divBdr>
    </w:div>
    <w:div w:id="1504515639">
      <w:bodyDiv w:val="1"/>
      <w:marLeft w:val="0"/>
      <w:marRight w:val="0"/>
      <w:marTop w:val="0"/>
      <w:marBottom w:val="0"/>
      <w:divBdr>
        <w:top w:val="none" w:sz="0" w:space="0" w:color="auto"/>
        <w:left w:val="none" w:sz="0" w:space="0" w:color="auto"/>
        <w:bottom w:val="none" w:sz="0" w:space="0" w:color="auto"/>
        <w:right w:val="none" w:sz="0" w:space="0" w:color="auto"/>
      </w:divBdr>
    </w:div>
    <w:div w:id="1508784503">
      <w:bodyDiv w:val="1"/>
      <w:marLeft w:val="0"/>
      <w:marRight w:val="0"/>
      <w:marTop w:val="0"/>
      <w:marBottom w:val="0"/>
      <w:divBdr>
        <w:top w:val="none" w:sz="0" w:space="0" w:color="auto"/>
        <w:left w:val="none" w:sz="0" w:space="0" w:color="auto"/>
        <w:bottom w:val="none" w:sz="0" w:space="0" w:color="auto"/>
        <w:right w:val="none" w:sz="0" w:space="0" w:color="auto"/>
      </w:divBdr>
    </w:div>
    <w:div w:id="1509563104">
      <w:bodyDiv w:val="1"/>
      <w:marLeft w:val="0"/>
      <w:marRight w:val="0"/>
      <w:marTop w:val="0"/>
      <w:marBottom w:val="0"/>
      <w:divBdr>
        <w:top w:val="none" w:sz="0" w:space="0" w:color="auto"/>
        <w:left w:val="none" w:sz="0" w:space="0" w:color="auto"/>
        <w:bottom w:val="none" w:sz="0" w:space="0" w:color="auto"/>
        <w:right w:val="none" w:sz="0" w:space="0" w:color="auto"/>
      </w:divBdr>
    </w:div>
    <w:div w:id="1523204308">
      <w:bodyDiv w:val="1"/>
      <w:marLeft w:val="0"/>
      <w:marRight w:val="0"/>
      <w:marTop w:val="0"/>
      <w:marBottom w:val="0"/>
      <w:divBdr>
        <w:top w:val="none" w:sz="0" w:space="0" w:color="auto"/>
        <w:left w:val="none" w:sz="0" w:space="0" w:color="auto"/>
        <w:bottom w:val="none" w:sz="0" w:space="0" w:color="auto"/>
        <w:right w:val="none" w:sz="0" w:space="0" w:color="auto"/>
      </w:divBdr>
    </w:div>
    <w:div w:id="1528636458">
      <w:bodyDiv w:val="1"/>
      <w:marLeft w:val="0"/>
      <w:marRight w:val="0"/>
      <w:marTop w:val="0"/>
      <w:marBottom w:val="0"/>
      <w:divBdr>
        <w:top w:val="none" w:sz="0" w:space="0" w:color="auto"/>
        <w:left w:val="none" w:sz="0" w:space="0" w:color="auto"/>
        <w:bottom w:val="none" w:sz="0" w:space="0" w:color="auto"/>
        <w:right w:val="none" w:sz="0" w:space="0" w:color="auto"/>
      </w:divBdr>
    </w:div>
    <w:div w:id="1538393259">
      <w:bodyDiv w:val="1"/>
      <w:marLeft w:val="0"/>
      <w:marRight w:val="0"/>
      <w:marTop w:val="0"/>
      <w:marBottom w:val="0"/>
      <w:divBdr>
        <w:top w:val="none" w:sz="0" w:space="0" w:color="auto"/>
        <w:left w:val="none" w:sz="0" w:space="0" w:color="auto"/>
        <w:bottom w:val="none" w:sz="0" w:space="0" w:color="auto"/>
        <w:right w:val="none" w:sz="0" w:space="0" w:color="auto"/>
      </w:divBdr>
    </w:div>
    <w:div w:id="1544169847">
      <w:bodyDiv w:val="1"/>
      <w:marLeft w:val="0"/>
      <w:marRight w:val="0"/>
      <w:marTop w:val="0"/>
      <w:marBottom w:val="0"/>
      <w:divBdr>
        <w:top w:val="none" w:sz="0" w:space="0" w:color="auto"/>
        <w:left w:val="none" w:sz="0" w:space="0" w:color="auto"/>
        <w:bottom w:val="none" w:sz="0" w:space="0" w:color="auto"/>
        <w:right w:val="none" w:sz="0" w:space="0" w:color="auto"/>
      </w:divBdr>
    </w:div>
    <w:div w:id="1552227211">
      <w:bodyDiv w:val="1"/>
      <w:marLeft w:val="0"/>
      <w:marRight w:val="0"/>
      <w:marTop w:val="0"/>
      <w:marBottom w:val="0"/>
      <w:divBdr>
        <w:top w:val="none" w:sz="0" w:space="0" w:color="auto"/>
        <w:left w:val="none" w:sz="0" w:space="0" w:color="auto"/>
        <w:bottom w:val="none" w:sz="0" w:space="0" w:color="auto"/>
        <w:right w:val="none" w:sz="0" w:space="0" w:color="auto"/>
      </w:divBdr>
    </w:div>
    <w:div w:id="1558201447">
      <w:bodyDiv w:val="1"/>
      <w:marLeft w:val="0"/>
      <w:marRight w:val="0"/>
      <w:marTop w:val="0"/>
      <w:marBottom w:val="0"/>
      <w:divBdr>
        <w:top w:val="none" w:sz="0" w:space="0" w:color="auto"/>
        <w:left w:val="none" w:sz="0" w:space="0" w:color="auto"/>
        <w:bottom w:val="none" w:sz="0" w:space="0" w:color="auto"/>
        <w:right w:val="none" w:sz="0" w:space="0" w:color="auto"/>
      </w:divBdr>
    </w:div>
    <w:div w:id="1561750562">
      <w:bodyDiv w:val="1"/>
      <w:marLeft w:val="0"/>
      <w:marRight w:val="0"/>
      <w:marTop w:val="0"/>
      <w:marBottom w:val="0"/>
      <w:divBdr>
        <w:top w:val="none" w:sz="0" w:space="0" w:color="auto"/>
        <w:left w:val="none" w:sz="0" w:space="0" w:color="auto"/>
        <w:bottom w:val="none" w:sz="0" w:space="0" w:color="auto"/>
        <w:right w:val="none" w:sz="0" w:space="0" w:color="auto"/>
      </w:divBdr>
    </w:div>
    <w:div w:id="1563061037">
      <w:bodyDiv w:val="1"/>
      <w:marLeft w:val="0"/>
      <w:marRight w:val="0"/>
      <w:marTop w:val="0"/>
      <w:marBottom w:val="0"/>
      <w:divBdr>
        <w:top w:val="none" w:sz="0" w:space="0" w:color="auto"/>
        <w:left w:val="none" w:sz="0" w:space="0" w:color="auto"/>
        <w:bottom w:val="none" w:sz="0" w:space="0" w:color="auto"/>
        <w:right w:val="none" w:sz="0" w:space="0" w:color="auto"/>
      </w:divBdr>
    </w:div>
    <w:div w:id="1570380529">
      <w:bodyDiv w:val="1"/>
      <w:marLeft w:val="0"/>
      <w:marRight w:val="0"/>
      <w:marTop w:val="0"/>
      <w:marBottom w:val="0"/>
      <w:divBdr>
        <w:top w:val="none" w:sz="0" w:space="0" w:color="auto"/>
        <w:left w:val="none" w:sz="0" w:space="0" w:color="auto"/>
        <w:bottom w:val="none" w:sz="0" w:space="0" w:color="auto"/>
        <w:right w:val="none" w:sz="0" w:space="0" w:color="auto"/>
      </w:divBdr>
    </w:div>
    <w:div w:id="1578249714">
      <w:bodyDiv w:val="1"/>
      <w:marLeft w:val="0"/>
      <w:marRight w:val="0"/>
      <w:marTop w:val="0"/>
      <w:marBottom w:val="0"/>
      <w:divBdr>
        <w:top w:val="none" w:sz="0" w:space="0" w:color="auto"/>
        <w:left w:val="none" w:sz="0" w:space="0" w:color="auto"/>
        <w:bottom w:val="none" w:sz="0" w:space="0" w:color="auto"/>
        <w:right w:val="none" w:sz="0" w:space="0" w:color="auto"/>
      </w:divBdr>
    </w:div>
    <w:div w:id="1578592033">
      <w:bodyDiv w:val="1"/>
      <w:marLeft w:val="0"/>
      <w:marRight w:val="0"/>
      <w:marTop w:val="0"/>
      <w:marBottom w:val="0"/>
      <w:divBdr>
        <w:top w:val="none" w:sz="0" w:space="0" w:color="auto"/>
        <w:left w:val="none" w:sz="0" w:space="0" w:color="auto"/>
        <w:bottom w:val="none" w:sz="0" w:space="0" w:color="auto"/>
        <w:right w:val="none" w:sz="0" w:space="0" w:color="auto"/>
      </w:divBdr>
    </w:div>
    <w:div w:id="1589271847">
      <w:bodyDiv w:val="1"/>
      <w:marLeft w:val="0"/>
      <w:marRight w:val="0"/>
      <w:marTop w:val="0"/>
      <w:marBottom w:val="0"/>
      <w:divBdr>
        <w:top w:val="none" w:sz="0" w:space="0" w:color="auto"/>
        <w:left w:val="none" w:sz="0" w:space="0" w:color="auto"/>
        <w:bottom w:val="none" w:sz="0" w:space="0" w:color="auto"/>
        <w:right w:val="none" w:sz="0" w:space="0" w:color="auto"/>
      </w:divBdr>
    </w:div>
    <w:div w:id="1591307360">
      <w:bodyDiv w:val="1"/>
      <w:marLeft w:val="0"/>
      <w:marRight w:val="0"/>
      <w:marTop w:val="0"/>
      <w:marBottom w:val="0"/>
      <w:divBdr>
        <w:top w:val="none" w:sz="0" w:space="0" w:color="auto"/>
        <w:left w:val="none" w:sz="0" w:space="0" w:color="auto"/>
        <w:bottom w:val="none" w:sz="0" w:space="0" w:color="auto"/>
        <w:right w:val="none" w:sz="0" w:space="0" w:color="auto"/>
      </w:divBdr>
    </w:div>
    <w:div w:id="1603952080">
      <w:bodyDiv w:val="1"/>
      <w:marLeft w:val="0"/>
      <w:marRight w:val="0"/>
      <w:marTop w:val="0"/>
      <w:marBottom w:val="0"/>
      <w:divBdr>
        <w:top w:val="none" w:sz="0" w:space="0" w:color="auto"/>
        <w:left w:val="none" w:sz="0" w:space="0" w:color="auto"/>
        <w:bottom w:val="none" w:sz="0" w:space="0" w:color="auto"/>
        <w:right w:val="none" w:sz="0" w:space="0" w:color="auto"/>
      </w:divBdr>
    </w:div>
    <w:div w:id="1617981816">
      <w:bodyDiv w:val="1"/>
      <w:marLeft w:val="0"/>
      <w:marRight w:val="0"/>
      <w:marTop w:val="0"/>
      <w:marBottom w:val="0"/>
      <w:divBdr>
        <w:top w:val="none" w:sz="0" w:space="0" w:color="auto"/>
        <w:left w:val="none" w:sz="0" w:space="0" w:color="auto"/>
        <w:bottom w:val="none" w:sz="0" w:space="0" w:color="auto"/>
        <w:right w:val="none" w:sz="0" w:space="0" w:color="auto"/>
      </w:divBdr>
    </w:div>
    <w:div w:id="1619800148">
      <w:bodyDiv w:val="1"/>
      <w:marLeft w:val="0"/>
      <w:marRight w:val="0"/>
      <w:marTop w:val="0"/>
      <w:marBottom w:val="0"/>
      <w:divBdr>
        <w:top w:val="none" w:sz="0" w:space="0" w:color="auto"/>
        <w:left w:val="none" w:sz="0" w:space="0" w:color="auto"/>
        <w:bottom w:val="none" w:sz="0" w:space="0" w:color="auto"/>
        <w:right w:val="none" w:sz="0" w:space="0" w:color="auto"/>
      </w:divBdr>
    </w:div>
    <w:div w:id="1620407091">
      <w:bodyDiv w:val="1"/>
      <w:marLeft w:val="0"/>
      <w:marRight w:val="0"/>
      <w:marTop w:val="0"/>
      <w:marBottom w:val="0"/>
      <w:divBdr>
        <w:top w:val="none" w:sz="0" w:space="0" w:color="auto"/>
        <w:left w:val="none" w:sz="0" w:space="0" w:color="auto"/>
        <w:bottom w:val="none" w:sz="0" w:space="0" w:color="auto"/>
        <w:right w:val="none" w:sz="0" w:space="0" w:color="auto"/>
      </w:divBdr>
    </w:div>
    <w:div w:id="1638754171">
      <w:bodyDiv w:val="1"/>
      <w:marLeft w:val="0"/>
      <w:marRight w:val="0"/>
      <w:marTop w:val="0"/>
      <w:marBottom w:val="0"/>
      <w:divBdr>
        <w:top w:val="none" w:sz="0" w:space="0" w:color="auto"/>
        <w:left w:val="none" w:sz="0" w:space="0" w:color="auto"/>
        <w:bottom w:val="none" w:sz="0" w:space="0" w:color="auto"/>
        <w:right w:val="none" w:sz="0" w:space="0" w:color="auto"/>
      </w:divBdr>
    </w:div>
    <w:div w:id="1645619185">
      <w:bodyDiv w:val="1"/>
      <w:marLeft w:val="0"/>
      <w:marRight w:val="0"/>
      <w:marTop w:val="0"/>
      <w:marBottom w:val="0"/>
      <w:divBdr>
        <w:top w:val="none" w:sz="0" w:space="0" w:color="auto"/>
        <w:left w:val="none" w:sz="0" w:space="0" w:color="auto"/>
        <w:bottom w:val="none" w:sz="0" w:space="0" w:color="auto"/>
        <w:right w:val="none" w:sz="0" w:space="0" w:color="auto"/>
      </w:divBdr>
    </w:div>
    <w:div w:id="1664775012">
      <w:bodyDiv w:val="1"/>
      <w:marLeft w:val="0"/>
      <w:marRight w:val="0"/>
      <w:marTop w:val="0"/>
      <w:marBottom w:val="0"/>
      <w:divBdr>
        <w:top w:val="none" w:sz="0" w:space="0" w:color="auto"/>
        <w:left w:val="none" w:sz="0" w:space="0" w:color="auto"/>
        <w:bottom w:val="none" w:sz="0" w:space="0" w:color="auto"/>
        <w:right w:val="none" w:sz="0" w:space="0" w:color="auto"/>
      </w:divBdr>
    </w:div>
    <w:div w:id="1678582684">
      <w:bodyDiv w:val="1"/>
      <w:marLeft w:val="0"/>
      <w:marRight w:val="0"/>
      <w:marTop w:val="0"/>
      <w:marBottom w:val="0"/>
      <w:divBdr>
        <w:top w:val="none" w:sz="0" w:space="0" w:color="auto"/>
        <w:left w:val="none" w:sz="0" w:space="0" w:color="auto"/>
        <w:bottom w:val="none" w:sz="0" w:space="0" w:color="auto"/>
        <w:right w:val="none" w:sz="0" w:space="0" w:color="auto"/>
      </w:divBdr>
    </w:div>
    <w:div w:id="1683824056">
      <w:bodyDiv w:val="1"/>
      <w:marLeft w:val="0"/>
      <w:marRight w:val="0"/>
      <w:marTop w:val="0"/>
      <w:marBottom w:val="0"/>
      <w:divBdr>
        <w:top w:val="none" w:sz="0" w:space="0" w:color="auto"/>
        <w:left w:val="none" w:sz="0" w:space="0" w:color="auto"/>
        <w:bottom w:val="none" w:sz="0" w:space="0" w:color="auto"/>
        <w:right w:val="none" w:sz="0" w:space="0" w:color="auto"/>
      </w:divBdr>
    </w:div>
    <w:div w:id="1689063770">
      <w:bodyDiv w:val="1"/>
      <w:marLeft w:val="0"/>
      <w:marRight w:val="0"/>
      <w:marTop w:val="0"/>
      <w:marBottom w:val="0"/>
      <w:divBdr>
        <w:top w:val="none" w:sz="0" w:space="0" w:color="auto"/>
        <w:left w:val="none" w:sz="0" w:space="0" w:color="auto"/>
        <w:bottom w:val="none" w:sz="0" w:space="0" w:color="auto"/>
        <w:right w:val="none" w:sz="0" w:space="0" w:color="auto"/>
      </w:divBdr>
    </w:div>
    <w:div w:id="1694963565">
      <w:bodyDiv w:val="1"/>
      <w:marLeft w:val="0"/>
      <w:marRight w:val="0"/>
      <w:marTop w:val="0"/>
      <w:marBottom w:val="0"/>
      <w:divBdr>
        <w:top w:val="none" w:sz="0" w:space="0" w:color="auto"/>
        <w:left w:val="none" w:sz="0" w:space="0" w:color="auto"/>
        <w:bottom w:val="none" w:sz="0" w:space="0" w:color="auto"/>
        <w:right w:val="none" w:sz="0" w:space="0" w:color="auto"/>
      </w:divBdr>
    </w:div>
    <w:div w:id="1695421649">
      <w:bodyDiv w:val="1"/>
      <w:marLeft w:val="0"/>
      <w:marRight w:val="0"/>
      <w:marTop w:val="0"/>
      <w:marBottom w:val="0"/>
      <w:divBdr>
        <w:top w:val="none" w:sz="0" w:space="0" w:color="auto"/>
        <w:left w:val="none" w:sz="0" w:space="0" w:color="auto"/>
        <w:bottom w:val="none" w:sz="0" w:space="0" w:color="auto"/>
        <w:right w:val="none" w:sz="0" w:space="0" w:color="auto"/>
      </w:divBdr>
    </w:div>
    <w:div w:id="1696998861">
      <w:bodyDiv w:val="1"/>
      <w:marLeft w:val="0"/>
      <w:marRight w:val="0"/>
      <w:marTop w:val="0"/>
      <w:marBottom w:val="0"/>
      <w:divBdr>
        <w:top w:val="none" w:sz="0" w:space="0" w:color="auto"/>
        <w:left w:val="none" w:sz="0" w:space="0" w:color="auto"/>
        <w:bottom w:val="none" w:sz="0" w:space="0" w:color="auto"/>
        <w:right w:val="none" w:sz="0" w:space="0" w:color="auto"/>
      </w:divBdr>
    </w:div>
    <w:div w:id="1703284200">
      <w:bodyDiv w:val="1"/>
      <w:marLeft w:val="0"/>
      <w:marRight w:val="0"/>
      <w:marTop w:val="0"/>
      <w:marBottom w:val="0"/>
      <w:divBdr>
        <w:top w:val="none" w:sz="0" w:space="0" w:color="auto"/>
        <w:left w:val="none" w:sz="0" w:space="0" w:color="auto"/>
        <w:bottom w:val="none" w:sz="0" w:space="0" w:color="auto"/>
        <w:right w:val="none" w:sz="0" w:space="0" w:color="auto"/>
      </w:divBdr>
    </w:div>
    <w:div w:id="1712073107">
      <w:bodyDiv w:val="1"/>
      <w:marLeft w:val="0"/>
      <w:marRight w:val="0"/>
      <w:marTop w:val="0"/>
      <w:marBottom w:val="0"/>
      <w:divBdr>
        <w:top w:val="none" w:sz="0" w:space="0" w:color="auto"/>
        <w:left w:val="none" w:sz="0" w:space="0" w:color="auto"/>
        <w:bottom w:val="none" w:sz="0" w:space="0" w:color="auto"/>
        <w:right w:val="none" w:sz="0" w:space="0" w:color="auto"/>
      </w:divBdr>
    </w:div>
    <w:div w:id="1714889607">
      <w:bodyDiv w:val="1"/>
      <w:marLeft w:val="0"/>
      <w:marRight w:val="0"/>
      <w:marTop w:val="0"/>
      <w:marBottom w:val="0"/>
      <w:divBdr>
        <w:top w:val="none" w:sz="0" w:space="0" w:color="auto"/>
        <w:left w:val="none" w:sz="0" w:space="0" w:color="auto"/>
        <w:bottom w:val="none" w:sz="0" w:space="0" w:color="auto"/>
        <w:right w:val="none" w:sz="0" w:space="0" w:color="auto"/>
      </w:divBdr>
    </w:div>
    <w:div w:id="1720931430">
      <w:bodyDiv w:val="1"/>
      <w:marLeft w:val="0"/>
      <w:marRight w:val="0"/>
      <w:marTop w:val="0"/>
      <w:marBottom w:val="0"/>
      <w:divBdr>
        <w:top w:val="none" w:sz="0" w:space="0" w:color="auto"/>
        <w:left w:val="none" w:sz="0" w:space="0" w:color="auto"/>
        <w:bottom w:val="none" w:sz="0" w:space="0" w:color="auto"/>
        <w:right w:val="none" w:sz="0" w:space="0" w:color="auto"/>
      </w:divBdr>
    </w:div>
    <w:div w:id="1729186900">
      <w:bodyDiv w:val="1"/>
      <w:marLeft w:val="0"/>
      <w:marRight w:val="0"/>
      <w:marTop w:val="0"/>
      <w:marBottom w:val="0"/>
      <w:divBdr>
        <w:top w:val="none" w:sz="0" w:space="0" w:color="auto"/>
        <w:left w:val="none" w:sz="0" w:space="0" w:color="auto"/>
        <w:bottom w:val="none" w:sz="0" w:space="0" w:color="auto"/>
        <w:right w:val="none" w:sz="0" w:space="0" w:color="auto"/>
      </w:divBdr>
    </w:div>
    <w:div w:id="1737045614">
      <w:bodyDiv w:val="1"/>
      <w:marLeft w:val="0"/>
      <w:marRight w:val="0"/>
      <w:marTop w:val="0"/>
      <w:marBottom w:val="0"/>
      <w:divBdr>
        <w:top w:val="none" w:sz="0" w:space="0" w:color="auto"/>
        <w:left w:val="none" w:sz="0" w:space="0" w:color="auto"/>
        <w:bottom w:val="none" w:sz="0" w:space="0" w:color="auto"/>
        <w:right w:val="none" w:sz="0" w:space="0" w:color="auto"/>
      </w:divBdr>
    </w:div>
    <w:div w:id="1740203756">
      <w:bodyDiv w:val="1"/>
      <w:marLeft w:val="0"/>
      <w:marRight w:val="0"/>
      <w:marTop w:val="0"/>
      <w:marBottom w:val="0"/>
      <w:divBdr>
        <w:top w:val="none" w:sz="0" w:space="0" w:color="auto"/>
        <w:left w:val="none" w:sz="0" w:space="0" w:color="auto"/>
        <w:bottom w:val="none" w:sz="0" w:space="0" w:color="auto"/>
        <w:right w:val="none" w:sz="0" w:space="0" w:color="auto"/>
      </w:divBdr>
    </w:div>
    <w:div w:id="1740865521">
      <w:bodyDiv w:val="1"/>
      <w:marLeft w:val="0"/>
      <w:marRight w:val="0"/>
      <w:marTop w:val="0"/>
      <w:marBottom w:val="0"/>
      <w:divBdr>
        <w:top w:val="none" w:sz="0" w:space="0" w:color="auto"/>
        <w:left w:val="none" w:sz="0" w:space="0" w:color="auto"/>
        <w:bottom w:val="none" w:sz="0" w:space="0" w:color="auto"/>
        <w:right w:val="none" w:sz="0" w:space="0" w:color="auto"/>
      </w:divBdr>
    </w:div>
    <w:div w:id="1746219454">
      <w:bodyDiv w:val="1"/>
      <w:marLeft w:val="0"/>
      <w:marRight w:val="0"/>
      <w:marTop w:val="0"/>
      <w:marBottom w:val="0"/>
      <w:divBdr>
        <w:top w:val="none" w:sz="0" w:space="0" w:color="auto"/>
        <w:left w:val="none" w:sz="0" w:space="0" w:color="auto"/>
        <w:bottom w:val="none" w:sz="0" w:space="0" w:color="auto"/>
        <w:right w:val="none" w:sz="0" w:space="0" w:color="auto"/>
      </w:divBdr>
    </w:div>
    <w:div w:id="1756628666">
      <w:bodyDiv w:val="1"/>
      <w:marLeft w:val="0"/>
      <w:marRight w:val="0"/>
      <w:marTop w:val="0"/>
      <w:marBottom w:val="0"/>
      <w:divBdr>
        <w:top w:val="none" w:sz="0" w:space="0" w:color="auto"/>
        <w:left w:val="none" w:sz="0" w:space="0" w:color="auto"/>
        <w:bottom w:val="none" w:sz="0" w:space="0" w:color="auto"/>
        <w:right w:val="none" w:sz="0" w:space="0" w:color="auto"/>
      </w:divBdr>
    </w:div>
    <w:div w:id="1762530575">
      <w:bodyDiv w:val="1"/>
      <w:marLeft w:val="0"/>
      <w:marRight w:val="0"/>
      <w:marTop w:val="0"/>
      <w:marBottom w:val="0"/>
      <w:divBdr>
        <w:top w:val="none" w:sz="0" w:space="0" w:color="auto"/>
        <w:left w:val="none" w:sz="0" w:space="0" w:color="auto"/>
        <w:bottom w:val="none" w:sz="0" w:space="0" w:color="auto"/>
        <w:right w:val="none" w:sz="0" w:space="0" w:color="auto"/>
      </w:divBdr>
    </w:div>
    <w:div w:id="1765109269">
      <w:bodyDiv w:val="1"/>
      <w:marLeft w:val="0"/>
      <w:marRight w:val="0"/>
      <w:marTop w:val="0"/>
      <w:marBottom w:val="0"/>
      <w:divBdr>
        <w:top w:val="none" w:sz="0" w:space="0" w:color="auto"/>
        <w:left w:val="none" w:sz="0" w:space="0" w:color="auto"/>
        <w:bottom w:val="none" w:sz="0" w:space="0" w:color="auto"/>
        <w:right w:val="none" w:sz="0" w:space="0" w:color="auto"/>
      </w:divBdr>
    </w:div>
    <w:div w:id="1793941949">
      <w:bodyDiv w:val="1"/>
      <w:marLeft w:val="0"/>
      <w:marRight w:val="0"/>
      <w:marTop w:val="0"/>
      <w:marBottom w:val="0"/>
      <w:divBdr>
        <w:top w:val="none" w:sz="0" w:space="0" w:color="auto"/>
        <w:left w:val="none" w:sz="0" w:space="0" w:color="auto"/>
        <w:bottom w:val="none" w:sz="0" w:space="0" w:color="auto"/>
        <w:right w:val="none" w:sz="0" w:space="0" w:color="auto"/>
      </w:divBdr>
    </w:div>
    <w:div w:id="1794514656">
      <w:bodyDiv w:val="1"/>
      <w:marLeft w:val="0"/>
      <w:marRight w:val="0"/>
      <w:marTop w:val="0"/>
      <w:marBottom w:val="0"/>
      <w:divBdr>
        <w:top w:val="none" w:sz="0" w:space="0" w:color="auto"/>
        <w:left w:val="none" w:sz="0" w:space="0" w:color="auto"/>
        <w:bottom w:val="none" w:sz="0" w:space="0" w:color="auto"/>
        <w:right w:val="none" w:sz="0" w:space="0" w:color="auto"/>
      </w:divBdr>
    </w:div>
    <w:div w:id="1805734531">
      <w:bodyDiv w:val="1"/>
      <w:marLeft w:val="0"/>
      <w:marRight w:val="0"/>
      <w:marTop w:val="0"/>
      <w:marBottom w:val="0"/>
      <w:divBdr>
        <w:top w:val="none" w:sz="0" w:space="0" w:color="auto"/>
        <w:left w:val="none" w:sz="0" w:space="0" w:color="auto"/>
        <w:bottom w:val="none" w:sz="0" w:space="0" w:color="auto"/>
        <w:right w:val="none" w:sz="0" w:space="0" w:color="auto"/>
      </w:divBdr>
    </w:div>
    <w:div w:id="1810510254">
      <w:bodyDiv w:val="1"/>
      <w:marLeft w:val="0"/>
      <w:marRight w:val="0"/>
      <w:marTop w:val="0"/>
      <w:marBottom w:val="0"/>
      <w:divBdr>
        <w:top w:val="none" w:sz="0" w:space="0" w:color="auto"/>
        <w:left w:val="none" w:sz="0" w:space="0" w:color="auto"/>
        <w:bottom w:val="none" w:sz="0" w:space="0" w:color="auto"/>
        <w:right w:val="none" w:sz="0" w:space="0" w:color="auto"/>
      </w:divBdr>
    </w:div>
    <w:div w:id="1810781981">
      <w:bodyDiv w:val="1"/>
      <w:marLeft w:val="0"/>
      <w:marRight w:val="0"/>
      <w:marTop w:val="0"/>
      <w:marBottom w:val="0"/>
      <w:divBdr>
        <w:top w:val="none" w:sz="0" w:space="0" w:color="auto"/>
        <w:left w:val="none" w:sz="0" w:space="0" w:color="auto"/>
        <w:bottom w:val="none" w:sz="0" w:space="0" w:color="auto"/>
        <w:right w:val="none" w:sz="0" w:space="0" w:color="auto"/>
      </w:divBdr>
    </w:div>
    <w:div w:id="1813250889">
      <w:bodyDiv w:val="1"/>
      <w:marLeft w:val="0"/>
      <w:marRight w:val="0"/>
      <w:marTop w:val="0"/>
      <w:marBottom w:val="0"/>
      <w:divBdr>
        <w:top w:val="none" w:sz="0" w:space="0" w:color="auto"/>
        <w:left w:val="none" w:sz="0" w:space="0" w:color="auto"/>
        <w:bottom w:val="none" w:sz="0" w:space="0" w:color="auto"/>
        <w:right w:val="none" w:sz="0" w:space="0" w:color="auto"/>
      </w:divBdr>
    </w:div>
    <w:div w:id="1816138795">
      <w:bodyDiv w:val="1"/>
      <w:marLeft w:val="0"/>
      <w:marRight w:val="0"/>
      <w:marTop w:val="0"/>
      <w:marBottom w:val="0"/>
      <w:divBdr>
        <w:top w:val="none" w:sz="0" w:space="0" w:color="auto"/>
        <w:left w:val="none" w:sz="0" w:space="0" w:color="auto"/>
        <w:bottom w:val="none" w:sz="0" w:space="0" w:color="auto"/>
        <w:right w:val="none" w:sz="0" w:space="0" w:color="auto"/>
      </w:divBdr>
    </w:div>
    <w:div w:id="1838812034">
      <w:bodyDiv w:val="1"/>
      <w:marLeft w:val="0"/>
      <w:marRight w:val="0"/>
      <w:marTop w:val="0"/>
      <w:marBottom w:val="0"/>
      <w:divBdr>
        <w:top w:val="none" w:sz="0" w:space="0" w:color="auto"/>
        <w:left w:val="none" w:sz="0" w:space="0" w:color="auto"/>
        <w:bottom w:val="none" w:sz="0" w:space="0" w:color="auto"/>
        <w:right w:val="none" w:sz="0" w:space="0" w:color="auto"/>
      </w:divBdr>
    </w:div>
    <w:div w:id="1843548855">
      <w:bodyDiv w:val="1"/>
      <w:marLeft w:val="0"/>
      <w:marRight w:val="0"/>
      <w:marTop w:val="0"/>
      <w:marBottom w:val="0"/>
      <w:divBdr>
        <w:top w:val="none" w:sz="0" w:space="0" w:color="auto"/>
        <w:left w:val="none" w:sz="0" w:space="0" w:color="auto"/>
        <w:bottom w:val="none" w:sz="0" w:space="0" w:color="auto"/>
        <w:right w:val="none" w:sz="0" w:space="0" w:color="auto"/>
      </w:divBdr>
    </w:div>
    <w:div w:id="1855612830">
      <w:bodyDiv w:val="1"/>
      <w:marLeft w:val="0"/>
      <w:marRight w:val="0"/>
      <w:marTop w:val="0"/>
      <w:marBottom w:val="0"/>
      <w:divBdr>
        <w:top w:val="none" w:sz="0" w:space="0" w:color="auto"/>
        <w:left w:val="none" w:sz="0" w:space="0" w:color="auto"/>
        <w:bottom w:val="none" w:sz="0" w:space="0" w:color="auto"/>
        <w:right w:val="none" w:sz="0" w:space="0" w:color="auto"/>
      </w:divBdr>
    </w:div>
    <w:div w:id="1856458082">
      <w:bodyDiv w:val="1"/>
      <w:marLeft w:val="0"/>
      <w:marRight w:val="0"/>
      <w:marTop w:val="0"/>
      <w:marBottom w:val="0"/>
      <w:divBdr>
        <w:top w:val="none" w:sz="0" w:space="0" w:color="auto"/>
        <w:left w:val="none" w:sz="0" w:space="0" w:color="auto"/>
        <w:bottom w:val="none" w:sz="0" w:space="0" w:color="auto"/>
        <w:right w:val="none" w:sz="0" w:space="0" w:color="auto"/>
      </w:divBdr>
    </w:div>
    <w:div w:id="1860462846">
      <w:bodyDiv w:val="1"/>
      <w:marLeft w:val="0"/>
      <w:marRight w:val="0"/>
      <w:marTop w:val="0"/>
      <w:marBottom w:val="0"/>
      <w:divBdr>
        <w:top w:val="none" w:sz="0" w:space="0" w:color="auto"/>
        <w:left w:val="none" w:sz="0" w:space="0" w:color="auto"/>
        <w:bottom w:val="none" w:sz="0" w:space="0" w:color="auto"/>
        <w:right w:val="none" w:sz="0" w:space="0" w:color="auto"/>
      </w:divBdr>
    </w:div>
    <w:div w:id="1860587311">
      <w:bodyDiv w:val="1"/>
      <w:marLeft w:val="0"/>
      <w:marRight w:val="0"/>
      <w:marTop w:val="0"/>
      <w:marBottom w:val="0"/>
      <w:divBdr>
        <w:top w:val="none" w:sz="0" w:space="0" w:color="auto"/>
        <w:left w:val="none" w:sz="0" w:space="0" w:color="auto"/>
        <w:bottom w:val="none" w:sz="0" w:space="0" w:color="auto"/>
        <w:right w:val="none" w:sz="0" w:space="0" w:color="auto"/>
      </w:divBdr>
    </w:div>
    <w:div w:id="1873374123">
      <w:bodyDiv w:val="1"/>
      <w:marLeft w:val="0"/>
      <w:marRight w:val="0"/>
      <w:marTop w:val="0"/>
      <w:marBottom w:val="0"/>
      <w:divBdr>
        <w:top w:val="none" w:sz="0" w:space="0" w:color="auto"/>
        <w:left w:val="none" w:sz="0" w:space="0" w:color="auto"/>
        <w:bottom w:val="none" w:sz="0" w:space="0" w:color="auto"/>
        <w:right w:val="none" w:sz="0" w:space="0" w:color="auto"/>
      </w:divBdr>
    </w:div>
    <w:div w:id="1873424271">
      <w:bodyDiv w:val="1"/>
      <w:marLeft w:val="0"/>
      <w:marRight w:val="0"/>
      <w:marTop w:val="0"/>
      <w:marBottom w:val="0"/>
      <w:divBdr>
        <w:top w:val="none" w:sz="0" w:space="0" w:color="auto"/>
        <w:left w:val="none" w:sz="0" w:space="0" w:color="auto"/>
        <w:bottom w:val="none" w:sz="0" w:space="0" w:color="auto"/>
        <w:right w:val="none" w:sz="0" w:space="0" w:color="auto"/>
      </w:divBdr>
    </w:div>
    <w:div w:id="1905338521">
      <w:bodyDiv w:val="1"/>
      <w:marLeft w:val="0"/>
      <w:marRight w:val="0"/>
      <w:marTop w:val="0"/>
      <w:marBottom w:val="0"/>
      <w:divBdr>
        <w:top w:val="none" w:sz="0" w:space="0" w:color="auto"/>
        <w:left w:val="none" w:sz="0" w:space="0" w:color="auto"/>
        <w:bottom w:val="none" w:sz="0" w:space="0" w:color="auto"/>
        <w:right w:val="none" w:sz="0" w:space="0" w:color="auto"/>
      </w:divBdr>
    </w:div>
    <w:div w:id="1912305342">
      <w:bodyDiv w:val="1"/>
      <w:marLeft w:val="0"/>
      <w:marRight w:val="0"/>
      <w:marTop w:val="0"/>
      <w:marBottom w:val="0"/>
      <w:divBdr>
        <w:top w:val="none" w:sz="0" w:space="0" w:color="auto"/>
        <w:left w:val="none" w:sz="0" w:space="0" w:color="auto"/>
        <w:bottom w:val="none" w:sz="0" w:space="0" w:color="auto"/>
        <w:right w:val="none" w:sz="0" w:space="0" w:color="auto"/>
      </w:divBdr>
    </w:div>
    <w:div w:id="1912999940">
      <w:bodyDiv w:val="1"/>
      <w:marLeft w:val="0"/>
      <w:marRight w:val="0"/>
      <w:marTop w:val="0"/>
      <w:marBottom w:val="0"/>
      <w:divBdr>
        <w:top w:val="none" w:sz="0" w:space="0" w:color="auto"/>
        <w:left w:val="none" w:sz="0" w:space="0" w:color="auto"/>
        <w:bottom w:val="none" w:sz="0" w:space="0" w:color="auto"/>
        <w:right w:val="none" w:sz="0" w:space="0" w:color="auto"/>
      </w:divBdr>
    </w:div>
    <w:div w:id="1927180777">
      <w:bodyDiv w:val="1"/>
      <w:marLeft w:val="0"/>
      <w:marRight w:val="0"/>
      <w:marTop w:val="0"/>
      <w:marBottom w:val="0"/>
      <w:divBdr>
        <w:top w:val="none" w:sz="0" w:space="0" w:color="auto"/>
        <w:left w:val="none" w:sz="0" w:space="0" w:color="auto"/>
        <w:bottom w:val="none" w:sz="0" w:space="0" w:color="auto"/>
        <w:right w:val="none" w:sz="0" w:space="0" w:color="auto"/>
      </w:divBdr>
    </w:div>
    <w:div w:id="1938561097">
      <w:bodyDiv w:val="1"/>
      <w:marLeft w:val="0"/>
      <w:marRight w:val="0"/>
      <w:marTop w:val="0"/>
      <w:marBottom w:val="0"/>
      <w:divBdr>
        <w:top w:val="none" w:sz="0" w:space="0" w:color="auto"/>
        <w:left w:val="none" w:sz="0" w:space="0" w:color="auto"/>
        <w:bottom w:val="none" w:sz="0" w:space="0" w:color="auto"/>
        <w:right w:val="none" w:sz="0" w:space="0" w:color="auto"/>
      </w:divBdr>
    </w:div>
    <w:div w:id="1952780127">
      <w:bodyDiv w:val="1"/>
      <w:marLeft w:val="0"/>
      <w:marRight w:val="0"/>
      <w:marTop w:val="0"/>
      <w:marBottom w:val="0"/>
      <w:divBdr>
        <w:top w:val="none" w:sz="0" w:space="0" w:color="auto"/>
        <w:left w:val="none" w:sz="0" w:space="0" w:color="auto"/>
        <w:bottom w:val="none" w:sz="0" w:space="0" w:color="auto"/>
        <w:right w:val="none" w:sz="0" w:space="0" w:color="auto"/>
      </w:divBdr>
    </w:div>
    <w:div w:id="1958563898">
      <w:bodyDiv w:val="1"/>
      <w:marLeft w:val="0"/>
      <w:marRight w:val="0"/>
      <w:marTop w:val="0"/>
      <w:marBottom w:val="0"/>
      <w:divBdr>
        <w:top w:val="none" w:sz="0" w:space="0" w:color="auto"/>
        <w:left w:val="none" w:sz="0" w:space="0" w:color="auto"/>
        <w:bottom w:val="none" w:sz="0" w:space="0" w:color="auto"/>
        <w:right w:val="none" w:sz="0" w:space="0" w:color="auto"/>
      </w:divBdr>
    </w:div>
    <w:div w:id="1960069370">
      <w:bodyDiv w:val="1"/>
      <w:marLeft w:val="0"/>
      <w:marRight w:val="0"/>
      <w:marTop w:val="0"/>
      <w:marBottom w:val="0"/>
      <w:divBdr>
        <w:top w:val="none" w:sz="0" w:space="0" w:color="auto"/>
        <w:left w:val="none" w:sz="0" w:space="0" w:color="auto"/>
        <w:bottom w:val="none" w:sz="0" w:space="0" w:color="auto"/>
        <w:right w:val="none" w:sz="0" w:space="0" w:color="auto"/>
      </w:divBdr>
    </w:div>
    <w:div w:id="1965305957">
      <w:bodyDiv w:val="1"/>
      <w:marLeft w:val="0"/>
      <w:marRight w:val="0"/>
      <w:marTop w:val="0"/>
      <w:marBottom w:val="0"/>
      <w:divBdr>
        <w:top w:val="none" w:sz="0" w:space="0" w:color="auto"/>
        <w:left w:val="none" w:sz="0" w:space="0" w:color="auto"/>
        <w:bottom w:val="none" w:sz="0" w:space="0" w:color="auto"/>
        <w:right w:val="none" w:sz="0" w:space="0" w:color="auto"/>
      </w:divBdr>
    </w:div>
    <w:div w:id="1969627566">
      <w:bodyDiv w:val="1"/>
      <w:marLeft w:val="0"/>
      <w:marRight w:val="0"/>
      <w:marTop w:val="0"/>
      <w:marBottom w:val="0"/>
      <w:divBdr>
        <w:top w:val="none" w:sz="0" w:space="0" w:color="auto"/>
        <w:left w:val="none" w:sz="0" w:space="0" w:color="auto"/>
        <w:bottom w:val="none" w:sz="0" w:space="0" w:color="auto"/>
        <w:right w:val="none" w:sz="0" w:space="0" w:color="auto"/>
      </w:divBdr>
    </w:div>
    <w:div w:id="1971469186">
      <w:bodyDiv w:val="1"/>
      <w:marLeft w:val="0"/>
      <w:marRight w:val="0"/>
      <w:marTop w:val="0"/>
      <w:marBottom w:val="0"/>
      <w:divBdr>
        <w:top w:val="none" w:sz="0" w:space="0" w:color="auto"/>
        <w:left w:val="none" w:sz="0" w:space="0" w:color="auto"/>
        <w:bottom w:val="none" w:sz="0" w:space="0" w:color="auto"/>
        <w:right w:val="none" w:sz="0" w:space="0" w:color="auto"/>
      </w:divBdr>
    </w:div>
    <w:div w:id="1972201576">
      <w:bodyDiv w:val="1"/>
      <w:marLeft w:val="0"/>
      <w:marRight w:val="0"/>
      <w:marTop w:val="0"/>
      <w:marBottom w:val="0"/>
      <w:divBdr>
        <w:top w:val="none" w:sz="0" w:space="0" w:color="auto"/>
        <w:left w:val="none" w:sz="0" w:space="0" w:color="auto"/>
        <w:bottom w:val="none" w:sz="0" w:space="0" w:color="auto"/>
        <w:right w:val="none" w:sz="0" w:space="0" w:color="auto"/>
      </w:divBdr>
    </w:div>
    <w:div w:id="1986618721">
      <w:bodyDiv w:val="1"/>
      <w:marLeft w:val="0"/>
      <w:marRight w:val="0"/>
      <w:marTop w:val="0"/>
      <w:marBottom w:val="0"/>
      <w:divBdr>
        <w:top w:val="none" w:sz="0" w:space="0" w:color="auto"/>
        <w:left w:val="none" w:sz="0" w:space="0" w:color="auto"/>
        <w:bottom w:val="none" w:sz="0" w:space="0" w:color="auto"/>
        <w:right w:val="none" w:sz="0" w:space="0" w:color="auto"/>
      </w:divBdr>
    </w:div>
    <w:div w:id="1993636140">
      <w:bodyDiv w:val="1"/>
      <w:marLeft w:val="0"/>
      <w:marRight w:val="0"/>
      <w:marTop w:val="0"/>
      <w:marBottom w:val="0"/>
      <w:divBdr>
        <w:top w:val="none" w:sz="0" w:space="0" w:color="auto"/>
        <w:left w:val="none" w:sz="0" w:space="0" w:color="auto"/>
        <w:bottom w:val="none" w:sz="0" w:space="0" w:color="auto"/>
        <w:right w:val="none" w:sz="0" w:space="0" w:color="auto"/>
      </w:divBdr>
    </w:div>
    <w:div w:id="1994523927">
      <w:bodyDiv w:val="1"/>
      <w:marLeft w:val="0"/>
      <w:marRight w:val="0"/>
      <w:marTop w:val="0"/>
      <w:marBottom w:val="0"/>
      <w:divBdr>
        <w:top w:val="none" w:sz="0" w:space="0" w:color="auto"/>
        <w:left w:val="none" w:sz="0" w:space="0" w:color="auto"/>
        <w:bottom w:val="none" w:sz="0" w:space="0" w:color="auto"/>
        <w:right w:val="none" w:sz="0" w:space="0" w:color="auto"/>
      </w:divBdr>
    </w:div>
    <w:div w:id="1998876294">
      <w:bodyDiv w:val="1"/>
      <w:marLeft w:val="0"/>
      <w:marRight w:val="0"/>
      <w:marTop w:val="0"/>
      <w:marBottom w:val="0"/>
      <w:divBdr>
        <w:top w:val="none" w:sz="0" w:space="0" w:color="auto"/>
        <w:left w:val="none" w:sz="0" w:space="0" w:color="auto"/>
        <w:bottom w:val="none" w:sz="0" w:space="0" w:color="auto"/>
        <w:right w:val="none" w:sz="0" w:space="0" w:color="auto"/>
      </w:divBdr>
    </w:div>
    <w:div w:id="2016608774">
      <w:bodyDiv w:val="1"/>
      <w:marLeft w:val="0"/>
      <w:marRight w:val="0"/>
      <w:marTop w:val="0"/>
      <w:marBottom w:val="0"/>
      <w:divBdr>
        <w:top w:val="none" w:sz="0" w:space="0" w:color="auto"/>
        <w:left w:val="none" w:sz="0" w:space="0" w:color="auto"/>
        <w:bottom w:val="none" w:sz="0" w:space="0" w:color="auto"/>
        <w:right w:val="none" w:sz="0" w:space="0" w:color="auto"/>
      </w:divBdr>
    </w:div>
    <w:div w:id="2016836319">
      <w:bodyDiv w:val="1"/>
      <w:marLeft w:val="0"/>
      <w:marRight w:val="0"/>
      <w:marTop w:val="0"/>
      <w:marBottom w:val="0"/>
      <w:divBdr>
        <w:top w:val="none" w:sz="0" w:space="0" w:color="auto"/>
        <w:left w:val="none" w:sz="0" w:space="0" w:color="auto"/>
        <w:bottom w:val="none" w:sz="0" w:space="0" w:color="auto"/>
        <w:right w:val="none" w:sz="0" w:space="0" w:color="auto"/>
      </w:divBdr>
    </w:div>
    <w:div w:id="2017413539">
      <w:bodyDiv w:val="1"/>
      <w:marLeft w:val="0"/>
      <w:marRight w:val="0"/>
      <w:marTop w:val="0"/>
      <w:marBottom w:val="0"/>
      <w:divBdr>
        <w:top w:val="none" w:sz="0" w:space="0" w:color="auto"/>
        <w:left w:val="none" w:sz="0" w:space="0" w:color="auto"/>
        <w:bottom w:val="none" w:sz="0" w:space="0" w:color="auto"/>
        <w:right w:val="none" w:sz="0" w:space="0" w:color="auto"/>
      </w:divBdr>
    </w:div>
    <w:div w:id="2021202337">
      <w:bodyDiv w:val="1"/>
      <w:marLeft w:val="0"/>
      <w:marRight w:val="0"/>
      <w:marTop w:val="0"/>
      <w:marBottom w:val="0"/>
      <w:divBdr>
        <w:top w:val="none" w:sz="0" w:space="0" w:color="auto"/>
        <w:left w:val="none" w:sz="0" w:space="0" w:color="auto"/>
        <w:bottom w:val="none" w:sz="0" w:space="0" w:color="auto"/>
        <w:right w:val="none" w:sz="0" w:space="0" w:color="auto"/>
      </w:divBdr>
    </w:div>
    <w:div w:id="2029914552">
      <w:bodyDiv w:val="1"/>
      <w:marLeft w:val="0"/>
      <w:marRight w:val="0"/>
      <w:marTop w:val="0"/>
      <w:marBottom w:val="0"/>
      <w:divBdr>
        <w:top w:val="none" w:sz="0" w:space="0" w:color="auto"/>
        <w:left w:val="none" w:sz="0" w:space="0" w:color="auto"/>
        <w:bottom w:val="none" w:sz="0" w:space="0" w:color="auto"/>
        <w:right w:val="none" w:sz="0" w:space="0" w:color="auto"/>
      </w:divBdr>
    </w:div>
    <w:div w:id="2051687437">
      <w:bodyDiv w:val="1"/>
      <w:marLeft w:val="0"/>
      <w:marRight w:val="0"/>
      <w:marTop w:val="0"/>
      <w:marBottom w:val="0"/>
      <w:divBdr>
        <w:top w:val="none" w:sz="0" w:space="0" w:color="auto"/>
        <w:left w:val="none" w:sz="0" w:space="0" w:color="auto"/>
        <w:bottom w:val="none" w:sz="0" w:space="0" w:color="auto"/>
        <w:right w:val="none" w:sz="0" w:space="0" w:color="auto"/>
      </w:divBdr>
    </w:div>
    <w:div w:id="2061705569">
      <w:bodyDiv w:val="1"/>
      <w:marLeft w:val="0"/>
      <w:marRight w:val="0"/>
      <w:marTop w:val="0"/>
      <w:marBottom w:val="0"/>
      <w:divBdr>
        <w:top w:val="none" w:sz="0" w:space="0" w:color="auto"/>
        <w:left w:val="none" w:sz="0" w:space="0" w:color="auto"/>
        <w:bottom w:val="none" w:sz="0" w:space="0" w:color="auto"/>
        <w:right w:val="none" w:sz="0" w:space="0" w:color="auto"/>
      </w:divBdr>
    </w:div>
    <w:div w:id="2070181745">
      <w:bodyDiv w:val="1"/>
      <w:marLeft w:val="0"/>
      <w:marRight w:val="0"/>
      <w:marTop w:val="0"/>
      <w:marBottom w:val="0"/>
      <w:divBdr>
        <w:top w:val="none" w:sz="0" w:space="0" w:color="auto"/>
        <w:left w:val="none" w:sz="0" w:space="0" w:color="auto"/>
        <w:bottom w:val="none" w:sz="0" w:space="0" w:color="auto"/>
        <w:right w:val="none" w:sz="0" w:space="0" w:color="auto"/>
      </w:divBdr>
    </w:div>
    <w:div w:id="2071878603">
      <w:bodyDiv w:val="1"/>
      <w:marLeft w:val="0"/>
      <w:marRight w:val="0"/>
      <w:marTop w:val="0"/>
      <w:marBottom w:val="0"/>
      <w:divBdr>
        <w:top w:val="none" w:sz="0" w:space="0" w:color="auto"/>
        <w:left w:val="none" w:sz="0" w:space="0" w:color="auto"/>
        <w:bottom w:val="none" w:sz="0" w:space="0" w:color="auto"/>
        <w:right w:val="none" w:sz="0" w:space="0" w:color="auto"/>
      </w:divBdr>
    </w:div>
    <w:div w:id="2074697940">
      <w:bodyDiv w:val="1"/>
      <w:marLeft w:val="0"/>
      <w:marRight w:val="0"/>
      <w:marTop w:val="0"/>
      <w:marBottom w:val="0"/>
      <w:divBdr>
        <w:top w:val="none" w:sz="0" w:space="0" w:color="auto"/>
        <w:left w:val="none" w:sz="0" w:space="0" w:color="auto"/>
        <w:bottom w:val="none" w:sz="0" w:space="0" w:color="auto"/>
        <w:right w:val="none" w:sz="0" w:space="0" w:color="auto"/>
      </w:divBdr>
    </w:div>
    <w:div w:id="2078622540">
      <w:bodyDiv w:val="1"/>
      <w:marLeft w:val="0"/>
      <w:marRight w:val="0"/>
      <w:marTop w:val="0"/>
      <w:marBottom w:val="0"/>
      <w:divBdr>
        <w:top w:val="none" w:sz="0" w:space="0" w:color="auto"/>
        <w:left w:val="none" w:sz="0" w:space="0" w:color="auto"/>
        <w:bottom w:val="none" w:sz="0" w:space="0" w:color="auto"/>
        <w:right w:val="none" w:sz="0" w:space="0" w:color="auto"/>
      </w:divBdr>
    </w:div>
    <w:div w:id="2084177040">
      <w:bodyDiv w:val="1"/>
      <w:marLeft w:val="0"/>
      <w:marRight w:val="0"/>
      <w:marTop w:val="0"/>
      <w:marBottom w:val="0"/>
      <w:divBdr>
        <w:top w:val="none" w:sz="0" w:space="0" w:color="auto"/>
        <w:left w:val="none" w:sz="0" w:space="0" w:color="auto"/>
        <w:bottom w:val="none" w:sz="0" w:space="0" w:color="auto"/>
        <w:right w:val="none" w:sz="0" w:space="0" w:color="auto"/>
      </w:divBdr>
    </w:div>
    <w:div w:id="2084910941">
      <w:bodyDiv w:val="1"/>
      <w:marLeft w:val="0"/>
      <w:marRight w:val="0"/>
      <w:marTop w:val="0"/>
      <w:marBottom w:val="0"/>
      <w:divBdr>
        <w:top w:val="none" w:sz="0" w:space="0" w:color="auto"/>
        <w:left w:val="none" w:sz="0" w:space="0" w:color="auto"/>
        <w:bottom w:val="none" w:sz="0" w:space="0" w:color="auto"/>
        <w:right w:val="none" w:sz="0" w:space="0" w:color="auto"/>
      </w:divBdr>
    </w:div>
    <w:div w:id="2085834387">
      <w:bodyDiv w:val="1"/>
      <w:marLeft w:val="0"/>
      <w:marRight w:val="0"/>
      <w:marTop w:val="0"/>
      <w:marBottom w:val="0"/>
      <w:divBdr>
        <w:top w:val="none" w:sz="0" w:space="0" w:color="auto"/>
        <w:left w:val="none" w:sz="0" w:space="0" w:color="auto"/>
        <w:bottom w:val="none" w:sz="0" w:space="0" w:color="auto"/>
        <w:right w:val="none" w:sz="0" w:space="0" w:color="auto"/>
      </w:divBdr>
    </w:div>
    <w:div w:id="2088653072">
      <w:bodyDiv w:val="1"/>
      <w:marLeft w:val="0"/>
      <w:marRight w:val="0"/>
      <w:marTop w:val="0"/>
      <w:marBottom w:val="0"/>
      <w:divBdr>
        <w:top w:val="none" w:sz="0" w:space="0" w:color="auto"/>
        <w:left w:val="none" w:sz="0" w:space="0" w:color="auto"/>
        <w:bottom w:val="none" w:sz="0" w:space="0" w:color="auto"/>
        <w:right w:val="none" w:sz="0" w:space="0" w:color="auto"/>
      </w:divBdr>
    </w:div>
    <w:div w:id="2109885866">
      <w:bodyDiv w:val="1"/>
      <w:marLeft w:val="0"/>
      <w:marRight w:val="0"/>
      <w:marTop w:val="0"/>
      <w:marBottom w:val="0"/>
      <w:divBdr>
        <w:top w:val="none" w:sz="0" w:space="0" w:color="auto"/>
        <w:left w:val="none" w:sz="0" w:space="0" w:color="auto"/>
        <w:bottom w:val="none" w:sz="0" w:space="0" w:color="auto"/>
        <w:right w:val="none" w:sz="0" w:space="0" w:color="auto"/>
      </w:divBdr>
    </w:div>
    <w:div w:id="2113041389">
      <w:bodyDiv w:val="1"/>
      <w:marLeft w:val="0"/>
      <w:marRight w:val="0"/>
      <w:marTop w:val="0"/>
      <w:marBottom w:val="0"/>
      <w:divBdr>
        <w:top w:val="none" w:sz="0" w:space="0" w:color="auto"/>
        <w:left w:val="none" w:sz="0" w:space="0" w:color="auto"/>
        <w:bottom w:val="none" w:sz="0" w:space="0" w:color="auto"/>
        <w:right w:val="none" w:sz="0" w:space="0" w:color="auto"/>
      </w:divBdr>
    </w:div>
    <w:div w:id="2118869710">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 w:id="2142068801">
      <w:bodyDiv w:val="1"/>
      <w:marLeft w:val="0"/>
      <w:marRight w:val="0"/>
      <w:marTop w:val="0"/>
      <w:marBottom w:val="0"/>
      <w:divBdr>
        <w:top w:val="none" w:sz="0" w:space="0" w:color="auto"/>
        <w:left w:val="none" w:sz="0" w:space="0" w:color="auto"/>
        <w:bottom w:val="none" w:sz="0" w:space="0" w:color="auto"/>
        <w:right w:val="none" w:sz="0" w:space="0" w:color="auto"/>
      </w:divBdr>
    </w:div>
    <w:div w:id="2142728320">
      <w:bodyDiv w:val="1"/>
      <w:marLeft w:val="0"/>
      <w:marRight w:val="0"/>
      <w:marTop w:val="0"/>
      <w:marBottom w:val="0"/>
      <w:divBdr>
        <w:top w:val="none" w:sz="0" w:space="0" w:color="auto"/>
        <w:left w:val="none" w:sz="0" w:space="0" w:color="auto"/>
        <w:bottom w:val="none" w:sz="0" w:space="0" w:color="auto"/>
        <w:right w:val="none" w:sz="0" w:space="0" w:color="auto"/>
      </w:divBdr>
    </w:div>
    <w:div w:id="21428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climate-change-adaptation-action-plan-department-education-and-trainin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gov.au/department-education-and-training-annual-reports" TargetMode="External"/><Relationship Id="rId2" Type="http://schemas.openxmlformats.org/officeDocument/2006/relationships/customXml" Target="../customXml/item2.xml"/><Relationship Id="rId16" Type="http://schemas.openxmlformats.org/officeDocument/2006/relationships/hyperlink" Target="https://www.vic.gov.au/strategy-action-plans-department-education-and-training" TargetMode="External"/><Relationship Id="rId20" Type="http://schemas.openxmlformats.org/officeDocument/2006/relationships/hyperlink" Target="https://www.vic.gov.au/payments-fees-and-fines-department-education-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vic.gov.au/department-education-and-training-annual-repor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c.gov.au/2022-25-gender-equality-action-plan-department-education-an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State 2019">
      <a:dk1>
        <a:srgbClr val="8A2A2F"/>
      </a:dk1>
      <a:lt1>
        <a:srgbClr val="FFFFFF"/>
      </a:lt1>
      <a:dk2>
        <a:srgbClr val="000000"/>
      </a:dk2>
      <a:lt2>
        <a:srgbClr val="E7E6E6"/>
      </a:lt2>
      <a:accent1>
        <a:srgbClr val="D9D9D6"/>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DET_annual_report_2021- 22_ additional_information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E90C0-05BD-41CB-8C37-68E5FAF8F940}">
  <ds:schemaRefs>
    <ds:schemaRef ds:uri="http://schemas.openxmlformats.org/officeDocument/2006/bibliography"/>
  </ds:schemaRefs>
</ds:datastoreItem>
</file>

<file path=customXml/itemProps2.xml><?xml version="1.0" encoding="utf-8"?>
<ds:datastoreItem xmlns:ds="http://schemas.openxmlformats.org/officeDocument/2006/customXml" ds:itemID="{F26168CD-61FB-4921-A9D0-CCF2C4D4D803}">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05aba475-9573-48b3-8f13-15bb835ff8c4"/>
  </ds:schemaRefs>
</ds:datastoreItem>
</file>

<file path=customXml/itemProps3.xml><?xml version="1.0" encoding="utf-8"?>
<ds:datastoreItem xmlns:ds="http://schemas.openxmlformats.org/officeDocument/2006/customXml" ds:itemID="{4882A713-9725-42EB-B129-A25A24AC60E0}">
  <ds:schemaRefs>
    <ds:schemaRef ds:uri="http://schemas.microsoft.com/sharepoint/v3/contenttype/forms"/>
  </ds:schemaRefs>
</ds:datastoreItem>
</file>

<file path=customXml/itemProps4.xml><?xml version="1.0" encoding="utf-8"?>
<ds:datastoreItem xmlns:ds="http://schemas.openxmlformats.org/officeDocument/2006/customXml" ds:itemID="{3BC98871-D4EB-4F57-B5C6-321661206823}"/>
</file>

<file path=docProps/app.xml><?xml version="1.0" encoding="utf-8"?>
<Properties xmlns="http://schemas.openxmlformats.org/officeDocument/2006/extended-properties" xmlns:vt="http://schemas.openxmlformats.org/officeDocument/2006/docPropsVTypes">
  <Template>Normal.dotm</Template>
  <TotalTime>1</TotalTime>
  <Pages>9</Pages>
  <Words>16914</Words>
  <Characters>96414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Elaine Wu</cp:lastModifiedBy>
  <cp:revision>2</cp:revision>
  <cp:lastPrinted>2021-10-20T19:13:00Z</cp:lastPrinted>
  <dcterms:created xsi:type="dcterms:W3CDTF">2022-09-19T00:22:00Z</dcterms:created>
  <dcterms:modified xsi:type="dcterms:W3CDTF">2022-09-19T00:22:00Z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1;#16.3.1 Final Reports|808f4d2b-2607-4914-b911-b0ef6d2b9dfe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{b7e47f3a-6be0-4bb9-a623-f6908f57e403}</vt:lpwstr>
  </property>
  <property fmtid="{D5CDD505-2E9C-101B-9397-08002B2CF9AE}" pid="8" name="RecordPoint_ActiveItemUniqueId">
    <vt:lpwstr>{f16632bf-5858-4b42-998e-779d9315270d}</vt:lpwstr>
  </property>
  <property fmtid="{D5CDD505-2E9C-101B-9397-08002B2CF9AE}" pid="9" name="RecordPoint_ActiveItemWebId">
    <vt:lpwstr>{5962f81e-9ba2-4bce-bf0d-45a50a2e0e41}</vt:lpwstr>
  </property>
  <property fmtid="{D5CDD505-2E9C-101B-9397-08002B2CF9AE}" pid="10" name="RecordPoint_ActiveItemSiteId">
    <vt:lpwstr>{7579aca2-9c40-4689-bd75-a939625dfa0b}</vt:lpwstr>
  </property>
  <property fmtid="{D5CDD505-2E9C-101B-9397-08002B2CF9AE}" pid="11" name="RecordPoint_RecordNumberSubmitted">
    <vt:lpwstr>R20211643667</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y fmtid="{D5CDD505-2E9C-101B-9397-08002B2CF9AE}" pid="14" name="DEECD_SubjectCategory">
    <vt:lpwstr/>
  </property>
  <property fmtid="{D5CDD505-2E9C-101B-9397-08002B2CF9AE}" pid="15" name="DEECD_Audience">
    <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Order">
    <vt:r8>6300</vt:r8>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TemplateUrl">
    <vt:lpwstr/>
  </property>
  <property fmtid="{D5CDD505-2E9C-101B-9397-08002B2CF9AE}" pid="24" name="DET_EDRMS_BusUnitTaxHTField0">
    <vt:lpwstr/>
  </property>
  <property fmtid="{D5CDD505-2E9C-101B-9397-08002B2CF9AE}" pid="25" name="RecordPoint_SubmissionCompleted">
    <vt:lpwstr>2021-11-08T11:44:46.6168410+11:00</vt:lpwstr>
  </property>
  <property fmtid="{D5CDD505-2E9C-101B-9397-08002B2CF9AE}" pid="26" name="DET_EDRMS_RCSTaxHTField0">
    <vt:lpwstr>16.3.1 Final Reports|808f4d2b-2607-4914-b911-b0ef6d2b9dfe</vt:lpwstr>
  </property>
  <property fmtid="{D5CDD505-2E9C-101B-9397-08002B2CF9AE}" pid="27" name="DET_EDRMS_SecClassTaxHTField0">
    <vt:lpwstr/>
  </property>
</Properties>
</file>