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96EE" w14:textId="77777777" w:rsidR="00E9500C" w:rsidRPr="00364C01" w:rsidRDefault="00E9500C" w:rsidP="00E9500C">
      <w:pPr>
        <w:pBdr>
          <w:bottom w:val="single" w:sz="4" w:space="1" w:color="auto"/>
        </w:pBdr>
        <w:jc w:val="center"/>
        <w:rPr>
          <w:rFonts w:ascii="Arial" w:hAnsi="Arial" w:cs="Arial"/>
          <w:color w:val="000000"/>
          <w:sz w:val="19"/>
          <w:szCs w:val="19"/>
        </w:rPr>
      </w:pPr>
      <w:r w:rsidRPr="007E488D">
        <w:rPr>
          <w:noProof/>
        </w:rPr>
        <w:drawing>
          <wp:inline distT="0" distB="0" distL="0" distR="0" wp14:anchorId="1667EB07" wp14:editId="2BB0240A">
            <wp:extent cx="26289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ab/>
      </w:r>
      <w:r w:rsidRPr="00047A9D">
        <w:rPr>
          <w:rStyle w:val="IntenseEmphasis"/>
          <w:rFonts w:eastAsiaTheme="majorEastAsia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 </w:t>
      </w:r>
      <w:r>
        <w:rPr>
          <w:rFonts w:ascii="Arial" w:hAnsi="Arial" w:cs="Arial"/>
          <w:b/>
          <w:bCs/>
          <w:noProof/>
          <w:color w:val="C0504D"/>
          <w:sz w:val="19"/>
          <w:szCs w:val="19"/>
        </w:rPr>
        <w:drawing>
          <wp:inline distT="0" distB="0" distL="0" distR="0" wp14:anchorId="1F636BD3" wp14:editId="442C4F79">
            <wp:extent cx="812800" cy="1079500"/>
            <wp:effectExtent l="0" t="0" r="0" b="0"/>
            <wp:docPr id="2" name="vcossLogo" descr="VCOSS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ossLogo" descr="VCOS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FD0D9" w14:textId="77777777" w:rsidR="00E9500C" w:rsidRPr="00155667" w:rsidRDefault="00E9500C" w:rsidP="00E9500C">
      <w:pPr>
        <w:pStyle w:val="Heading1"/>
        <w:rPr>
          <w:b/>
          <w:bCs/>
        </w:rPr>
      </w:pPr>
      <w:r w:rsidRPr="00155667">
        <w:rPr>
          <w:b/>
          <w:bCs/>
        </w:rPr>
        <w:t>About this Communique</w:t>
      </w:r>
    </w:p>
    <w:p w14:paraId="27EBEB00" w14:textId="7DB96085" w:rsidR="00E9500C" w:rsidRPr="00CB71AE" w:rsidRDefault="00E9500C" w:rsidP="00E9500C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1"/>
          <w:szCs w:val="21"/>
        </w:rPr>
      </w:pPr>
      <w:r w:rsidRPr="00CB71AE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The Department of Education and Training (DET) – Community Sector </w:t>
      </w:r>
      <w:proofErr w:type="spellStart"/>
      <w:r w:rsidRPr="00CB71AE">
        <w:rPr>
          <w:rFonts w:asciiTheme="minorHAnsi" w:hAnsiTheme="minorHAnsi" w:cstheme="minorHAnsi"/>
          <w:bCs/>
          <w:sz w:val="21"/>
          <w:szCs w:val="21"/>
          <w:lang w:val="en-US"/>
        </w:rPr>
        <w:t>Organisation</w:t>
      </w:r>
      <w:proofErr w:type="spellEnd"/>
      <w:r w:rsidRPr="00CB71AE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 (CSO) Governance Group is a quarterly forum </w:t>
      </w:r>
      <w:r w:rsidRPr="00CB71AE">
        <w:rPr>
          <w:rFonts w:asciiTheme="minorHAnsi" w:hAnsiTheme="minorHAnsi" w:cstheme="minorHAnsi"/>
          <w:sz w:val="21"/>
          <w:szCs w:val="21"/>
        </w:rPr>
        <w:t>for communication, consultation, engagement and collaboration between the Department and</w:t>
      </w:r>
      <w:r w:rsidR="00163223">
        <w:rPr>
          <w:rFonts w:asciiTheme="minorHAnsi" w:hAnsiTheme="minorHAnsi" w:cstheme="minorHAnsi"/>
          <w:sz w:val="21"/>
          <w:szCs w:val="21"/>
        </w:rPr>
        <w:t xml:space="preserve"> the</w:t>
      </w:r>
      <w:r w:rsidRPr="00CB71AE">
        <w:rPr>
          <w:rFonts w:asciiTheme="minorHAnsi" w:hAnsiTheme="minorHAnsi" w:cstheme="minorHAnsi"/>
          <w:sz w:val="21"/>
          <w:szCs w:val="21"/>
        </w:rPr>
        <w:t xml:space="preserve"> community sector. Meetings are co-chaired by DET and the Victorian Council of Social Service (VCOSS)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CB71AE">
        <w:rPr>
          <w:rFonts w:asciiTheme="minorHAnsi" w:hAnsiTheme="minorHAnsi" w:cstheme="minorHAnsi"/>
          <w:sz w:val="21"/>
          <w:szCs w:val="21"/>
        </w:rPr>
        <w:t xml:space="preserve">and reflect topics of mutual interest to DET and </w:t>
      </w:r>
      <w:r>
        <w:rPr>
          <w:rFonts w:asciiTheme="minorHAnsi" w:hAnsiTheme="minorHAnsi" w:cstheme="minorHAnsi"/>
          <w:sz w:val="21"/>
          <w:szCs w:val="21"/>
        </w:rPr>
        <w:t xml:space="preserve">the </w:t>
      </w:r>
      <w:r w:rsidRPr="00CB71AE">
        <w:rPr>
          <w:rFonts w:asciiTheme="minorHAnsi" w:hAnsiTheme="minorHAnsi" w:cstheme="minorHAnsi"/>
          <w:sz w:val="21"/>
          <w:szCs w:val="21"/>
        </w:rPr>
        <w:t xml:space="preserve">sector. You can read more about the partnership agreement that underpins this work on </w:t>
      </w:r>
      <w:hyperlink r:id="rId8" w:history="1">
        <w:r w:rsidRPr="00F55954">
          <w:rPr>
            <w:rStyle w:val="Hyperlink"/>
            <w:rFonts w:asciiTheme="minorHAnsi" w:hAnsiTheme="minorHAnsi" w:cstheme="minorHAnsi"/>
            <w:sz w:val="21"/>
            <w:szCs w:val="21"/>
          </w:rPr>
          <w:t>VCOSS</w:t>
        </w:r>
      </w:hyperlink>
      <w:r w:rsidRPr="00CB71AE">
        <w:rPr>
          <w:rFonts w:asciiTheme="minorHAnsi" w:hAnsiTheme="minorHAnsi" w:cstheme="minorHAnsi"/>
          <w:sz w:val="21"/>
          <w:szCs w:val="21"/>
        </w:rPr>
        <w:t xml:space="preserve"> and </w:t>
      </w:r>
      <w:hyperlink r:id="rId9" w:history="1">
        <w:r w:rsidR="004D5935">
          <w:rPr>
            <w:rStyle w:val="Hyperlink"/>
            <w:rFonts w:asciiTheme="minorHAnsi" w:hAnsiTheme="minorHAnsi" w:cstheme="minorHAnsi"/>
            <w:sz w:val="21"/>
            <w:szCs w:val="21"/>
          </w:rPr>
          <w:t>DET</w:t>
        </w:r>
      </w:hyperlink>
      <w:r w:rsidRPr="00CB71AE">
        <w:rPr>
          <w:rFonts w:asciiTheme="minorHAnsi" w:hAnsiTheme="minorHAnsi" w:cstheme="minorHAnsi"/>
          <w:sz w:val="21"/>
          <w:szCs w:val="21"/>
        </w:rPr>
        <w:t xml:space="preserve"> websites.</w:t>
      </w:r>
    </w:p>
    <w:p w14:paraId="20A3347F" w14:textId="77777777" w:rsidR="00E9500C" w:rsidRPr="00CB71AE" w:rsidRDefault="00E9500C" w:rsidP="00E9500C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1"/>
          <w:szCs w:val="21"/>
        </w:rPr>
      </w:pPr>
      <w:r w:rsidRPr="00CB71AE">
        <w:rPr>
          <w:rFonts w:asciiTheme="minorHAnsi" w:hAnsiTheme="minorHAnsi" w:cstheme="minorHAnsi"/>
          <w:sz w:val="21"/>
          <w:szCs w:val="21"/>
        </w:rPr>
        <w:t>This Communique has been prepared by VCOSS to increase the visibility of this forum.</w:t>
      </w:r>
    </w:p>
    <w:p w14:paraId="3021A948" w14:textId="1A1C5999" w:rsidR="00E9500C" w:rsidRDefault="00E9500C" w:rsidP="00E9500C">
      <w:pPr>
        <w:pStyle w:val="Heading1"/>
        <w:spacing w:after="240"/>
        <w:rPr>
          <w:b/>
          <w:bCs/>
        </w:rPr>
      </w:pPr>
      <w:r w:rsidRPr="00155667">
        <w:rPr>
          <w:b/>
          <w:bCs/>
        </w:rPr>
        <w:t>What was discussed in the Ma</w:t>
      </w:r>
      <w:r>
        <w:rPr>
          <w:b/>
          <w:bCs/>
        </w:rPr>
        <w:t>y</w:t>
      </w:r>
      <w:r w:rsidRPr="00155667">
        <w:rPr>
          <w:b/>
          <w:bCs/>
        </w:rPr>
        <w:t xml:space="preserve"> 2021 meeting?</w:t>
      </w:r>
    </w:p>
    <w:p w14:paraId="4CA6032B" w14:textId="29AE40F9" w:rsidR="00E9500C" w:rsidRDefault="00E9500C" w:rsidP="007F173B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E9500C">
        <w:rPr>
          <w:rFonts w:asciiTheme="minorHAnsi" w:hAnsiTheme="minorHAnsi" w:cstheme="minorHAnsi"/>
          <w:sz w:val="21"/>
          <w:szCs w:val="21"/>
        </w:rPr>
        <w:t>The focus of this meeting was Student Re-engagement</w:t>
      </w:r>
      <w:r w:rsidR="00856277">
        <w:rPr>
          <w:rFonts w:asciiTheme="minorHAnsi" w:hAnsiTheme="minorHAnsi" w:cstheme="minorHAnsi"/>
          <w:sz w:val="21"/>
          <w:szCs w:val="21"/>
        </w:rPr>
        <w:t>.</w:t>
      </w:r>
    </w:p>
    <w:p w14:paraId="404D37DF" w14:textId="0A5DA398" w:rsidR="007F173B" w:rsidRDefault="00474A80" w:rsidP="00474A80">
      <w:pPr>
        <w:pStyle w:val="Heading1"/>
        <w:rPr>
          <w:b/>
          <w:bCs/>
        </w:rPr>
      </w:pPr>
      <w:r w:rsidRPr="00474A80">
        <w:rPr>
          <w:b/>
          <w:bCs/>
        </w:rPr>
        <w:t>Clarifying the problem</w:t>
      </w:r>
    </w:p>
    <w:p w14:paraId="4559B152" w14:textId="2F305C88" w:rsidR="00AB6253" w:rsidRPr="00AB6253" w:rsidRDefault="00AB6253" w:rsidP="00AB6253">
      <w:pPr>
        <w:pStyle w:val="Heading2"/>
      </w:pPr>
      <w:r>
        <w:t>DET insights</w:t>
      </w:r>
    </w:p>
    <w:p w14:paraId="6157D3F8" w14:textId="1185F182" w:rsidR="007F173B" w:rsidRDefault="00474A80" w:rsidP="007F173B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Justin McDonnell, Executive Director, Wellbeing, Health and Engagement, DET</w:t>
      </w:r>
      <w:r>
        <w:rPr>
          <w:rFonts w:asciiTheme="minorHAnsi" w:hAnsiTheme="minorHAnsi" w:cstheme="minorHAnsi"/>
          <w:sz w:val="21"/>
          <w:szCs w:val="21"/>
        </w:rPr>
        <w:t xml:space="preserve"> provided an update on primary and secondary school </w:t>
      </w:r>
      <w:r w:rsidR="00AE42F6">
        <w:rPr>
          <w:rFonts w:asciiTheme="minorHAnsi" w:hAnsiTheme="minorHAnsi" w:cstheme="minorHAnsi"/>
          <w:sz w:val="21"/>
          <w:szCs w:val="21"/>
        </w:rPr>
        <w:t>attendance</w:t>
      </w:r>
      <w:r>
        <w:rPr>
          <w:rFonts w:asciiTheme="minorHAnsi" w:hAnsiTheme="minorHAnsi" w:cstheme="minorHAnsi"/>
          <w:sz w:val="21"/>
          <w:szCs w:val="21"/>
        </w:rPr>
        <w:t xml:space="preserve">. </w:t>
      </w:r>
      <w:r w:rsidR="00F458E9">
        <w:rPr>
          <w:rFonts w:asciiTheme="minorHAnsi" w:hAnsiTheme="minorHAnsi" w:cstheme="minorHAnsi"/>
          <w:sz w:val="21"/>
          <w:szCs w:val="21"/>
        </w:rPr>
        <w:t xml:space="preserve">COVID-19 had differential impacts on the community in 2020, and </w:t>
      </w:r>
      <w:r w:rsidR="00116586">
        <w:rPr>
          <w:rFonts w:asciiTheme="minorHAnsi" w:hAnsiTheme="minorHAnsi" w:cstheme="minorHAnsi"/>
          <w:sz w:val="21"/>
          <w:szCs w:val="21"/>
        </w:rPr>
        <w:t>DET</w:t>
      </w:r>
      <w:r w:rsidR="00F458E9">
        <w:rPr>
          <w:rFonts w:asciiTheme="minorHAnsi" w:hAnsiTheme="minorHAnsi" w:cstheme="minorHAnsi"/>
          <w:sz w:val="21"/>
          <w:szCs w:val="21"/>
        </w:rPr>
        <w:t xml:space="preserve"> is closely monitoring how attendance is tracking in different parts of the state and for different student cohorts.</w:t>
      </w:r>
      <w:r w:rsidR="00F458E9">
        <w:rPr>
          <w:rFonts w:ascii="Calibri" w:hAnsi="Calibri" w:cs="Calibri"/>
          <w:color w:val="000000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Justin reflected</w:t>
      </w:r>
      <w:r w:rsidR="00163223">
        <w:rPr>
          <w:rFonts w:asciiTheme="minorHAnsi" w:hAnsiTheme="minorHAnsi" w:cstheme="minorHAnsi"/>
          <w:sz w:val="21"/>
          <w:szCs w:val="21"/>
        </w:rPr>
        <w:t xml:space="preserve"> on</w:t>
      </w:r>
      <w:r>
        <w:rPr>
          <w:rFonts w:asciiTheme="minorHAnsi" w:hAnsiTheme="minorHAnsi" w:cstheme="minorHAnsi"/>
          <w:sz w:val="21"/>
          <w:szCs w:val="21"/>
        </w:rPr>
        <w:t xml:space="preserve"> factors that impact engagement and disengagement</w:t>
      </w:r>
      <w:r w:rsidR="00D82A3F">
        <w:rPr>
          <w:rFonts w:asciiTheme="minorHAnsi" w:hAnsiTheme="minorHAnsi" w:cstheme="minorHAnsi"/>
          <w:sz w:val="21"/>
          <w:szCs w:val="21"/>
        </w:rPr>
        <w:t>, noting they are</w:t>
      </w:r>
      <w:r>
        <w:rPr>
          <w:rFonts w:asciiTheme="minorHAnsi" w:hAnsiTheme="minorHAnsi" w:cstheme="minorHAnsi"/>
          <w:sz w:val="21"/>
          <w:szCs w:val="21"/>
        </w:rPr>
        <w:t xml:space="preserve"> complex.</w:t>
      </w:r>
      <w:r w:rsidR="00F458E9">
        <w:rPr>
          <w:rFonts w:asciiTheme="minorHAnsi" w:hAnsiTheme="minorHAnsi" w:cstheme="minorHAnsi"/>
          <w:sz w:val="21"/>
          <w:szCs w:val="21"/>
        </w:rPr>
        <w:t xml:space="preserve"> He highlighted the work DET is doing to support educators, students and parents/carers.</w:t>
      </w:r>
    </w:p>
    <w:p w14:paraId="383726E8" w14:textId="2B417027" w:rsidR="00474A80" w:rsidRDefault="00474A80" w:rsidP="007F173B">
      <w:pPr>
        <w:spacing w:before="120" w:after="120"/>
        <w:rPr>
          <w:rFonts w:ascii="Calibri" w:hAnsi="Calibri" w:cs="Calibri"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Ed Quin, Manager, Engaging Students At-risk Branch, Wellbeing, Health and Engagement, DET</w:t>
      </w:r>
      <w:r>
        <w:rPr>
          <w:rFonts w:asciiTheme="minorHAnsi" w:hAnsiTheme="minorHAnsi" w:cstheme="minorHAnsi"/>
          <w:sz w:val="21"/>
          <w:szCs w:val="21"/>
        </w:rPr>
        <w:t xml:space="preserve"> provided an update on the Navigator program</w:t>
      </w:r>
      <w:r w:rsidR="00AE42F6">
        <w:rPr>
          <w:rFonts w:asciiTheme="minorHAnsi" w:hAnsiTheme="minorHAnsi" w:cstheme="minorHAnsi"/>
          <w:sz w:val="21"/>
          <w:szCs w:val="21"/>
        </w:rPr>
        <w:t>. Navigator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AE42F6">
        <w:rPr>
          <w:rFonts w:asciiTheme="minorHAnsi" w:hAnsiTheme="minorHAnsi" w:cstheme="minorHAnsi"/>
          <w:sz w:val="21"/>
          <w:szCs w:val="21"/>
        </w:rPr>
        <w:t xml:space="preserve">is targeted to </w:t>
      </w:r>
      <w:r>
        <w:rPr>
          <w:rFonts w:asciiTheme="minorHAnsi" w:hAnsiTheme="minorHAnsi" w:cstheme="minorHAnsi"/>
          <w:sz w:val="21"/>
          <w:szCs w:val="21"/>
        </w:rPr>
        <w:t>students</w:t>
      </w:r>
      <w:r w:rsidR="00431353">
        <w:rPr>
          <w:rFonts w:asciiTheme="minorHAnsi" w:hAnsiTheme="minorHAnsi" w:cstheme="minorHAnsi"/>
          <w:sz w:val="21"/>
          <w:szCs w:val="21"/>
        </w:rPr>
        <w:t xml:space="preserve"> aged between 12 and 17 years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431353">
        <w:rPr>
          <w:rFonts w:asciiTheme="minorHAnsi" w:hAnsiTheme="minorHAnsi" w:cstheme="minorHAnsi"/>
          <w:sz w:val="21"/>
          <w:szCs w:val="21"/>
        </w:rPr>
        <w:t xml:space="preserve">who have </w:t>
      </w:r>
      <w:r w:rsidR="00AE42F6">
        <w:rPr>
          <w:rFonts w:asciiTheme="minorHAnsi" w:hAnsiTheme="minorHAnsi" w:cstheme="minorHAnsi"/>
          <w:sz w:val="21"/>
          <w:szCs w:val="21"/>
        </w:rPr>
        <w:t xml:space="preserve">attended </w:t>
      </w:r>
      <w:r w:rsidR="00431353">
        <w:rPr>
          <w:rFonts w:asciiTheme="minorHAnsi" w:hAnsiTheme="minorHAnsi" w:cstheme="minorHAnsi"/>
          <w:sz w:val="21"/>
          <w:szCs w:val="21"/>
        </w:rPr>
        <w:t xml:space="preserve">less than 30 per cent </w:t>
      </w:r>
      <w:r w:rsidR="00AE42F6">
        <w:rPr>
          <w:rFonts w:asciiTheme="minorHAnsi" w:hAnsiTheme="minorHAnsi" w:cstheme="minorHAnsi"/>
          <w:sz w:val="21"/>
          <w:szCs w:val="21"/>
        </w:rPr>
        <w:t>of the previous school term</w:t>
      </w:r>
      <w:r w:rsidR="00431353">
        <w:rPr>
          <w:rFonts w:asciiTheme="minorHAnsi" w:hAnsiTheme="minorHAnsi" w:cstheme="minorHAnsi"/>
          <w:sz w:val="21"/>
          <w:szCs w:val="21"/>
        </w:rPr>
        <w:t xml:space="preserve">. </w:t>
      </w:r>
      <w:r w:rsidR="00AE42F6">
        <w:rPr>
          <w:rFonts w:asciiTheme="minorHAnsi" w:hAnsiTheme="minorHAnsi" w:cstheme="minorHAnsi"/>
          <w:sz w:val="21"/>
          <w:szCs w:val="21"/>
        </w:rPr>
        <w:t xml:space="preserve">The program </w:t>
      </w:r>
      <w:r w:rsidR="00F458E9">
        <w:rPr>
          <w:rFonts w:asciiTheme="minorHAnsi" w:hAnsiTheme="minorHAnsi" w:cstheme="minorHAnsi"/>
          <w:sz w:val="21"/>
          <w:szCs w:val="21"/>
        </w:rPr>
        <w:t xml:space="preserve">is designed to address issues underlying students’ disengagement and help them return to education and learning. </w:t>
      </w:r>
      <w:r w:rsidR="00431353">
        <w:rPr>
          <w:rFonts w:asciiTheme="minorHAnsi" w:hAnsiTheme="minorHAnsi" w:cstheme="minorHAnsi"/>
          <w:sz w:val="21"/>
          <w:szCs w:val="21"/>
        </w:rPr>
        <w:t xml:space="preserve">From Term 1 2021 the Navigator program </w:t>
      </w:r>
      <w:r w:rsidR="00CF481A">
        <w:rPr>
          <w:rFonts w:asciiTheme="minorHAnsi" w:hAnsiTheme="minorHAnsi" w:cstheme="minorHAnsi"/>
          <w:sz w:val="21"/>
          <w:szCs w:val="21"/>
        </w:rPr>
        <w:t xml:space="preserve">is delivered </w:t>
      </w:r>
      <w:r w:rsidR="00431353">
        <w:rPr>
          <w:rFonts w:asciiTheme="minorHAnsi" w:hAnsiTheme="minorHAnsi" w:cstheme="minorHAnsi"/>
          <w:sz w:val="21"/>
          <w:szCs w:val="21"/>
        </w:rPr>
        <w:t xml:space="preserve">across the state. </w:t>
      </w:r>
      <w:r w:rsidR="00CF481A">
        <w:rPr>
          <w:rFonts w:asciiTheme="minorHAnsi" w:hAnsiTheme="minorHAnsi" w:cstheme="minorHAnsi"/>
          <w:sz w:val="21"/>
          <w:szCs w:val="21"/>
        </w:rPr>
        <w:t>Additional funding in the November State Budget has enabled providers to boost mental health support and intervene earlier to return newly</w:t>
      </w:r>
      <w:r w:rsidR="005B2970">
        <w:rPr>
          <w:rFonts w:asciiTheme="minorHAnsi" w:hAnsiTheme="minorHAnsi" w:cstheme="minorHAnsi"/>
          <w:sz w:val="21"/>
          <w:szCs w:val="21"/>
        </w:rPr>
        <w:t xml:space="preserve"> </w:t>
      </w:r>
      <w:r w:rsidR="00116586">
        <w:rPr>
          <w:rFonts w:asciiTheme="minorHAnsi" w:hAnsiTheme="minorHAnsi" w:cstheme="minorHAnsi"/>
          <w:sz w:val="21"/>
          <w:szCs w:val="21"/>
        </w:rPr>
        <w:t>d</w:t>
      </w:r>
      <w:r w:rsidR="00CF481A">
        <w:rPr>
          <w:rFonts w:asciiTheme="minorHAnsi" w:hAnsiTheme="minorHAnsi" w:cstheme="minorHAnsi"/>
          <w:sz w:val="21"/>
          <w:szCs w:val="21"/>
        </w:rPr>
        <w:t xml:space="preserve">isengaged students to school quickly. </w:t>
      </w:r>
      <w:r w:rsidR="00431353" w:rsidRPr="00431353">
        <w:rPr>
          <w:rFonts w:ascii="Calibri" w:hAnsi="Calibri" w:cs="Calibri"/>
          <w:color w:val="000000"/>
          <w:sz w:val="21"/>
          <w:szCs w:val="21"/>
        </w:rPr>
        <w:t>Strong partnerships, time and persistence, and a community-based approach are key success factors for the program.</w:t>
      </w:r>
    </w:p>
    <w:p w14:paraId="63C6EDC2" w14:textId="0EA699D5" w:rsidR="00F53976" w:rsidRPr="005B2970" w:rsidRDefault="00F53976" w:rsidP="007F173B">
      <w:pPr>
        <w:spacing w:before="120" w:after="120"/>
        <w:rPr>
          <w:rStyle w:val="Hyperlink"/>
          <w:rFonts w:ascii="Calibri" w:hAnsi="Calibri" w:cs="Calibri"/>
          <w:sz w:val="21"/>
          <w:szCs w:val="21"/>
        </w:rPr>
      </w:pPr>
      <w:r w:rsidRPr="005B2970">
        <w:rPr>
          <w:rFonts w:ascii="Calibri" w:hAnsi="Calibri" w:cs="Calibri"/>
          <w:color w:val="000000"/>
          <w:sz w:val="21"/>
          <w:szCs w:val="21"/>
        </w:rPr>
        <w:t xml:space="preserve">Further information </w:t>
      </w:r>
      <w:r w:rsidR="00163223">
        <w:rPr>
          <w:rFonts w:ascii="Calibri" w:hAnsi="Calibri" w:cs="Calibri"/>
          <w:color w:val="000000"/>
          <w:sz w:val="21"/>
          <w:szCs w:val="21"/>
        </w:rPr>
        <w:t xml:space="preserve">on the Navigator program </w:t>
      </w:r>
      <w:r w:rsidR="006906C9" w:rsidRPr="005B2970">
        <w:rPr>
          <w:rFonts w:ascii="Calibri" w:hAnsi="Calibri" w:cs="Calibri"/>
          <w:color w:val="000000"/>
          <w:sz w:val="21"/>
          <w:szCs w:val="21"/>
        </w:rPr>
        <w:t xml:space="preserve">and resources </w:t>
      </w:r>
      <w:r w:rsidRPr="005B2970">
        <w:rPr>
          <w:rFonts w:ascii="Calibri" w:hAnsi="Calibri" w:cs="Calibri"/>
          <w:color w:val="000000"/>
          <w:sz w:val="21"/>
          <w:szCs w:val="21"/>
        </w:rPr>
        <w:t xml:space="preserve">can be found here: </w:t>
      </w:r>
      <w:hyperlink r:id="rId10" w:history="1">
        <w:r w:rsidR="006906C9" w:rsidRPr="005B2970">
          <w:rPr>
            <w:rStyle w:val="Hyperlink"/>
            <w:rFonts w:ascii="Calibri" w:hAnsi="Calibri" w:cs="Calibri"/>
            <w:sz w:val="21"/>
            <w:szCs w:val="21"/>
          </w:rPr>
          <w:t>https://www.education.vic.gov.au/school/teachers/behaviour/engagement/Pages/navigator.aspx</w:t>
        </w:r>
      </w:hyperlink>
    </w:p>
    <w:p w14:paraId="55873DA9" w14:textId="6CECB0AE" w:rsidR="005B2970" w:rsidRPr="005B2970" w:rsidRDefault="005B2970" w:rsidP="005B2970">
      <w:pPr>
        <w:rPr>
          <w:rFonts w:asciiTheme="minorHAnsi" w:hAnsiTheme="minorHAnsi" w:cstheme="minorHAnsi"/>
          <w:sz w:val="21"/>
          <w:szCs w:val="21"/>
        </w:rPr>
      </w:pPr>
      <w:r w:rsidRPr="005B2970">
        <w:rPr>
          <w:rFonts w:asciiTheme="minorHAnsi" w:hAnsiTheme="minorHAnsi" w:cstheme="minorHAnsi"/>
          <w:sz w:val="21"/>
          <w:szCs w:val="21"/>
        </w:rPr>
        <w:t xml:space="preserve">The Mental Health Toolkit which lists all of the Department’s mental health and wellbeing support is available via: </w:t>
      </w:r>
      <w:hyperlink r:id="rId11" w:history="1">
        <w:r w:rsidRPr="005B2970">
          <w:rPr>
            <w:rStyle w:val="Hyperlink"/>
            <w:rFonts w:asciiTheme="minorHAnsi" w:hAnsiTheme="minorHAnsi" w:cstheme="minorHAnsi"/>
            <w:sz w:val="21"/>
            <w:szCs w:val="21"/>
          </w:rPr>
          <w:t>https://www.education.vic.gov.au/school/teachers/health/mentalhealth/Pages/mentalhealthtoolkit.aspx</w:t>
        </w:r>
      </w:hyperlink>
      <w:r w:rsidRPr="005B297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E815205" w14:textId="594886DB" w:rsidR="005B2970" w:rsidRPr="005B2970" w:rsidRDefault="005B2970" w:rsidP="004D5935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5B2970">
        <w:rPr>
          <w:rFonts w:asciiTheme="minorHAnsi" w:hAnsiTheme="minorHAnsi" w:cstheme="minorHAnsi"/>
          <w:color w:val="0B0C1D"/>
          <w:sz w:val="21"/>
          <w:szCs w:val="21"/>
        </w:rPr>
        <w:t xml:space="preserve">It includes a </w:t>
      </w:r>
      <w:hyperlink r:id="rId12" w:history="1">
        <w:r w:rsidRPr="005B2970">
          <w:rPr>
            <w:rStyle w:val="Hyperlink"/>
            <w:rFonts w:asciiTheme="minorHAnsi" w:hAnsiTheme="minorHAnsi" w:cstheme="minorHAnsi"/>
            <w:color w:val="0047A5"/>
            <w:sz w:val="21"/>
            <w:szCs w:val="21"/>
          </w:rPr>
          <w:t>Quick Guide to Student Mental Health and Wellbeing resources</w:t>
        </w:r>
      </w:hyperlink>
      <w:r w:rsidRPr="005B2970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B2970">
        <w:rPr>
          <w:rFonts w:asciiTheme="minorHAnsi" w:hAnsiTheme="minorHAnsi" w:cstheme="minorHAnsi"/>
          <w:color w:val="0B0C1D"/>
          <w:sz w:val="21"/>
          <w:szCs w:val="21"/>
        </w:rPr>
        <w:t>for schools, students, parents and carers looking to access expert guidance and resources to support wellbeing in one place</w:t>
      </w:r>
    </w:p>
    <w:p w14:paraId="49507340" w14:textId="19EDC464" w:rsidR="00AB6253" w:rsidRDefault="00AB6253" w:rsidP="00AB6253">
      <w:pPr>
        <w:pStyle w:val="Heading2"/>
      </w:pPr>
      <w:r>
        <w:t>A case study was provided by Ardoch on the community sector’s role in supporting student engagement</w:t>
      </w:r>
    </w:p>
    <w:p w14:paraId="3DA20766" w14:textId="7D5C672F" w:rsidR="009320F1" w:rsidRDefault="00431353" w:rsidP="009B6508">
      <w:pPr>
        <w:spacing w:before="120" w:after="120" w:line="252" w:lineRule="auto"/>
        <w:rPr>
          <w:rFonts w:ascii="Calibri" w:hAnsi="Calibri" w:cs="Calibri"/>
          <w:color w:val="000000"/>
          <w:sz w:val="21"/>
          <w:szCs w:val="21"/>
        </w:rPr>
      </w:pPr>
      <w:r w:rsidRPr="00864318">
        <w:rPr>
          <w:rFonts w:ascii="Calibri" w:hAnsi="Calibri" w:cs="Calibri"/>
          <w:b/>
          <w:bCs/>
          <w:color w:val="000000"/>
          <w:sz w:val="21"/>
          <w:szCs w:val="21"/>
        </w:rPr>
        <w:t xml:space="preserve">Adele Stowe-Lindner, National </w:t>
      </w:r>
      <w:r w:rsidR="00AB6253" w:rsidRPr="00864318">
        <w:rPr>
          <w:rFonts w:ascii="Calibri" w:hAnsi="Calibri" w:cs="Calibri"/>
          <w:b/>
          <w:bCs/>
          <w:color w:val="000000"/>
          <w:sz w:val="21"/>
          <w:szCs w:val="21"/>
        </w:rPr>
        <w:t>Programs Manager, Ardoch</w:t>
      </w:r>
      <w:r w:rsidR="00864318">
        <w:rPr>
          <w:rFonts w:ascii="Calibri" w:hAnsi="Calibri" w:cs="Calibri"/>
          <w:color w:val="000000"/>
          <w:sz w:val="21"/>
          <w:szCs w:val="21"/>
        </w:rPr>
        <w:t xml:space="preserve"> presented on a Mock Interview program that </w:t>
      </w:r>
      <w:r w:rsidR="00864318" w:rsidRPr="00864318">
        <w:rPr>
          <w:rFonts w:ascii="Calibri" w:hAnsi="Calibri" w:cs="Calibri"/>
          <w:color w:val="000000"/>
          <w:sz w:val="21"/>
          <w:szCs w:val="21"/>
        </w:rPr>
        <w:t>gives students an opportunity to build their aspiration</w:t>
      </w:r>
      <w:r w:rsidR="006906C9">
        <w:rPr>
          <w:rFonts w:ascii="Calibri" w:hAnsi="Calibri" w:cs="Calibri"/>
          <w:color w:val="000000"/>
          <w:sz w:val="21"/>
          <w:szCs w:val="21"/>
        </w:rPr>
        <w:t>s</w:t>
      </w:r>
      <w:r w:rsidR="00864318" w:rsidRPr="00864318">
        <w:rPr>
          <w:rFonts w:ascii="Calibri" w:hAnsi="Calibri" w:cs="Calibri"/>
          <w:color w:val="000000"/>
          <w:sz w:val="21"/>
          <w:szCs w:val="21"/>
        </w:rPr>
        <w:t xml:space="preserve"> and practice </w:t>
      </w:r>
      <w:r w:rsidR="00CF481A">
        <w:rPr>
          <w:rFonts w:ascii="Calibri" w:hAnsi="Calibri" w:cs="Calibri"/>
          <w:color w:val="000000"/>
          <w:sz w:val="21"/>
          <w:szCs w:val="21"/>
        </w:rPr>
        <w:t xml:space="preserve">interview skills </w:t>
      </w:r>
      <w:r w:rsidR="00864318" w:rsidRPr="00864318">
        <w:rPr>
          <w:rFonts w:ascii="Calibri" w:hAnsi="Calibri" w:cs="Calibri"/>
          <w:color w:val="000000"/>
          <w:sz w:val="21"/>
          <w:szCs w:val="21"/>
        </w:rPr>
        <w:t>in a safe and supported environment.</w:t>
      </w:r>
      <w:r w:rsidR="0086431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64318" w:rsidRPr="00864318">
        <w:rPr>
          <w:rFonts w:ascii="Calibri" w:hAnsi="Calibri" w:cs="Calibri"/>
          <w:color w:val="000000"/>
          <w:sz w:val="21"/>
          <w:szCs w:val="21"/>
        </w:rPr>
        <w:t>Ardoch focuses on improving outcomes for children and young people through building partnerships with schools, early years services and volunteers to boost social connectedness.</w:t>
      </w:r>
      <w:r w:rsidR="00864318" w:rsidRPr="009320F1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2EBD3D3D" w14:textId="1CB18358" w:rsidR="00E9500C" w:rsidRDefault="007238AA" w:rsidP="009B6508">
      <w:pPr>
        <w:spacing w:before="120" w:after="120" w:line="252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lastRenderedPageBreak/>
        <w:t xml:space="preserve">A </w:t>
      </w:r>
      <w:r w:rsidR="00AF6F9F">
        <w:rPr>
          <w:rFonts w:ascii="Calibri" w:hAnsi="Calibri" w:cs="Calibri"/>
          <w:b/>
          <w:bCs/>
          <w:color w:val="000000"/>
          <w:sz w:val="21"/>
          <w:szCs w:val="21"/>
        </w:rPr>
        <w:t>Senior Secondary Student</w:t>
      </w:r>
      <w:r w:rsidR="009320F1">
        <w:rPr>
          <w:rFonts w:ascii="Calibri" w:hAnsi="Calibri" w:cs="Calibri"/>
          <w:b/>
          <w:bCs/>
          <w:color w:val="000000"/>
          <w:sz w:val="21"/>
          <w:szCs w:val="21"/>
        </w:rPr>
        <w:t xml:space="preserve"> from Hampton Park Secondary College</w:t>
      </w:r>
      <w:r w:rsidR="009320F1">
        <w:rPr>
          <w:rFonts w:ascii="Calibri" w:hAnsi="Calibri" w:cs="Calibri"/>
          <w:color w:val="000000"/>
          <w:sz w:val="21"/>
          <w:szCs w:val="21"/>
        </w:rPr>
        <w:t xml:space="preserve"> shared </w:t>
      </w:r>
      <w:r w:rsidR="00AF6F9F">
        <w:rPr>
          <w:rFonts w:ascii="Calibri" w:hAnsi="Calibri" w:cs="Calibri"/>
          <w:color w:val="000000"/>
          <w:sz w:val="21"/>
          <w:szCs w:val="21"/>
        </w:rPr>
        <w:t>their</w:t>
      </w:r>
      <w:r w:rsidR="009320F1">
        <w:rPr>
          <w:rFonts w:ascii="Calibri" w:hAnsi="Calibri" w:cs="Calibri"/>
          <w:color w:val="000000"/>
          <w:sz w:val="21"/>
          <w:szCs w:val="21"/>
        </w:rPr>
        <w:t xml:space="preserve"> experience </w:t>
      </w:r>
      <w:r w:rsidR="00CF481A">
        <w:rPr>
          <w:rFonts w:ascii="Calibri" w:hAnsi="Calibri" w:cs="Calibri"/>
          <w:color w:val="000000"/>
          <w:sz w:val="21"/>
          <w:szCs w:val="21"/>
        </w:rPr>
        <w:t>of</w:t>
      </w:r>
      <w:r w:rsidR="009320F1">
        <w:rPr>
          <w:rFonts w:ascii="Calibri" w:hAnsi="Calibri" w:cs="Calibri"/>
          <w:color w:val="000000"/>
          <w:sz w:val="21"/>
          <w:szCs w:val="21"/>
        </w:rPr>
        <w:t xml:space="preserve"> the Mock Interview Program. </w:t>
      </w:r>
      <w:r w:rsidR="00AF6F9F">
        <w:rPr>
          <w:rFonts w:ascii="Calibri" w:hAnsi="Calibri" w:cs="Calibri"/>
          <w:color w:val="000000"/>
          <w:sz w:val="21"/>
          <w:szCs w:val="21"/>
        </w:rPr>
        <w:t>The student</w:t>
      </w:r>
      <w:r w:rsidR="009320F1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462EB">
        <w:rPr>
          <w:rFonts w:ascii="Calibri" w:hAnsi="Calibri" w:cs="Calibri"/>
          <w:color w:val="000000"/>
          <w:sz w:val="21"/>
          <w:szCs w:val="21"/>
        </w:rPr>
        <w:t xml:space="preserve">reflected on the value of an experiential program (compared with a paper-based exercise), </w:t>
      </w:r>
      <w:r w:rsidR="00CF481A">
        <w:rPr>
          <w:rFonts w:ascii="Calibri" w:hAnsi="Calibri" w:cs="Calibri"/>
          <w:color w:val="000000"/>
          <w:sz w:val="21"/>
          <w:szCs w:val="21"/>
        </w:rPr>
        <w:t xml:space="preserve">and </w:t>
      </w:r>
      <w:r w:rsidR="008462EB">
        <w:rPr>
          <w:rFonts w:ascii="Calibri" w:hAnsi="Calibri" w:cs="Calibri"/>
          <w:color w:val="000000"/>
          <w:sz w:val="21"/>
          <w:szCs w:val="21"/>
        </w:rPr>
        <w:t xml:space="preserve">described how the Mock Interview program has assisted </w:t>
      </w:r>
      <w:r w:rsidR="00AF6F9F">
        <w:rPr>
          <w:rFonts w:ascii="Calibri" w:hAnsi="Calibri" w:cs="Calibri"/>
          <w:color w:val="000000"/>
          <w:sz w:val="21"/>
          <w:szCs w:val="21"/>
        </w:rPr>
        <w:t>their</w:t>
      </w:r>
      <w:r w:rsidR="008462EB">
        <w:rPr>
          <w:rFonts w:ascii="Calibri" w:hAnsi="Calibri" w:cs="Calibri"/>
          <w:color w:val="000000"/>
          <w:sz w:val="21"/>
          <w:szCs w:val="21"/>
        </w:rPr>
        <w:t xml:space="preserve"> skills and career development. </w:t>
      </w:r>
      <w:r w:rsidR="00AF6F9F">
        <w:rPr>
          <w:rFonts w:ascii="Calibri" w:hAnsi="Calibri" w:cs="Calibri"/>
          <w:color w:val="000000"/>
          <w:sz w:val="21"/>
          <w:szCs w:val="21"/>
        </w:rPr>
        <w:t>The student</w:t>
      </w:r>
      <w:r w:rsidR="00CF481A">
        <w:rPr>
          <w:rFonts w:ascii="Calibri" w:hAnsi="Calibri" w:cs="Calibri"/>
          <w:color w:val="000000"/>
          <w:sz w:val="21"/>
          <w:szCs w:val="21"/>
        </w:rPr>
        <w:t xml:space="preserve"> also </w:t>
      </w:r>
      <w:r w:rsidR="008462EB">
        <w:rPr>
          <w:rFonts w:ascii="Calibri" w:hAnsi="Calibri" w:cs="Calibri"/>
          <w:color w:val="000000"/>
          <w:sz w:val="21"/>
          <w:szCs w:val="21"/>
        </w:rPr>
        <w:t xml:space="preserve">shared insights on school engagement. </w:t>
      </w:r>
      <w:r w:rsidR="009320F1">
        <w:rPr>
          <w:rFonts w:ascii="Calibri" w:hAnsi="Calibri" w:cs="Calibri"/>
          <w:color w:val="000000"/>
          <w:sz w:val="21"/>
          <w:szCs w:val="21"/>
        </w:rPr>
        <w:t xml:space="preserve">For </w:t>
      </w:r>
      <w:r w:rsidR="00AF6F9F">
        <w:rPr>
          <w:rFonts w:ascii="Calibri" w:hAnsi="Calibri" w:cs="Calibri"/>
          <w:color w:val="000000"/>
          <w:sz w:val="21"/>
          <w:szCs w:val="21"/>
        </w:rPr>
        <w:t>the student</w:t>
      </w:r>
      <w:r w:rsidR="009320F1">
        <w:rPr>
          <w:rFonts w:ascii="Calibri" w:hAnsi="Calibri" w:cs="Calibri"/>
          <w:color w:val="000000"/>
          <w:sz w:val="21"/>
          <w:szCs w:val="21"/>
        </w:rPr>
        <w:t xml:space="preserve"> and </w:t>
      </w:r>
      <w:r w:rsidR="00AF6F9F">
        <w:rPr>
          <w:rFonts w:ascii="Calibri" w:hAnsi="Calibri" w:cs="Calibri"/>
          <w:color w:val="000000"/>
          <w:sz w:val="21"/>
          <w:szCs w:val="21"/>
        </w:rPr>
        <w:t>their</w:t>
      </w:r>
      <w:r w:rsidR="009320F1">
        <w:rPr>
          <w:rFonts w:ascii="Calibri" w:hAnsi="Calibri" w:cs="Calibri"/>
          <w:color w:val="000000"/>
          <w:sz w:val="21"/>
          <w:szCs w:val="21"/>
        </w:rPr>
        <w:t xml:space="preserve"> friends, school is most engaging when there are a variety of subjects to choose from that align with their interests and skills. </w:t>
      </w:r>
    </w:p>
    <w:p w14:paraId="08A637B5" w14:textId="74D00BED" w:rsidR="00F53976" w:rsidRPr="009B6508" w:rsidRDefault="00F53976" w:rsidP="009B6508">
      <w:pPr>
        <w:spacing w:before="120" w:after="120" w:line="252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Further information and resources can be accessed at: </w:t>
      </w:r>
      <w:hyperlink r:id="rId13" w:history="1">
        <w:r w:rsidRPr="00507327">
          <w:rPr>
            <w:rStyle w:val="Hyperlink"/>
            <w:rFonts w:ascii="Calibri" w:hAnsi="Calibri" w:cs="Calibri"/>
            <w:sz w:val="21"/>
            <w:szCs w:val="21"/>
          </w:rPr>
          <w:t>https://www.ardoch.org.au/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93C1FEB" w14:textId="049DEFFD" w:rsidR="00E16405" w:rsidRDefault="00AB6253" w:rsidP="00AB6253">
      <w:pPr>
        <w:pStyle w:val="Heading1"/>
        <w:rPr>
          <w:b/>
          <w:bCs/>
        </w:rPr>
      </w:pPr>
      <w:r>
        <w:rPr>
          <w:b/>
          <w:bCs/>
        </w:rPr>
        <w:t>Creating a sense of belonging</w:t>
      </w:r>
    </w:p>
    <w:p w14:paraId="3A0C64EC" w14:textId="6B64EFE0" w:rsidR="00AB6253" w:rsidRDefault="00AB6253" w:rsidP="00AB6253">
      <w:pPr>
        <w:pStyle w:val="Heading2"/>
      </w:pPr>
      <w:r>
        <w:t>Firth Review</w:t>
      </w:r>
    </w:p>
    <w:p w14:paraId="501F030C" w14:textId="2A442636" w:rsidR="00AB6253" w:rsidRDefault="00201EAA" w:rsidP="00201EAA">
      <w:pPr>
        <w:pStyle w:val="NoSpacing"/>
        <w:spacing w:before="120" w:after="120" w:line="252" w:lineRule="auto"/>
        <w:rPr>
          <w:rFonts w:asciiTheme="minorHAnsi" w:hAnsiTheme="minorHAnsi" w:cstheme="minorHAnsi"/>
          <w:sz w:val="21"/>
          <w:szCs w:val="21"/>
        </w:rPr>
      </w:pPr>
      <w:r w:rsidRPr="00201EAA">
        <w:rPr>
          <w:rFonts w:asciiTheme="minorHAnsi" w:hAnsiTheme="minorHAnsi" w:cstheme="minorHAnsi"/>
          <w:b/>
          <w:bCs/>
          <w:sz w:val="21"/>
          <w:szCs w:val="21"/>
        </w:rPr>
        <w:t>Natalie Garcia de Heer</w:t>
      </w:r>
      <w:r w:rsidRPr="00201EAA">
        <w:rPr>
          <w:rFonts w:asciiTheme="minorHAnsi" w:hAnsiTheme="minorHAnsi" w:cstheme="minorHAnsi"/>
          <w:sz w:val="21"/>
          <w:szCs w:val="21"/>
        </w:rPr>
        <w:t xml:space="preserve">, </w:t>
      </w:r>
      <w:r w:rsidRPr="00201EAA">
        <w:rPr>
          <w:rFonts w:asciiTheme="minorHAnsi" w:hAnsiTheme="minorHAnsi" w:cstheme="minorHAnsi"/>
          <w:b/>
          <w:bCs/>
          <w:sz w:val="21"/>
          <w:szCs w:val="21"/>
        </w:rPr>
        <w:t>A/Director, School Education Policy and Reform, Policy, Strategy and Performance Group, DET</w:t>
      </w:r>
      <w:r>
        <w:rPr>
          <w:rFonts w:asciiTheme="minorHAnsi" w:hAnsiTheme="minorHAnsi" w:cstheme="minorHAnsi"/>
          <w:sz w:val="21"/>
          <w:szCs w:val="21"/>
        </w:rPr>
        <w:t xml:space="preserve"> presented on progress of the implementation of the Firth Review Report into vocational and applied learning pathways. DET has established a Senior Secondary Pathways Reform Taskforce and will continue to undertake stakeholder and public consultations as the reforms progress.</w:t>
      </w:r>
    </w:p>
    <w:p w14:paraId="137AB7BE" w14:textId="74BF476D" w:rsidR="004414D3" w:rsidRPr="00201EAA" w:rsidRDefault="004414D3" w:rsidP="00201EAA">
      <w:pPr>
        <w:pStyle w:val="NoSpacing"/>
        <w:spacing w:before="120" w:after="120" w:line="25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More information can be found here: </w:t>
      </w:r>
      <w:hyperlink r:id="rId14" w:history="1">
        <w:r w:rsidRPr="00507327">
          <w:rPr>
            <w:rStyle w:val="Hyperlink"/>
            <w:rFonts w:asciiTheme="minorHAnsi" w:hAnsiTheme="minorHAnsi" w:cstheme="minorHAnsi"/>
            <w:sz w:val="21"/>
            <w:szCs w:val="21"/>
          </w:rPr>
          <w:t>https://www.education.vic.gov.au/about/department/Pages/vcal-pathways-review.aspx</w:t>
        </w:r>
      </w:hyperlink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4BDF4AB" w14:textId="2E299C9C" w:rsidR="00AB6253" w:rsidRDefault="00AB6253" w:rsidP="00AB6253">
      <w:pPr>
        <w:pStyle w:val="Heading2"/>
      </w:pPr>
      <w:r>
        <w:t>Supporting children in out</w:t>
      </w:r>
      <w:r w:rsidR="005B2970">
        <w:t>-</w:t>
      </w:r>
      <w:r>
        <w:t>of</w:t>
      </w:r>
      <w:r w:rsidR="005B2970">
        <w:t>-</w:t>
      </w:r>
      <w:r>
        <w:t>home care</w:t>
      </w:r>
    </w:p>
    <w:p w14:paraId="223BE1E3" w14:textId="2F9180C1" w:rsidR="00201EAA" w:rsidRPr="00201EAA" w:rsidRDefault="00201EAA" w:rsidP="00201EAA">
      <w:pPr>
        <w:pStyle w:val="NoSpacing"/>
        <w:spacing w:before="120" w:after="120" w:line="252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201EAA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Dr Anne Kennedy, Early Childhood Consultant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6906C9">
        <w:rPr>
          <w:rFonts w:asciiTheme="minorHAnsi" w:eastAsiaTheme="minorHAnsi" w:hAnsiTheme="minorHAnsi" w:cstheme="minorHAnsi"/>
          <w:sz w:val="21"/>
          <w:szCs w:val="21"/>
          <w:lang w:eastAsia="en-US"/>
        </w:rPr>
        <w:t>set the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scene on the importance of creating a sense of belonging in early childhood settings to support engagement. Creating a sense of belonging is core to the philosophy and practice of early learning and requires genuine partnerships with families. It </w:t>
      </w:r>
      <w:r w:rsidR="004414D3">
        <w:rPr>
          <w:rFonts w:asciiTheme="minorHAnsi" w:eastAsiaTheme="minorHAnsi" w:hAnsiTheme="minorHAnsi" w:cstheme="minorHAnsi"/>
          <w:sz w:val="21"/>
          <w:szCs w:val="21"/>
          <w:lang w:eastAsia="en-US"/>
        </w:rPr>
        <w:t>is intentional and needs an ethical lens that is welcoming, attending, non-judgemental and accepts children and families as they are. This includes validating the identi</w:t>
      </w:r>
      <w:r w:rsidR="00D82A3F">
        <w:rPr>
          <w:rFonts w:asciiTheme="minorHAnsi" w:eastAsiaTheme="minorHAnsi" w:hAnsiTheme="minorHAnsi" w:cstheme="minorHAnsi"/>
          <w:sz w:val="21"/>
          <w:szCs w:val="21"/>
          <w:lang w:eastAsia="en-US"/>
        </w:rPr>
        <w:t>ty</w:t>
      </w:r>
      <w:r w:rsidR="004414D3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and life experience of children and families.</w:t>
      </w:r>
    </w:p>
    <w:p w14:paraId="13C12FA8" w14:textId="15D46427" w:rsidR="004414D3" w:rsidRDefault="00201EAA" w:rsidP="00201EAA">
      <w:pPr>
        <w:spacing w:before="120" w:after="120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201EAA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Jo Geurts</w:t>
      </w:r>
      <w:r w:rsidRPr="004414D3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, CEO, Eureka Community Kindergarten Association</w:t>
      </w:r>
      <w:r w:rsidR="004414D3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spoke about key enablers and barriers in supporting children in out</w:t>
      </w:r>
      <w:r w:rsidR="005B2970">
        <w:rPr>
          <w:rFonts w:asciiTheme="minorHAnsi" w:eastAsiaTheme="minorHAnsi" w:hAnsiTheme="minorHAnsi" w:cstheme="minorHAnsi"/>
          <w:sz w:val="21"/>
          <w:szCs w:val="21"/>
          <w:lang w:eastAsia="en-US"/>
        </w:rPr>
        <w:t>-</w:t>
      </w:r>
      <w:r w:rsidR="004414D3">
        <w:rPr>
          <w:rFonts w:asciiTheme="minorHAnsi" w:eastAsiaTheme="minorHAnsi" w:hAnsiTheme="minorHAnsi" w:cstheme="minorHAnsi"/>
          <w:sz w:val="21"/>
          <w:szCs w:val="21"/>
          <w:lang w:eastAsia="en-US"/>
        </w:rPr>
        <w:t>of</w:t>
      </w:r>
      <w:r w:rsidR="005B2970">
        <w:rPr>
          <w:rFonts w:asciiTheme="minorHAnsi" w:eastAsiaTheme="minorHAnsi" w:hAnsiTheme="minorHAnsi" w:cstheme="minorHAnsi"/>
          <w:sz w:val="21"/>
          <w:szCs w:val="21"/>
          <w:lang w:eastAsia="en-US"/>
        </w:rPr>
        <w:t>-</w:t>
      </w:r>
      <w:r w:rsidR="004414D3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home care from an early learning perspective. </w:t>
      </w:r>
    </w:p>
    <w:p w14:paraId="7B2A9D64" w14:textId="45F75163" w:rsidR="004414D3" w:rsidRDefault="004414D3" w:rsidP="00201EAA">
      <w:pPr>
        <w:spacing w:before="120" w:after="120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Enablers include </w:t>
      </w:r>
      <w:r w:rsidR="006906C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building 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networks and partnerships </w:t>
      </w:r>
      <w:r w:rsidR="006906C9">
        <w:rPr>
          <w:rFonts w:asciiTheme="minorHAnsi" w:eastAsiaTheme="minorHAnsi" w:hAnsiTheme="minorHAnsi" w:cstheme="minorHAnsi"/>
          <w:sz w:val="21"/>
          <w:szCs w:val="21"/>
          <w:lang w:eastAsia="en-US"/>
        </w:rPr>
        <w:t>across the sector and between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agencies to support continuity of learning; DET funded pre-purchased places; capacity building from School Readiness Funding</w:t>
      </w:r>
      <w:r w:rsidR="008462EB">
        <w:rPr>
          <w:rFonts w:asciiTheme="minorHAnsi" w:eastAsiaTheme="minorHAnsi" w:hAnsiTheme="minorHAnsi" w:cstheme="minorHAnsi"/>
          <w:sz w:val="21"/>
          <w:szCs w:val="21"/>
          <w:lang w:eastAsia="en-US"/>
        </w:rPr>
        <w:t>;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and a DET pilot of outreach workers to support</w:t>
      </w:r>
      <w:r w:rsidR="006906C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engagement of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Aboriginal children in services. </w:t>
      </w:r>
    </w:p>
    <w:p w14:paraId="3F698F61" w14:textId="0363F134" w:rsidR="00AB6253" w:rsidRPr="004414D3" w:rsidRDefault="004414D3" w:rsidP="00201EAA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Barriers include high turn-over in Child Protection staff; complexities in the system, including paperwork required </w:t>
      </w:r>
      <w:r w:rsidR="006906C9">
        <w:rPr>
          <w:rFonts w:asciiTheme="minorHAnsi" w:eastAsiaTheme="minorHAnsi" w:hAnsiTheme="minorHAnsi" w:cstheme="minorHAnsi"/>
          <w:sz w:val="21"/>
          <w:szCs w:val="21"/>
          <w:lang w:eastAsia="en-US"/>
        </w:rPr>
        <w:t>for children to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engage in early learning; early childhood education and care services not being informed </w:t>
      </w:r>
      <w:r w:rsidRPr="004414D3">
        <w:rPr>
          <w:rFonts w:asciiTheme="minorHAnsi" w:eastAsiaTheme="minorHAnsi" w:hAnsiTheme="minorHAnsi" w:cstheme="minorHAnsi"/>
          <w:sz w:val="21"/>
          <w:szCs w:val="21"/>
          <w:lang w:eastAsia="en-US"/>
        </w:rPr>
        <w:t>about a child’s changing circumstances</w:t>
      </w:r>
      <w:r w:rsidR="008462EB">
        <w:rPr>
          <w:rFonts w:asciiTheme="minorHAnsi" w:eastAsiaTheme="minorHAnsi" w:hAnsiTheme="minorHAnsi" w:cstheme="minorHAnsi"/>
          <w:sz w:val="21"/>
          <w:szCs w:val="21"/>
          <w:lang w:eastAsia="en-US"/>
        </w:rPr>
        <w:t>;</w:t>
      </w:r>
      <w:r w:rsidRPr="004414D3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and complexities in supporting carers</w:t>
      </w:r>
      <w:r w:rsidR="006906C9">
        <w:rPr>
          <w:rFonts w:asciiTheme="minorHAnsi" w:eastAsiaTheme="minorHAnsi" w:hAnsiTheme="minorHAnsi" w:cstheme="minorHAnsi"/>
          <w:sz w:val="21"/>
          <w:szCs w:val="21"/>
          <w:lang w:eastAsia="en-US"/>
        </w:rPr>
        <w:t>/</w:t>
      </w:r>
      <w:r w:rsidRPr="004414D3">
        <w:rPr>
          <w:rFonts w:asciiTheme="minorHAnsi" w:eastAsiaTheme="minorHAnsi" w:hAnsiTheme="minorHAnsi" w:cstheme="minorHAnsi"/>
          <w:sz w:val="21"/>
          <w:szCs w:val="21"/>
          <w:lang w:eastAsia="en-US"/>
        </w:rPr>
        <w:t>foster carers.</w:t>
      </w:r>
    </w:p>
    <w:p w14:paraId="447B4E0B" w14:textId="1CB4C448" w:rsidR="009B6508" w:rsidRPr="004414D3" w:rsidRDefault="004414D3" w:rsidP="002E3426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Further information </w:t>
      </w:r>
      <w:r w:rsidR="00631FFC">
        <w:rPr>
          <w:rFonts w:asciiTheme="minorHAnsi" w:hAnsiTheme="minorHAnsi" w:cstheme="minorHAnsi"/>
          <w:sz w:val="21"/>
          <w:szCs w:val="21"/>
        </w:rPr>
        <w:t>and resources</w:t>
      </w:r>
      <w:r>
        <w:rPr>
          <w:rFonts w:asciiTheme="minorHAnsi" w:hAnsiTheme="minorHAnsi" w:cstheme="minorHAnsi"/>
          <w:sz w:val="21"/>
          <w:szCs w:val="21"/>
        </w:rPr>
        <w:t xml:space="preserve"> can be found here: </w:t>
      </w:r>
      <w:hyperlink r:id="rId15" w:history="1">
        <w:r w:rsidR="00631FFC" w:rsidRPr="00507327">
          <w:rPr>
            <w:rStyle w:val="Hyperlink"/>
            <w:rFonts w:asciiTheme="minorHAnsi" w:hAnsiTheme="minorHAnsi" w:cstheme="minorHAnsi"/>
            <w:sz w:val="21"/>
            <w:szCs w:val="21"/>
          </w:rPr>
          <w:t>https://www.dese.gov.au/national-quality-framework-early-childhood-education-and-care/resources/belonging-being-becoming-early-years-learning-framework-australia</w:t>
        </w:r>
      </w:hyperlink>
      <w:r w:rsidR="00631FFC">
        <w:rPr>
          <w:rFonts w:asciiTheme="minorHAnsi" w:hAnsiTheme="minorHAnsi" w:cstheme="minorHAnsi"/>
          <w:sz w:val="21"/>
          <w:szCs w:val="21"/>
        </w:rPr>
        <w:t xml:space="preserve"> and </w:t>
      </w:r>
      <w:hyperlink r:id="rId16" w:history="1">
        <w:r w:rsidR="00631FFC" w:rsidRPr="00507327">
          <w:rPr>
            <w:rStyle w:val="Hyperlink"/>
            <w:rFonts w:asciiTheme="minorHAnsi" w:hAnsiTheme="minorHAnsi" w:cstheme="minorHAnsi"/>
            <w:sz w:val="21"/>
            <w:szCs w:val="21"/>
          </w:rPr>
          <w:t>https://www.education.vic.gov.au/childhood/professionals/health/outofhomecare/Pages/earlychildhoodagreement.aspx</w:t>
        </w:r>
      </w:hyperlink>
    </w:p>
    <w:p w14:paraId="156C4785" w14:textId="5A9312CE" w:rsidR="009B6508" w:rsidRDefault="009B6508" w:rsidP="009B6508">
      <w:pPr>
        <w:pStyle w:val="Heading1"/>
        <w:spacing w:after="240"/>
        <w:rPr>
          <w:b/>
          <w:bCs/>
        </w:rPr>
      </w:pPr>
      <w:r>
        <w:rPr>
          <w:b/>
          <w:bCs/>
        </w:rPr>
        <w:t>Next meeting</w:t>
      </w:r>
    </w:p>
    <w:p w14:paraId="57455987" w14:textId="1DB5AF35" w:rsidR="009B6508" w:rsidRDefault="009B6508" w:rsidP="009B6508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Our next meeting will be on the theme of </w:t>
      </w:r>
      <w:r w:rsidR="003A78FC">
        <w:rPr>
          <w:rFonts w:asciiTheme="minorHAnsi" w:hAnsiTheme="minorHAnsi" w:cstheme="minorHAnsi"/>
          <w:sz w:val="21"/>
          <w:szCs w:val="21"/>
        </w:rPr>
        <w:t>Disability</w:t>
      </w:r>
      <w:r>
        <w:rPr>
          <w:rFonts w:asciiTheme="minorHAnsi" w:hAnsiTheme="minorHAnsi" w:cstheme="minorHAnsi"/>
          <w:sz w:val="21"/>
          <w:szCs w:val="21"/>
        </w:rPr>
        <w:t>. Please contact VCOSS i</w:t>
      </w:r>
      <w:r w:rsidR="00D82A3F">
        <w:rPr>
          <w:rFonts w:asciiTheme="minorHAnsi" w:hAnsiTheme="minorHAnsi" w:cstheme="minorHAnsi"/>
          <w:sz w:val="21"/>
          <w:szCs w:val="21"/>
        </w:rPr>
        <w:t>f</w:t>
      </w:r>
      <w:r>
        <w:rPr>
          <w:rFonts w:asciiTheme="minorHAnsi" w:hAnsiTheme="minorHAnsi" w:cstheme="minorHAnsi"/>
          <w:sz w:val="21"/>
          <w:szCs w:val="21"/>
        </w:rPr>
        <w:t xml:space="preserve"> there is something that you’d like to share with us, to guide our planning for this meeting.</w:t>
      </w:r>
    </w:p>
    <w:p w14:paraId="0E0791F0" w14:textId="77777777" w:rsidR="009B6508" w:rsidRPr="00CB71AE" w:rsidRDefault="009B6508" w:rsidP="009B6508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CB71AE">
        <w:rPr>
          <w:rFonts w:asciiTheme="minorHAnsi" w:hAnsiTheme="minorHAnsi" w:cstheme="minorHAnsi"/>
          <w:sz w:val="21"/>
          <w:szCs w:val="21"/>
        </w:rPr>
        <w:t>Deb Fewster, Manager, Advocacy and Engagement</w:t>
      </w:r>
    </w:p>
    <w:p w14:paraId="53766633" w14:textId="77777777" w:rsidR="009B6508" w:rsidRPr="00CB71AE" w:rsidRDefault="009B6508" w:rsidP="009B6508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CB71AE">
        <w:rPr>
          <w:rFonts w:asciiTheme="minorHAnsi" w:hAnsiTheme="minorHAnsi" w:cstheme="minorHAnsi"/>
          <w:sz w:val="21"/>
          <w:szCs w:val="21"/>
        </w:rPr>
        <w:t xml:space="preserve">Email: </w:t>
      </w:r>
      <w:hyperlink r:id="rId17" w:history="1">
        <w:r w:rsidRPr="00CB71AE">
          <w:rPr>
            <w:rStyle w:val="Hyperlink"/>
            <w:rFonts w:asciiTheme="minorHAnsi" w:hAnsiTheme="minorHAnsi" w:cstheme="minorHAnsi"/>
            <w:sz w:val="21"/>
            <w:szCs w:val="21"/>
          </w:rPr>
          <w:t>Deborah.fewster@vcoss.org.au</w:t>
        </w:r>
      </w:hyperlink>
      <w:r>
        <w:rPr>
          <w:rStyle w:val="Hyperlink"/>
          <w:rFonts w:asciiTheme="minorHAnsi" w:hAnsiTheme="minorHAnsi" w:cstheme="minorHAnsi"/>
          <w:sz w:val="21"/>
          <w:szCs w:val="21"/>
        </w:rPr>
        <w:t>.</w:t>
      </w:r>
    </w:p>
    <w:p w14:paraId="003B8D58" w14:textId="77777777" w:rsidR="009B6508" w:rsidRPr="00CB71AE" w:rsidRDefault="009B6508" w:rsidP="009B6508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CB71AE">
        <w:rPr>
          <w:rFonts w:asciiTheme="minorHAnsi" w:hAnsiTheme="minorHAnsi" w:cstheme="minorHAnsi"/>
          <w:sz w:val="21"/>
          <w:szCs w:val="21"/>
        </w:rPr>
        <w:t>Talisha Ohanessian, Policy Advisor</w:t>
      </w:r>
    </w:p>
    <w:p w14:paraId="0C9C13EB" w14:textId="215A8A73" w:rsidR="009B6508" w:rsidRPr="009B6508" w:rsidRDefault="009B6508" w:rsidP="009B6508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CB71AE">
        <w:rPr>
          <w:rFonts w:asciiTheme="minorHAnsi" w:hAnsiTheme="minorHAnsi" w:cstheme="minorHAnsi"/>
          <w:sz w:val="21"/>
          <w:szCs w:val="21"/>
        </w:rPr>
        <w:t xml:space="preserve">Email: </w:t>
      </w:r>
      <w:hyperlink r:id="rId18" w:history="1">
        <w:r w:rsidRPr="00CB71AE">
          <w:rPr>
            <w:rStyle w:val="Hyperlink"/>
            <w:rFonts w:asciiTheme="minorHAnsi" w:hAnsiTheme="minorHAnsi" w:cstheme="minorHAnsi"/>
            <w:sz w:val="21"/>
            <w:szCs w:val="21"/>
          </w:rPr>
          <w:t>Talisha.Ohanessian@vcoss.org.au</w:t>
        </w:r>
      </w:hyperlink>
      <w:r>
        <w:rPr>
          <w:rStyle w:val="Hyperlink"/>
          <w:rFonts w:asciiTheme="minorHAnsi" w:hAnsiTheme="minorHAnsi" w:cstheme="minorHAnsi"/>
          <w:sz w:val="21"/>
          <w:szCs w:val="21"/>
        </w:rPr>
        <w:t>.</w:t>
      </w:r>
    </w:p>
    <w:sectPr w:rsidR="009B6508" w:rsidRPr="009B6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7BA0"/>
    <w:multiLevelType w:val="hybridMultilevel"/>
    <w:tmpl w:val="D6CE1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C"/>
    <w:rsid w:val="00004A67"/>
    <w:rsid w:val="00086FFF"/>
    <w:rsid w:val="000D2649"/>
    <w:rsid w:val="00116586"/>
    <w:rsid w:val="00163223"/>
    <w:rsid w:val="001F095A"/>
    <w:rsid w:val="00201EAA"/>
    <w:rsid w:val="00271319"/>
    <w:rsid w:val="002E3426"/>
    <w:rsid w:val="003A78FC"/>
    <w:rsid w:val="003C7FC1"/>
    <w:rsid w:val="00431353"/>
    <w:rsid w:val="004414D3"/>
    <w:rsid w:val="00474A80"/>
    <w:rsid w:val="004A243C"/>
    <w:rsid w:val="004B5B04"/>
    <w:rsid w:val="004D5935"/>
    <w:rsid w:val="005B2970"/>
    <w:rsid w:val="00631FFC"/>
    <w:rsid w:val="006906C9"/>
    <w:rsid w:val="006C57CE"/>
    <w:rsid w:val="007238AA"/>
    <w:rsid w:val="007F173B"/>
    <w:rsid w:val="008462EB"/>
    <w:rsid w:val="00856277"/>
    <w:rsid w:val="00864318"/>
    <w:rsid w:val="00927B16"/>
    <w:rsid w:val="009320F1"/>
    <w:rsid w:val="009B6508"/>
    <w:rsid w:val="00AB6253"/>
    <w:rsid w:val="00AE42F6"/>
    <w:rsid w:val="00AF6F9F"/>
    <w:rsid w:val="00B465DD"/>
    <w:rsid w:val="00B66643"/>
    <w:rsid w:val="00B72405"/>
    <w:rsid w:val="00C14940"/>
    <w:rsid w:val="00CF481A"/>
    <w:rsid w:val="00D82A3F"/>
    <w:rsid w:val="00E069B6"/>
    <w:rsid w:val="00E16405"/>
    <w:rsid w:val="00E5622C"/>
    <w:rsid w:val="00E72FC2"/>
    <w:rsid w:val="00E9500C"/>
    <w:rsid w:val="00F16DDA"/>
    <w:rsid w:val="00F32E00"/>
    <w:rsid w:val="00F458E9"/>
    <w:rsid w:val="00F5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C882"/>
  <w15:chartTrackingRefBased/>
  <w15:docId w15:val="{47B11B0B-DAFE-4833-835B-9808927E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0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2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0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styleId="IntenseEmphasis">
    <w:name w:val="Intense Emphasis"/>
    <w:uiPriority w:val="21"/>
    <w:qFormat/>
    <w:rsid w:val="00E9500C"/>
    <w:rPr>
      <w:i/>
      <w:iCs/>
      <w:color w:val="5B9BD5"/>
    </w:rPr>
  </w:style>
  <w:style w:type="paragraph" w:styleId="NormalWeb">
    <w:name w:val="Normal (Web)"/>
    <w:basedOn w:val="Normal"/>
    <w:uiPriority w:val="99"/>
    <w:unhideWhenUsed/>
    <w:rsid w:val="00E9500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9500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625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paragraph" w:styleId="NoSpacing">
    <w:name w:val="No Spacing"/>
    <w:uiPriority w:val="1"/>
    <w:qFormat/>
    <w:rsid w:val="0020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414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3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7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97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3F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5B297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3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oss.org.au/sector-hub/networks/education-partnership/" TargetMode="External"/><Relationship Id="rId13" Type="http://schemas.openxmlformats.org/officeDocument/2006/relationships/hyperlink" Target="https://www.ardoch.org.au/" TargetMode="External"/><Relationship Id="rId18" Type="http://schemas.openxmlformats.org/officeDocument/2006/relationships/hyperlink" Target="file:///C:/Users/TalishaOhanessian/Documents/Talisha.Ohanessian@vcoss.org.au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hyperlink" Target="https://www.education.vic.gov.au/Documents/school/teachers/health/mentalhealth/quick-guide-to-student-mental-health-and-wellbeing-resources.pdf" TargetMode="External"/><Relationship Id="rId17" Type="http://schemas.openxmlformats.org/officeDocument/2006/relationships/hyperlink" Target="mailto:Deborah.fewster@vcoss.org.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cation.vic.gov.au/childhood/professionals/health/outofhomecare/Pages/earlychildhoodagreement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coss.org.au/index.htm" TargetMode="External"/><Relationship Id="rId11" Type="http://schemas.openxmlformats.org/officeDocument/2006/relationships/hyperlink" Target="https://www.education.vic.gov.au/school/teachers/health/mentalhealth/Pages/mentalhealthtoolkit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dese.gov.au/national-quality-framework-early-childhood-education-and-care/resources/belonging-being-becoming-early-years-learning-framework-australia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education.vic.gov.au/school/teachers/behaviour/engagement/Pages/navigator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about/department/Pages/partnerships.aspx" TargetMode="External"/><Relationship Id="rId14" Type="http://schemas.openxmlformats.org/officeDocument/2006/relationships/hyperlink" Target="https://www.education.vic.gov.au/about/department/Pages/vcal-pathways-review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DET_CSO_Governance_Group_meeting_May_2021_Communique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B2761F2-2731-45E3-942A-522E5C0FFCAB}"/>
</file>

<file path=customXml/itemProps2.xml><?xml version="1.0" encoding="utf-8"?>
<ds:datastoreItem xmlns:ds="http://schemas.openxmlformats.org/officeDocument/2006/customXml" ds:itemID="{7C9EEA14-5829-4F08-834E-CE0396BC168D}"/>
</file>

<file path=customXml/itemProps3.xml><?xml version="1.0" encoding="utf-8"?>
<ds:datastoreItem xmlns:ds="http://schemas.openxmlformats.org/officeDocument/2006/customXml" ds:itemID="{9FE86F03-FE61-48C5-A6D5-D410719D3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6417</Characters>
  <Application>Microsoft Office Word</Application>
  <DocSecurity>0</DocSecurity>
  <Lines>94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Talisha Ohanessian</dc:creator>
  <cp:keywords/>
  <dc:description/>
  <cp:lastModifiedBy>Jill Kidd</cp:lastModifiedBy>
  <cp:revision>2</cp:revision>
  <dcterms:created xsi:type="dcterms:W3CDTF">2021-08-26T02:59:00Z</dcterms:created>
  <dcterms:modified xsi:type="dcterms:W3CDTF">2021-08-26T02:59:00Z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