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8541A" w14:textId="77777777" w:rsidR="000D61B5" w:rsidRPr="00364C01" w:rsidRDefault="000D61B5" w:rsidP="000D61B5">
      <w:pPr>
        <w:pBdr>
          <w:bottom w:val="single" w:sz="4" w:space="1" w:color="auto"/>
        </w:pBdr>
        <w:jc w:val="center"/>
        <w:rPr>
          <w:rFonts w:ascii="Arial" w:hAnsi="Arial" w:cs="Arial"/>
          <w:color w:val="000000"/>
          <w:sz w:val="19"/>
          <w:szCs w:val="19"/>
        </w:rPr>
      </w:pPr>
      <w:r w:rsidRPr="007E488D">
        <w:rPr>
          <w:noProof/>
        </w:rPr>
        <w:drawing>
          <wp:inline distT="0" distB="0" distL="0" distR="0" wp14:anchorId="31784461" wp14:editId="6DE40E62">
            <wp:extent cx="2628900" cy="685800"/>
            <wp:effectExtent l="0" t="0" r="0" b="0"/>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685800"/>
                    </a:xfrm>
                    <a:prstGeom prst="rect">
                      <a:avLst/>
                    </a:prstGeom>
                    <a:noFill/>
                    <a:ln>
                      <a:noFill/>
                    </a:ln>
                  </pic:spPr>
                </pic:pic>
              </a:graphicData>
            </a:graphic>
          </wp:inline>
        </w:drawing>
      </w:r>
      <w:r>
        <w:rPr>
          <w:rFonts w:ascii="Arial" w:hAnsi="Arial" w:cs="Arial"/>
          <w:color w:val="000000"/>
          <w:sz w:val="19"/>
          <w:szCs w:val="19"/>
        </w:rPr>
        <w:tab/>
      </w:r>
      <w:r w:rsidRPr="00047A9D">
        <w:rPr>
          <w:rStyle w:val="IntenseEmphasis"/>
          <w:rFonts w:eastAsiaTheme="majorEastAsia"/>
        </w:rPr>
        <w:tab/>
      </w:r>
      <w:r>
        <w:rPr>
          <w:rFonts w:ascii="Arial" w:hAnsi="Arial" w:cs="Arial"/>
          <w:color w:val="000000"/>
          <w:sz w:val="19"/>
          <w:szCs w:val="19"/>
        </w:rPr>
        <w:tab/>
      </w:r>
      <w:r>
        <w:rPr>
          <w:rFonts w:ascii="Arial" w:hAnsi="Arial" w:cs="Arial"/>
          <w:color w:val="000000"/>
          <w:sz w:val="19"/>
          <w:szCs w:val="19"/>
        </w:rPr>
        <w:tab/>
      </w:r>
      <w:r>
        <w:rPr>
          <w:rFonts w:ascii="Arial" w:hAnsi="Arial" w:cs="Arial"/>
          <w:color w:val="000000"/>
          <w:sz w:val="19"/>
          <w:szCs w:val="19"/>
        </w:rPr>
        <w:tab/>
        <w:t xml:space="preserve">   </w:t>
      </w:r>
      <w:r>
        <w:rPr>
          <w:rFonts w:ascii="Arial" w:hAnsi="Arial" w:cs="Arial"/>
          <w:b/>
          <w:bCs/>
          <w:noProof/>
          <w:color w:val="C0504D"/>
          <w:sz w:val="19"/>
          <w:szCs w:val="19"/>
        </w:rPr>
        <w:drawing>
          <wp:inline distT="0" distB="0" distL="0" distR="0" wp14:anchorId="6108BAF0" wp14:editId="26F87469">
            <wp:extent cx="812800" cy="1079500"/>
            <wp:effectExtent l="0" t="0" r="0" b="0"/>
            <wp:docPr id="2" name="vcossLogo" descr="VCOSS">
              <a:hlinkClick xmlns:a="http://schemas.openxmlformats.org/drawingml/2006/main" r:id="rId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vcossLogo" descr="VCOSS"/>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1079500"/>
                    </a:xfrm>
                    <a:prstGeom prst="rect">
                      <a:avLst/>
                    </a:prstGeom>
                    <a:noFill/>
                    <a:ln>
                      <a:noFill/>
                    </a:ln>
                  </pic:spPr>
                </pic:pic>
              </a:graphicData>
            </a:graphic>
          </wp:inline>
        </w:drawing>
      </w:r>
    </w:p>
    <w:p w14:paraId="268F30DB" w14:textId="77777777" w:rsidR="000D61B5" w:rsidRPr="00155667" w:rsidRDefault="000D61B5" w:rsidP="000D61B5">
      <w:pPr>
        <w:pStyle w:val="Heading1"/>
        <w:rPr>
          <w:b/>
          <w:bCs/>
        </w:rPr>
      </w:pPr>
      <w:r w:rsidRPr="00155667">
        <w:rPr>
          <w:b/>
          <w:bCs/>
        </w:rPr>
        <w:t>About this Communique</w:t>
      </w:r>
    </w:p>
    <w:p w14:paraId="5E51F901" w14:textId="77777777" w:rsidR="000D61B5" w:rsidRPr="00CB71AE" w:rsidRDefault="000D61B5" w:rsidP="000D61B5">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bCs/>
          <w:sz w:val="21"/>
          <w:szCs w:val="21"/>
          <w:lang w:val="en-US"/>
        </w:rPr>
        <w:t xml:space="preserve">The Department of Education and Training (DET) – Community Sector </w:t>
      </w:r>
      <w:proofErr w:type="spellStart"/>
      <w:r w:rsidRPr="00CB71AE">
        <w:rPr>
          <w:rFonts w:asciiTheme="minorHAnsi" w:hAnsiTheme="minorHAnsi" w:cstheme="minorHAnsi"/>
          <w:bCs/>
          <w:sz w:val="21"/>
          <w:szCs w:val="21"/>
          <w:lang w:val="en-US"/>
        </w:rPr>
        <w:t>Organisation</w:t>
      </w:r>
      <w:proofErr w:type="spellEnd"/>
      <w:r w:rsidRPr="00CB71AE">
        <w:rPr>
          <w:rFonts w:asciiTheme="minorHAnsi" w:hAnsiTheme="minorHAnsi" w:cstheme="minorHAnsi"/>
          <w:bCs/>
          <w:sz w:val="21"/>
          <w:szCs w:val="21"/>
          <w:lang w:val="en-US"/>
        </w:rPr>
        <w:t xml:space="preserve"> (CSO) Governance Group is a quarterly forum </w:t>
      </w:r>
      <w:r w:rsidRPr="00CB71AE">
        <w:rPr>
          <w:rFonts w:asciiTheme="minorHAnsi" w:hAnsiTheme="minorHAnsi" w:cstheme="minorHAnsi"/>
          <w:sz w:val="21"/>
          <w:szCs w:val="21"/>
        </w:rPr>
        <w:t>for communication, consultation, engagement and collaboration between the Department and</w:t>
      </w:r>
      <w:r>
        <w:rPr>
          <w:rFonts w:asciiTheme="minorHAnsi" w:hAnsiTheme="minorHAnsi" w:cstheme="minorHAnsi"/>
          <w:sz w:val="21"/>
          <w:szCs w:val="21"/>
        </w:rPr>
        <w:t xml:space="preserve"> the</w:t>
      </w:r>
      <w:r w:rsidRPr="00CB71AE">
        <w:rPr>
          <w:rFonts w:asciiTheme="minorHAnsi" w:hAnsiTheme="minorHAnsi" w:cstheme="minorHAnsi"/>
          <w:sz w:val="21"/>
          <w:szCs w:val="21"/>
        </w:rPr>
        <w:t xml:space="preserve"> community sector. Meetings are co-chaired by DET and the Victorian Council of Social Service (VCOSS)</w:t>
      </w:r>
      <w:r>
        <w:rPr>
          <w:rFonts w:asciiTheme="minorHAnsi" w:hAnsiTheme="minorHAnsi" w:cstheme="minorHAnsi"/>
          <w:sz w:val="21"/>
          <w:szCs w:val="21"/>
        </w:rPr>
        <w:t xml:space="preserve"> </w:t>
      </w:r>
      <w:r w:rsidRPr="00CB71AE">
        <w:rPr>
          <w:rFonts w:asciiTheme="minorHAnsi" w:hAnsiTheme="minorHAnsi" w:cstheme="minorHAnsi"/>
          <w:sz w:val="21"/>
          <w:szCs w:val="21"/>
        </w:rPr>
        <w:t xml:space="preserve">and reflect topics of mutual interest to DET and </w:t>
      </w:r>
      <w:r>
        <w:rPr>
          <w:rFonts w:asciiTheme="minorHAnsi" w:hAnsiTheme="minorHAnsi" w:cstheme="minorHAnsi"/>
          <w:sz w:val="21"/>
          <w:szCs w:val="21"/>
        </w:rPr>
        <w:t xml:space="preserve">the </w:t>
      </w:r>
      <w:r w:rsidRPr="00CB71AE">
        <w:rPr>
          <w:rFonts w:asciiTheme="minorHAnsi" w:hAnsiTheme="minorHAnsi" w:cstheme="minorHAnsi"/>
          <w:sz w:val="21"/>
          <w:szCs w:val="21"/>
        </w:rPr>
        <w:t xml:space="preserve">sector. You can read more about the partnership agreement that underpins this work on </w:t>
      </w:r>
      <w:hyperlink r:id="rId8" w:history="1">
        <w:r w:rsidRPr="00F55954">
          <w:rPr>
            <w:rStyle w:val="Hyperlink"/>
            <w:rFonts w:asciiTheme="minorHAnsi" w:hAnsiTheme="minorHAnsi" w:cstheme="minorHAnsi"/>
            <w:sz w:val="21"/>
            <w:szCs w:val="21"/>
          </w:rPr>
          <w:t>VCOSS</w:t>
        </w:r>
      </w:hyperlink>
      <w:r w:rsidRPr="00CB71AE">
        <w:rPr>
          <w:rFonts w:asciiTheme="minorHAnsi" w:hAnsiTheme="minorHAnsi" w:cstheme="minorHAnsi"/>
          <w:sz w:val="21"/>
          <w:szCs w:val="21"/>
        </w:rPr>
        <w:t xml:space="preserve"> and </w:t>
      </w:r>
      <w:hyperlink r:id="rId9" w:history="1">
        <w:r>
          <w:rPr>
            <w:rStyle w:val="Hyperlink"/>
            <w:rFonts w:asciiTheme="minorHAnsi" w:hAnsiTheme="minorHAnsi" w:cstheme="minorHAnsi"/>
            <w:sz w:val="21"/>
            <w:szCs w:val="21"/>
          </w:rPr>
          <w:t>DET</w:t>
        </w:r>
      </w:hyperlink>
      <w:r w:rsidRPr="00CB71AE">
        <w:rPr>
          <w:rFonts w:asciiTheme="minorHAnsi" w:hAnsiTheme="minorHAnsi" w:cstheme="minorHAnsi"/>
          <w:sz w:val="21"/>
          <w:szCs w:val="21"/>
        </w:rPr>
        <w:t xml:space="preserve"> websites.</w:t>
      </w:r>
    </w:p>
    <w:p w14:paraId="09CA8517" w14:textId="77777777" w:rsidR="000D61B5" w:rsidRPr="00CB71AE" w:rsidRDefault="000D61B5" w:rsidP="000D61B5">
      <w:pPr>
        <w:pStyle w:val="NormalWeb"/>
        <w:shd w:val="clear" w:color="auto" w:fill="FFFFFF"/>
        <w:spacing w:before="120" w:beforeAutospacing="0" w:after="120" w:afterAutospacing="0"/>
        <w:rPr>
          <w:rFonts w:asciiTheme="minorHAnsi" w:hAnsiTheme="minorHAnsi" w:cstheme="minorHAnsi"/>
          <w:sz w:val="21"/>
          <w:szCs w:val="21"/>
        </w:rPr>
      </w:pPr>
      <w:r w:rsidRPr="00CB71AE">
        <w:rPr>
          <w:rFonts w:asciiTheme="minorHAnsi" w:hAnsiTheme="minorHAnsi" w:cstheme="minorHAnsi"/>
          <w:sz w:val="21"/>
          <w:szCs w:val="21"/>
        </w:rPr>
        <w:t>This Communique has been prepared by VCOSS to increase the visibility of this forum.</w:t>
      </w:r>
    </w:p>
    <w:p w14:paraId="39608225" w14:textId="7F75E5DE" w:rsidR="000D61B5" w:rsidRDefault="000D61B5" w:rsidP="000D61B5">
      <w:pPr>
        <w:pStyle w:val="Heading1"/>
        <w:spacing w:after="240"/>
        <w:rPr>
          <w:b/>
          <w:bCs/>
        </w:rPr>
      </w:pPr>
      <w:r w:rsidRPr="00155667">
        <w:rPr>
          <w:b/>
          <w:bCs/>
        </w:rPr>
        <w:t xml:space="preserve">What was discussed in the </w:t>
      </w:r>
      <w:r>
        <w:rPr>
          <w:b/>
          <w:bCs/>
        </w:rPr>
        <w:t>September</w:t>
      </w:r>
      <w:r w:rsidRPr="00155667">
        <w:rPr>
          <w:b/>
          <w:bCs/>
        </w:rPr>
        <w:t xml:space="preserve"> 2021 meeting?</w:t>
      </w:r>
    </w:p>
    <w:p w14:paraId="466DA786" w14:textId="5C514F6C" w:rsidR="000D61B5" w:rsidRDefault="000D61B5" w:rsidP="000D61B5">
      <w:pPr>
        <w:spacing w:before="120" w:after="120"/>
        <w:rPr>
          <w:rFonts w:asciiTheme="minorHAnsi" w:hAnsiTheme="minorHAnsi" w:cstheme="minorHAnsi"/>
          <w:sz w:val="21"/>
          <w:szCs w:val="21"/>
        </w:rPr>
      </w:pPr>
      <w:r w:rsidRPr="00E9500C">
        <w:rPr>
          <w:rFonts w:asciiTheme="minorHAnsi" w:hAnsiTheme="minorHAnsi" w:cstheme="minorHAnsi"/>
          <w:sz w:val="21"/>
          <w:szCs w:val="21"/>
        </w:rPr>
        <w:t xml:space="preserve">The focus of this meeting was </w:t>
      </w:r>
      <w:r>
        <w:rPr>
          <w:rFonts w:asciiTheme="minorHAnsi" w:hAnsiTheme="minorHAnsi" w:cstheme="minorHAnsi"/>
          <w:sz w:val="21"/>
          <w:szCs w:val="21"/>
        </w:rPr>
        <w:t>Transitions.</w:t>
      </w:r>
    </w:p>
    <w:p w14:paraId="77C09099" w14:textId="79E15961" w:rsidR="000D61B5" w:rsidRDefault="000D61B5" w:rsidP="000D61B5">
      <w:pPr>
        <w:pStyle w:val="Heading1"/>
        <w:rPr>
          <w:b/>
          <w:bCs/>
        </w:rPr>
      </w:pPr>
      <w:r>
        <w:rPr>
          <w:b/>
          <w:bCs/>
        </w:rPr>
        <w:t>Transitions</w:t>
      </w:r>
    </w:p>
    <w:p w14:paraId="404076CA" w14:textId="22811EF5" w:rsidR="00B701AA" w:rsidRDefault="00B701AA" w:rsidP="00631380">
      <w:pPr>
        <w:pStyle w:val="NoSpacing"/>
        <w:spacing w:before="120" w:after="120"/>
        <w:rPr>
          <w:rFonts w:asciiTheme="minorHAnsi" w:hAnsiTheme="minorHAnsi" w:cstheme="minorHAnsi"/>
          <w:sz w:val="21"/>
          <w:szCs w:val="21"/>
        </w:rPr>
      </w:pPr>
      <w:r w:rsidRPr="00B701AA">
        <w:rPr>
          <w:rFonts w:asciiTheme="minorHAnsi" w:hAnsiTheme="minorHAnsi" w:cstheme="minorHAnsi"/>
          <w:b/>
          <w:bCs/>
          <w:sz w:val="21"/>
          <w:szCs w:val="21"/>
        </w:rPr>
        <w:t xml:space="preserve">Pippa Proctor, Director, Early Learning Reform, ECE and Rosie </w:t>
      </w:r>
      <w:proofErr w:type="spellStart"/>
      <w:r w:rsidRPr="00B701AA">
        <w:rPr>
          <w:rFonts w:asciiTheme="minorHAnsi" w:hAnsiTheme="minorHAnsi" w:cstheme="minorHAnsi"/>
          <w:b/>
          <w:bCs/>
          <w:sz w:val="21"/>
          <w:szCs w:val="21"/>
        </w:rPr>
        <w:t>Pizzi</w:t>
      </w:r>
      <w:proofErr w:type="spellEnd"/>
      <w:r w:rsidRPr="00B701AA">
        <w:rPr>
          <w:rFonts w:asciiTheme="minorHAnsi" w:hAnsiTheme="minorHAnsi" w:cstheme="minorHAnsi"/>
          <w:b/>
          <w:bCs/>
          <w:sz w:val="21"/>
          <w:szCs w:val="21"/>
        </w:rPr>
        <w:t>, Acting Director, Early Learning Participation, ECE</w:t>
      </w:r>
      <w:r>
        <w:rPr>
          <w:rFonts w:asciiTheme="minorHAnsi" w:hAnsiTheme="minorHAnsi" w:cstheme="minorHAnsi"/>
          <w:sz w:val="21"/>
          <w:szCs w:val="21"/>
        </w:rPr>
        <w:t xml:space="preserve"> presented on the transition supports and programs </w:t>
      </w:r>
      <w:r w:rsidR="00660EE8">
        <w:rPr>
          <w:rFonts w:asciiTheme="minorHAnsi" w:hAnsiTheme="minorHAnsi" w:cstheme="minorHAnsi"/>
          <w:sz w:val="21"/>
          <w:szCs w:val="21"/>
        </w:rPr>
        <w:t xml:space="preserve">available </w:t>
      </w:r>
      <w:r>
        <w:rPr>
          <w:rFonts w:asciiTheme="minorHAnsi" w:hAnsiTheme="minorHAnsi" w:cstheme="minorHAnsi"/>
          <w:sz w:val="21"/>
          <w:szCs w:val="21"/>
        </w:rPr>
        <w:t>to increase enrolment in kindergarten</w:t>
      </w:r>
      <w:r w:rsidR="00660EE8">
        <w:rPr>
          <w:rFonts w:asciiTheme="minorHAnsi" w:hAnsiTheme="minorHAnsi" w:cstheme="minorHAnsi"/>
          <w:sz w:val="21"/>
          <w:szCs w:val="21"/>
        </w:rPr>
        <w:t xml:space="preserve">. These include targeted supports for priority cohorts including Aboriginal children, children from culturally and linguistically diverse communities, and children living in disadvantaged areas. Pippa and Rosie </w:t>
      </w:r>
      <w:r w:rsidR="00D7317C">
        <w:rPr>
          <w:rFonts w:asciiTheme="minorHAnsi" w:hAnsiTheme="minorHAnsi" w:cstheme="minorHAnsi"/>
          <w:sz w:val="21"/>
          <w:szCs w:val="21"/>
        </w:rPr>
        <w:t>provided an update on resources and tools available to support transitions from early learning into primary school.</w:t>
      </w:r>
    </w:p>
    <w:p w14:paraId="6612DE58" w14:textId="77777777" w:rsidR="00595E25" w:rsidRPr="00DA2355" w:rsidRDefault="00D7317C" w:rsidP="00DA2355">
      <w:pPr>
        <w:pStyle w:val="NoSpacing"/>
        <w:rPr>
          <w:rFonts w:ascii="Calibri" w:hAnsi="Calibri" w:cs="Calibri"/>
          <w:sz w:val="22"/>
          <w:szCs w:val="22"/>
        </w:rPr>
      </w:pPr>
      <w:r w:rsidRPr="006764E3">
        <w:rPr>
          <w:rFonts w:ascii="Calibri" w:hAnsi="Calibri" w:cs="Calibri"/>
          <w:sz w:val="21"/>
          <w:szCs w:val="21"/>
        </w:rPr>
        <w:t xml:space="preserve">Further information on support available to transition into kindergarten, and from kindergarten to primary </w:t>
      </w:r>
      <w:r w:rsidRPr="00DA2355">
        <w:rPr>
          <w:rFonts w:ascii="Calibri" w:hAnsi="Calibri" w:cs="Calibri"/>
          <w:sz w:val="22"/>
          <w:szCs w:val="22"/>
        </w:rPr>
        <w:t xml:space="preserve">school can be found </w:t>
      </w:r>
      <w:r w:rsidR="00631380" w:rsidRPr="00DA2355">
        <w:rPr>
          <w:rFonts w:ascii="Calibri" w:hAnsi="Calibri" w:cs="Calibri"/>
          <w:sz w:val="22"/>
          <w:szCs w:val="22"/>
        </w:rPr>
        <w:t>below:</w:t>
      </w:r>
      <w:r w:rsidRPr="00DA2355">
        <w:rPr>
          <w:rFonts w:ascii="Calibri" w:hAnsi="Calibri" w:cs="Calibri"/>
          <w:sz w:val="22"/>
          <w:szCs w:val="22"/>
        </w:rPr>
        <w:t xml:space="preserve"> </w:t>
      </w:r>
    </w:p>
    <w:p w14:paraId="3271B817" w14:textId="736EF448" w:rsidR="00273243" w:rsidRPr="00DA2355" w:rsidRDefault="00595E25" w:rsidP="00DA2355">
      <w:pPr>
        <w:pStyle w:val="NoSpacing"/>
        <w:numPr>
          <w:ilvl w:val="0"/>
          <w:numId w:val="2"/>
        </w:numPr>
        <w:rPr>
          <w:rFonts w:ascii="Calibri" w:hAnsi="Calibri" w:cs="Calibri"/>
          <w:sz w:val="22"/>
          <w:szCs w:val="22"/>
        </w:rPr>
      </w:pPr>
      <w:r w:rsidRPr="00DA2355">
        <w:rPr>
          <w:rFonts w:asciiTheme="minorHAnsi" w:hAnsiTheme="minorHAnsi" w:cstheme="minorHAnsi"/>
          <w:sz w:val="22"/>
          <w:szCs w:val="22"/>
        </w:rPr>
        <w:t>Transitions:</w:t>
      </w:r>
      <w:r w:rsidRPr="00DA2355">
        <w:rPr>
          <w:sz w:val="22"/>
          <w:szCs w:val="22"/>
        </w:rPr>
        <w:t xml:space="preserve"> </w:t>
      </w:r>
      <w:hyperlink r:id="rId10" w:history="1">
        <w:r w:rsidRPr="00DA2355">
          <w:rPr>
            <w:rStyle w:val="Hyperlink"/>
            <w:rFonts w:ascii="Calibri" w:hAnsi="Calibri" w:cs="Calibri"/>
            <w:sz w:val="22"/>
            <w:szCs w:val="22"/>
          </w:rPr>
          <w:t>https://www.education.vic.gov.au/childhood/professionals/learning/Pages/transition.aspx</w:t>
        </w:r>
      </w:hyperlink>
      <w:r w:rsidR="00D7317C" w:rsidRPr="00DA2355">
        <w:rPr>
          <w:rFonts w:ascii="Calibri" w:hAnsi="Calibri" w:cs="Calibri"/>
          <w:sz w:val="22"/>
          <w:szCs w:val="22"/>
        </w:rPr>
        <w:t xml:space="preserve"> </w:t>
      </w:r>
    </w:p>
    <w:p w14:paraId="12706BE7" w14:textId="77777777" w:rsidR="00273243" w:rsidRPr="00DA2355" w:rsidRDefault="00273243" w:rsidP="00DA2355">
      <w:pPr>
        <w:pStyle w:val="ListParagraph"/>
        <w:numPr>
          <w:ilvl w:val="0"/>
          <w:numId w:val="2"/>
        </w:numPr>
        <w:rPr>
          <w:rFonts w:eastAsia="Times New Roman"/>
        </w:rPr>
      </w:pPr>
      <w:r w:rsidRPr="00DA2355">
        <w:rPr>
          <w:rFonts w:eastAsia="Times New Roman"/>
        </w:rPr>
        <w:t xml:space="preserve">Best Start - </w:t>
      </w:r>
      <w:hyperlink r:id="rId11" w:history="1">
        <w:r w:rsidRPr="00DA2355">
          <w:rPr>
            <w:rStyle w:val="Hyperlink"/>
            <w:rFonts w:eastAsia="Times New Roman"/>
          </w:rPr>
          <w:t>https://www.education.vic.gov.au/about/programs/Pages/beststart.aspx</w:t>
        </w:r>
      </w:hyperlink>
    </w:p>
    <w:p w14:paraId="7DE83AF5" w14:textId="5A9CF631" w:rsidR="00273243" w:rsidRPr="00DA2355" w:rsidRDefault="00273243" w:rsidP="00DA2355">
      <w:pPr>
        <w:pStyle w:val="ListParagraph"/>
        <w:numPr>
          <w:ilvl w:val="0"/>
          <w:numId w:val="2"/>
        </w:numPr>
        <w:rPr>
          <w:rFonts w:eastAsia="Times New Roman"/>
        </w:rPr>
      </w:pPr>
      <w:r w:rsidRPr="00DA2355">
        <w:rPr>
          <w:rFonts w:eastAsia="Times New Roman"/>
        </w:rPr>
        <w:t xml:space="preserve">LOOKOUT - </w:t>
      </w:r>
      <w:hyperlink r:id="rId12" w:history="1">
        <w:r w:rsidR="00595E25" w:rsidRPr="00DA2355">
          <w:rPr>
            <w:rStyle w:val="Hyperlink"/>
            <w:rFonts w:eastAsia="Times New Roman"/>
          </w:rPr>
          <w:t>https://www.education.vic.gov.au/about/programs/Pages/lookout.aspx</w:t>
        </w:r>
      </w:hyperlink>
    </w:p>
    <w:p w14:paraId="12349D7E" w14:textId="1D14A4D9" w:rsidR="00273243" w:rsidRPr="00DA2355" w:rsidRDefault="00273243" w:rsidP="00DA2355">
      <w:pPr>
        <w:pStyle w:val="ListParagraph"/>
        <w:numPr>
          <w:ilvl w:val="0"/>
          <w:numId w:val="2"/>
        </w:numPr>
        <w:rPr>
          <w:rFonts w:eastAsia="Times New Roman"/>
        </w:rPr>
      </w:pPr>
      <w:r w:rsidRPr="00DA2355">
        <w:rPr>
          <w:rFonts w:eastAsia="Times New Roman"/>
        </w:rPr>
        <w:t xml:space="preserve">Access to Early Learning - </w:t>
      </w:r>
      <w:hyperlink r:id="rId13" w:history="1">
        <w:r w:rsidRPr="00DA2355">
          <w:rPr>
            <w:rStyle w:val="Hyperlink"/>
            <w:rFonts w:eastAsia="Times New Roman"/>
          </w:rPr>
          <w:t>https://www.education.vic.gov.au/childhood/professionals/health/Pages/access-to-early-learning.aspx</w:t>
        </w:r>
      </w:hyperlink>
    </w:p>
    <w:p w14:paraId="47C8D56E" w14:textId="5F48A7CD" w:rsidR="00631380" w:rsidRDefault="00631380" w:rsidP="00631380">
      <w:pPr>
        <w:pStyle w:val="NoSpacing"/>
        <w:spacing w:before="120" w:after="120"/>
        <w:rPr>
          <w:rFonts w:asciiTheme="minorHAnsi" w:hAnsiTheme="minorHAnsi" w:cstheme="minorHAnsi"/>
          <w:sz w:val="21"/>
          <w:szCs w:val="21"/>
        </w:rPr>
      </w:pPr>
      <w:r w:rsidRPr="00631380">
        <w:rPr>
          <w:rFonts w:asciiTheme="minorHAnsi" w:hAnsiTheme="minorHAnsi" w:cstheme="minorHAnsi"/>
          <w:b/>
          <w:bCs/>
          <w:sz w:val="21"/>
          <w:szCs w:val="21"/>
        </w:rPr>
        <w:t>Sandra Dickins, Senior Policy &amp; Project Officer, Learning and Teaching Division, SEPS</w:t>
      </w:r>
      <w:r>
        <w:rPr>
          <w:rFonts w:asciiTheme="minorHAnsi" w:hAnsiTheme="minorHAnsi" w:cstheme="minorHAnsi"/>
          <w:sz w:val="21"/>
          <w:szCs w:val="21"/>
        </w:rPr>
        <w:t xml:space="preserve"> provided an update on the work being undertaken to review the transitions framework and </w:t>
      </w:r>
      <w:r w:rsidR="00937047">
        <w:rPr>
          <w:rFonts w:asciiTheme="minorHAnsi" w:hAnsiTheme="minorHAnsi" w:cstheme="minorHAnsi"/>
          <w:sz w:val="21"/>
          <w:szCs w:val="21"/>
        </w:rPr>
        <w:t xml:space="preserve">related </w:t>
      </w:r>
      <w:r>
        <w:rPr>
          <w:rFonts w:asciiTheme="minorHAnsi" w:hAnsiTheme="minorHAnsi" w:cstheme="minorHAnsi"/>
          <w:sz w:val="21"/>
          <w:szCs w:val="21"/>
        </w:rPr>
        <w:t xml:space="preserve">resources </w:t>
      </w:r>
      <w:r w:rsidR="00937047">
        <w:rPr>
          <w:rFonts w:asciiTheme="minorHAnsi" w:hAnsiTheme="minorHAnsi" w:cstheme="minorHAnsi"/>
          <w:sz w:val="21"/>
          <w:szCs w:val="21"/>
        </w:rPr>
        <w:t xml:space="preserve">to support transitions </w:t>
      </w:r>
      <w:r>
        <w:rPr>
          <w:rFonts w:asciiTheme="minorHAnsi" w:hAnsiTheme="minorHAnsi" w:cstheme="minorHAnsi"/>
          <w:sz w:val="21"/>
          <w:szCs w:val="21"/>
        </w:rPr>
        <w:t>from primary school to secondary school.</w:t>
      </w:r>
      <w:r w:rsidR="00424E83">
        <w:rPr>
          <w:rFonts w:asciiTheme="minorHAnsi" w:hAnsiTheme="minorHAnsi" w:cstheme="minorHAnsi"/>
          <w:sz w:val="21"/>
          <w:szCs w:val="21"/>
        </w:rPr>
        <w:t xml:space="preserve"> </w:t>
      </w:r>
      <w:r w:rsidR="00937047">
        <w:rPr>
          <w:rFonts w:asciiTheme="minorHAnsi" w:hAnsiTheme="minorHAnsi" w:cstheme="minorHAnsi"/>
          <w:sz w:val="21"/>
          <w:szCs w:val="21"/>
        </w:rPr>
        <w:t>An implementation plan is being developed to support this work, which will include resources to support parents and carers, and strategies to support vulnerable students.</w:t>
      </w:r>
    </w:p>
    <w:p w14:paraId="3FC40C4D" w14:textId="02176076" w:rsidR="00937047" w:rsidRDefault="00937047" w:rsidP="00937047">
      <w:pPr>
        <w:pStyle w:val="NoSpacing"/>
        <w:spacing w:after="120"/>
        <w:rPr>
          <w:rFonts w:asciiTheme="minorHAnsi" w:hAnsiTheme="minorHAnsi" w:cstheme="minorHAnsi"/>
          <w:sz w:val="21"/>
          <w:szCs w:val="21"/>
        </w:rPr>
      </w:pPr>
      <w:r w:rsidRPr="00937047">
        <w:rPr>
          <w:rFonts w:asciiTheme="minorHAnsi" w:hAnsiTheme="minorHAnsi" w:cstheme="minorHAnsi"/>
          <w:b/>
          <w:bCs/>
          <w:sz w:val="21"/>
          <w:szCs w:val="21"/>
        </w:rPr>
        <w:t>Jack Watt, Project Director</w:t>
      </w:r>
      <w:r w:rsidR="00097952">
        <w:rPr>
          <w:rFonts w:asciiTheme="minorHAnsi" w:hAnsiTheme="minorHAnsi" w:cstheme="minorHAnsi"/>
          <w:b/>
          <w:bCs/>
          <w:sz w:val="21"/>
          <w:szCs w:val="21"/>
        </w:rPr>
        <w:t>,</w:t>
      </w:r>
      <w:r w:rsidRPr="00937047">
        <w:rPr>
          <w:rFonts w:asciiTheme="minorHAnsi" w:hAnsiTheme="minorHAnsi" w:cstheme="minorHAnsi"/>
          <w:b/>
          <w:bCs/>
          <w:sz w:val="21"/>
          <w:szCs w:val="21"/>
        </w:rPr>
        <w:t xml:space="preserve"> Senior Secondary Pathways Reform Taskforce</w:t>
      </w:r>
      <w:r>
        <w:rPr>
          <w:rFonts w:asciiTheme="minorHAnsi" w:hAnsiTheme="minorHAnsi" w:cstheme="minorHAnsi"/>
          <w:b/>
          <w:bCs/>
          <w:sz w:val="21"/>
          <w:szCs w:val="21"/>
        </w:rPr>
        <w:t xml:space="preserve"> </w:t>
      </w:r>
      <w:r>
        <w:rPr>
          <w:rFonts w:asciiTheme="minorHAnsi" w:hAnsiTheme="minorHAnsi" w:cstheme="minorHAnsi"/>
          <w:sz w:val="21"/>
          <w:szCs w:val="21"/>
        </w:rPr>
        <w:t>provided an overview of the reforms to Senior Secondary School following the Firth Report into vocational and applied learning. These reforms include an integrated single VCE certificate with a vocational specialisation stream, and a separate Foundation Pathways Certificate. DET is looking at communication strategies to ensure the reforms are effectively communicated to the diversity of all students and families.</w:t>
      </w:r>
    </w:p>
    <w:p w14:paraId="38C6D3DF" w14:textId="71658EAE" w:rsidR="006A298E" w:rsidRDefault="006A298E" w:rsidP="006764E3">
      <w:pPr>
        <w:pStyle w:val="NoSpacing"/>
        <w:rPr>
          <w:rFonts w:asciiTheme="minorHAnsi" w:hAnsiTheme="minorHAnsi" w:cstheme="minorHAnsi"/>
          <w:sz w:val="21"/>
          <w:szCs w:val="21"/>
        </w:rPr>
      </w:pPr>
      <w:r>
        <w:rPr>
          <w:rFonts w:asciiTheme="minorHAnsi" w:hAnsiTheme="minorHAnsi" w:cstheme="minorHAnsi"/>
          <w:sz w:val="21"/>
          <w:szCs w:val="21"/>
        </w:rPr>
        <w:t>Further information on the Firth Review and Senior Secondary Reforms can be found below:</w:t>
      </w:r>
    </w:p>
    <w:p w14:paraId="5B85F5CE" w14:textId="74DD69B1" w:rsidR="006A298E" w:rsidRDefault="00230EE2" w:rsidP="006764E3">
      <w:pPr>
        <w:pStyle w:val="NoSpacing"/>
        <w:rPr>
          <w:rFonts w:asciiTheme="minorHAnsi" w:hAnsiTheme="minorHAnsi" w:cstheme="minorHAnsi"/>
          <w:sz w:val="21"/>
          <w:szCs w:val="21"/>
        </w:rPr>
      </w:pPr>
      <w:hyperlink r:id="rId14" w:history="1">
        <w:r w:rsidR="006A298E" w:rsidRPr="00D342F8">
          <w:rPr>
            <w:rStyle w:val="Hyperlink"/>
            <w:rFonts w:asciiTheme="minorHAnsi" w:hAnsiTheme="minorHAnsi" w:cstheme="minorHAnsi"/>
            <w:sz w:val="21"/>
            <w:szCs w:val="21"/>
          </w:rPr>
          <w:t>https://www.education.vic.gov.au/about/department/Pages/vcal-pathways-review.aspx</w:t>
        </w:r>
      </w:hyperlink>
    </w:p>
    <w:p w14:paraId="3DD47FC1" w14:textId="2D0874CA" w:rsidR="006A298E" w:rsidRDefault="00230EE2" w:rsidP="006C2CCC">
      <w:pPr>
        <w:pStyle w:val="NoSpacing"/>
        <w:rPr>
          <w:rFonts w:asciiTheme="minorHAnsi" w:hAnsiTheme="minorHAnsi" w:cstheme="minorHAnsi"/>
          <w:sz w:val="21"/>
          <w:szCs w:val="21"/>
        </w:rPr>
      </w:pPr>
      <w:hyperlink r:id="rId15" w:history="1">
        <w:r w:rsidR="006A298E" w:rsidRPr="00D342F8">
          <w:rPr>
            <w:rStyle w:val="Hyperlink"/>
            <w:rFonts w:asciiTheme="minorHAnsi" w:hAnsiTheme="minorHAnsi" w:cstheme="minorHAnsi"/>
            <w:sz w:val="21"/>
            <w:szCs w:val="21"/>
          </w:rPr>
          <w:t>https://www.vcaa.vic.edu.au/victorianseniorsecondarycertificatereform/Pages/Index.aspx</w:t>
        </w:r>
      </w:hyperlink>
      <w:r w:rsidR="006A298E">
        <w:rPr>
          <w:rFonts w:asciiTheme="minorHAnsi" w:hAnsiTheme="minorHAnsi" w:cstheme="minorHAnsi"/>
          <w:sz w:val="21"/>
          <w:szCs w:val="21"/>
        </w:rPr>
        <w:t xml:space="preserve"> </w:t>
      </w:r>
    </w:p>
    <w:p w14:paraId="38753297" w14:textId="77777777" w:rsidR="006C2CCC" w:rsidRDefault="006C2CCC" w:rsidP="006764E3">
      <w:pPr>
        <w:pStyle w:val="NoSpacing"/>
        <w:rPr>
          <w:rFonts w:asciiTheme="minorHAnsi" w:hAnsiTheme="minorHAnsi" w:cstheme="minorHAnsi"/>
          <w:sz w:val="21"/>
          <w:szCs w:val="21"/>
        </w:rPr>
      </w:pPr>
    </w:p>
    <w:p w14:paraId="42985E97" w14:textId="38E6698F" w:rsidR="00937047" w:rsidRPr="00937047" w:rsidRDefault="00937047" w:rsidP="00937047">
      <w:pPr>
        <w:pStyle w:val="NoSpacing"/>
        <w:spacing w:after="120"/>
        <w:rPr>
          <w:rFonts w:asciiTheme="minorHAnsi" w:hAnsiTheme="minorHAnsi" w:cstheme="minorHAnsi"/>
          <w:sz w:val="21"/>
          <w:szCs w:val="21"/>
        </w:rPr>
      </w:pPr>
      <w:r w:rsidRPr="00937047">
        <w:rPr>
          <w:rFonts w:asciiTheme="minorHAnsi" w:hAnsiTheme="minorHAnsi" w:cstheme="minorHAnsi"/>
          <w:b/>
          <w:bCs/>
          <w:sz w:val="21"/>
          <w:szCs w:val="21"/>
        </w:rPr>
        <w:t>Will Trimble, Job, Skills and Pathways Manager, Mallee</w:t>
      </w:r>
      <w:r>
        <w:rPr>
          <w:rFonts w:asciiTheme="minorHAnsi" w:hAnsiTheme="minorHAnsi" w:cstheme="minorHAnsi"/>
          <w:sz w:val="21"/>
          <w:szCs w:val="21"/>
        </w:rPr>
        <w:t xml:space="preserve"> </w:t>
      </w:r>
      <w:r w:rsidR="007C3378">
        <w:rPr>
          <w:rFonts w:asciiTheme="minorHAnsi" w:hAnsiTheme="minorHAnsi" w:cstheme="minorHAnsi"/>
          <w:sz w:val="21"/>
          <w:szCs w:val="21"/>
        </w:rPr>
        <w:t xml:space="preserve">presented on the new Jobs, Skills and Pathways Manager positions as part of the Firth Report. DET has funded one manager in each of the 17 DET regions to bring in local industry, applied learning opportunities and VET into the classroom. </w:t>
      </w:r>
    </w:p>
    <w:p w14:paraId="3AAD6AD0" w14:textId="4FC90F48" w:rsidR="004B5E2B" w:rsidRPr="004B5E2B" w:rsidRDefault="004B5E2B" w:rsidP="004B5E2B">
      <w:pPr>
        <w:pStyle w:val="Heading1"/>
        <w:rPr>
          <w:b/>
          <w:bCs/>
        </w:rPr>
      </w:pPr>
      <w:r>
        <w:rPr>
          <w:b/>
          <w:bCs/>
        </w:rPr>
        <w:t>Supporting collaboration between the community sector and government</w:t>
      </w:r>
    </w:p>
    <w:p w14:paraId="6BE47431" w14:textId="29AAF4AE" w:rsidR="00FE07E7" w:rsidRPr="00CE7C6F" w:rsidRDefault="004B5E2B" w:rsidP="00631380">
      <w:pPr>
        <w:pStyle w:val="NoSpacing"/>
        <w:spacing w:before="120" w:after="120"/>
        <w:rPr>
          <w:rFonts w:asciiTheme="minorHAnsi" w:hAnsiTheme="minorHAnsi" w:cstheme="minorHAnsi"/>
          <w:sz w:val="21"/>
          <w:szCs w:val="21"/>
        </w:rPr>
      </w:pPr>
      <w:r>
        <w:rPr>
          <w:rFonts w:asciiTheme="minorHAnsi" w:hAnsiTheme="minorHAnsi" w:cstheme="minorHAnsi"/>
          <w:b/>
          <w:bCs/>
          <w:sz w:val="21"/>
          <w:szCs w:val="21"/>
        </w:rPr>
        <w:t>Katrina Herbert, Head of Children’s Programs, Brotherhood of St Laurence</w:t>
      </w:r>
      <w:r>
        <w:rPr>
          <w:rFonts w:asciiTheme="minorHAnsi" w:hAnsiTheme="minorHAnsi" w:cstheme="minorHAnsi"/>
          <w:sz w:val="21"/>
          <w:szCs w:val="21"/>
        </w:rPr>
        <w:t xml:space="preserve"> </w:t>
      </w:r>
      <w:r w:rsidRPr="00CE7C6F">
        <w:rPr>
          <w:rFonts w:asciiTheme="minorHAnsi" w:hAnsiTheme="minorHAnsi" w:cstheme="minorHAnsi"/>
          <w:sz w:val="21"/>
          <w:szCs w:val="21"/>
        </w:rPr>
        <w:t>spoke about enablers</w:t>
      </w:r>
      <w:r w:rsidR="00DF701A" w:rsidRPr="00CE7C6F">
        <w:rPr>
          <w:rFonts w:asciiTheme="minorHAnsi" w:hAnsiTheme="minorHAnsi" w:cstheme="minorHAnsi"/>
          <w:sz w:val="21"/>
          <w:szCs w:val="21"/>
        </w:rPr>
        <w:t xml:space="preserve"> </w:t>
      </w:r>
      <w:r w:rsidR="00056143" w:rsidRPr="00CE7C6F">
        <w:rPr>
          <w:rFonts w:asciiTheme="minorHAnsi" w:hAnsiTheme="minorHAnsi" w:cstheme="minorHAnsi"/>
          <w:sz w:val="21"/>
          <w:szCs w:val="21"/>
        </w:rPr>
        <w:t xml:space="preserve">for successful </w:t>
      </w:r>
      <w:r w:rsidRPr="00CE7C6F">
        <w:rPr>
          <w:rFonts w:asciiTheme="minorHAnsi" w:hAnsiTheme="minorHAnsi" w:cstheme="minorHAnsi"/>
          <w:sz w:val="21"/>
          <w:szCs w:val="21"/>
        </w:rPr>
        <w:t xml:space="preserve">collaboration between </w:t>
      </w:r>
      <w:proofErr w:type="spellStart"/>
      <w:r w:rsidRPr="00CE7C6F">
        <w:rPr>
          <w:rFonts w:asciiTheme="minorHAnsi" w:hAnsiTheme="minorHAnsi" w:cstheme="minorHAnsi"/>
          <w:sz w:val="21"/>
          <w:szCs w:val="21"/>
        </w:rPr>
        <w:t>non-government</w:t>
      </w:r>
      <w:proofErr w:type="spellEnd"/>
      <w:r w:rsidRPr="00CE7C6F">
        <w:rPr>
          <w:rFonts w:asciiTheme="minorHAnsi" w:hAnsiTheme="minorHAnsi" w:cstheme="minorHAnsi"/>
          <w:sz w:val="21"/>
          <w:szCs w:val="21"/>
        </w:rPr>
        <w:t xml:space="preserve"> organisations and government departments</w:t>
      </w:r>
      <w:r w:rsidR="00AF012F" w:rsidRPr="00CE7C6F">
        <w:rPr>
          <w:rFonts w:asciiTheme="minorHAnsi" w:hAnsiTheme="minorHAnsi" w:cstheme="minorHAnsi"/>
          <w:sz w:val="21"/>
          <w:szCs w:val="21"/>
        </w:rPr>
        <w:t xml:space="preserve">: </w:t>
      </w:r>
      <w:r w:rsidRPr="00CE7C6F">
        <w:rPr>
          <w:rFonts w:asciiTheme="minorHAnsi" w:hAnsiTheme="minorHAnsi" w:cstheme="minorHAnsi"/>
          <w:sz w:val="21"/>
          <w:szCs w:val="21"/>
        </w:rPr>
        <w:t>trust in organisations; regular engagement opportunities with a network, not just individual relationships</w:t>
      </w:r>
      <w:r w:rsidR="00952376" w:rsidRPr="00CE7C6F">
        <w:rPr>
          <w:rFonts w:asciiTheme="minorHAnsi" w:hAnsiTheme="minorHAnsi" w:cstheme="minorHAnsi"/>
          <w:sz w:val="21"/>
          <w:szCs w:val="21"/>
        </w:rPr>
        <w:t>;</w:t>
      </w:r>
      <w:r w:rsidRPr="00CE7C6F">
        <w:rPr>
          <w:rFonts w:asciiTheme="minorHAnsi" w:hAnsiTheme="minorHAnsi" w:cstheme="minorHAnsi"/>
          <w:sz w:val="21"/>
          <w:szCs w:val="21"/>
        </w:rPr>
        <w:t xml:space="preserve"> </w:t>
      </w:r>
      <w:r w:rsidR="008A59DD" w:rsidRPr="00CE7C6F">
        <w:rPr>
          <w:rFonts w:asciiTheme="minorHAnsi" w:hAnsiTheme="minorHAnsi" w:cstheme="minorHAnsi"/>
          <w:sz w:val="21"/>
          <w:szCs w:val="21"/>
        </w:rPr>
        <w:t xml:space="preserve">having </w:t>
      </w:r>
      <w:r w:rsidRPr="00CE7C6F">
        <w:rPr>
          <w:rFonts w:asciiTheme="minorHAnsi" w:hAnsiTheme="minorHAnsi" w:cstheme="minorHAnsi"/>
          <w:sz w:val="21"/>
          <w:szCs w:val="21"/>
        </w:rPr>
        <w:t>funding for evaluation and measuring impact</w:t>
      </w:r>
      <w:r w:rsidR="00056143" w:rsidRPr="00CE7C6F">
        <w:rPr>
          <w:rFonts w:asciiTheme="minorHAnsi" w:hAnsiTheme="minorHAnsi" w:cstheme="minorHAnsi"/>
          <w:sz w:val="21"/>
          <w:szCs w:val="21"/>
        </w:rPr>
        <w:t xml:space="preserve"> built into contracts</w:t>
      </w:r>
      <w:r w:rsidR="00952376" w:rsidRPr="00CE7C6F">
        <w:rPr>
          <w:rFonts w:asciiTheme="minorHAnsi" w:hAnsiTheme="minorHAnsi" w:cstheme="minorHAnsi"/>
          <w:sz w:val="21"/>
          <w:szCs w:val="21"/>
        </w:rPr>
        <w:t xml:space="preserve"> and</w:t>
      </w:r>
      <w:r w:rsidR="00097952">
        <w:rPr>
          <w:rFonts w:asciiTheme="minorHAnsi" w:hAnsiTheme="minorHAnsi" w:cstheme="minorHAnsi"/>
          <w:sz w:val="21"/>
          <w:szCs w:val="21"/>
        </w:rPr>
        <w:t xml:space="preserve"> </w:t>
      </w:r>
      <w:r w:rsidRPr="00CE7C6F">
        <w:rPr>
          <w:rFonts w:asciiTheme="minorHAnsi" w:hAnsiTheme="minorHAnsi" w:cstheme="minorHAnsi"/>
          <w:sz w:val="21"/>
          <w:szCs w:val="21"/>
        </w:rPr>
        <w:t>shared understanding of priorities</w:t>
      </w:r>
      <w:r w:rsidR="00952376" w:rsidRPr="00CE7C6F">
        <w:rPr>
          <w:rFonts w:asciiTheme="minorHAnsi" w:hAnsiTheme="minorHAnsi" w:cstheme="minorHAnsi"/>
          <w:sz w:val="21"/>
          <w:szCs w:val="21"/>
        </w:rPr>
        <w:t xml:space="preserve">. </w:t>
      </w:r>
      <w:r w:rsidRPr="00CE7C6F">
        <w:rPr>
          <w:rFonts w:asciiTheme="minorHAnsi" w:hAnsiTheme="minorHAnsi" w:cstheme="minorHAnsi"/>
          <w:sz w:val="21"/>
          <w:szCs w:val="21"/>
        </w:rPr>
        <w:t xml:space="preserve">Katrina used </w:t>
      </w:r>
      <w:r w:rsidR="00952376" w:rsidRPr="00CE7C6F">
        <w:rPr>
          <w:rFonts w:asciiTheme="minorHAnsi" w:hAnsiTheme="minorHAnsi" w:cstheme="minorHAnsi"/>
          <w:sz w:val="21"/>
          <w:szCs w:val="21"/>
        </w:rPr>
        <w:t>four</w:t>
      </w:r>
      <w:r w:rsidRPr="00CE7C6F">
        <w:rPr>
          <w:rFonts w:asciiTheme="minorHAnsi" w:hAnsiTheme="minorHAnsi" w:cstheme="minorHAnsi"/>
          <w:sz w:val="21"/>
          <w:szCs w:val="21"/>
        </w:rPr>
        <w:t xml:space="preserve"> case studies to highlight</w:t>
      </w:r>
      <w:r w:rsidR="00952376" w:rsidRPr="00CE7C6F">
        <w:rPr>
          <w:rFonts w:asciiTheme="minorHAnsi" w:hAnsiTheme="minorHAnsi" w:cstheme="minorHAnsi"/>
          <w:sz w:val="21"/>
          <w:szCs w:val="21"/>
        </w:rPr>
        <w:t xml:space="preserve"> these enablers</w:t>
      </w:r>
      <w:r w:rsidR="00FE07E7" w:rsidRPr="00CE7C6F">
        <w:rPr>
          <w:rFonts w:asciiTheme="minorHAnsi" w:hAnsiTheme="minorHAnsi" w:cstheme="minorHAnsi"/>
          <w:sz w:val="21"/>
          <w:szCs w:val="21"/>
        </w:rPr>
        <w:t>:</w:t>
      </w:r>
    </w:p>
    <w:p w14:paraId="015A446F" w14:textId="384B7691" w:rsidR="00937047" w:rsidRPr="00CE7C6F" w:rsidRDefault="006C2CCC" w:rsidP="00FE07E7">
      <w:pPr>
        <w:pStyle w:val="NoSpacing"/>
        <w:numPr>
          <w:ilvl w:val="0"/>
          <w:numId w:val="1"/>
        </w:numPr>
        <w:spacing w:before="120" w:after="120"/>
        <w:rPr>
          <w:rFonts w:asciiTheme="minorHAnsi" w:hAnsiTheme="minorHAnsi" w:cstheme="minorHAnsi"/>
          <w:sz w:val="21"/>
          <w:szCs w:val="21"/>
        </w:rPr>
      </w:pPr>
      <w:r>
        <w:rPr>
          <w:rFonts w:asciiTheme="minorHAnsi" w:hAnsiTheme="minorHAnsi" w:cstheme="minorHAnsi"/>
          <w:sz w:val="21"/>
          <w:szCs w:val="21"/>
        </w:rPr>
        <w:t>t</w:t>
      </w:r>
      <w:r w:rsidR="00952376" w:rsidRPr="00CE7C6F">
        <w:rPr>
          <w:rFonts w:asciiTheme="minorHAnsi" w:hAnsiTheme="minorHAnsi" w:cstheme="minorHAnsi"/>
          <w:sz w:val="21"/>
          <w:szCs w:val="21"/>
        </w:rPr>
        <w:t xml:space="preserve">he Family Learning Support Program </w:t>
      </w:r>
      <w:r w:rsidR="008A59DD" w:rsidRPr="006764E3">
        <w:rPr>
          <w:rFonts w:ascii="Calibri" w:hAnsi="Calibri" w:cs="Calibri"/>
          <w:bCs/>
          <w:sz w:val="21"/>
          <w:szCs w:val="21"/>
        </w:rPr>
        <w:t xml:space="preserve">which </w:t>
      </w:r>
      <w:r w:rsidR="00AF012F" w:rsidRPr="006764E3">
        <w:rPr>
          <w:rFonts w:ascii="Calibri" w:hAnsi="Calibri" w:cs="Calibri"/>
          <w:bCs/>
          <w:sz w:val="21"/>
          <w:szCs w:val="21"/>
        </w:rPr>
        <w:t xml:space="preserve">has assisted </w:t>
      </w:r>
      <w:r w:rsidR="008A59DD" w:rsidRPr="006764E3">
        <w:rPr>
          <w:rFonts w:ascii="Calibri" w:hAnsi="Calibri" w:cs="Calibri"/>
          <w:bCs/>
          <w:sz w:val="21"/>
          <w:szCs w:val="21"/>
        </w:rPr>
        <w:t xml:space="preserve">parents </w:t>
      </w:r>
      <w:r w:rsidR="00AF012F" w:rsidRPr="006764E3">
        <w:rPr>
          <w:rFonts w:ascii="Calibri" w:hAnsi="Calibri" w:cs="Calibri"/>
          <w:bCs/>
          <w:sz w:val="21"/>
          <w:szCs w:val="21"/>
        </w:rPr>
        <w:t xml:space="preserve">of preschool-aged children </w:t>
      </w:r>
      <w:r w:rsidR="008A59DD" w:rsidRPr="006764E3">
        <w:rPr>
          <w:rFonts w:ascii="Calibri" w:hAnsi="Calibri" w:cs="Calibri"/>
          <w:bCs/>
          <w:sz w:val="21"/>
          <w:szCs w:val="21"/>
        </w:rPr>
        <w:t xml:space="preserve">to </w:t>
      </w:r>
      <w:r w:rsidR="00AF012F" w:rsidRPr="006764E3">
        <w:rPr>
          <w:rFonts w:ascii="Calibri" w:hAnsi="Calibri" w:cs="Calibri"/>
          <w:bCs/>
          <w:sz w:val="21"/>
          <w:szCs w:val="21"/>
        </w:rPr>
        <w:t xml:space="preserve">access and </w:t>
      </w:r>
      <w:r w:rsidR="008A59DD" w:rsidRPr="006764E3">
        <w:rPr>
          <w:rFonts w:ascii="Calibri" w:hAnsi="Calibri" w:cs="Calibri"/>
          <w:bCs/>
          <w:sz w:val="21"/>
          <w:szCs w:val="21"/>
        </w:rPr>
        <w:t xml:space="preserve">engage with </w:t>
      </w:r>
      <w:r w:rsidR="00AF012F" w:rsidRPr="006764E3">
        <w:rPr>
          <w:rFonts w:ascii="Calibri" w:hAnsi="Calibri" w:cs="Calibri"/>
          <w:bCs/>
          <w:sz w:val="21"/>
          <w:szCs w:val="21"/>
        </w:rPr>
        <w:t>early childhood education during COVID</w:t>
      </w:r>
      <w:r w:rsidR="00AD14DA">
        <w:rPr>
          <w:rFonts w:ascii="Calibri" w:hAnsi="Calibri" w:cs="Calibri"/>
          <w:bCs/>
          <w:sz w:val="21"/>
          <w:szCs w:val="21"/>
        </w:rPr>
        <w:t>-19</w:t>
      </w:r>
      <w:r w:rsidR="00AF012F" w:rsidRPr="006764E3">
        <w:rPr>
          <w:rFonts w:ascii="Calibri" w:hAnsi="Calibri" w:cs="Calibri"/>
          <w:bCs/>
          <w:sz w:val="21"/>
          <w:szCs w:val="21"/>
        </w:rPr>
        <w:t>, including during periods of remote learning</w:t>
      </w:r>
      <w:r w:rsidR="00FE07E7" w:rsidRPr="006764E3">
        <w:rPr>
          <w:rFonts w:ascii="Calibri" w:hAnsi="Calibri" w:cs="Calibri"/>
          <w:bCs/>
          <w:sz w:val="21"/>
          <w:szCs w:val="21"/>
        </w:rPr>
        <w:t xml:space="preserve">. It </w:t>
      </w:r>
      <w:r w:rsidR="00AF012F" w:rsidRPr="006764E3">
        <w:rPr>
          <w:rFonts w:ascii="Calibri" w:hAnsi="Calibri" w:cs="Calibri"/>
          <w:bCs/>
          <w:sz w:val="21"/>
          <w:szCs w:val="21"/>
        </w:rPr>
        <w:t>i</w:t>
      </w:r>
      <w:r w:rsidR="00FE07E7" w:rsidRPr="006764E3">
        <w:rPr>
          <w:rFonts w:ascii="Calibri" w:hAnsi="Calibri" w:cs="Calibri"/>
          <w:bCs/>
          <w:sz w:val="21"/>
          <w:szCs w:val="21"/>
        </w:rPr>
        <w:t>s a targeted and tailored response for residents and families living in public housing estates and supported transitions into kindergarten</w:t>
      </w:r>
    </w:p>
    <w:p w14:paraId="7BE61DD6" w14:textId="0DA9B0BF" w:rsidR="002C4D0E" w:rsidRPr="00CE7C6F" w:rsidRDefault="006C2CCC" w:rsidP="00FE07E7">
      <w:pPr>
        <w:pStyle w:val="NoSpacing"/>
        <w:numPr>
          <w:ilvl w:val="0"/>
          <w:numId w:val="1"/>
        </w:numPr>
        <w:spacing w:before="120" w:after="120"/>
        <w:rPr>
          <w:rFonts w:asciiTheme="minorHAnsi" w:hAnsiTheme="minorHAnsi" w:cstheme="minorHAnsi"/>
          <w:sz w:val="21"/>
          <w:szCs w:val="21"/>
        </w:rPr>
      </w:pPr>
      <w:r>
        <w:rPr>
          <w:rFonts w:ascii="Calibri" w:hAnsi="Calibri" w:cs="Calibri"/>
          <w:bCs/>
          <w:sz w:val="21"/>
          <w:szCs w:val="21"/>
        </w:rPr>
        <w:t>t</w:t>
      </w:r>
      <w:r w:rsidR="00FE07E7" w:rsidRPr="006764E3">
        <w:rPr>
          <w:rFonts w:ascii="Calibri" w:hAnsi="Calibri" w:cs="Calibri"/>
          <w:bCs/>
          <w:sz w:val="21"/>
          <w:szCs w:val="21"/>
        </w:rPr>
        <w:t>he Frankston North Education Partnership</w:t>
      </w:r>
      <w:r w:rsidR="002C4D0E" w:rsidRPr="006764E3">
        <w:rPr>
          <w:rFonts w:ascii="Calibri" w:hAnsi="Calibri" w:cs="Calibri"/>
          <w:bCs/>
          <w:sz w:val="21"/>
          <w:szCs w:val="21"/>
        </w:rPr>
        <w:t xml:space="preserve"> which aims to break the cycle of disadvantage for children and young people in Frankston</w:t>
      </w:r>
    </w:p>
    <w:p w14:paraId="31077288" w14:textId="41EE4E8D" w:rsidR="002C4D0E" w:rsidRPr="00CE7C6F" w:rsidRDefault="002C4D0E" w:rsidP="00AF012F">
      <w:pPr>
        <w:pStyle w:val="NoSpacing"/>
        <w:numPr>
          <w:ilvl w:val="0"/>
          <w:numId w:val="1"/>
        </w:numPr>
        <w:spacing w:before="120" w:after="120"/>
        <w:rPr>
          <w:rFonts w:asciiTheme="minorHAnsi" w:hAnsiTheme="minorHAnsi" w:cstheme="minorHAnsi"/>
          <w:sz w:val="21"/>
          <w:szCs w:val="21"/>
        </w:rPr>
      </w:pPr>
      <w:r w:rsidRPr="006764E3">
        <w:rPr>
          <w:rFonts w:ascii="Calibri" w:hAnsi="Calibri" w:cs="Calibri"/>
          <w:bCs/>
          <w:sz w:val="21"/>
          <w:szCs w:val="21"/>
        </w:rPr>
        <w:t xml:space="preserve">Cross Cultural Responsiveness </w:t>
      </w:r>
      <w:r w:rsidR="00AF012F" w:rsidRPr="006764E3">
        <w:rPr>
          <w:rFonts w:ascii="Calibri" w:hAnsi="Calibri" w:cs="Calibri"/>
          <w:bCs/>
          <w:sz w:val="21"/>
          <w:szCs w:val="21"/>
        </w:rPr>
        <w:t xml:space="preserve">– </w:t>
      </w:r>
      <w:r w:rsidRPr="006764E3">
        <w:rPr>
          <w:rFonts w:ascii="Calibri" w:hAnsi="Calibri" w:cs="Calibri"/>
          <w:bCs/>
          <w:sz w:val="21"/>
          <w:szCs w:val="21"/>
        </w:rPr>
        <w:t>a targeted approach for culturally and linguistically diverse communities that shares knowledge and practice across the sector and enables training, coaching and community consultation projects</w:t>
      </w:r>
    </w:p>
    <w:p w14:paraId="65B66146" w14:textId="6E301606" w:rsidR="00B701AA" w:rsidRPr="00CE7C6F" w:rsidRDefault="002C4D0E" w:rsidP="00631380">
      <w:pPr>
        <w:pStyle w:val="NoSpacing"/>
        <w:numPr>
          <w:ilvl w:val="0"/>
          <w:numId w:val="1"/>
        </w:numPr>
        <w:spacing w:before="120" w:after="120"/>
        <w:rPr>
          <w:rFonts w:asciiTheme="minorHAnsi" w:hAnsiTheme="minorHAnsi" w:cstheme="minorHAnsi"/>
          <w:sz w:val="21"/>
          <w:szCs w:val="21"/>
        </w:rPr>
      </w:pPr>
      <w:r w:rsidRPr="006764E3">
        <w:rPr>
          <w:rFonts w:ascii="Calibri" w:hAnsi="Calibri" w:cs="Calibri"/>
          <w:bCs/>
          <w:sz w:val="21"/>
          <w:szCs w:val="21"/>
        </w:rPr>
        <w:t>Yarra Resident Voice Group</w:t>
      </w:r>
      <w:r w:rsidR="00AF012F" w:rsidRPr="006764E3">
        <w:rPr>
          <w:rFonts w:ascii="Calibri" w:hAnsi="Calibri" w:cs="Calibri"/>
          <w:bCs/>
          <w:sz w:val="21"/>
          <w:szCs w:val="21"/>
        </w:rPr>
        <w:t>, which empowers</w:t>
      </w:r>
      <w:r w:rsidRPr="006764E3">
        <w:rPr>
          <w:rFonts w:ascii="Calibri" w:hAnsi="Calibri" w:cs="Calibri"/>
          <w:bCs/>
          <w:sz w:val="21"/>
          <w:szCs w:val="21"/>
        </w:rPr>
        <w:t xml:space="preserve"> residents from public housing estates to </w:t>
      </w:r>
      <w:r w:rsidR="00AF012F" w:rsidRPr="006764E3">
        <w:rPr>
          <w:rFonts w:ascii="Calibri" w:hAnsi="Calibri" w:cs="Calibri"/>
          <w:bCs/>
          <w:sz w:val="21"/>
          <w:szCs w:val="21"/>
        </w:rPr>
        <w:t>have their say</w:t>
      </w:r>
      <w:r w:rsidRPr="006764E3">
        <w:rPr>
          <w:rFonts w:ascii="Calibri" w:hAnsi="Calibri" w:cs="Calibri"/>
          <w:bCs/>
          <w:sz w:val="21"/>
          <w:szCs w:val="21"/>
        </w:rPr>
        <w:t xml:space="preserve"> on improvements </w:t>
      </w:r>
      <w:r w:rsidR="00AF012F" w:rsidRPr="006764E3">
        <w:rPr>
          <w:rFonts w:ascii="Calibri" w:hAnsi="Calibri" w:cs="Calibri"/>
          <w:bCs/>
          <w:sz w:val="21"/>
          <w:szCs w:val="21"/>
        </w:rPr>
        <w:t>they want to see on the estates</w:t>
      </w:r>
      <w:r w:rsidRPr="006764E3">
        <w:rPr>
          <w:rFonts w:ascii="Calibri" w:hAnsi="Calibri" w:cs="Calibri"/>
          <w:bCs/>
          <w:sz w:val="21"/>
          <w:szCs w:val="21"/>
        </w:rPr>
        <w:t>.</w:t>
      </w:r>
    </w:p>
    <w:p w14:paraId="6FE4D1F5" w14:textId="7A01CFAC" w:rsidR="007B4662" w:rsidRPr="006764E3" w:rsidRDefault="007B4662" w:rsidP="006764E3">
      <w:pPr>
        <w:pStyle w:val="NoSpacing"/>
        <w:spacing w:before="120"/>
        <w:rPr>
          <w:rFonts w:asciiTheme="minorHAnsi" w:hAnsiTheme="minorHAnsi" w:cstheme="minorHAnsi"/>
          <w:bCs/>
          <w:sz w:val="21"/>
          <w:szCs w:val="21"/>
        </w:rPr>
      </w:pPr>
      <w:r w:rsidRPr="006764E3">
        <w:rPr>
          <w:rFonts w:asciiTheme="minorHAnsi" w:hAnsiTheme="minorHAnsi" w:cstheme="minorHAnsi"/>
          <w:bCs/>
          <w:sz w:val="21"/>
          <w:szCs w:val="21"/>
        </w:rPr>
        <w:t>Further information about programs delivered by the Brotherhood of St Laurence can be found here:</w:t>
      </w:r>
    </w:p>
    <w:p w14:paraId="4934583F" w14:textId="507D5A87" w:rsidR="007B4662" w:rsidRPr="00AC2439" w:rsidRDefault="00230EE2" w:rsidP="006764E3">
      <w:pPr>
        <w:pStyle w:val="NoSpacing"/>
        <w:spacing w:before="120"/>
        <w:rPr>
          <w:rFonts w:asciiTheme="minorHAnsi" w:hAnsiTheme="minorHAnsi" w:cstheme="minorHAnsi"/>
          <w:sz w:val="21"/>
          <w:szCs w:val="21"/>
        </w:rPr>
      </w:pPr>
      <w:hyperlink r:id="rId16" w:history="1">
        <w:r w:rsidR="007B4662" w:rsidRPr="00AC2439">
          <w:rPr>
            <w:rStyle w:val="Hyperlink"/>
            <w:rFonts w:asciiTheme="minorHAnsi" w:hAnsiTheme="minorHAnsi" w:cstheme="minorHAnsi"/>
            <w:sz w:val="21"/>
            <w:szCs w:val="21"/>
          </w:rPr>
          <w:t>https://www.bsl.org.au/</w:t>
        </w:r>
      </w:hyperlink>
      <w:r w:rsidR="007B4662" w:rsidRPr="00AC2439">
        <w:rPr>
          <w:rFonts w:asciiTheme="minorHAnsi" w:hAnsiTheme="minorHAnsi" w:cstheme="minorHAnsi"/>
          <w:sz w:val="21"/>
          <w:szCs w:val="21"/>
        </w:rPr>
        <w:t xml:space="preserve"> </w:t>
      </w:r>
    </w:p>
    <w:p w14:paraId="757C8D29" w14:textId="77777777" w:rsidR="00B701AA" w:rsidRDefault="00B701AA" w:rsidP="00B701AA">
      <w:pPr>
        <w:pStyle w:val="Heading1"/>
        <w:spacing w:after="240"/>
        <w:rPr>
          <w:b/>
          <w:bCs/>
        </w:rPr>
      </w:pPr>
      <w:r>
        <w:rPr>
          <w:b/>
          <w:bCs/>
        </w:rPr>
        <w:t>Next meeting</w:t>
      </w:r>
    </w:p>
    <w:p w14:paraId="46404EBD" w14:textId="3EB911A0" w:rsidR="00B701AA" w:rsidRPr="00AC2439" w:rsidRDefault="00DA398E" w:rsidP="00B701AA">
      <w:pPr>
        <w:spacing w:before="120" w:after="120"/>
        <w:rPr>
          <w:rFonts w:asciiTheme="minorHAnsi" w:hAnsiTheme="minorHAnsi" w:cstheme="minorHAnsi"/>
          <w:sz w:val="21"/>
          <w:szCs w:val="21"/>
        </w:rPr>
      </w:pPr>
      <w:r w:rsidRPr="00AC2439">
        <w:rPr>
          <w:rFonts w:asciiTheme="minorHAnsi" w:hAnsiTheme="minorHAnsi" w:cstheme="minorHAnsi"/>
          <w:sz w:val="21"/>
          <w:szCs w:val="21"/>
        </w:rPr>
        <w:t>The Term 4</w:t>
      </w:r>
      <w:r w:rsidR="00B701AA" w:rsidRPr="00AC2439">
        <w:rPr>
          <w:rFonts w:asciiTheme="minorHAnsi" w:hAnsiTheme="minorHAnsi" w:cstheme="minorHAnsi"/>
          <w:sz w:val="21"/>
          <w:szCs w:val="21"/>
        </w:rPr>
        <w:t xml:space="preserve"> meeting will be on the theme of Disability. Please contact VCOSS if there is something that you’d like to share with us, to guide our planning </w:t>
      </w:r>
      <w:r w:rsidRPr="00AC2439">
        <w:rPr>
          <w:rFonts w:asciiTheme="minorHAnsi" w:hAnsiTheme="minorHAnsi" w:cstheme="minorHAnsi"/>
          <w:sz w:val="21"/>
          <w:szCs w:val="21"/>
        </w:rPr>
        <w:t>for future meetings.</w:t>
      </w:r>
    </w:p>
    <w:p w14:paraId="2C19716B" w14:textId="45C9CF7A" w:rsidR="00B701AA" w:rsidRPr="00AC2439" w:rsidRDefault="00B701AA" w:rsidP="00B701AA">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Deb </w:t>
      </w:r>
      <w:proofErr w:type="spellStart"/>
      <w:r w:rsidRPr="00AC2439">
        <w:rPr>
          <w:rFonts w:asciiTheme="minorHAnsi" w:hAnsiTheme="minorHAnsi" w:cstheme="minorHAnsi"/>
          <w:sz w:val="21"/>
          <w:szCs w:val="21"/>
        </w:rPr>
        <w:t>Fewster</w:t>
      </w:r>
      <w:proofErr w:type="spellEnd"/>
      <w:r w:rsidRPr="00AC2439">
        <w:rPr>
          <w:rFonts w:asciiTheme="minorHAnsi" w:hAnsiTheme="minorHAnsi" w:cstheme="minorHAnsi"/>
          <w:sz w:val="21"/>
          <w:szCs w:val="21"/>
        </w:rPr>
        <w:t xml:space="preserve">, </w:t>
      </w:r>
      <w:r w:rsidR="00AF012F" w:rsidRPr="00AC2439">
        <w:rPr>
          <w:rFonts w:asciiTheme="minorHAnsi" w:hAnsiTheme="minorHAnsi" w:cstheme="minorHAnsi"/>
          <w:sz w:val="21"/>
          <w:szCs w:val="21"/>
        </w:rPr>
        <w:t>Director, Policy and Advocacy</w:t>
      </w:r>
    </w:p>
    <w:p w14:paraId="6720D7A8" w14:textId="77777777" w:rsidR="00B701AA" w:rsidRPr="00AC2439" w:rsidRDefault="00B701AA" w:rsidP="00B701AA">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Email: </w:t>
      </w:r>
      <w:hyperlink r:id="rId17" w:history="1">
        <w:r w:rsidRPr="00AC2439">
          <w:rPr>
            <w:rStyle w:val="Hyperlink"/>
            <w:rFonts w:asciiTheme="minorHAnsi" w:hAnsiTheme="minorHAnsi" w:cstheme="minorHAnsi"/>
            <w:sz w:val="21"/>
            <w:szCs w:val="21"/>
          </w:rPr>
          <w:t>Deborah.fewster@vcoss.org.au</w:t>
        </w:r>
      </w:hyperlink>
      <w:r w:rsidRPr="00AC2439">
        <w:rPr>
          <w:rStyle w:val="Hyperlink"/>
          <w:rFonts w:asciiTheme="minorHAnsi" w:hAnsiTheme="minorHAnsi" w:cstheme="minorHAnsi"/>
          <w:sz w:val="21"/>
          <w:szCs w:val="21"/>
        </w:rPr>
        <w:t>.</w:t>
      </w:r>
    </w:p>
    <w:p w14:paraId="71FE344D" w14:textId="77777777" w:rsidR="00B701AA" w:rsidRPr="00AC2439" w:rsidRDefault="00B701AA" w:rsidP="00B701AA">
      <w:pPr>
        <w:spacing w:before="120" w:after="120"/>
        <w:rPr>
          <w:rFonts w:asciiTheme="minorHAnsi" w:hAnsiTheme="minorHAnsi" w:cstheme="minorHAnsi"/>
          <w:sz w:val="21"/>
          <w:szCs w:val="21"/>
        </w:rPr>
      </w:pPr>
      <w:r w:rsidRPr="00AC2439">
        <w:rPr>
          <w:rFonts w:asciiTheme="minorHAnsi" w:hAnsiTheme="minorHAnsi" w:cstheme="minorHAnsi"/>
          <w:sz w:val="21"/>
          <w:szCs w:val="21"/>
        </w:rPr>
        <w:t>Talisha Ohanessian, Policy Advisor</w:t>
      </w:r>
    </w:p>
    <w:p w14:paraId="402959DF" w14:textId="77777777" w:rsidR="00B701AA" w:rsidRPr="00AC2439" w:rsidRDefault="00B701AA" w:rsidP="00B701AA">
      <w:pPr>
        <w:spacing w:before="120" w:after="120"/>
        <w:rPr>
          <w:rFonts w:asciiTheme="minorHAnsi" w:hAnsiTheme="minorHAnsi" w:cstheme="minorHAnsi"/>
          <w:sz w:val="21"/>
          <w:szCs w:val="21"/>
        </w:rPr>
      </w:pPr>
      <w:r w:rsidRPr="00AC2439">
        <w:rPr>
          <w:rFonts w:asciiTheme="minorHAnsi" w:hAnsiTheme="minorHAnsi" w:cstheme="minorHAnsi"/>
          <w:sz w:val="21"/>
          <w:szCs w:val="21"/>
        </w:rPr>
        <w:t xml:space="preserve">Email: </w:t>
      </w:r>
      <w:hyperlink r:id="rId18" w:history="1">
        <w:r w:rsidRPr="00AC2439">
          <w:rPr>
            <w:rStyle w:val="Hyperlink"/>
            <w:rFonts w:asciiTheme="minorHAnsi" w:hAnsiTheme="minorHAnsi" w:cstheme="minorHAnsi"/>
            <w:sz w:val="21"/>
            <w:szCs w:val="21"/>
          </w:rPr>
          <w:t>Talisha.Ohanessian@vcoss.org.au</w:t>
        </w:r>
      </w:hyperlink>
      <w:r w:rsidRPr="00AC2439">
        <w:rPr>
          <w:rStyle w:val="Hyperlink"/>
          <w:rFonts w:asciiTheme="minorHAnsi" w:hAnsiTheme="minorHAnsi" w:cstheme="minorHAnsi"/>
          <w:sz w:val="21"/>
          <w:szCs w:val="21"/>
        </w:rPr>
        <w:t>.</w:t>
      </w:r>
    </w:p>
    <w:p w14:paraId="4FEDEBD1" w14:textId="77777777" w:rsidR="00B701AA" w:rsidRPr="006764E3" w:rsidRDefault="00B701AA" w:rsidP="00B701AA">
      <w:pPr>
        <w:rPr>
          <w:sz w:val="21"/>
          <w:szCs w:val="21"/>
        </w:rPr>
      </w:pPr>
    </w:p>
    <w:p w14:paraId="1FFD9EC5" w14:textId="77777777" w:rsidR="00E16405" w:rsidRDefault="00E16405"/>
    <w:sectPr w:rsidR="00E164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24CB"/>
    <w:multiLevelType w:val="hybridMultilevel"/>
    <w:tmpl w:val="7D906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384D0F"/>
    <w:multiLevelType w:val="hybridMultilevel"/>
    <w:tmpl w:val="F9CE0D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1B5"/>
    <w:rsid w:val="00056143"/>
    <w:rsid w:val="00097952"/>
    <w:rsid w:val="000D61B5"/>
    <w:rsid w:val="001317BB"/>
    <w:rsid w:val="001927EF"/>
    <w:rsid w:val="001F5D7E"/>
    <w:rsid w:val="00230EE2"/>
    <w:rsid w:val="002313AC"/>
    <w:rsid w:val="00273243"/>
    <w:rsid w:val="002C4D0E"/>
    <w:rsid w:val="002E1EFD"/>
    <w:rsid w:val="00383F4C"/>
    <w:rsid w:val="00424E83"/>
    <w:rsid w:val="004B5E2B"/>
    <w:rsid w:val="004C30E2"/>
    <w:rsid w:val="00595E25"/>
    <w:rsid w:val="00596C34"/>
    <w:rsid w:val="00631380"/>
    <w:rsid w:val="00660EE8"/>
    <w:rsid w:val="006764E3"/>
    <w:rsid w:val="006A298E"/>
    <w:rsid w:val="006C2CCC"/>
    <w:rsid w:val="006E39C5"/>
    <w:rsid w:val="007B4662"/>
    <w:rsid w:val="007C3378"/>
    <w:rsid w:val="008A59DD"/>
    <w:rsid w:val="008E19A5"/>
    <w:rsid w:val="00902E20"/>
    <w:rsid w:val="00937047"/>
    <w:rsid w:val="00952376"/>
    <w:rsid w:val="00A96BDD"/>
    <w:rsid w:val="00AC2439"/>
    <w:rsid w:val="00AD14DA"/>
    <w:rsid w:val="00AF012F"/>
    <w:rsid w:val="00B701AA"/>
    <w:rsid w:val="00CE7C6F"/>
    <w:rsid w:val="00D7317C"/>
    <w:rsid w:val="00DA2355"/>
    <w:rsid w:val="00DA398E"/>
    <w:rsid w:val="00DF701A"/>
    <w:rsid w:val="00E16405"/>
    <w:rsid w:val="00F433A0"/>
    <w:rsid w:val="00FE07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12B34"/>
  <w15:chartTrackingRefBased/>
  <w15:docId w15:val="{DF58C7CD-A8C1-4485-968F-3423619F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1B5"/>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0D61B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1B5"/>
    <w:rPr>
      <w:rFonts w:asciiTheme="majorHAnsi" w:eastAsiaTheme="majorEastAsia" w:hAnsiTheme="majorHAnsi" w:cstheme="majorBidi"/>
      <w:color w:val="2F5496" w:themeColor="accent1" w:themeShade="BF"/>
      <w:sz w:val="32"/>
      <w:szCs w:val="32"/>
      <w:lang w:eastAsia="en-AU"/>
    </w:rPr>
  </w:style>
  <w:style w:type="character" w:styleId="IntenseEmphasis">
    <w:name w:val="Intense Emphasis"/>
    <w:uiPriority w:val="21"/>
    <w:qFormat/>
    <w:rsid w:val="000D61B5"/>
    <w:rPr>
      <w:i/>
      <w:iCs/>
      <w:color w:val="5B9BD5"/>
    </w:rPr>
  </w:style>
  <w:style w:type="paragraph" w:styleId="NormalWeb">
    <w:name w:val="Normal (Web)"/>
    <w:basedOn w:val="Normal"/>
    <w:uiPriority w:val="99"/>
    <w:unhideWhenUsed/>
    <w:rsid w:val="000D61B5"/>
    <w:pPr>
      <w:spacing w:before="100" w:beforeAutospacing="1" w:after="100" w:afterAutospacing="1"/>
    </w:pPr>
  </w:style>
  <w:style w:type="character" w:styleId="Hyperlink">
    <w:name w:val="Hyperlink"/>
    <w:basedOn w:val="DefaultParagraphFont"/>
    <w:uiPriority w:val="99"/>
    <w:unhideWhenUsed/>
    <w:rsid w:val="000D61B5"/>
    <w:rPr>
      <w:color w:val="0000FF"/>
      <w:u w:val="single"/>
    </w:rPr>
  </w:style>
  <w:style w:type="paragraph" w:styleId="NoSpacing">
    <w:name w:val="No Spacing"/>
    <w:uiPriority w:val="1"/>
    <w:qFormat/>
    <w:rsid w:val="00B701AA"/>
    <w:pPr>
      <w:spacing w:after="0"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D7317C"/>
    <w:rPr>
      <w:color w:val="605E5C"/>
      <w:shd w:val="clear" w:color="auto" w:fill="E1DFDD"/>
    </w:rPr>
  </w:style>
  <w:style w:type="character" w:styleId="CommentReference">
    <w:name w:val="annotation reference"/>
    <w:basedOn w:val="DefaultParagraphFont"/>
    <w:uiPriority w:val="99"/>
    <w:semiHidden/>
    <w:unhideWhenUsed/>
    <w:rsid w:val="00D7317C"/>
    <w:rPr>
      <w:sz w:val="16"/>
      <w:szCs w:val="16"/>
    </w:rPr>
  </w:style>
  <w:style w:type="paragraph" w:styleId="CommentText">
    <w:name w:val="annotation text"/>
    <w:basedOn w:val="Normal"/>
    <w:link w:val="CommentTextChar"/>
    <w:uiPriority w:val="99"/>
    <w:semiHidden/>
    <w:unhideWhenUsed/>
    <w:rsid w:val="00D7317C"/>
    <w:rPr>
      <w:sz w:val="20"/>
      <w:szCs w:val="20"/>
    </w:rPr>
  </w:style>
  <w:style w:type="character" w:customStyle="1" w:styleId="CommentTextChar">
    <w:name w:val="Comment Text Char"/>
    <w:basedOn w:val="DefaultParagraphFont"/>
    <w:link w:val="CommentText"/>
    <w:uiPriority w:val="99"/>
    <w:semiHidden/>
    <w:rsid w:val="00D7317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7317C"/>
    <w:rPr>
      <w:b/>
      <w:bCs/>
    </w:rPr>
  </w:style>
  <w:style w:type="character" w:customStyle="1" w:styleId="CommentSubjectChar">
    <w:name w:val="Comment Subject Char"/>
    <w:basedOn w:val="CommentTextChar"/>
    <w:link w:val="CommentSubject"/>
    <w:uiPriority w:val="99"/>
    <w:semiHidden/>
    <w:rsid w:val="00D7317C"/>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7952"/>
    <w:rPr>
      <w:color w:val="954F72" w:themeColor="followedHyperlink"/>
      <w:u w:val="single"/>
    </w:rPr>
  </w:style>
  <w:style w:type="paragraph" w:styleId="ListParagraph">
    <w:name w:val="List Paragraph"/>
    <w:basedOn w:val="Normal"/>
    <w:uiPriority w:val="34"/>
    <w:qFormat/>
    <w:rsid w:val="00273243"/>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3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oss.org.au/sector-hub/networks/education-partnership/" TargetMode="External"/><Relationship Id="rId13" Type="http://schemas.openxmlformats.org/officeDocument/2006/relationships/hyperlink" Target="https://www.education.vic.gov.au/childhood/professionals/health/Pages/access-to-early-learning.aspx" TargetMode="External"/><Relationship Id="rId18" Type="http://schemas.openxmlformats.org/officeDocument/2006/relationships/hyperlink" Target="file:///C:/Users/TalishaOhanessian/Documents/Talisha.Ohanessian@vcoss.org.au"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hyperlink" Target="https://www.education.vic.gov.au/about/programs/Pages/lookout.aspx" TargetMode="External"/><Relationship Id="rId17" Type="http://schemas.openxmlformats.org/officeDocument/2006/relationships/hyperlink" Target="mailto:Deborah.fewster@vcoss.org.au" TargetMode="External"/><Relationship Id="rId2" Type="http://schemas.openxmlformats.org/officeDocument/2006/relationships/styles" Target="styles.xml"/><Relationship Id="rId16" Type="http://schemas.openxmlformats.org/officeDocument/2006/relationships/hyperlink" Target="https://www.bsl.org.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vcoss.org.au/index.htm" TargetMode="External"/><Relationship Id="rId11" Type="http://schemas.openxmlformats.org/officeDocument/2006/relationships/hyperlink" Target="https://www.education.vic.gov.au/about/programs/Pages/beststart.aspx" TargetMode="External"/><Relationship Id="rId5" Type="http://schemas.openxmlformats.org/officeDocument/2006/relationships/image" Target="media/image1.png"/><Relationship Id="rId15" Type="http://schemas.openxmlformats.org/officeDocument/2006/relationships/hyperlink" Target="https://www.vcaa.vic.edu.au/victorianseniorsecondarycertificatereform/Pages/Index.aspx" TargetMode="External"/><Relationship Id="rId23" Type="http://schemas.openxmlformats.org/officeDocument/2006/relationships/customXml" Target="../customXml/item3.xml"/><Relationship Id="rId10" Type="http://schemas.openxmlformats.org/officeDocument/2006/relationships/hyperlink" Target="https://www.education.vic.gov.au/childhood/professionals/learning/Pages/transition.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ducation.vic.gov.au/about/department/Pages/partnerships.aspx" TargetMode="External"/><Relationship Id="rId14" Type="http://schemas.openxmlformats.org/officeDocument/2006/relationships/hyperlink" Target="https://www.education.vic.gov.au/about/department/Pages/vcal-pathways-review.aspx"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DET_CSO_Governance_Group_September_2021_Communique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A4887E63-F69E-44F2-8935-5D3538892E6F}"/>
</file>

<file path=customXml/itemProps2.xml><?xml version="1.0" encoding="utf-8"?>
<ds:datastoreItem xmlns:ds="http://schemas.openxmlformats.org/officeDocument/2006/customXml" ds:itemID="{D1F457AF-B49D-493C-9632-9EE827889466}"/>
</file>

<file path=customXml/itemProps3.xml><?xml version="1.0" encoding="utf-8"?>
<ds:datastoreItem xmlns:ds="http://schemas.openxmlformats.org/officeDocument/2006/customXml" ds:itemID="{EEA05349-70AB-48A7-87A8-EE90876CC2C5}"/>
</file>

<file path=docProps/app.xml><?xml version="1.0" encoding="utf-8"?>
<Properties xmlns="http://schemas.openxmlformats.org/officeDocument/2006/extended-properties" xmlns:vt="http://schemas.openxmlformats.org/officeDocument/2006/docPropsVTypes">
  <Template>Normal.dotm</Template>
  <TotalTime>1</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Talisha Ohanessian</dc:creator>
  <cp:keywords/>
  <dc:description/>
  <cp:lastModifiedBy>Jill Kidd</cp:lastModifiedBy>
  <cp:revision>2</cp:revision>
  <dcterms:created xsi:type="dcterms:W3CDTF">2021-11-22T22:14:00Z</dcterms:created>
  <dcterms:modified xsi:type="dcterms:W3CDTF">2021-11-22T22:14:00Z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