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94BA" w14:textId="77777777" w:rsidR="00A63D55" w:rsidRPr="00F562C7" w:rsidRDefault="00A34BF4" w:rsidP="00A34BF4">
      <w:pPr>
        <w:pStyle w:val="Covertitle"/>
        <w:ind w:right="2969"/>
      </w:pPr>
      <w:bookmarkStart w:id="0" w:name="Start"/>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513B9887" w14:textId="2A6DD0BD" w:rsidR="00430F02"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430F02">
        <w:rPr>
          <w:noProof/>
        </w:rPr>
        <w:t>1.</w:t>
      </w:r>
      <w:r w:rsidR="00430F02">
        <w:rPr>
          <w:rFonts w:asciiTheme="minorHAnsi" w:hAnsiTheme="minorHAnsi" w:cstheme="minorBidi"/>
          <w:b w:val="0"/>
          <w:noProof/>
          <w:color w:val="auto"/>
          <w:szCs w:val="22"/>
          <w:lang w:val="en-AU" w:eastAsia="en-AU"/>
        </w:rPr>
        <w:tab/>
      </w:r>
      <w:r w:rsidR="00430F02">
        <w:rPr>
          <w:noProof/>
        </w:rPr>
        <w:t>Introduction</w:t>
      </w:r>
      <w:r w:rsidR="00430F02">
        <w:rPr>
          <w:noProof/>
        </w:rPr>
        <w:tab/>
      </w:r>
      <w:r w:rsidR="00430F02">
        <w:rPr>
          <w:noProof/>
        </w:rPr>
        <w:fldChar w:fldCharType="begin"/>
      </w:r>
      <w:r w:rsidR="00430F02">
        <w:rPr>
          <w:noProof/>
        </w:rPr>
        <w:instrText xml:space="preserve"> PAGEREF _Toc72143282 \h </w:instrText>
      </w:r>
      <w:r w:rsidR="00430F02">
        <w:rPr>
          <w:noProof/>
        </w:rPr>
      </w:r>
      <w:r w:rsidR="00430F02">
        <w:rPr>
          <w:noProof/>
        </w:rPr>
        <w:fldChar w:fldCharType="separate"/>
      </w:r>
      <w:r w:rsidR="00430F02">
        <w:rPr>
          <w:noProof/>
        </w:rPr>
        <w:t>4</w:t>
      </w:r>
      <w:r w:rsidR="00430F02">
        <w:rPr>
          <w:noProof/>
        </w:rPr>
        <w:fldChar w:fldCharType="end"/>
      </w:r>
    </w:p>
    <w:p w14:paraId="76575366" w14:textId="4F41294F"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_Toc72143283 \h </w:instrText>
      </w:r>
      <w:r>
        <w:rPr>
          <w:noProof/>
        </w:rPr>
      </w:r>
      <w:r>
        <w:rPr>
          <w:noProof/>
        </w:rPr>
        <w:fldChar w:fldCharType="separate"/>
      </w:r>
      <w:r>
        <w:rPr>
          <w:noProof/>
        </w:rPr>
        <w:t>4</w:t>
      </w:r>
      <w:r>
        <w:rPr>
          <w:noProof/>
        </w:rPr>
        <w:fldChar w:fldCharType="end"/>
      </w:r>
    </w:p>
    <w:p w14:paraId="0F276086" w14:textId="3D800EE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_Toc72143284 \h </w:instrText>
      </w:r>
      <w:r>
        <w:rPr>
          <w:noProof/>
        </w:rPr>
      </w:r>
      <w:r>
        <w:rPr>
          <w:noProof/>
        </w:rPr>
        <w:fldChar w:fldCharType="separate"/>
      </w:r>
      <w:r>
        <w:rPr>
          <w:noProof/>
        </w:rPr>
        <w:t>4</w:t>
      </w:r>
      <w:r>
        <w:rPr>
          <w:noProof/>
        </w:rPr>
        <w:fldChar w:fldCharType="end"/>
      </w:r>
    </w:p>
    <w:p w14:paraId="74AEC0E1" w14:textId="270A0034"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_Toc72143285 \h </w:instrText>
      </w:r>
      <w:r>
        <w:rPr>
          <w:noProof/>
        </w:rPr>
      </w:r>
      <w:r>
        <w:rPr>
          <w:noProof/>
        </w:rPr>
        <w:fldChar w:fldCharType="separate"/>
      </w:r>
      <w:r>
        <w:rPr>
          <w:noProof/>
        </w:rPr>
        <w:t>4</w:t>
      </w:r>
      <w:r>
        <w:rPr>
          <w:noProof/>
        </w:rPr>
        <w:fldChar w:fldCharType="end"/>
      </w:r>
    </w:p>
    <w:p w14:paraId="6F2A6D86" w14:textId="21E4226E" w:rsidR="00430F02" w:rsidRDefault="00430F02">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_Toc72143286 \h </w:instrText>
      </w:r>
      <w:r>
        <w:rPr>
          <w:noProof/>
        </w:rPr>
      </w:r>
      <w:r>
        <w:rPr>
          <w:noProof/>
        </w:rPr>
        <w:fldChar w:fldCharType="separate"/>
      </w:r>
      <w:r>
        <w:rPr>
          <w:noProof/>
        </w:rPr>
        <w:t>5</w:t>
      </w:r>
      <w:r>
        <w:rPr>
          <w:noProof/>
        </w:rPr>
        <w:fldChar w:fldCharType="end"/>
      </w:r>
    </w:p>
    <w:p w14:paraId="49B89C33" w14:textId="4EF88774" w:rsidR="00430F02" w:rsidRDefault="00430F02">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_Toc72143287 \h </w:instrText>
      </w:r>
      <w:r>
        <w:rPr>
          <w:noProof/>
        </w:rPr>
      </w:r>
      <w:r>
        <w:rPr>
          <w:noProof/>
        </w:rPr>
        <w:fldChar w:fldCharType="separate"/>
      </w:r>
      <w:r>
        <w:rPr>
          <w:noProof/>
        </w:rPr>
        <w:t>6</w:t>
      </w:r>
      <w:r>
        <w:rPr>
          <w:noProof/>
        </w:rPr>
        <w:fldChar w:fldCharType="end"/>
      </w:r>
    </w:p>
    <w:p w14:paraId="4A4D275E" w14:textId="529D4206"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_Toc72143288 \h </w:instrText>
      </w:r>
      <w:r>
        <w:rPr>
          <w:noProof/>
        </w:rPr>
      </w:r>
      <w:r>
        <w:rPr>
          <w:noProof/>
        </w:rPr>
        <w:fldChar w:fldCharType="separate"/>
      </w:r>
      <w:r>
        <w:rPr>
          <w:noProof/>
        </w:rPr>
        <w:t>6</w:t>
      </w:r>
      <w:r>
        <w:rPr>
          <w:noProof/>
        </w:rPr>
        <w:fldChar w:fldCharType="end"/>
      </w:r>
    </w:p>
    <w:p w14:paraId="0CEC2EFF" w14:textId="79CD4E2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_Toc72143289 \h </w:instrText>
      </w:r>
      <w:r>
        <w:rPr>
          <w:noProof/>
        </w:rPr>
      </w:r>
      <w:r>
        <w:rPr>
          <w:noProof/>
        </w:rPr>
        <w:fldChar w:fldCharType="separate"/>
      </w:r>
      <w:r>
        <w:rPr>
          <w:noProof/>
        </w:rPr>
        <w:t>6</w:t>
      </w:r>
      <w:r>
        <w:rPr>
          <w:noProof/>
        </w:rPr>
        <w:fldChar w:fldCharType="end"/>
      </w:r>
    </w:p>
    <w:p w14:paraId="5BD3AB0D" w14:textId="04566ECE"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_Toc72143290 \h </w:instrText>
      </w:r>
      <w:r>
        <w:rPr>
          <w:noProof/>
        </w:rPr>
      </w:r>
      <w:r>
        <w:rPr>
          <w:noProof/>
        </w:rPr>
        <w:fldChar w:fldCharType="separate"/>
      </w:r>
      <w:r>
        <w:rPr>
          <w:noProof/>
        </w:rPr>
        <w:t>6</w:t>
      </w:r>
      <w:r>
        <w:rPr>
          <w:noProof/>
        </w:rPr>
        <w:fldChar w:fldCharType="end"/>
      </w:r>
    </w:p>
    <w:p w14:paraId="6255F753" w14:textId="7CA0980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_Toc72143291 \h </w:instrText>
      </w:r>
      <w:r>
        <w:rPr>
          <w:noProof/>
        </w:rPr>
      </w:r>
      <w:r>
        <w:rPr>
          <w:noProof/>
        </w:rPr>
        <w:fldChar w:fldCharType="separate"/>
      </w:r>
      <w:r>
        <w:rPr>
          <w:noProof/>
        </w:rPr>
        <w:t>7</w:t>
      </w:r>
      <w:r>
        <w:rPr>
          <w:noProof/>
        </w:rPr>
        <w:fldChar w:fldCharType="end"/>
      </w:r>
    </w:p>
    <w:p w14:paraId="16FE10AF" w14:textId="1CC00ED3" w:rsidR="00430F02" w:rsidRDefault="00430F02">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_Toc72143292 \h </w:instrText>
      </w:r>
      <w:r>
        <w:rPr>
          <w:noProof/>
        </w:rPr>
      </w:r>
      <w:r>
        <w:rPr>
          <w:noProof/>
        </w:rPr>
        <w:fldChar w:fldCharType="separate"/>
      </w:r>
      <w:r>
        <w:rPr>
          <w:noProof/>
        </w:rPr>
        <w:t>8</w:t>
      </w:r>
      <w:r>
        <w:rPr>
          <w:noProof/>
        </w:rPr>
        <w:fldChar w:fldCharType="end"/>
      </w:r>
    </w:p>
    <w:p w14:paraId="2BD2C1C6" w14:textId="01E2E83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_Toc72143293 \h </w:instrText>
      </w:r>
      <w:r>
        <w:rPr>
          <w:noProof/>
        </w:rPr>
      </w:r>
      <w:r>
        <w:rPr>
          <w:noProof/>
        </w:rPr>
        <w:fldChar w:fldCharType="separate"/>
      </w:r>
      <w:r>
        <w:rPr>
          <w:noProof/>
        </w:rPr>
        <w:t>8</w:t>
      </w:r>
      <w:r>
        <w:rPr>
          <w:noProof/>
        </w:rPr>
        <w:fldChar w:fldCharType="end"/>
      </w:r>
    </w:p>
    <w:p w14:paraId="4F60853F" w14:textId="29ED8AF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_Toc72143294 \h </w:instrText>
      </w:r>
      <w:r>
        <w:rPr>
          <w:noProof/>
        </w:rPr>
      </w:r>
      <w:r>
        <w:rPr>
          <w:noProof/>
        </w:rPr>
        <w:fldChar w:fldCharType="separate"/>
      </w:r>
      <w:r>
        <w:rPr>
          <w:noProof/>
        </w:rPr>
        <w:t>8</w:t>
      </w:r>
      <w:r>
        <w:rPr>
          <w:noProof/>
        </w:rPr>
        <w:fldChar w:fldCharType="end"/>
      </w:r>
    </w:p>
    <w:p w14:paraId="44E4A431" w14:textId="12BC7C7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Requirement to refuse offers of gifts, benefits and hospitality</w:t>
      </w:r>
      <w:r>
        <w:rPr>
          <w:noProof/>
        </w:rPr>
        <w:tab/>
      </w:r>
      <w:r>
        <w:rPr>
          <w:noProof/>
        </w:rPr>
        <w:fldChar w:fldCharType="begin"/>
      </w:r>
      <w:r>
        <w:rPr>
          <w:noProof/>
        </w:rPr>
        <w:instrText xml:space="preserve"> PAGEREF _Toc72143295 \h </w:instrText>
      </w:r>
      <w:r>
        <w:rPr>
          <w:noProof/>
        </w:rPr>
      </w:r>
      <w:r>
        <w:rPr>
          <w:noProof/>
        </w:rPr>
        <w:fldChar w:fldCharType="separate"/>
      </w:r>
      <w:r>
        <w:rPr>
          <w:noProof/>
        </w:rPr>
        <w:t>8</w:t>
      </w:r>
      <w:r>
        <w:rPr>
          <w:noProof/>
        </w:rPr>
        <w:fldChar w:fldCharType="end"/>
      </w:r>
    </w:p>
    <w:p w14:paraId="127BD1A2" w14:textId="4C6ABE7D"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_Toc72143296 \h </w:instrText>
      </w:r>
      <w:r>
        <w:rPr>
          <w:noProof/>
        </w:rPr>
      </w:r>
      <w:r>
        <w:rPr>
          <w:noProof/>
        </w:rPr>
        <w:fldChar w:fldCharType="separate"/>
      </w:r>
      <w:r>
        <w:rPr>
          <w:noProof/>
        </w:rPr>
        <w:t>9</w:t>
      </w:r>
      <w:r>
        <w:rPr>
          <w:noProof/>
        </w:rPr>
        <w:fldChar w:fldCharType="end"/>
      </w:r>
    </w:p>
    <w:p w14:paraId="3325E18F" w14:textId="5E4D470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_Toc72143297 \h </w:instrText>
      </w:r>
      <w:r>
        <w:rPr>
          <w:noProof/>
        </w:rPr>
      </w:r>
      <w:r>
        <w:rPr>
          <w:noProof/>
        </w:rPr>
        <w:fldChar w:fldCharType="separate"/>
      </w:r>
      <w:r>
        <w:rPr>
          <w:noProof/>
        </w:rPr>
        <w:t>9</w:t>
      </w:r>
      <w:r>
        <w:rPr>
          <w:noProof/>
        </w:rPr>
        <w:fldChar w:fldCharType="end"/>
      </w:r>
    </w:p>
    <w:p w14:paraId="4F4AFD25" w14:textId="6691800D"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_Toc72143298 \h </w:instrText>
      </w:r>
      <w:r>
        <w:rPr>
          <w:noProof/>
        </w:rPr>
      </w:r>
      <w:r>
        <w:rPr>
          <w:noProof/>
        </w:rPr>
        <w:fldChar w:fldCharType="separate"/>
      </w:r>
      <w:r>
        <w:rPr>
          <w:noProof/>
        </w:rPr>
        <w:t>10</w:t>
      </w:r>
      <w:r>
        <w:rPr>
          <w:noProof/>
        </w:rPr>
        <w:fldChar w:fldCharType="end"/>
      </w:r>
    </w:p>
    <w:p w14:paraId="0ADE5840" w14:textId="178FD978" w:rsidR="00430F02" w:rsidRDefault="00430F02">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_Toc72143299 \h </w:instrText>
      </w:r>
      <w:r>
        <w:rPr>
          <w:noProof/>
        </w:rPr>
      </w:r>
      <w:r>
        <w:rPr>
          <w:noProof/>
        </w:rPr>
        <w:fldChar w:fldCharType="separate"/>
      </w:r>
      <w:r>
        <w:rPr>
          <w:noProof/>
        </w:rPr>
        <w:t>10</w:t>
      </w:r>
      <w:r>
        <w:rPr>
          <w:noProof/>
        </w:rPr>
        <w:fldChar w:fldCharType="end"/>
      </w:r>
    </w:p>
    <w:p w14:paraId="0EEC40A2" w14:textId="21AEF081"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_Toc72143300 \h </w:instrText>
      </w:r>
      <w:r>
        <w:rPr>
          <w:noProof/>
        </w:rPr>
      </w:r>
      <w:r>
        <w:rPr>
          <w:noProof/>
        </w:rPr>
        <w:fldChar w:fldCharType="separate"/>
      </w:r>
      <w:r>
        <w:rPr>
          <w:noProof/>
        </w:rPr>
        <w:t>10</w:t>
      </w:r>
      <w:r>
        <w:rPr>
          <w:noProof/>
        </w:rPr>
        <w:fldChar w:fldCharType="end"/>
      </w:r>
    </w:p>
    <w:p w14:paraId="18782EDE" w14:textId="63605C9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_Toc72143301 \h </w:instrText>
      </w:r>
      <w:r>
        <w:rPr>
          <w:noProof/>
        </w:rPr>
      </w:r>
      <w:r>
        <w:rPr>
          <w:noProof/>
        </w:rPr>
        <w:fldChar w:fldCharType="separate"/>
      </w:r>
      <w:r>
        <w:rPr>
          <w:noProof/>
        </w:rPr>
        <w:t>11</w:t>
      </w:r>
      <w:r>
        <w:rPr>
          <w:noProof/>
        </w:rPr>
        <w:fldChar w:fldCharType="end"/>
      </w:r>
    </w:p>
    <w:p w14:paraId="55AAADF9" w14:textId="75A3755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_Toc72143302 \h </w:instrText>
      </w:r>
      <w:r>
        <w:rPr>
          <w:noProof/>
        </w:rPr>
      </w:r>
      <w:r>
        <w:rPr>
          <w:noProof/>
        </w:rPr>
        <w:fldChar w:fldCharType="separate"/>
      </w:r>
      <w:r>
        <w:rPr>
          <w:noProof/>
        </w:rPr>
        <w:t>11</w:t>
      </w:r>
      <w:r>
        <w:rPr>
          <w:noProof/>
        </w:rPr>
        <w:fldChar w:fldCharType="end"/>
      </w:r>
    </w:p>
    <w:p w14:paraId="0FE1138F" w14:textId="61367BE7" w:rsidR="00430F02" w:rsidRDefault="00430F02">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_Toc72143303 \h </w:instrText>
      </w:r>
      <w:r>
        <w:rPr>
          <w:noProof/>
        </w:rPr>
      </w:r>
      <w:r>
        <w:rPr>
          <w:noProof/>
        </w:rPr>
        <w:fldChar w:fldCharType="separate"/>
      </w:r>
      <w:r>
        <w:rPr>
          <w:noProof/>
        </w:rPr>
        <w:t>11</w:t>
      </w:r>
      <w:r>
        <w:rPr>
          <w:noProof/>
        </w:rPr>
        <w:fldChar w:fldCharType="end"/>
      </w:r>
    </w:p>
    <w:p w14:paraId="48B81038" w14:textId="615FD5B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_Toc72143304 \h </w:instrText>
      </w:r>
      <w:r>
        <w:rPr>
          <w:noProof/>
        </w:rPr>
      </w:r>
      <w:r>
        <w:rPr>
          <w:noProof/>
        </w:rPr>
        <w:fldChar w:fldCharType="separate"/>
      </w:r>
      <w:r>
        <w:rPr>
          <w:noProof/>
        </w:rPr>
        <w:t>11</w:t>
      </w:r>
      <w:r>
        <w:rPr>
          <w:noProof/>
        </w:rPr>
        <w:fldChar w:fldCharType="end"/>
      </w:r>
    </w:p>
    <w:p w14:paraId="585301D2" w14:textId="4AE9D06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_Toc72143305 \h </w:instrText>
      </w:r>
      <w:r>
        <w:rPr>
          <w:noProof/>
        </w:rPr>
      </w:r>
      <w:r>
        <w:rPr>
          <w:noProof/>
        </w:rPr>
        <w:fldChar w:fldCharType="separate"/>
      </w:r>
      <w:r>
        <w:rPr>
          <w:noProof/>
        </w:rPr>
        <w:t>12</w:t>
      </w:r>
      <w:r>
        <w:rPr>
          <w:noProof/>
        </w:rPr>
        <w:fldChar w:fldCharType="end"/>
      </w:r>
    </w:p>
    <w:p w14:paraId="0379A817" w14:textId="513ED8B9" w:rsidR="00430F02" w:rsidRDefault="00430F02">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_Toc72143306 \h </w:instrText>
      </w:r>
      <w:r>
        <w:rPr>
          <w:noProof/>
        </w:rPr>
      </w:r>
      <w:r>
        <w:rPr>
          <w:noProof/>
        </w:rPr>
        <w:fldChar w:fldCharType="separate"/>
      </w:r>
      <w:r>
        <w:rPr>
          <w:noProof/>
        </w:rPr>
        <w:t>13</w:t>
      </w:r>
      <w:r>
        <w:rPr>
          <w:noProof/>
        </w:rPr>
        <w:fldChar w:fldCharType="end"/>
      </w:r>
    </w:p>
    <w:p w14:paraId="6D3222D0" w14:textId="0EFB51F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_Toc72143307 \h </w:instrText>
      </w:r>
      <w:r>
        <w:rPr>
          <w:noProof/>
        </w:rPr>
      </w:r>
      <w:r>
        <w:rPr>
          <w:noProof/>
        </w:rPr>
        <w:fldChar w:fldCharType="separate"/>
      </w:r>
      <w:r>
        <w:rPr>
          <w:noProof/>
        </w:rPr>
        <w:t>13</w:t>
      </w:r>
      <w:r>
        <w:rPr>
          <w:noProof/>
        </w:rPr>
        <w:fldChar w:fldCharType="end"/>
      </w:r>
    </w:p>
    <w:p w14:paraId="376E8910" w14:textId="1614FC8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_Toc72143308 \h </w:instrText>
      </w:r>
      <w:r>
        <w:rPr>
          <w:noProof/>
        </w:rPr>
      </w:r>
      <w:r>
        <w:rPr>
          <w:noProof/>
        </w:rPr>
        <w:fldChar w:fldCharType="separate"/>
      </w:r>
      <w:r>
        <w:rPr>
          <w:noProof/>
        </w:rPr>
        <w:t>13</w:t>
      </w:r>
      <w:r>
        <w:rPr>
          <w:noProof/>
        </w:rPr>
        <w:fldChar w:fldCharType="end"/>
      </w:r>
    </w:p>
    <w:p w14:paraId="268CFC43" w14:textId="178310D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_Toc72143309 \h </w:instrText>
      </w:r>
      <w:r>
        <w:rPr>
          <w:noProof/>
        </w:rPr>
      </w:r>
      <w:r>
        <w:rPr>
          <w:noProof/>
        </w:rPr>
        <w:fldChar w:fldCharType="separate"/>
      </w:r>
      <w:r>
        <w:rPr>
          <w:noProof/>
        </w:rPr>
        <w:t>13</w:t>
      </w:r>
      <w:r>
        <w:rPr>
          <w:noProof/>
        </w:rPr>
        <w:fldChar w:fldCharType="end"/>
      </w:r>
    </w:p>
    <w:p w14:paraId="09B65AD4" w14:textId="21405331"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_Toc72143310 \h </w:instrText>
      </w:r>
      <w:r>
        <w:rPr>
          <w:noProof/>
        </w:rPr>
      </w:r>
      <w:r>
        <w:rPr>
          <w:noProof/>
        </w:rPr>
        <w:fldChar w:fldCharType="separate"/>
      </w:r>
      <w:r>
        <w:rPr>
          <w:noProof/>
        </w:rPr>
        <w:t>14</w:t>
      </w:r>
      <w:r>
        <w:rPr>
          <w:noProof/>
        </w:rPr>
        <w:fldChar w:fldCharType="end"/>
      </w:r>
    </w:p>
    <w:p w14:paraId="33C72B3E" w14:textId="489F8FD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_Toc72143311 \h </w:instrText>
      </w:r>
      <w:r>
        <w:rPr>
          <w:noProof/>
        </w:rPr>
      </w:r>
      <w:r>
        <w:rPr>
          <w:noProof/>
        </w:rPr>
        <w:fldChar w:fldCharType="separate"/>
      </w:r>
      <w:r>
        <w:rPr>
          <w:noProof/>
        </w:rPr>
        <w:t>14</w:t>
      </w:r>
      <w:r>
        <w:rPr>
          <w:noProof/>
        </w:rPr>
        <w:fldChar w:fldCharType="end"/>
      </w:r>
    </w:p>
    <w:p w14:paraId="7AD2B426" w14:textId="0AC7FCD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_Toc72143312 \h </w:instrText>
      </w:r>
      <w:r>
        <w:rPr>
          <w:noProof/>
        </w:rPr>
      </w:r>
      <w:r>
        <w:rPr>
          <w:noProof/>
        </w:rPr>
        <w:fldChar w:fldCharType="separate"/>
      </w:r>
      <w:r>
        <w:rPr>
          <w:noProof/>
        </w:rPr>
        <w:t>14</w:t>
      </w:r>
      <w:r>
        <w:rPr>
          <w:noProof/>
        </w:rPr>
        <w:fldChar w:fldCharType="end"/>
      </w:r>
    </w:p>
    <w:p w14:paraId="005612B7" w14:textId="68A8A88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_Toc72143313 \h </w:instrText>
      </w:r>
      <w:r>
        <w:rPr>
          <w:noProof/>
        </w:rPr>
      </w:r>
      <w:r>
        <w:rPr>
          <w:noProof/>
        </w:rPr>
        <w:fldChar w:fldCharType="separate"/>
      </w:r>
      <w:r>
        <w:rPr>
          <w:noProof/>
        </w:rPr>
        <w:t>14</w:t>
      </w:r>
      <w:r>
        <w:rPr>
          <w:noProof/>
        </w:rPr>
        <w:fldChar w:fldCharType="end"/>
      </w:r>
    </w:p>
    <w:p w14:paraId="0118A22B" w14:textId="7C35586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_Toc72143314 \h </w:instrText>
      </w:r>
      <w:r>
        <w:rPr>
          <w:noProof/>
        </w:rPr>
      </w:r>
      <w:r>
        <w:rPr>
          <w:noProof/>
        </w:rPr>
        <w:fldChar w:fldCharType="separate"/>
      </w:r>
      <w:r>
        <w:rPr>
          <w:noProof/>
        </w:rPr>
        <w:t>14</w:t>
      </w:r>
      <w:r>
        <w:rPr>
          <w:noProof/>
        </w:rPr>
        <w:fldChar w:fldCharType="end"/>
      </w:r>
    </w:p>
    <w:p w14:paraId="2911FB21" w14:textId="0B64531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_Toc72143315 \h </w:instrText>
      </w:r>
      <w:r>
        <w:rPr>
          <w:noProof/>
        </w:rPr>
      </w:r>
      <w:r>
        <w:rPr>
          <w:noProof/>
        </w:rPr>
        <w:fldChar w:fldCharType="separate"/>
      </w:r>
      <w:r>
        <w:rPr>
          <w:noProof/>
        </w:rPr>
        <w:t>14</w:t>
      </w:r>
      <w:r>
        <w:rPr>
          <w:noProof/>
        </w:rPr>
        <w:fldChar w:fldCharType="end"/>
      </w:r>
    </w:p>
    <w:p w14:paraId="31DBE8FC" w14:textId="298702C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lastRenderedPageBreak/>
        <w:t>Public Reporting</w:t>
      </w:r>
      <w:r>
        <w:rPr>
          <w:noProof/>
        </w:rPr>
        <w:tab/>
      </w:r>
      <w:r>
        <w:rPr>
          <w:noProof/>
        </w:rPr>
        <w:fldChar w:fldCharType="begin"/>
      </w:r>
      <w:r>
        <w:rPr>
          <w:noProof/>
        </w:rPr>
        <w:instrText xml:space="preserve"> PAGEREF _Toc72143316 \h </w:instrText>
      </w:r>
      <w:r>
        <w:rPr>
          <w:noProof/>
        </w:rPr>
      </w:r>
      <w:r>
        <w:rPr>
          <w:noProof/>
        </w:rPr>
        <w:fldChar w:fldCharType="separate"/>
      </w:r>
      <w:r>
        <w:rPr>
          <w:noProof/>
        </w:rPr>
        <w:t>14</w:t>
      </w:r>
      <w:r>
        <w:rPr>
          <w:noProof/>
        </w:rPr>
        <w:fldChar w:fldCharType="end"/>
      </w:r>
    </w:p>
    <w:p w14:paraId="5C85C8FD" w14:textId="1F8792D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_Toc72143317 \h </w:instrText>
      </w:r>
      <w:r>
        <w:rPr>
          <w:noProof/>
        </w:rPr>
      </w:r>
      <w:r>
        <w:rPr>
          <w:noProof/>
        </w:rPr>
        <w:fldChar w:fldCharType="separate"/>
      </w:r>
      <w:r>
        <w:rPr>
          <w:noProof/>
        </w:rPr>
        <w:t>15</w:t>
      </w:r>
      <w:r>
        <w:rPr>
          <w:noProof/>
        </w:rPr>
        <w:fldChar w:fldCharType="end"/>
      </w:r>
    </w:p>
    <w:p w14:paraId="137C69A7" w14:textId="5961AAE6"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_Toc72143318 \h </w:instrText>
      </w:r>
      <w:r>
        <w:rPr>
          <w:noProof/>
        </w:rPr>
      </w:r>
      <w:r>
        <w:rPr>
          <w:noProof/>
        </w:rPr>
        <w:fldChar w:fldCharType="separate"/>
      </w:r>
      <w:r>
        <w:rPr>
          <w:noProof/>
        </w:rPr>
        <w:t>15</w:t>
      </w:r>
      <w:r>
        <w:rPr>
          <w:noProof/>
        </w:rPr>
        <w:fldChar w:fldCharType="end"/>
      </w:r>
    </w:p>
    <w:p w14:paraId="26EDFA0B" w14:textId="36EEAAC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_Toc72143319 \h </w:instrText>
      </w:r>
      <w:r>
        <w:rPr>
          <w:noProof/>
        </w:rPr>
      </w:r>
      <w:r>
        <w:rPr>
          <w:noProof/>
        </w:rPr>
        <w:fldChar w:fldCharType="separate"/>
      </w:r>
      <w:r>
        <w:rPr>
          <w:noProof/>
        </w:rPr>
        <w:t>15</w:t>
      </w:r>
      <w:r>
        <w:rPr>
          <w:noProof/>
        </w:rPr>
        <w:fldChar w:fldCharType="end"/>
      </w:r>
    </w:p>
    <w:p w14:paraId="129E51B0" w14:textId="0692EF5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_Toc72143320 \h </w:instrText>
      </w:r>
      <w:r>
        <w:rPr>
          <w:noProof/>
        </w:rPr>
      </w:r>
      <w:r>
        <w:rPr>
          <w:noProof/>
        </w:rPr>
        <w:fldChar w:fldCharType="separate"/>
      </w:r>
      <w:r>
        <w:rPr>
          <w:noProof/>
        </w:rPr>
        <w:t>16</w:t>
      </w:r>
      <w:r>
        <w:rPr>
          <w:noProof/>
        </w:rPr>
        <w:fldChar w:fldCharType="end"/>
      </w:r>
    </w:p>
    <w:p w14:paraId="5EB090AC" w14:textId="5561C07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_Toc72143321 \h </w:instrText>
      </w:r>
      <w:r>
        <w:rPr>
          <w:noProof/>
        </w:rPr>
      </w:r>
      <w:r>
        <w:rPr>
          <w:noProof/>
        </w:rPr>
        <w:fldChar w:fldCharType="separate"/>
      </w:r>
      <w:r>
        <w:rPr>
          <w:noProof/>
        </w:rPr>
        <w:t>16</w:t>
      </w:r>
      <w:r>
        <w:rPr>
          <w:noProof/>
        </w:rPr>
        <w:fldChar w:fldCharType="end"/>
      </w:r>
    </w:p>
    <w:p w14:paraId="36AAF81E" w14:textId="4D38D9AF"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_Toc72143322 \h </w:instrText>
      </w:r>
      <w:r>
        <w:rPr>
          <w:noProof/>
        </w:rPr>
      </w:r>
      <w:r>
        <w:rPr>
          <w:noProof/>
        </w:rPr>
        <w:fldChar w:fldCharType="separate"/>
      </w:r>
      <w:r>
        <w:rPr>
          <w:noProof/>
        </w:rPr>
        <w:t>16</w:t>
      </w:r>
      <w:r>
        <w:rPr>
          <w:noProof/>
        </w:rPr>
        <w:fldChar w:fldCharType="end"/>
      </w:r>
    </w:p>
    <w:p w14:paraId="57FD6460" w14:textId="24718A1E"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_Toc72143323 \h </w:instrText>
      </w:r>
      <w:r>
        <w:rPr>
          <w:noProof/>
        </w:rPr>
      </w:r>
      <w:r>
        <w:rPr>
          <w:noProof/>
        </w:rPr>
        <w:fldChar w:fldCharType="separate"/>
      </w:r>
      <w:r>
        <w:rPr>
          <w:noProof/>
        </w:rPr>
        <w:t>16</w:t>
      </w:r>
      <w:r>
        <w:rPr>
          <w:noProof/>
        </w:rPr>
        <w:fldChar w:fldCharType="end"/>
      </w:r>
    </w:p>
    <w:p w14:paraId="2F0089AC" w14:textId="38BB9749"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_Toc72143324 \h </w:instrText>
      </w:r>
      <w:r>
        <w:rPr>
          <w:noProof/>
        </w:rPr>
      </w:r>
      <w:r>
        <w:rPr>
          <w:noProof/>
        </w:rPr>
        <w:fldChar w:fldCharType="separate"/>
      </w:r>
      <w:r>
        <w:rPr>
          <w:noProof/>
        </w:rPr>
        <w:t>16</w:t>
      </w:r>
      <w:r>
        <w:rPr>
          <w:noProof/>
        </w:rPr>
        <w:fldChar w:fldCharType="end"/>
      </w:r>
    </w:p>
    <w:p w14:paraId="42AE5A4F" w14:textId="5C7E0035"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_Toc72143325 \h </w:instrText>
      </w:r>
      <w:r>
        <w:rPr>
          <w:noProof/>
        </w:rPr>
      </w:r>
      <w:r>
        <w:rPr>
          <w:noProof/>
        </w:rPr>
        <w:fldChar w:fldCharType="separate"/>
      </w:r>
      <w:r>
        <w:rPr>
          <w:noProof/>
        </w:rPr>
        <w:t>17</w:t>
      </w:r>
      <w:r>
        <w:rPr>
          <w:noProof/>
        </w:rPr>
        <w:fldChar w:fldCharType="end"/>
      </w:r>
    </w:p>
    <w:p w14:paraId="35CB65D6" w14:textId="0ADE703A"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_Toc72143326 \h </w:instrText>
      </w:r>
      <w:r>
        <w:rPr>
          <w:noProof/>
        </w:rPr>
      </w:r>
      <w:r>
        <w:rPr>
          <w:noProof/>
        </w:rPr>
        <w:fldChar w:fldCharType="separate"/>
      </w:r>
      <w:r>
        <w:rPr>
          <w:noProof/>
        </w:rPr>
        <w:t>17</w:t>
      </w:r>
      <w:r>
        <w:rPr>
          <w:noProof/>
        </w:rPr>
        <w:fldChar w:fldCharType="end"/>
      </w:r>
    </w:p>
    <w:p w14:paraId="570E941D" w14:textId="65B8B13D"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_Toc72143327 \h </w:instrText>
      </w:r>
      <w:r>
        <w:rPr>
          <w:noProof/>
        </w:rPr>
      </w:r>
      <w:r>
        <w:rPr>
          <w:noProof/>
        </w:rPr>
        <w:fldChar w:fldCharType="separate"/>
      </w:r>
      <w:r>
        <w:rPr>
          <w:noProof/>
        </w:rPr>
        <w:t>17</w:t>
      </w:r>
      <w:r>
        <w:rPr>
          <w:noProof/>
        </w:rPr>
        <w:fldChar w:fldCharType="end"/>
      </w:r>
    </w:p>
    <w:p w14:paraId="6555006A" w14:textId="7DBBBF0A"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_Toc72143328 \h </w:instrText>
      </w:r>
      <w:r>
        <w:rPr>
          <w:noProof/>
        </w:rPr>
      </w:r>
      <w:r>
        <w:rPr>
          <w:noProof/>
        </w:rPr>
        <w:fldChar w:fldCharType="separate"/>
      </w:r>
      <w:r>
        <w:rPr>
          <w:noProof/>
        </w:rPr>
        <w:t>17</w:t>
      </w:r>
      <w:r>
        <w:rPr>
          <w:noProof/>
        </w:rPr>
        <w:fldChar w:fldCharType="end"/>
      </w:r>
    </w:p>
    <w:p w14:paraId="08FDC139" w14:textId="6C1C72A9"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_Toc72143329 \h </w:instrText>
      </w:r>
      <w:r>
        <w:rPr>
          <w:noProof/>
        </w:rPr>
      </w:r>
      <w:r>
        <w:rPr>
          <w:noProof/>
        </w:rPr>
        <w:fldChar w:fldCharType="separate"/>
      </w:r>
      <w:r>
        <w:rPr>
          <w:noProof/>
        </w:rPr>
        <w:t>17</w:t>
      </w:r>
      <w:r>
        <w:rPr>
          <w:noProof/>
        </w:rPr>
        <w:fldChar w:fldCharType="end"/>
      </w:r>
    </w:p>
    <w:p w14:paraId="09EA4B9A" w14:textId="14B792AF"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_Toc72143330 \h </w:instrText>
      </w:r>
      <w:r>
        <w:rPr>
          <w:noProof/>
        </w:rPr>
      </w:r>
      <w:r>
        <w:rPr>
          <w:noProof/>
        </w:rPr>
        <w:fldChar w:fldCharType="separate"/>
      </w:r>
      <w:r>
        <w:rPr>
          <w:noProof/>
        </w:rPr>
        <w:t>18</w:t>
      </w:r>
      <w:r>
        <w:rPr>
          <w:noProof/>
        </w:rPr>
        <w:fldChar w:fldCharType="end"/>
      </w:r>
    </w:p>
    <w:p w14:paraId="7C6306A4" w14:textId="311D7520"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_Toc72143331 \h </w:instrText>
      </w:r>
      <w:r>
        <w:rPr>
          <w:noProof/>
        </w:rPr>
      </w:r>
      <w:r>
        <w:rPr>
          <w:noProof/>
        </w:rPr>
        <w:fldChar w:fldCharType="separate"/>
      </w:r>
      <w:r>
        <w:rPr>
          <w:noProof/>
        </w:rPr>
        <w:t>21</w:t>
      </w:r>
      <w:r>
        <w:rPr>
          <w:noProof/>
        </w:rPr>
        <w:fldChar w:fldCharType="end"/>
      </w:r>
    </w:p>
    <w:p w14:paraId="6FDEC629" w14:textId="7E02CE84"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4"/>
          <w:footerReference w:type="default" r:id="rId15"/>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1" w:name="_Toc511384927"/>
      <w:bookmarkStart w:id="2" w:name="_Toc72143282"/>
      <w:r w:rsidRPr="00F562C7">
        <w:lastRenderedPageBreak/>
        <w:t>Introduction</w:t>
      </w:r>
      <w:bookmarkEnd w:id="1"/>
      <w:bookmarkEnd w:id="2"/>
    </w:p>
    <w:p w14:paraId="406CF06A" w14:textId="77777777" w:rsidR="00A34BF4" w:rsidRPr="00F562C7" w:rsidRDefault="00A34BF4" w:rsidP="00A34BF4">
      <w:pPr>
        <w:pStyle w:val="Heading2"/>
      </w:pPr>
      <w:bookmarkStart w:id="3" w:name="_Toc511384928"/>
      <w:bookmarkStart w:id="4" w:name="_Toc72143283"/>
      <w:r w:rsidRPr="00F562C7">
        <w:t>Purpose</w:t>
      </w:r>
      <w:bookmarkEnd w:id="3"/>
      <w:bookmarkEnd w:id="4"/>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 xml:space="preserve">Public Administration Act </w:t>
      </w:r>
      <w:proofErr w:type="gramStart"/>
      <w:r w:rsidRPr="00F562C7">
        <w:rPr>
          <w:i/>
        </w:rPr>
        <w:t>2004</w:t>
      </w:r>
      <w:r w:rsidRPr="00F562C7">
        <w:t xml:space="preserve">, </w:t>
      </w:r>
      <w:r w:rsidR="00EE12AD" w:rsidRPr="00F562C7">
        <w:t>and</w:t>
      </w:r>
      <w:proofErr w:type="gramEnd"/>
      <w:r w:rsidR="00EE12AD" w:rsidRPr="00F562C7">
        <w:t xml:space="preserve"> apply to school council members via the Code of Conduct for Directors of Victorian Public Entities.</w:t>
      </w:r>
    </w:p>
    <w:p w14:paraId="253C81B5" w14:textId="77777777" w:rsidR="00A34BF4" w:rsidRPr="00F562C7" w:rsidRDefault="00A34BF4" w:rsidP="00A34BF4">
      <w:pPr>
        <w:pStyle w:val="Heading2"/>
      </w:pPr>
      <w:bookmarkStart w:id="5" w:name="_Toc511384929"/>
      <w:bookmarkStart w:id="6" w:name="_Toc72143284"/>
      <w:r w:rsidRPr="00F562C7">
        <w:t>Application</w:t>
      </w:r>
      <w:bookmarkEnd w:id="5"/>
      <w:bookmarkEnd w:id="6"/>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0082D931" w:rsidR="00A34BF4" w:rsidRPr="00F562C7" w:rsidRDefault="00A34BF4" w:rsidP="00A34BF4">
      <w:r w:rsidRPr="00F562C7">
        <w:t xml:space="preserve">Schools may establish </w:t>
      </w:r>
      <w:hyperlink r:id="rId16"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7" w:name="_Toc473648639"/>
      <w:bookmarkStart w:id="8" w:name="_Toc473649158"/>
      <w:bookmarkStart w:id="9" w:name="_Toc511384930"/>
      <w:bookmarkStart w:id="10" w:name="_Toc72143285"/>
      <w:r w:rsidRPr="00F562C7">
        <w:t>Version and review</w:t>
      </w:r>
      <w:bookmarkEnd w:id="7"/>
      <w:bookmarkEnd w:id="8"/>
      <w:bookmarkEnd w:id="9"/>
      <w:bookmarkEnd w:id="10"/>
    </w:p>
    <w:p w14:paraId="495187C0" w14:textId="053ACBD5" w:rsidR="00A34BF4" w:rsidRPr="00F562C7" w:rsidRDefault="00A34BF4" w:rsidP="00A34BF4">
      <w:pPr>
        <w:rPr>
          <w:rFonts w:eastAsia="Calibri" w:cs="Arial"/>
        </w:rPr>
      </w:pPr>
      <w:r w:rsidRPr="00F562C7">
        <w:rPr>
          <w:rFonts w:eastAsia="Calibri" w:cs="Arial"/>
        </w:rPr>
        <w:t>The Policy is managed and maintained by the Procurement Division</w:t>
      </w:r>
      <w:r w:rsidRPr="00A53D6F">
        <w:rPr>
          <w:rFonts w:eastAsia="Calibri" w:cs="Arial"/>
        </w:rPr>
        <w:t xml:space="preserve">, </w:t>
      </w:r>
      <w:r w:rsidR="00EA0281" w:rsidRPr="00A53D6F">
        <w:rPr>
          <w:rFonts w:eastAsia="Calibri" w:cs="Arial"/>
        </w:rPr>
        <w:t>Financial Policy and Information Services</w:t>
      </w:r>
      <w:r w:rsidRPr="00A53D6F">
        <w:rPr>
          <w:rFonts w:eastAsia="Calibri" w:cs="Arial"/>
        </w:rPr>
        <w:t>.</w:t>
      </w:r>
      <w:r w:rsidRPr="00F562C7">
        <w:rPr>
          <w:rFonts w:eastAsia="Calibri" w:cs="Arial"/>
        </w:rPr>
        <w:t xml:space="preserve">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1" w:name="_Toc511384931"/>
      <w:bookmarkStart w:id="12" w:name="_Toc72143286"/>
      <w:r w:rsidRPr="00F562C7">
        <w:lastRenderedPageBreak/>
        <w:t>Minimum accountabilities</w:t>
      </w:r>
      <w:bookmarkEnd w:id="11"/>
      <w:bookmarkEnd w:id="12"/>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are Non-Token offers without a legitimate business </w:t>
            </w:r>
            <w:proofErr w:type="gramStart"/>
            <w:r w:rsidRPr="00F562C7">
              <w:rPr>
                <w:rFonts w:cs="Arial"/>
                <w:b w:val="0"/>
                <w:color w:val="auto"/>
                <w:szCs w:val="20"/>
                <w:lang w:eastAsia="en-AU"/>
              </w:rPr>
              <w:t>benefit</w:t>
            </w:r>
            <w:proofErr w:type="gramEnd"/>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the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w:t>
            </w:r>
            <w:proofErr w:type="gramStart"/>
            <w:r w:rsidR="00A34BF4" w:rsidRPr="00F562C7">
              <w:rPr>
                <w:rFonts w:cs="Arial"/>
                <w:b w:val="0"/>
                <w:color w:val="auto"/>
                <w:szCs w:val="20"/>
                <w:lang w:eastAsia="en-AU"/>
              </w:rPr>
              <w:t>System, and</w:t>
            </w:r>
            <w:proofErr w:type="gramEnd"/>
            <w:r w:rsidR="00A34BF4" w:rsidRPr="00F562C7">
              <w:rPr>
                <w:rFonts w:cs="Arial"/>
                <w:b w:val="0"/>
                <w:color w:val="auto"/>
                <w:szCs w:val="20"/>
                <w:lang w:eastAsia="en-AU"/>
              </w:rPr>
              <w:t xml:space="preserve">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w:t>
            </w:r>
            <w:proofErr w:type="gramStart"/>
            <w:r w:rsidRPr="00F562C7">
              <w:rPr>
                <w:rFonts w:cs="Arial"/>
                <w:b w:val="0"/>
                <w:color w:val="auto"/>
                <w:szCs w:val="20"/>
                <w:lang w:eastAsia="en-AU"/>
              </w:rPr>
              <w:t>Policy, and</w:t>
            </w:r>
            <w:proofErr w:type="gramEnd"/>
            <w:r w:rsidRPr="00F562C7">
              <w:rPr>
                <w:rFonts w:cs="Arial"/>
                <w:b w:val="0"/>
                <w:color w:val="auto"/>
                <w:szCs w:val="20"/>
                <w:lang w:eastAsia="en-AU"/>
              </w:rPr>
              <w:t xml:space="preserve">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w:t>
            </w:r>
            <w:proofErr w:type="gramStart"/>
            <w:r w:rsidRPr="00F562C7">
              <w:rPr>
                <w:rFonts w:cs="Arial"/>
                <w:b w:val="0"/>
                <w:color w:val="auto"/>
                <w:szCs w:val="20"/>
                <w:lang w:eastAsia="en-AU"/>
              </w:rPr>
              <w:t>goals, or</w:t>
            </w:r>
            <w:proofErr w:type="gramEnd"/>
            <w:r w:rsidRPr="00F562C7">
              <w:rPr>
                <w:rFonts w:cs="Arial"/>
                <w:b w:val="0"/>
                <w:color w:val="auto"/>
                <w:szCs w:val="20"/>
                <w:lang w:eastAsia="en-AU"/>
              </w:rPr>
              <w:t xml:space="preserve">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w:t>
            </w:r>
            <w:proofErr w:type="gramStart"/>
            <w:r w:rsidRPr="00F562C7">
              <w:rPr>
                <w:rFonts w:cs="Arial"/>
                <w:b w:val="0"/>
                <w:color w:val="auto"/>
                <w:szCs w:val="20"/>
                <w:lang w:eastAsia="en-AU"/>
              </w:rPr>
              <w:t>Government, and</w:t>
            </w:r>
            <w:proofErr w:type="gramEnd"/>
            <w:r w:rsidRPr="00F562C7">
              <w:rPr>
                <w:rFonts w:cs="Arial"/>
                <w:b w:val="0"/>
                <w:color w:val="auto"/>
                <w:szCs w:val="20"/>
                <w:lang w:eastAsia="en-AU"/>
              </w:rPr>
              <w:t xml:space="preserve">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w:t>
            </w:r>
            <w:proofErr w:type="gramStart"/>
            <w:r w:rsidRPr="00F562C7">
              <w:rPr>
                <w:rFonts w:cs="Arial"/>
                <w:b w:val="0"/>
                <w:color w:val="auto"/>
                <w:szCs w:val="20"/>
                <w:lang w:eastAsia="en-AU"/>
              </w:rPr>
              <w:t>year, and</w:t>
            </w:r>
            <w:proofErr w:type="gramEnd"/>
            <w:r w:rsidRPr="00F562C7">
              <w:rPr>
                <w:rFonts w:cs="Arial"/>
                <w:b w:val="0"/>
                <w:color w:val="auto"/>
                <w:szCs w:val="20"/>
                <w:lang w:eastAsia="en-AU"/>
              </w:rPr>
              <w:t xml:space="preserve">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3" w:name="_Toc511384932"/>
      <w:bookmarkStart w:id="14" w:name="_Toc72143287"/>
      <w:bookmarkStart w:id="15" w:name="_Toc365526866"/>
      <w:r w:rsidRPr="00F562C7">
        <w:lastRenderedPageBreak/>
        <w:t>Governance</w:t>
      </w:r>
      <w:bookmarkEnd w:id="13"/>
      <w:bookmarkEnd w:id="14"/>
    </w:p>
    <w:p w14:paraId="29B3E1F8" w14:textId="77777777" w:rsidR="00A34BF4" w:rsidRPr="00F562C7" w:rsidRDefault="00A34BF4" w:rsidP="00A34BF4">
      <w:pPr>
        <w:pStyle w:val="Heading2"/>
        <w:spacing w:before="240"/>
      </w:pPr>
      <w:bookmarkStart w:id="16" w:name="_Toc511384933"/>
      <w:bookmarkStart w:id="17" w:name="_Toc72143288"/>
      <w:bookmarkEnd w:id="15"/>
      <w:r w:rsidRPr="00F562C7">
        <w:t>Policy authority</w:t>
      </w:r>
      <w:bookmarkEnd w:id="16"/>
      <w:bookmarkEnd w:id="17"/>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its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8" w:name="_Toc511384934"/>
      <w:bookmarkStart w:id="19" w:name="_Toc72143289"/>
      <w:r w:rsidRPr="00F562C7">
        <w:t>Policy Intent</w:t>
      </w:r>
      <w:bookmarkEnd w:id="18"/>
      <w:bookmarkEnd w:id="19"/>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identify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0" w:name="_Toc511384935"/>
      <w:bookmarkStart w:id="21" w:name="_Toc72143290"/>
      <w:r w:rsidRPr="00F562C7">
        <w:t>Conflicts of interest</w:t>
      </w:r>
      <w:bookmarkEnd w:id="20"/>
      <w:bookmarkEnd w:id="21"/>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w:t>
      </w:r>
      <w:proofErr w:type="gramStart"/>
      <w:r w:rsidRPr="00F562C7">
        <w:rPr>
          <w:rFonts w:eastAsia="Calibri" w:cs="Arial"/>
        </w:rPr>
        <w:t>life, and</w:t>
      </w:r>
      <w:proofErr w:type="gramEnd"/>
      <w:r w:rsidRPr="00F562C7">
        <w:rPr>
          <w:rFonts w:eastAsia="Calibri" w:cs="Arial"/>
        </w:rPr>
        <w:t xml:space="preserve"> can arise without anyone being at fault. However, where an actual, </w:t>
      </w:r>
      <w:r w:rsidRPr="00F562C7">
        <w:rPr>
          <w:rFonts w:eastAsia="Calibri" w:cs="Arial"/>
        </w:rPr>
        <w:lastRenderedPageBreak/>
        <w:t xml:space="preserve">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36D2D257"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7"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2" w:name="_Toc72143291"/>
      <w:bookmarkStart w:id="23" w:name="_Toc511384936"/>
      <w:r w:rsidRPr="00F562C7">
        <w:t>Department Values</w:t>
      </w:r>
      <w:bookmarkEnd w:id="22"/>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4" w:name="_Toc511384937"/>
      <w:bookmarkStart w:id="25" w:name="_Toc72143292"/>
      <w:bookmarkEnd w:id="23"/>
      <w:r w:rsidRPr="00F562C7">
        <w:lastRenderedPageBreak/>
        <w:t>Offers of gifts, benefits and hospitality</w:t>
      </w:r>
      <w:bookmarkEnd w:id="24"/>
      <w:bookmarkEnd w:id="25"/>
    </w:p>
    <w:p w14:paraId="41ADA832" w14:textId="77777777" w:rsidR="00A34BF4" w:rsidRPr="00F562C7" w:rsidRDefault="00A34BF4" w:rsidP="00A34BF4">
      <w:pPr>
        <w:pStyle w:val="Heading2"/>
        <w:spacing w:before="240"/>
      </w:pPr>
      <w:bookmarkStart w:id="26" w:name="_Toc511384938"/>
      <w:bookmarkStart w:id="27" w:name="_Toc72143293"/>
      <w:r w:rsidRPr="00F562C7">
        <w:t>Types of offer</w:t>
      </w:r>
      <w:bookmarkEnd w:id="26"/>
      <w:bookmarkEnd w:id="27"/>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Transferred to the Department or school. The receipt of Ceremonial Gifts must be declared. </w:t>
      </w:r>
    </w:p>
    <w:p w14:paraId="02DC7F20"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teacher’s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28" w:name="_Toc72143294"/>
      <w:r w:rsidRPr="00F562C7">
        <w:t>Gifts of Appreciation</w:t>
      </w:r>
      <w:bookmarkEnd w:id="28"/>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54DAD66" w:rsidR="00FF4FAA" w:rsidRDefault="00A34BF4" w:rsidP="00FF4FAA">
      <w:pPr>
        <w:autoSpaceDE w:val="0"/>
        <w:autoSpaceDN w:val="0"/>
        <w:adjustRightInd w:val="0"/>
        <w:ind w:left="22" w:hanging="22"/>
        <w:rPr>
          <w:rFonts w:cs="Arial"/>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1001E425" w14:textId="57403488" w:rsidR="00DE0CC1" w:rsidRPr="00A53D6F" w:rsidRDefault="00DE0CC1" w:rsidP="00DE0CC1">
      <w:pPr>
        <w:pStyle w:val="Heading2"/>
      </w:pPr>
      <w:bookmarkStart w:id="29" w:name="_Toc72143295"/>
      <w:r w:rsidRPr="00A53D6F">
        <w:t>Requirement to refuse offers of gifts, benefits and hospitality</w:t>
      </w:r>
      <w:bookmarkEnd w:id="29"/>
    </w:p>
    <w:p w14:paraId="234162A2" w14:textId="53F9AC21" w:rsidR="00DE0CC1" w:rsidRPr="00A53D6F" w:rsidRDefault="00DE0CC1" w:rsidP="00DE0CC1">
      <w:pPr>
        <w:autoSpaceDE w:val="0"/>
        <w:autoSpaceDN w:val="0"/>
        <w:adjustRightInd w:val="0"/>
        <w:ind w:left="22" w:hanging="22"/>
        <w:rPr>
          <w:rFonts w:cs="Arial"/>
          <w:lang w:eastAsia="en-AU"/>
        </w:rPr>
      </w:pPr>
      <w:r w:rsidRPr="00A53D6F">
        <w:rPr>
          <w:rFonts w:cs="Arial"/>
          <w:lang w:eastAsia="en-AU"/>
        </w:rPr>
        <w:t xml:space="preserve">Individuals should consider the </w:t>
      </w:r>
      <w:hyperlink r:id="rId18" w:history="1">
        <w:r w:rsidRPr="00A53D6F">
          <w:rPr>
            <w:rStyle w:val="Hyperlink"/>
            <w:rFonts w:cs="Arial"/>
            <w:lang w:eastAsia="en-AU"/>
          </w:rPr>
          <w:t>GIFT test</w:t>
        </w:r>
      </w:hyperlink>
      <w:r w:rsidRPr="00A53D6F">
        <w:rPr>
          <w:rFonts w:cs="Arial"/>
          <w:lang w:eastAsia="en-AU"/>
        </w:rPr>
        <w:t xml:space="preserve"> and the requirements below to help decide whether to refuse an offer. Individuals are to refuse offers:</w:t>
      </w:r>
    </w:p>
    <w:p w14:paraId="1E71A6E9" w14:textId="1BDD705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likely to influence them, or be perceived to influence them, in the course of their duties or that raise an actual, potential or perceived conflict of </w:t>
      </w:r>
      <w:proofErr w:type="gramStart"/>
      <w:r w:rsidRPr="00A53D6F">
        <w:rPr>
          <w:rFonts w:eastAsia="Calibri" w:cs="Arial"/>
          <w:color w:val="auto"/>
          <w:sz w:val="22"/>
          <w:szCs w:val="22"/>
        </w:rPr>
        <w:t>interest;</w:t>
      </w:r>
      <w:proofErr w:type="gramEnd"/>
    </w:p>
    <w:p w14:paraId="091D0C1E" w14:textId="5FE3E746"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could bring them, their school, the Department or the public sector into </w:t>
      </w:r>
      <w:proofErr w:type="gramStart"/>
      <w:r w:rsidRPr="00A53D6F">
        <w:rPr>
          <w:rFonts w:eastAsia="Calibri" w:cs="Arial"/>
          <w:color w:val="auto"/>
          <w:sz w:val="22"/>
          <w:szCs w:val="22"/>
        </w:rPr>
        <w:t>disrepute;</w:t>
      </w:r>
      <w:proofErr w:type="gramEnd"/>
      <w:r w:rsidRPr="00A53D6F">
        <w:rPr>
          <w:rFonts w:eastAsia="Calibri" w:cs="Arial"/>
          <w:color w:val="auto"/>
          <w:sz w:val="22"/>
          <w:szCs w:val="22"/>
        </w:rPr>
        <w:t xml:space="preserve"> </w:t>
      </w:r>
    </w:p>
    <w:p w14:paraId="3A669BB6" w14:textId="57E3CBCB"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lastRenderedPageBreak/>
        <w:t>made by a person or organisation about which they will likely make or influence a decision (this also applies to processes involving grants, sponsorship, regulation, enforcement or licensing), particularly offers:</w:t>
      </w:r>
    </w:p>
    <w:p w14:paraId="0D707388" w14:textId="0DA41432" w:rsidR="00DE0CC1" w:rsidRPr="00A53D6F" w:rsidRDefault="00DE0CC1" w:rsidP="00DE0CC1">
      <w:pPr>
        <w:pStyle w:val="ListParagraph"/>
        <w:numPr>
          <w:ilvl w:val="1"/>
          <w:numId w:val="32"/>
        </w:numPr>
        <w:spacing w:after="120"/>
        <w:rPr>
          <w:rFonts w:eastAsia="Calibri" w:cs="Arial"/>
          <w:color w:val="auto"/>
          <w:sz w:val="22"/>
          <w:szCs w:val="22"/>
        </w:rPr>
      </w:pPr>
      <w:r w:rsidRPr="00A53D6F">
        <w:rPr>
          <w:rFonts w:eastAsia="Calibri" w:cs="Arial"/>
          <w:color w:val="auto"/>
          <w:sz w:val="22"/>
          <w:szCs w:val="22"/>
        </w:rPr>
        <w:t xml:space="preserve">made by a current or prospective </w:t>
      </w:r>
      <w:proofErr w:type="gramStart"/>
      <w:r w:rsidRPr="00A53D6F">
        <w:rPr>
          <w:rFonts w:eastAsia="Calibri" w:cs="Arial"/>
          <w:color w:val="auto"/>
          <w:sz w:val="22"/>
          <w:szCs w:val="22"/>
        </w:rPr>
        <w:t>supplier;</w:t>
      </w:r>
      <w:proofErr w:type="gramEnd"/>
    </w:p>
    <w:p w14:paraId="2E0CD6CA" w14:textId="3A1FC2F1" w:rsidR="00DE0CC1" w:rsidRPr="00A53D6F" w:rsidRDefault="00DE0CC1" w:rsidP="00DE0CC1">
      <w:pPr>
        <w:pStyle w:val="ListParagraph"/>
        <w:numPr>
          <w:ilvl w:val="1"/>
          <w:numId w:val="32"/>
        </w:numPr>
        <w:spacing w:after="120"/>
        <w:rPr>
          <w:rFonts w:eastAsia="Calibri" w:cs="Arial"/>
          <w:color w:val="auto"/>
          <w:sz w:val="22"/>
          <w:szCs w:val="22"/>
        </w:rPr>
      </w:pPr>
      <w:r w:rsidRPr="00A53D6F">
        <w:rPr>
          <w:rFonts w:eastAsia="Calibri" w:cs="Arial"/>
          <w:color w:val="auto"/>
          <w:sz w:val="22"/>
          <w:szCs w:val="22"/>
        </w:rPr>
        <w:t>made during a procurement or tender process by a person or organisation involved in the process.</w:t>
      </w:r>
    </w:p>
    <w:p w14:paraId="292CEAC1" w14:textId="7679380F"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likely to be a bribe or inducement to make a decision or act in a particular </w:t>
      </w:r>
      <w:proofErr w:type="gramStart"/>
      <w:r w:rsidRPr="00A53D6F">
        <w:rPr>
          <w:rFonts w:eastAsia="Calibri" w:cs="Arial"/>
          <w:color w:val="auto"/>
          <w:sz w:val="22"/>
          <w:szCs w:val="22"/>
        </w:rPr>
        <w:t>way;</w:t>
      </w:r>
      <w:proofErr w:type="gramEnd"/>
      <w:r w:rsidRPr="00A53D6F">
        <w:rPr>
          <w:rFonts w:eastAsia="Calibri" w:cs="Arial"/>
          <w:color w:val="auto"/>
          <w:sz w:val="22"/>
          <w:szCs w:val="22"/>
        </w:rPr>
        <w:t xml:space="preserve"> </w:t>
      </w:r>
    </w:p>
    <w:p w14:paraId="3B36C93A" w14:textId="7D5281A3"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that extend to their relatives or </w:t>
      </w:r>
      <w:proofErr w:type="gramStart"/>
      <w:r w:rsidRPr="00A53D6F">
        <w:rPr>
          <w:rFonts w:eastAsia="Calibri" w:cs="Arial"/>
          <w:color w:val="auto"/>
          <w:sz w:val="22"/>
          <w:szCs w:val="22"/>
        </w:rPr>
        <w:t>friends;</w:t>
      </w:r>
      <w:proofErr w:type="gramEnd"/>
    </w:p>
    <w:p w14:paraId="3FD28B1D" w14:textId="13D39D74"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of money, or used in a similar way to money, or something easily converted to </w:t>
      </w:r>
      <w:proofErr w:type="gramStart"/>
      <w:r w:rsidRPr="00A53D6F">
        <w:rPr>
          <w:rFonts w:eastAsia="Calibri" w:cs="Arial"/>
          <w:color w:val="auto"/>
          <w:sz w:val="22"/>
          <w:szCs w:val="22"/>
        </w:rPr>
        <w:t>money;</w:t>
      </w:r>
      <w:proofErr w:type="gramEnd"/>
    </w:p>
    <w:p w14:paraId="0B2FB799" w14:textId="2A6DC433"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where, in relation to hospitality and events, the organisation will already be sufficiently represented to meet its business </w:t>
      </w:r>
      <w:proofErr w:type="gramStart"/>
      <w:r w:rsidRPr="00A53D6F">
        <w:rPr>
          <w:rFonts w:eastAsia="Calibri" w:cs="Arial"/>
          <w:color w:val="auto"/>
          <w:sz w:val="22"/>
          <w:szCs w:val="22"/>
        </w:rPr>
        <w:t>needs</w:t>
      </w:r>
      <w:r w:rsidR="00A041EC" w:rsidRPr="00A53D6F">
        <w:rPr>
          <w:rFonts w:eastAsia="Calibri" w:cs="Arial"/>
          <w:color w:val="auto"/>
          <w:sz w:val="22"/>
          <w:szCs w:val="22"/>
        </w:rPr>
        <w:t>;</w:t>
      </w:r>
      <w:proofErr w:type="gramEnd"/>
      <w:r w:rsidRPr="00A53D6F">
        <w:rPr>
          <w:rFonts w:eastAsia="Calibri" w:cs="Arial"/>
          <w:color w:val="auto"/>
          <w:sz w:val="22"/>
          <w:szCs w:val="22"/>
        </w:rPr>
        <w:t xml:space="preserve">  </w:t>
      </w:r>
    </w:p>
    <w:p w14:paraId="40A316D0" w14:textId="552999B8"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where acceptance could be perceived as endorsement of a product or service, or acceptance would unfairly advantage the sponsor in future procurement </w:t>
      </w:r>
      <w:proofErr w:type="gramStart"/>
      <w:r w:rsidRPr="00A53D6F">
        <w:rPr>
          <w:rFonts w:eastAsia="Calibri" w:cs="Arial"/>
          <w:color w:val="auto"/>
          <w:sz w:val="22"/>
          <w:szCs w:val="22"/>
        </w:rPr>
        <w:t>decisions;</w:t>
      </w:r>
      <w:proofErr w:type="gramEnd"/>
    </w:p>
    <w:p w14:paraId="4BAF062C" w14:textId="329392B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made by a person or organisation with a primary purpose to lobby Ministers, Members of Parliament or public sector organisations; or</w:t>
      </w:r>
    </w:p>
    <w:p w14:paraId="148CB34F" w14:textId="137C9B9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made in secret.</w:t>
      </w:r>
    </w:p>
    <w:p w14:paraId="3A054556" w14:textId="50B0A250" w:rsidR="00DE0CC1" w:rsidRDefault="00DE0CC1" w:rsidP="00DE0CC1">
      <w:pPr>
        <w:autoSpaceDE w:val="0"/>
        <w:autoSpaceDN w:val="0"/>
        <w:adjustRightInd w:val="0"/>
        <w:ind w:left="22" w:hanging="22"/>
        <w:rPr>
          <w:rFonts w:cs="Arial"/>
          <w:lang w:eastAsia="en-AU"/>
        </w:rPr>
      </w:pPr>
      <w:r w:rsidRPr="00A53D6F">
        <w:rPr>
          <w:rFonts w:cs="Arial"/>
          <w:lang w:eastAsia="en-AU"/>
        </w:rPr>
        <w:t xml:space="preserve">If an individual considers they have been offered a bribe or inducement, the offer must be reported to the </w:t>
      </w:r>
      <w:r w:rsidR="00A041EC" w:rsidRPr="00A53D6F">
        <w:rPr>
          <w:rFonts w:cs="Arial"/>
          <w:lang w:eastAsia="en-AU"/>
        </w:rPr>
        <w:t>Secretary</w:t>
      </w:r>
      <w:r w:rsidRPr="00A53D6F">
        <w:rPr>
          <w:rFonts w:cs="Arial"/>
          <w:lang w:eastAsia="en-AU"/>
        </w:rPr>
        <w:t xml:space="preserve"> or their delegate (who </w:t>
      </w:r>
      <w:r w:rsidR="00A041EC" w:rsidRPr="00A53D6F">
        <w:rPr>
          <w:rFonts w:cs="Arial"/>
          <w:lang w:eastAsia="en-AU"/>
        </w:rPr>
        <w:t>must</w:t>
      </w:r>
      <w:r w:rsidRPr="00A53D6F">
        <w:rPr>
          <w:rFonts w:cs="Arial"/>
          <w:lang w:eastAsia="en-AU"/>
        </w:rPr>
        <w:t xml:space="preserve"> report any criminal or corrupt conduct to Victoria Police or the Independent Broad-based Anti-</w:t>
      </w:r>
      <w:proofErr w:type="gramStart"/>
      <w:r w:rsidRPr="00A53D6F">
        <w:rPr>
          <w:rFonts w:cs="Arial"/>
          <w:lang w:eastAsia="en-AU"/>
        </w:rPr>
        <w:t>corruption</w:t>
      </w:r>
      <w:proofErr w:type="gramEnd"/>
      <w:r w:rsidRPr="00A53D6F">
        <w:rPr>
          <w:rFonts w:cs="Arial"/>
          <w:lang w:eastAsia="en-AU"/>
        </w:rPr>
        <w:t xml:space="preserve"> Commission).</w:t>
      </w:r>
    </w:p>
    <w:p w14:paraId="52819972" w14:textId="77777777" w:rsidR="00A34BF4" w:rsidRPr="00F562C7" w:rsidRDefault="00A34BF4" w:rsidP="00A34BF4">
      <w:pPr>
        <w:pStyle w:val="Heading2"/>
      </w:pPr>
      <w:bookmarkStart w:id="30" w:name="_Toc511384939"/>
      <w:bookmarkStart w:id="31" w:name="_Toc72143296"/>
      <w:r w:rsidRPr="00F562C7">
        <w:t>Accepting gifts, benefits and hospitality offers</w:t>
      </w:r>
      <w:bookmarkEnd w:id="30"/>
      <w:bookmarkEnd w:id="31"/>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 xml:space="preserve">is the subject of, or potentially affected by a decision or the authority of the Department or </w:t>
      </w:r>
      <w:proofErr w:type="gramStart"/>
      <w:r w:rsidRPr="00F562C7">
        <w:rPr>
          <w:rFonts w:eastAsia="Calibri" w:cs="Arial"/>
          <w:color w:val="auto"/>
          <w:sz w:val="22"/>
          <w:szCs w:val="22"/>
        </w:rPr>
        <w:t>school.</w:t>
      </w:r>
      <w:proofErr w:type="gramEnd"/>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has offered gifts, benefits or hospitality of any kind more than once in the last year.</w:t>
      </w:r>
    </w:p>
    <w:p w14:paraId="52E11286" w14:textId="05708B05" w:rsidR="00A041EC" w:rsidRDefault="00A041EC" w:rsidP="00A34BF4">
      <w:pPr>
        <w:rPr>
          <w:rFonts w:eastAsia="Calibri" w:cs="Arial"/>
        </w:rPr>
      </w:pPr>
      <w:r w:rsidRPr="00A53D6F">
        <w:rPr>
          <w:rFonts w:eastAsia="Calibri" w:cs="Arial"/>
        </w:rPr>
        <w:t>All offers from suppliers, potential suppliers or organisations about whom you make business decisions must be refused.</w:t>
      </w:r>
    </w:p>
    <w:p w14:paraId="66E7F860" w14:textId="68B71658" w:rsidR="00A34BF4" w:rsidRPr="00F562C7" w:rsidRDefault="00A34BF4" w:rsidP="00A34BF4">
      <w:pPr>
        <w:rPr>
          <w:rFonts w:eastAsia="Calibri" w:cs="Arial"/>
        </w:rPr>
      </w:pPr>
      <w:r w:rsidRPr="00F562C7">
        <w:rPr>
          <w:rFonts w:eastAsia="Calibri" w:cs="Arial"/>
        </w:rPr>
        <w:t>Where conditions apply to offers, Recipients must assess whether the conditions comply with the Policy.  Recipients must refuse conditional offers which do not comply with the Policy.</w:t>
      </w:r>
    </w:p>
    <w:p w14:paraId="6C305E3A" w14:textId="686D91EC"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9"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2" w:name="_Toc511384940"/>
      <w:bookmarkStart w:id="33" w:name="_Toc72143297"/>
      <w:r w:rsidRPr="00F562C7">
        <w:t>Declaring gifts, benefits and hospitality offers</w:t>
      </w:r>
      <w:bookmarkEnd w:id="32"/>
      <w:bookmarkEnd w:id="33"/>
    </w:p>
    <w:p w14:paraId="72C9B3BE" w14:textId="29CB2B6C" w:rsidR="00A34BF4" w:rsidRPr="00F562C7" w:rsidRDefault="00A34BF4" w:rsidP="00A34BF4">
      <w:r w:rsidRPr="00F562C7">
        <w:t xml:space="preserve">Personnel must use the Department’s </w:t>
      </w:r>
      <w:hyperlink r:id="rId20"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irrespective of their value, i.e. whether they are Token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lastRenderedPageBreak/>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4" w:name="_Toc511384941"/>
      <w:bookmarkStart w:id="35" w:name="_Toc72143298"/>
      <w:r w:rsidRPr="00F562C7">
        <w:t>Sponsored travel offers</w:t>
      </w:r>
      <w:bookmarkEnd w:id="34"/>
      <w:bookmarkEnd w:id="35"/>
    </w:p>
    <w:p w14:paraId="4D74EC42" w14:textId="77777777" w:rsidR="00A041EC"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36F08691" w14:textId="636C7BF9" w:rsidR="00A34BF4" w:rsidRPr="00F562C7" w:rsidRDefault="00A041EC" w:rsidP="00A34BF4">
      <w:pPr>
        <w:rPr>
          <w:rFonts w:eastAsia="Calibri" w:cs="Arial"/>
        </w:rPr>
      </w:pPr>
      <w:r w:rsidRPr="00A53D6F">
        <w:rPr>
          <w:rFonts w:eastAsia="Calibri" w:cs="Arial"/>
        </w:rPr>
        <w:t>All offers of Sponsored Travel from suppliers, potential suppliers or organisations about whom you make business decisions must be refused.</w:t>
      </w:r>
      <w:r w:rsidR="00A34BF4" w:rsidRPr="00F562C7">
        <w:rPr>
          <w:rFonts w:eastAsia="Calibri" w:cs="Arial"/>
        </w:rPr>
        <w:t xml:space="preserv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4D0FC918"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21" w:history="1">
        <w:r w:rsidRPr="00F562C7">
          <w:rPr>
            <w:rStyle w:val="Hyperlink0"/>
            <w:lang w:val="en-US"/>
          </w:rPr>
          <w:t>Tra</w:t>
        </w:r>
        <w:r w:rsidRPr="00F562C7">
          <w:rPr>
            <w:rStyle w:val="Hyperlink0"/>
            <w:lang w:val="en-US"/>
          </w:rPr>
          <w:t>v</w:t>
        </w:r>
        <w:r w:rsidRPr="00F562C7">
          <w:rPr>
            <w:rStyle w:val="Hyperlink0"/>
            <w:lang w:val="en-US"/>
          </w:rPr>
          <w:t>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6" w:name="_Toc511384942"/>
      <w:bookmarkStart w:id="37" w:name="_Toc72143299"/>
      <w:r w:rsidRPr="00F562C7">
        <w:t>Keeping (offered) gifts</w:t>
      </w:r>
      <w:bookmarkEnd w:id="36"/>
      <w:bookmarkEnd w:id="37"/>
    </w:p>
    <w:p w14:paraId="55C0839E" w14:textId="77777777" w:rsidR="00A34BF4" w:rsidRPr="00F562C7" w:rsidRDefault="00A34BF4" w:rsidP="00A34BF4">
      <w:pPr>
        <w:pStyle w:val="Heading2"/>
      </w:pPr>
      <w:bookmarkStart w:id="38" w:name="_Toc72143300"/>
      <w:r w:rsidRPr="00F562C7">
        <w:t>Offers that can be kept</w:t>
      </w:r>
      <w:bookmarkEnd w:id="38"/>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Enough’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 xml:space="preserve">Thanks is Enough’ is a desired standard for all corporate and school-based Personnel when responding to offers of gifts, benefits and </w:t>
      </w:r>
      <w:proofErr w:type="gramStart"/>
      <w:r w:rsidRPr="00F562C7">
        <w:rPr>
          <w:rFonts w:eastAsia="Arial" w:cs="Arial"/>
          <w:color w:val="000000"/>
          <w:szCs w:val="18"/>
          <w:u w:color="000000"/>
        </w:rPr>
        <w:t>hospitality;</w:t>
      </w:r>
      <w:proofErr w:type="gramEnd"/>
      <w:r w:rsidRPr="00F562C7">
        <w:rPr>
          <w:rFonts w:eastAsia="Arial" w:cs="Arial"/>
          <w:color w:val="000000"/>
          <w:szCs w:val="18"/>
          <w:u w:color="000000"/>
        </w:rPr>
        <w:t xml:space="preserve">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2652C84E"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2" w:anchor="/app/content/2929/support_and_service_(schools)%252Fprocurement%2C_funding_and_travel%252Fprocurement%252Fthanks_is_enough" w:history="1">
        <w:r w:rsidRPr="00F562C7">
          <w:rPr>
            <w:rFonts w:cs="Arial"/>
            <w:color w:val="004EA8"/>
            <w:szCs w:val="18"/>
            <w:u w:val="single"/>
          </w:rPr>
          <w:t>'Thanks is E</w:t>
        </w:r>
        <w:r w:rsidRPr="00F562C7">
          <w:rPr>
            <w:rFonts w:cs="Arial"/>
            <w:color w:val="004EA8"/>
            <w:szCs w:val="18"/>
            <w:u w:val="single"/>
          </w:rPr>
          <w:t>n</w:t>
        </w:r>
        <w:r w:rsidRPr="00F562C7">
          <w:rPr>
            <w:rFonts w:cs="Arial"/>
            <w:color w:val="004EA8"/>
            <w:szCs w:val="18"/>
            <w:u w:val="single"/>
          </w:rPr>
          <w:t>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lastRenderedPageBreak/>
        <w:t xml:space="preserve">Gifts </w:t>
      </w:r>
      <w:r>
        <w:rPr>
          <w:rFonts w:eastAsia="Arial" w:cs="Arial"/>
          <w:color w:val="000000"/>
          <w:szCs w:val="18"/>
          <w:u w:color="000000"/>
        </w:rPr>
        <w:t xml:space="preserve">of Appreciation to members of the Teaching Service </w:t>
      </w:r>
      <w:proofErr w:type="gramStart"/>
      <w:r>
        <w:rPr>
          <w:rFonts w:eastAsia="Arial" w:cs="Arial"/>
          <w:color w:val="000000"/>
          <w:szCs w:val="18"/>
          <w:u w:color="000000"/>
        </w:rPr>
        <w:t>are able to</w:t>
      </w:r>
      <w:proofErr w:type="gramEnd"/>
      <w:r>
        <w:rPr>
          <w:rFonts w:eastAsia="Arial" w:cs="Arial"/>
          <w:color w:val="000000"/>
          <w:szCs w:val="18"/>
          <w:u w:color="000000"/>
        </w:rPr>
        <w:t xml:space="preserve"> be retained by Recipients, subject to the approval of Authorised Delegates.</w:t>
      </w:r>
    </w:p>
    <w:p w14:paraId="1359433B" w14:textId="77777777" w:rsidR="00A34BF4" w:rsidRPr="00F562C7" w:rsidRDefault="00A34BF4" w:rsidP="00A34BF4">
      <w:pPr>
        <w:pStyle w:val="Heading2"/>
      </w:pPr>
      <w:bookmarkStart w:id="39" w:name="_Toc72143301"/>
      <w:r w:rsidRPr="00F562C7">
        <w:t>Offers that cannot be kept</w:t>
      </w:r>
      <w:bookmarkEnd w:id="39"/>
    </w:p>
    <w:p w14:paraId="6274E761" w14:textId="41F99DC5" w:rsidR="00A34BF4" w:rsidRDefault="00A34BF4" w:rsidP="00A34BF4">
      <w:pPr>
        <w:rPr>
          <w:rFonts w:eastAsia="Calibri" w:cs="Arial"/>
        </w:rPr>
      </w:pPr>
      <w:r w:rsidRPr="00F562C7">
        <w:rPr>
          <w:rFonts w:eastAsia="Calibri" w:cs="Arial"/>
        </w:rPr>
        <w:t>Gifts valued at $500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202678F8" w14:textId="0F72B85F" w:rsidR="009157F9" w:rsidRPr="00F562C7" w:rsidRDefault="009157F9" w:rsidP="00A34BF4">
      <w:pPr>
        <w:rPr>
          <w:rFonts w:eastAsia="Calibri" w:cs="Arial"/>
        </w:rPr>
      </w:pPr>
      <w:r w:rsidRPr="00A53D6F">
        <w:rPr>
          <w:rFonts w:eastAsia="Calibri" w:cs="Arial"/>
        </w:rPr>
        <w:t>All offers from suppliers, potential suppliers or organisations about whom you make business decisions must be refused.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proofErr w:type="gramStart"/>
      <w:r w:rsidRPr="00F562C7">
        <w:rPr>
          <w:rFonts w:cs="Arial"/>
          <w:szCs w:val="20"/>
          <w:lang w:eastAsia="en-AU"/>
        </w:rPr>
        <w:t>are considered to be</w:t>
      </w:r>
      <w:proofErr w:type="gramEnd"/>
      <w:r w:rsidRPr="00F562C7">
        <w:rPr>
          <w:rFonts w:cs="Arial"/>
          <w:szCs w:val="20"/>
          <w:lang w:eastAsia="en-AU"/>
        </w:rPr>
        <w:t xml:space="preserv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40" w:name="_Toc511384943"/>
      <w:bookmarkStart w:id="41" w:name="_Toc72143302"/>
      <w:r w:rsidRPr="00F562C7">
        <w:t>Privacy</w:t>
      </w:r>
      <w:bookmarkEnd w:id="40"/>
      <w:bookmarkEnd w:id="41"/>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2" w:name="_Toc511384944"/>
      <w:bookmarkStart w:id="43" w:name="_Toc72143303"/>
      <w:r w:rsidRPr="00F562C7">
        <w:t>Approval</w:t>
      </w:r>
      <w:bookmarkEnd w:id="42"/>
      <w:bookmarkEnd w:id="43"/>
    </w:p>
    <w:p w14:paraId="0B154002" w14:textId="77777777" w:rsidR="00A34BF4" w:rsidRPr="00F562C7" w:rsidRDefault="00A34BF4" w:rsidP="00A34BF4">
      <w:pPr>
        <w:pStyle w:val="Heading2"/>
        <w:spacing w:before="240"/>
      </w:pPr>
      <w:bookmarkStart w:id="44" w:name="_Toc511384945"/>
      <w:bookmarkStart w:id="45" w:name="_Toc72143304"/>
      <w:r w:rsidRPr="00F562C7">
        <w:t>Authorised Delegates</w:t>
      </w:r>
      <w:bookmarkEnd w:id="44"/>
      <w:bookmarkEnd w:id="45"/>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50DB0D4F"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3" w:history="1">
        <w:r w:rsidRPr="00392138">
          <w:rPr>
            <w:rStyle w:val="Hyperlink"/>
            <w:rFonts w:eastAsia="Calibri" w:cs="Arial"/>
          </w:rPr>
          <w:t>Regi</w:t>
        </w:r>
        <w:r w:rsidRPr="00392138">
          <w:rPr>
            <w:rStyle w:val="Hyperlink"/>
            <w:rFonts w:eastAsia="Calibri" w:cs="Arial"/>
          </w:rPr>
          <w:t>s</w:t>
        </w:r>
        <w:r w:rsidRPr="00392138">
          <w:rPr>
            <w:rStyle w:val="Hyperlink"/>
            <w:rFonts w:eastAsia="Calibri" w:cs="Arial"/>
          </w:rPr>
          <w:t xml:space="preserve">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3F17C298" w:rsidR="00A34BF4"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0D910FE6" w14:textId="4BC2ABFE" w:rsidR="009157F9" w:rsidRPr="00A53D6F" w:rsidRDefault="009157F9" w:rsidP="009157F9">
      <w:pPr>
        <w:pStyle w:val="ListParagraph"/>
        <w:numPr>
          <w:ilvl w:val="0"/>
          <w:numId w:val="28"/>
        </w:numPr>
        <w:rPr>
          <w:rFonts w:cs="Arial"/>
          <w:color w:val="auto"/>
          <w:sz w:val="22"/>
          <w:szCs w:val="22"/>
        </w:rPr>
      </w:pPr>
      <w:r w:rsidRPr="00A53D6F">
        <w:rPr>
          <w:rFonts w:cs="Arial"/>
          <w:color w:val="auto"/>
          <w:sz w:val="22"/>
          <w:szCs w:val="22"/>
        </w:rPr>
        <w:t>is not from a supplier, potential supplier or organisation about whom the recipient or Authorised Delegate makes business decisions, as these must be refused</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complies with the Policy.</w:t>
      </w:r>
    </w:p>
    <w:p w14:paraId="2F2D7576" w14:textId="77777777" w:rsidR="00323686" w:rsidRDefault="00323686" w:rsidP="00A34BF4">
      <w:pPr>
        <w:pStyle w:val="ListParagraph"/>
        <w:spacing w:after="120"/>
        <w:ind w:left="0"/>
        <w:rPr>
          <w:rFonts w:cs="Arial"/>
          <w:b/>
          <w:color w:val="auto"/>
          <w:sz w:val="22"/>
          <w:szCs w:val="22"/>
        </w:rPr>
      </w:pPr>
    </w:p>
    <w:p w14:paraId="566E97AB" w14:textId="77777777" w:rsidR="009157F9" w:rsidRDefault="009157F9">
      <w:pPr>
        <w:spacing w:after="0"/>
        <w:rPr>
          <w:rFonts w:ascii="Arial" w:eastAsia="Times New Roman" w:hAnsi="Arial" w:cs="Arial"/>
          <w:b/>
          <w:szCs w:val="22"/>
          <w:lang w:val="en-AU"/>
        </w:rPr>
      </w:pPr>
      <w:r>
        <w:rPr>
          <w:rFonts w:cs="Arial"/>
          <w:b/>
          <w:szCs w:val="22"/>
        </w:rPr>
        <w:br w:type="page"/>
      </w:r>
    </w:p>
    <w:p w14:paraId="3BDBD892" w14:textId="064D16C1"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lastRenderedPageBreak/>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18034FBA"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w:t>
            </w:r>
            <w:r w:rsidRPr="00A53D6F">
              <w:rPr>
                <w:rFonts w:cs="Arial"/>
                <w:color w:val="auto"/>
                <w:sz w:val="22"/>
                <w:szCs w:val="22"/>
              </w:rPr>
              <w:t xml:space="preserve">, </w:t>
            </w:r>
            <w:r w:rsidR="00A041EC" w:rsidRPr="00A53D6F">
              <w:rPr>
                <w:rFonts w:cs="Arial"/>
                <w:color w:val="auto"/>
                <w:sz w:val="22"/>
                <w:szCs w:val="22"/>
              </w:rPr>
              <w:t>Financial Policy and Information Services</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77777777" w:rsidR="00A34BF4" w:rsidRDefault="00A34BF4" w:rsidP="00720713">
            <w:pPr>
              <w:pStyle w:val="ListParagraph"/>
              <w:spacing w:after="120"/>
              <w:ind w:left="0"/>
              <w:rPr>
                <w:rFonts w:cs="Arial"/>
                <w:color w:val="auto"/>
                <w:sz w:val="22"/>
                <w:szCs w:val="22"/>
              </w:rPr>
            </w:pPr>
            <w:r w:rsidRPr="00B90D56">
              <w:rPr>
                <w:rFonts w:cs="Arial"/>
                <w:color w:val="auto"/>
                <w:sz w:val="22"/>
                <w:szCs w:val="22"/>
              </w:rPr>
              <w:t>Members of the Teaching Service, administrative staff 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6" w:name="_Toc511384946"/>
      <w:bookmarkStart w:id="47" w:name="_Toc72143305"/>
      <w:r w:rsidRPr="00F562C7">
        <w:t>Timeliness of approval decisions</w:t>
      </w:r>
      <w:bookmarkEnd w:id="46"/>
      <w:bookmarkEnd w:id="47"/>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proofErr w:type="gramStart"/>
      <w:r w:rsidR="009D582F" w:rsidRPr="00F562C7">
        <w:rPr>
          <w:rFonts w:eastAsia="Calibri" w:cs="Arial"/>
        </w:rPr>
        <w:t>system</w:t>
      </w:r>
      <w:r w:rsidRPr="00F562C7">
        <w:rPr>
          <w:rFonts w:eastAsia="Calibri" w:cs="Arial"/>
        </w:rPr>
        <w:t>, and</w:t>
      </w:r>
      <w:proofErr w:type="gramEnd"/>
      <w:r w:rsidRPr="00F562C7">
        <w:rPr>
          <w:rFonts w:eastAsia="Calibri" w:cs="Arial"/>
        </w:rPr>
        <w:t xml:space="preserve">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48" w:name="_Toc511384947"/>
      <w:bookmarkStart w:id="49" w:name="_Toc72143306"/>
      <w:r w:rsidRPr="00F562C7">
        <w:lastRenderedPageBreak/>
        <w:t>Providing gifts and hospitality</w:t>
      </w:r>
      <w:bookmarkEnd w:id="48"/>
      <w:bookmarkEnd w:id="49"/>
      <w:r w:rsidRPr="00F562C7">
        <w:t xml:space="preserve"> </w:t>
      </w:r>
    </w:p>
    <w:p w14:paraId="0E744E82" w14:textId="77777777" w:rsidR="00A34BF4" w:rsidRPr="00F562C7" w:rsidRDefault="00A34BF4" w:rsidP="00A34BF4">
      <w:pPr>
        <w:pStyle w:val="Heading2"/>
        <w:spacing w:before="240"/>
      </w:pPr>
      <w:bookmarkStart w:id="50" w:name="_Toc511384948"/>
      <w:bookmarkStart w:id="51" w:name="_Toc72143307"/>
      <w:r w:rsidRPr="00F562C7">
        <w:t>Overarching considerations</w:t>
      </w:r>
      <w:bookmarkEnd w:id="50"/>
      <w:bookmarkEnd w:id="51"/>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6FF308AA"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4" w:history="1">
        <w:r w:rsidRPr="00FD1BD9">
          <w:rPr>
            <w:rStyle w:val="Hyperlink"/>
            <w:rFonts w:cs="Arial"/>
          </w:rPr>
          <w:t>HO</w:t>
        </w:r>
        <w:r w:rsidRPr="00FD1BD9">
          <w:rPr>
            <w:rStyle w:val="Hyperlink"/>
            <w:rFonts w:cs="Arial"/>
          </w:rPr>
          <w:t>S</w:t>
        </w:r>
        <w:r w:rsidRPr="00FD1BD9">
          <w:rPr>
            <w:rStyle w:val="Hyperlink"/>
            <w:rFonts w:cs="Arial"/>
          </w:rPr>
          <w:t>T</w:t>
        </w:r>
        <w:r w:rsidRPr="00FD1BD9">
          <w:rPr>
            <w:rStyle w:val="Hyperlink"/>
            <w:rFonts w:cs="Arial"/>
          </w:rPr>
          <w:t xml:space="preserve"> test</w:t>
        </w:r>
      </w:hyperlink>
      <w:r w:rsidRPr="00F562C7">
        <w:rPr>
          <w:rFonts w:cs="Arial"/>
        </w:rPr>
        <w:t xml:space="preserve">. </w:t>
      </w:r>
    </w:p>
    <w:p w14:paraId="1DAEA711" w14:textId="4A153ACB"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5" w:history="1">
        <w:r w:rsidRPr="00F562C7">
          <w:rPr>
            <w:rStyle w:val="Hyperlink"/>
            <w:rFonts w:cs="Arial"/>
            <w:iCs/>
          </w:rPr>
          <w:t>Procure</w:t>
        </w:r>
        <w:r w:rsidRPr="00F562C7">
          <w:rPr>
            <w:rStyle w:val="Hyperlink"/>
            <w:rFonts w:cs="Arial"/>
            <w:iCs/>
          </w:rPr>
          <w:t>m</w:t>
        </w:r>
        <w:r w:rsidRPr="00F562C7">
          <w:rPr>
            <w:rStyle w:val="Hyperlink"/>
            <w:rFonts w:cs="Arial"/>
            <w:iCs/>
          </w:rPr>
          <w:t xml:space="preserve">ent Policy </w:t>
        </w:r>
        <w:r w:rsidRPr="00F562C7">
          <w:rPr>
            <w:rStyle w:val="Hyperlink"/>
            <w:rFonts w:cs="Arial"/>
          </w:rPr>
          <w:t>(corporate)</w:t>
        </w:r>
      </w:hyperlink>
      <w:r w:rsidRPr="00F562C7">
        <w:rPr>
          <w:rFonts w:cs="Arial"/>
        </w:rPr>
        <w:t xml:space="preserve"> </w:t>
      </w:r>
      <w:r w:rsidRPr="00F562C7">
        <w:t xml:space="preserve">or the </w:t>
      </w:r>
      <w:hyperlink r:id="rId26" w:anchor="/app/content/2089/support_and_service_(schools)%252Fprocurement,_funding_and_travel%252Fprocurement%252Fschools_procurement_policy_and_procedure" w:history="1">
        <w:r w:rsidRPr="00F562C7">
          <w:rPr>
            <w:rStyle w:val="Hyperlink"/>
          </w:rPr>
          <w:t>Schools Proc</w:t>
        </w:r>
        <w:r w:rsidRPr="00F562C7">
          <w:rPr>
            <w:rStyle w:val="Hyperlink"/>
          </w:rPr>
          <w:t>u</w:t>
        </w:r>
        <w:r w:rsidRPr="00F562C7">
          <w:rPr>
            <w:rStyle w:val="Hyperlink"/>
          </w:rPr>
          <w:t>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36C9A769" w:rsidR="00A34BF4" w:rsidRPr="00F562C7" w:rsidRDefault="00A34BF4" w:rsidP="00A34BF4">
      <w:pPr>
        <w:rPr>
          <w:rFonts w:cs="Arial"/>
        </w:rPr>
      </w:pPr>
      <w:r w:rsidRPr="00F562C7">
        <w:rPr>
          <w:rFonts w:cs="Arial"/>
        </w:rPr>
        <w:t xml:space="preserve">Further guidance on providing hospitality can be found in the Department’s </w:t>
      </w:r>
      <w:hyperlink r:id="rId27" w:history="1">
        <w:r w:rsidRPr="00F562C7">
          <w:rPr>
            <w:rStyle w:val="Hyperlink"/>
            <w:rFonts w:cs="Arial"/>
          </w:rPr>
          <w:t>Hos</w:t>
        </w:r>
        <w:r w:rsidRPr="00F562C7">
          <w:rPr>
            <w:rStyle w:val="Hyperlink"/>
            <w:rFonts w:cs="Arial"/>
          </w:rPr>
          <w:t>p</w:t>
        </w:r>
        <w:r w:rsidRPr="00F562C7">
          <w:rPr>
            <w:rStyle w:val="Hyperlink"/>
            <w:rFonts w:cs="Arial"/>
          </w:rPr>
          <w:t>i</w:t>
        </w:r>
        <w:r w:rsidRPr="00F562C7">
          <w:rPr>
            <w:rStyle w:val="Hyperlink"/>
            <w:rFonts w:cs="Arial"/>
          </w:rPr>
          <w:t>t</w:t>
        </w:r>
        <w:r w:rsidRPr="00F562C7">
          <w:rPr>
            <w:rStyle w:val="Hyperlink"/>
            <w:rFonts w:cs="Arial"/>
          </w:rPr>
          <w:t>a</w:t>
        </w:r>
        <w:r w:rsidRPr="00F562C7">
          <w:rPr>
            <w:rStyle w:val="Hyperlink"/>
            <w:rFonts w:cs="Arial"/>
          </w:rPr>
          <w:t>lity Approval Guidelines</w:t>
        </w:r>
      </w:hyperlink>
      <w:r w:rsidRPr="00F562C7">
        <w:rPr>
          <w:rFonts w:cs="Arial"/>
        </w:rPr>
        <w:t xml:space="preserve"> and for school-based Personnel, the </w:t>
      </w:r>
      <w:hyperlink r:id="rId28" w:anchor="link63" w:history="1">
        <w:r w:rsidRPr="00F562C7">
          <w:rPr>
            <w:rStyle w:val="Hyperlink"/>
            <w:rFonts w:cs="Arial"/>
          </w:rPr>
          <w:t>Finance Manual f</w:t>
        </w:r>
        <w:r w:rsidRPr="00F562C7">
          <w:rPr>
            <w:rStyle w:val="Hyperlink"/>
            <w:rFonts w:cs="Arial"/>
          </w:rPr>
          <w:t>o</w:t>
        </w:r>
        <w:r w:rsidRPr="00F562C7">
          <w:rPr>
            <w:rStyle w:val="Hyperlink"/>
            <w:rFonts w:cs="Arial"/>
          </w:rPr>
          <w:t>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 xml:space="preserve">If an event or meeting is going to extend over usual </w:t>
      </w:r>
      <w:proofErr w:type="gramStart"/>
      <w:r w:rsidRPr="00F562C7">
        <w:rPr>
          <w:rFonts w:cs="Arial"/>
        </w:rPr>
        <w:t>meal times</w:t>
      </w:r>
      <w:proofErr w:type="gramEnd"/>
      <w:r w:rsidRPr="00F562C7">
        <w:rPr>
          <w:rFonts w:cs="Arial"/>
        </w:rPr>
        <w:t>,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 xml:space="preserve">Wherever possible, a sufficient break in proceedings should be encouraged to enable participants to seek their own refreshments if available within the vicinity. Where possible, internal meetings attended by Personnel should not be scheduled to conflict with </w:t>
      </w:r>
      <w:proofErr w:type="gramStart"/>
      <w:r w:rsidRPr="00F562C7">
        <w:rPr>
          <w:rFonts w:cs="Arial"/>
        </w:rPr>
        <w:t>meal times</w:t>
      </w:r>
      <w:proofErr w:type="gramEnd"/>
      <w:r w:rsidRPr="00F562C7">
        <w:rPr>
          <w:rFonts w:cs="Arial"/>
        </w:rPr>
        <w:t>.</w:t>
      </w:r>
    </w:p>
    <w:p w14:paraId="7285B1C6" w14:textId="77777777" w:rsidR="00A34BF4" w:rsidRPr="00F562C7" w:rsidRDefault="00A34BF4" w:rsidP="0066430D">
      <w:pPr>
        <w:pStyle w:val="Heading2"/>
      </w:pPr>
      <w:bookmarkStart w:id="52" w:name="_Toc511384949"/>
      <w:bookmarkStart w:id="53" w:name="_Toc72143308"/>
      <w:r w:rsidRPr="00F562C7">
        <w:t>Providing gifts and hospitality to non-personnel</w:t>
      </w:r>
      <w:bookmarkEnd w:id="52"/>
      <w:bookmarkEnd w:id="53"/>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4" w:name="_Toc511384950"/>
      <w:bookmarkStart w:id="55" w:name="_Toc72143309"/>
      <w:r w:rsidRPr="00F562C7">
        <w:t>Providing gifts to personnel</w:t>
      </w:r>
      <w:bookmarkEnd w:id="54"/>
      <w:bookmarkEnd w:id="55"/>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r w:rsidRPr="00F562C7">
        <w:rPr>
          <w:rFonts w:cs="Arial"/>
          <w:color w:val="auto"/>
          <w:sz w:val="22"/>
        </w:rPr>
        <w:t>acknowledging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3067AF4E"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9"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30"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6" w:name="_Toc511384951"/>
      <w:bookmarkStart w:id="57" w:name="_Toc72143310"/>
      <w:r w:rsidRPr="00F562C7">
        <w:lastRenderedPageBreak/>
        <w:t>Catered functions for personnel</w:t>
      </w:r>
      <w:bookmarkEnd w:id="56"/>
      <w:bookmarkEnd w:id="57"/>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58" w:name="_Toc511384952"/>
      <w:bookmarkStart w:id="59" w:name="_Toc72143311"/>
      <w:r w:rsidRPr="00F562C7">
        <w:t>Catering for business meetings</w:t>
      </w:r>
      <w:bookmarkEnd w:id="58"/>
      <w:bookmarkEnd w:id="59"/>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necessary to accommodate the schedules of external invitees.</w:t>
      </w:r>
    </w:p>
    <w:p w14:paraId="25976BC5" w14:textId="77777777" w:rsidR="00A34BF4" w:rsidRPr="00F562C7" w:rsidRDefault="00A34BF4" w:rsidP="00A34BF4">
      <w:pPr>
        <w:pStyle w:val="Heading2"/>
      </w:pPr>
      <w:bookmarkStart w:id="60" w:name="_Toc511384953"/>
      <w:bookmarkStart w:id="61" w:name="_Toc72143312"/>
      <w:r w:rsidRPr="00F562C7">
        <w:t>Provision of alcohol</w:t>
      </w:r>
      <w:bookmarkEnd w:id="60"/>
      <w:bookmarkEnd w:id="61"/>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14BD001B"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31"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2" w:name="_Toc511384954"/>
      <w:bookmarkStart w:id="63" w:name="_Toc72143313"/>
      <w:r w:rsidRPr="00F562C7">
        <w:t>Reporting</w:t>
      </w:r>
      <w:bookmarkEnd w:id="62"/>
      <w:bookmarkEnd w:id="63"/>
      <w:r w:rsidRPr="00F562C7">
        <w:t xml:space="preserve"> </w:t>
      </w:r>
    </w:p>
    <w:p w14:paraId="7EDCC55C" w14:textId="77777777" w:rsidR="00A34BF4" w:rsidRPr="00F562C7" w:rsidRDefault="00A34BF4" w:rsidP="00A34BF4">
      <w:pPr>
        <w:pStyle w:val="Heading2"/>
        <w:spacing w:before="240"/>
      </w:pPr>
      <w:bookmarkStart w:id="64" w:name="_Toc511384955"/>
      <w:bookmarkStart w:id="65" w:name="_Toc72143314"/>
      <w:r w:rsidRPr="00F562C7">
        <w:t>Quarterly activity reporting</w:t>
      </w:r>
      <w:bookmarkEnd w:id="64"/>
      <w:bookmarkEnd w:id="65"/>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6" w:name="_Toc511384956"/>
      <w:bookmarkStart w:id="67" w:name="_Toc72143315"/>
      <w:r w:rsidRPr="00F562C7">
        <w:t>Audit and Risk Committee</w:t>
      </w:r>
      <w:bookmarkEnd w:id="66"/>
      <w:bookmarkEnd w:id="67"/>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68" w:name="_Toc511384957"/>
      <w:bookmarkStart w:id="69" w:name="_Toc72143316"/>
      <w:r w:rsidRPr="00F562C7">
        <w:t>Public Reporting</w:t>
      </w:r>
      <w:bookmarkEnd w:id="68"/>
      <w:bookmarkEnd w:id="69"/>
    </w:p>
    <w:p w14:paraId="5850170A" w14:textId="31B9CB33"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2"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 xml:space="preserve">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w:t>
      </w:r>
      <w:r w:rsidRPr="00F562C7">
        <w:rPr>
          <w:rFonts w:cs="Arial"/>
        </w:rPr>
        <w:lastRenderedPageBreak/>
        <w:t>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59"/>
        <w:gridCol w:w="2430"/>
        <w:gridCol w:w="2415"/>
      </w:tblGrid>
      <w:tr w:rsidR="0066430D" w:rsidRPr="00F562C7" w14:paraId="24FBCEDF" w14:textId="77777777" w:rsidTr="00C15CF2">
        <w:trPr>
          <w:tblHeader/>
        </w:trPr>
        <w:tc>
          <w:tcPr>
            <w:tcW w:w="500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5105" w:type="dxa"/>
            <w:gridSpan w:val="2"/>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C15CF2">
        <w:trPr>
          <w:tblHeader/>
        </w:trPr>
        <w:tc>
          <w:tcPr>
            <w:tcW w:w="244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Position Title (example)</w:t>
            </w:r>
          </w:p>
        </w:tc>
        <w:tc>
          <w:tcPr>
            <w:tcW w:w="255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49"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Position Title (example)</w:t>
            </w:r>
          </w:p>
        </w:tc>
      </w:tr>
      <w:tr w:rsidR="00A34BF4" w:rsidRPr="00F562C7" w14:paraId="11BD8095" w14:textId="77777777" w:rsidTr="0066430D">
        <w:tc>
          <w:tcPr>
            <w:tcW w:w="244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5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55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549"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19D38A6C" w:rsidR="00A34BF4" w:rsidRPr="00F562C7" w:rsidRDefault="00C63205" w:rsidP="00720713">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chool-based Department employees, contractors and School Council employees</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A34BF4" w:rsidRPr="00F562C7" w14:paraId="492AF86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A34BF4" w:rsidRPr="00F562C7" w14:paraId="0F294E86"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A34BF4" w:rsidRPr="00F562C7" w14:paraId="085E21ED"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5105" w:type="dxa"/>
            <w:gridSpan w:val="2"/>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041A849D" w14:textId="77777777" w:rsidR="00A34BF4" w:rsidRPr="00F562C7" w:rsidRDefault="00A34BF4" w:rsidP="00720713">
            <w:pPr>
              <w:rPr>
                <w:rFonts w:asciiTheme="majorHAnsi" w:hAnsiTheme="majorHAnsi" w:cstheme="majorHAnsi"/>
                <w:sz w:val="20"/>
              </w:rPr>
            </w:pPr>
          </w:p>
        </w:tc>
      </w:tr>
      <w:tr w:rsidR="00A34BF4" w:rsidRPr="00F562C7" w14:paraId="5A41A6A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43EDA18" w14:textId="77777777" w:rsidR="00A34BF4" w:rsidRPr="00F562C7" w:rsidRDefault="00A34BF4" w:rsidP="00720713">
            <w:pPr>
              <w:rPr>
                <w:rFonts w:asciiTheme="majorHAnsi" w:hAnsiTheme="majorHAnsi" w:cstheme="majorHAnsi"/>
                <w:sz w:val="20"/>
              </w:rPr>
            </w:pPr>
          </w:p>
        </w:tc>
      </w:tr>
      <w:tr w:rsidR="00A34BF4" w:rsidRPr="00F562C7" w14:paraId="3418BEC7"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143AF013" w14:textId="77777777" w:rsidR="00A34BF4" w:rsidRPr="00F562C7" w:rsidRDefault="00A34BF4" w:rsidP="00720713">
            <w:pPr>
              <w:rPr>
                <w:rFonts w:asciiTheme="majorHAnsi" w:hAnsiTheme="majorHAnsi" w:cstheme="majorHAnsi"/>
                <w:sz w:val="20"/>
              </w:rPr>
            </w:pPr>
          </w:p>
        </w:tc>
      </w:tr>
      <w:tr w:rsidR="00A34BF4" w:rsidRPr="00F562C7" w14:paraId="450C0CB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751B7FB" w14:textId="77777777" w:rsidR="00A34BF4" w:rsidRPr="00F562C7" w:rsidRDefault="00A34BF4" w:rsidP="00720713">
            <w:pPr>
              <w:rPr>
                <w:rFonts w:asciiTheme="majorHAnsi" w:hAnsiTheme="majorHAnsi" w:cstheme="majorHAnsi"/>
                <w:sz w:val="20"/>
              </w:rPr>
            </w:pPr>
          </w:p>
        </w:tc>
      </w:tr>
      <w:tr w:rsidR="00A34BF4" w:rsidRPr="00F562C7" w14:paraId="58E3AED4" w14:textId="77777777" w:rsidTr="0066430D">
        <w:tc>
          <w:tcPr>
            <w:tcW w:w="244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5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5105" w:type="dxa"/>
            <w:gridSpan w:val="2"/>
            <w:vMerge/>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8F2DFA" w14:textId="77777777" w:rsidR="00A34BF4" w:rsidRPr="00F562C7" w:rsidRDefault="00A34BF4"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70" w:name="_Toc511384958"/>
      <w:bookmarkStart w:id="71" w:name="_Toc72143317"/>
      <w:r w:rsidRPr="00F562C7">
        <w:t>Registry System</w:t>
      </w:r>
      <w:bookmarkEnd w:id="70"/>
      <w:bookmarkEnd w:id="71"/>
      <w:r w:rsidRPr="00F562C7">
        <w:t xml:space="preserve"> </w:t>
      </w:r>
    </w:p>
    <w:p w14:paraId="4FE81205" w14:textId="77777777" w:rsidR="00A34BF4" w:rsidRPr="00F562C7" w:rsidRDefault="00A34BF4" w:rsidP="00A34BF4">
      <w:pPr>
        <w:pStyle w:val="Heading2"/>
        <w:spacing w:before="240"/>
      </w:pPr>
      <w:bookmarkStart w:id="72" w:name="_Toc511384959"/>
      <w:bookmarkStart w:id="73" w:name="_Toc72143318"/>
      <w:r w:rsidRPr="00F562C7">
        <w:t>Information security</w:t>
      </w:r>
      <w:bookmarkEnd w:id="72"/>
      <w:bookmarkEnd w:id="73"/>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w:t>
      </w:r>
      <w:proofErr w:type="spellStart"/>
      <w:r w:rsidRPr="00F562C7">
        <w:t>Edumail</w:t>
      </w:r>
      <w:proofErr w:type="spellEnd"/>
      <w:r w:rsidRPr="00F562C7">
        <w:t>) account.  School Principals and / or Business Managers determine access privileges to this account.</w:t>
      </w:r>
    </w:p>
    <w:p w14:paraId="514CB47B" w14:textId="77777777" w:rsidR="00A34BF4" w:rsidRPr="00F562C7" w:rsidRDefault="00A34BF4" w:rsidP="00A34BF4">
      <w:pPr>
        <w:pStyle w:val="Heading2"/>
      </w:pPr>
      <w:bookmarkStart w:id="74" w:name="_Toc511384960"/>
      <w:bookmarkStart w:id="75" w:name="_Toc72143319"/>
      <w:r w:rsidRPr="00F562C7">
        <w:t>System access</w:t>
      </w:r>
      <w:bookmarkEnd w:id="74"/>
      <w:bookmarkEnd w:id="75"/>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w:t>
      </w:r>
      <w:proofErr w:type="spellStart"/>
      <w:r w:rsidRPr="00F562C7">
        <w:t>Edumail</w:t>
      </w:r>
      <w:proofErr w:type="spellEnd"/>
      <w:r w:rsidRPr="00F562C7">
        <w:t xml:space="preserve">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w:t>
      </w:r>
      <w:r w:rsidRPr="00F562C7">
        <w:lastRenderedPageBreak/>
        <w:t xml:space="preserve">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6" w:name="_Toc511384961"/>
      <w:bookmarkStart w:id="77" w:name="_Toc72143320"/>
      <w:r w:rsidRPr="00F562C7">
        <w:t>Monitoring and compliance</w:t>
      </w:r>
      <w:bookmarkEnd w:id="76"/>
      <w:bookmarkEnd w:id="77"/>
    </w:p>
    <w:p w14:paraId="1991F134" w14:textId="77777777" w:rsidR="00A34BF4" w:rsidRPr="00F562C7" w:rsidRDefault="00A34BF4" w:rsidP="00A34BF4">
      <w:pPr>
        <w:pStyle w:val="Heading2"/>
        <w:spacing w:before="240"/>
      </w:pPr>
      <w:bookmarkStart w:id="78" w:name="_Toc511384962"/>
      <w:bookmarkStart w:id="79" w:name="_Toc72143321"/>
      <w:r w:rsidRPr="00F562C7">
        <w:t>Three Lines of Defence</w:t>
      </w:r>
      <w:bookmarkEnd w:id="78"/>
      <w:bookmarkEnd w:id="79"/>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80" w:name="_Toc511384963"/>
      <w:bookmarkStart w:id="81" w:name="_Toc72143322"/>
      <w:r w:rsidRPr="00F562C7">
        <w:t>Audit and Risk Committee</w:t>
      </w:r>
      <w:bookmarkEnd w:id="80"/>
      <w:bookmarkEnd w:id="81"/>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2" w:name="_Toc511384964"/>
      <w:bookmarkStart w:id="83" w:name="_Toc72143323"/>
      <w:r w:rsidRPr="00F562C7">
        <w:t>School Councils</w:t>
      </w:r>
      <w:bookmarkEnd w:id="82"/>
      <w:bookmarkEnd w:id="83"/>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4" w:name="_Toc511384965"/>
      <w:bookmarkStart w:id="85" w:name="_Toc72143324"/>
      <w:r w:rsidRPr="00F562C7">
        <w:t>Compliance attestation</w:t>
      </w:r>
      <w:bookmarkEnd w:id="84"/>
      <w:bookmarkEnd w:id="85"/>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lastRenderedPageBreak/>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6" w:name="_Toc72143325"/>
      <w:bookmarkStart w:id="87" w:name="_Toc511384966"/>
      <w:r w:rsidRPr="00F562C7">
        <w:t>Speak-Up</w:t>
      </w:r>
      <w:bookmarkEnd w:id="86"/>
      <w:r w:rsidRPr="00F562C7">
        <w:t xml:space="preserve"> </w:t>
      </w:r>
    </w:p>
    <w:p w14:paraId="083B077E" w14:textId="3FB530A1"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3"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251766C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4" w:history="1">
        <w:r w:rsidRPr="00F562C7">
          <w:rPr>
            <w:rStyle w:val="Hyperlink"/>
            <w:rFonts w:eastAsia="Calibri" w:cs="Arial"/>
            <w:sz w:val="22"/>
            <w:szCs w:val="22"/>
          </w:rPr>
          <w:t>educationspeakup@pkf.com.au</w:t>
        </w:r>
      </w:hyperlink>
    </w:p>
    <w:p w14:paraId="2A8C5DEA" w14:textId="0DCFD045"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5"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88" w:name="_Toc72143326"/>
      <w:r w:rsidRPr="00F562C7">
        <w:t>Non-compliance</w:t>
      </w:r>
      <w:bookmarkEnd w:id="87"/>
      <w:bookmarkEnd w:id="88"/>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7817631C"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6" w:history="1">
        <w:r w:rsidRPr="00F562C7">
          <w:rPr>
            <w:rStyle w:val="Hyperlink"/>
            <w:szCs w:val="22"/>
          </w:rPr>
          <w:t xml:space="preserve">Complaints, Unsatisfactory Performance and Misconduct </w:t>
        </w:r>
        <w:r w:rsidRPr="00F562C7">
          <w:rPr>
            <w:szCs w:val="22"/>
          </w:rPr>
          <w:t xml:space="preserve">guidelines. </w:t>
        </w:r>
      </w:hyperlink>
    </w:p>
    <w:p w14:paraId="095D9374" w14:textId="34422A2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7"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89" w:name="_Toc511384967"/>
      <w:bookmarkStart w:id="90" w:name="_Toc72143327"/>
      <w:r w:rsidRPr="00F562C7">
        <w:t>Freedom of Information</w:t>
      </w:r>
      <w:bookmarkEnd w:id="89"/>
      <w:bookmarkEnd w:id="90"/>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1" w:name="_Toc511384968"/>
      <w:bookmarkStart w:id="92" w:name="_Toc72143328"/>
      <w:r w:rsidRPr="00F562C7">
        <w:t>Record keeping</w:t>
      </w:r>
      <w:bookmarkEnd w:id="91"/>
      <w:bookmarkEnd w:id="92"/>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w:t>
      </w:r>
      <w:proofErr w:type="gramStart"/>
      <w:r w:rsidRPr="00F562C7">
        <w:rPr>
          <w:rFonts w:cs="Arial"/>
        </w:rPr>
        <w:t>needs, and</w:t>
      </w:r>
      <w:proofErr w:type="gramEnd"/>
      <w:r w:rsidRPr="00F562C7">
        <w:rPr>
          <w:rFonts w:cs="Arial"/>
        </w:rPr>
        <w:t xml:space="preserve">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3" w:name="_Toc511384969"/>
      <w:bookmarkStart w:id="94" w:name="_Toc72143329"/>
      <w:r w:rsidRPr="00F562C7">
        <w:t>Further assistance</w:t>
      </w:r>
      <w:bookmarkEnd w:id="93"/>
      <w:bookmarkEnd w:id="94"/>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lastRenderedPageBreak/>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6956D854" w:rsidR="00A34BF4" w:rsidRPr="000D62AB" w:rsidRDefault="00A34BF4" w:rsidP="00A34BF4">
      <w:pPr>
        <w:pStyle w:val="ListParagraph"/>
        <w:numPr>
          <w:ilvl w:val="0"/>
          <w:numId w:val="34"/>
        </w:numPr>
        <w:rPr>
          <w:rFonts w:cs="Arial"/>
          <w:color w:val="auto"/>
          <w:sz w:val="22"/>
          <w:szCs w:val="22"/>
          <w:lang w:val="fr-FR"/>
        </w:rPr>
      </w:pPr>
      <w:r w:rsidRPr="000D62AB">
        <w:rPr>
          <w:rFonts w:cs="Arial"/>
          <w:color w:val="auto"/>
          <w:sz w:val="22"/>
          <w:szCs w:val="22"/>
          <w:lang w:val="fr-FR"/>
        </w:rPr>
        <w:t xml:space="preserve">Procurement Division via: </w:t>
      </w:r>
      <w:hyperlink r:id="rId38" w:history="1">
        <w:r w:rsidRPr="000D62AB">
          <w:rPr>
            <w:rStyle w:val="Hyperlink"/>
            <w:rFonts w:cs="Arial"/>
            <w:sz w:val="22"/>
            <w:szCs w:val="22"/>
            <w:lang w:val="fr-FR"/>
          </w:rPr>
          <w:t>gifts@edumail.vic.gov.au</w:t>
        </w:r>
      </w:hyperlink>
    </w:p>
    <w:p w14:paraId="69874744" w14:textId="77777777" w:rsidR="00A34BF4" w:rsidRPr="00F562C7" w:rsidRDefault="00A34BF4" w:rsidP="00A34BF4">
      <w:r w:rsidRPr="00F562C7">
        <w:rPr>
          <w:rFonts w:cs="Arial"/>
        </w:rPr>
        <w:t>School-based Personnel:</w:t>
      </w:r>
    </w:p>
    <w:p w14:paraId="05C5ECA0" w14:textId="43B5EC07"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9" w:history="1">
        <w:r w:rsidRPr="00F562C7">
          <w:rPr>
            <w:rFonts w:cs="Arial"/>
            <w:i/>
          </w:rPr>
          <w:t>community.stakeholders@edumail.vic.gov.au</w:t>
        </w:r>
      </w:hyperlink>
    </w:p>
    <w:p w14:paraId="15135F57" w14:textId="352C9665" w:rsidR="00A34BF4" w:rsidRPr="00F562C7" w:rsidRDefault="00B1691A" w:rsidP="00A34BF4">
      <w:pPr>
        <w:numPr>
          <w:ilvl w:val="0"/>
          <w:numId w:val="21"/>
        </w:numPr>
        <w:spacing w:after="0" w:line="245" w:lineRule="atLeast"/>
        <w:ind w:left="714" w:hanging="357"/>
        <w:rPr>
          <w:rFonts w:cs="Arial"/>
        </w:rPr>
      </w:pPr>
      <w:hyperlink r:id="rId40"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0A926FF8" w:rsidR="00A34BF4" w:rsidRPr="004A5FBD" w:rsidRDefault="00B1691A" w:rsidP="00A34BF4">
      <w:pPr>
        <w:pStyle w:val="ListParagraph"/>
        <w:numPr>
          <w:ilvl w:val="0"/>
          <w:numId w:val="33"/>
        </w:numPr>
        <w:rPr>
          <w:sz w:val="22"/>
          <w:szCs w:val="22"/>
        </w:rPr>
      </w:pPr>
      <w:hyperlink r:id="rId41"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2EDE3750" w:rsidR="004A5FBD" w:rsidRPr="000D62AB" w:rsidRDefault="004A5FBD" w:rsidP="004A5FBD">
      <w:pPr>
        <w:pStyle w:val="ListParagraph"/>
        <w:numPr>
          <w:ilvl w:val="0"/>
          <w:numId w:val="33"/>
        </w:numPr>
        <w:rPr>
          <w:rFonts w:cs="Arial"/>
          <w:color w:val="auto"/>
          <w:sz w:val="22"/>
          <w:szCs w:val="22"/>
          <w:lang w:val="fr-FR"/>
        </w:rPr>
      </w:pPr>
      <w:r w:rsidRPr="000D62AB">
        <w:rPr>
          <w:rFonts w:cs="Arial"/>
          <w:color w:val="auto"/>
          <w:sz w:val="22"/>
          <w:szCs w:val="22"/>
          <w:lang w:val="fr-FR"/>
        </w:rPr>
        <w:t xml:space="preserve">Procurement Division via: </w:t>
      </w:r>
      <w:hyperlink r:id="rId42" w:history="1">
        <w:r w:rsidR="00BC0E37" w:rsidRPr="000D62AB">
          <w:rPr>
            <w:rStyle w:val="Hyperlink"/>
            <w:rFonts w:cs="Arial"/>
            <w:sz w:val="22"/>
            <w:szCs w:val="22"/>
            <w:lang w:val="fr-FR"/>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5" w:name="_Toc511384970"/>
      <w:bookmarkStart w:id="96" w:name="_Toc72143330"/>
      <w:r w:rsidRPr="00F562C7">
        <w:t>Glossary</w:t>
      </w:r>
      <w:bookmarkEnd w:id="95"/>
      <w:bookmarkEnd w:id="96"/>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Ceremonial gifts are the property of the organisation, irrespective of value, and are to be accepted by Personnel on behalf of and Transferred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lastRenderedPageBreak/>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8E6300" w:rsidRDefault="00EC0FBB" w:rsidP="00EC0FBB">
      <w:pPr>
        <w:ind w:left="360"/>
        <w:rPr>
          <w:rFonts w:cs="Arial"/>
          <w:color w:val="000000" w:themeColor="text1"/>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8E6300">
        <w:rPr>
          <w:color w:val="000000" w:themeColor="text1"/>
        </w:rPr>
        <w:t>to assess the Recipient’s decision</w:t>
      </w:r>
      <w:r w:rsidRPr="008E6300">
        <w:rPr>
          <w:rFonts w:cs="Arial"/>
          <w:color w:val="000000" w:themeColor="text1"/>
        </w:rPr>
        <w:t>.</w:t>
      </w:r>
      <w:r w:rsidR="008D4024" w:rsidRPr="008E6300">
        <w:rPr>
          <w:color w:val="000000" w:themeColor="text1"/>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teacher’s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lastRenderedPageBreak/>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w:t>
      </w:r>
      <w:proofErr w:type="gramStart"/>
      <w:r w:rsidRPr="00F562C7">
        <w:rPr>
          <w:rFonts w:eastAsiaTheme="minorEastAsia" w:cs="Arial"/>
          <w:color w:val="000000" w:themeColor="text1"/>
          <w:szCs w:val="18"/>
        </w:rPr>
        <w:t>goals, or</w:t>
      </w:r>
      <w:proofErr w:type="gramEnd"/>
      <w:r w:rsidRPr="00F562C7">
        <w:rPr>
          <w:rFonts w:eastAsiaTheme="minorEastAsia" w:cs="Arial"/>
          <w:color w:val="000000" w:themeColor="text1"/>
          <w:szCs w:val="18"/>
        </w:rPr>
        <w:t xml:space="preserve">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 xml:space="preserve">directors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special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 xml:space="preserve">Sponsored travel is an offer to fund, wholly, or in part, Personnel’s travel and other work-related costs.  This includes sponsored transport, accommodation, meals, conferences and </w:t>
      </w:r>
      <w:r w:rsidRPr="00F562C7">
        <w:rPr>
          <w:rFonts w:cs="Arial"/>
        </w:rPr>
        <w:lastRenderedPageBreak/>
        <w:t>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7" w:name="_Toc511384971"/>
      <w:bookmarkStart w:id="98" w:name="_Toc72143331"/>
      <w:r w:rsidRPr="00F562C7">
        <w:t>References</w:t>
      </w:r>
      <w:bookmarkEnd w:id="97"/>
      <w:bookmarkEnd w:id="98"/>
    </w:p>
    <w:p w14:paraId="4A19277A" w14:textId="687E5EBA" w:rsidR="00A34BF4" w:rsidRPr="00F562C7" w:rsidRDefault="00B1691A" w:rsidP="00A34BF4">
      <w:pPr>
        <w:rPr>
          <w:rFonts w:eastAsiaTheme="minorEastAsia" w:cs="Arial"/>
          <w:b/>
          <w:color w:val="000000" w:themeColor="text1"/>
          <w:szCs w:val="18"/>
        </w:rPr>
      </w:pPr>
      <w:hyperlink r:id="rId43" w:history="1">
        <w:r w:rsidR="00A34BF4" w:rsidRPr="00DA53D1">
          <w:rPr>
            <w:rStyle w:val="Hyperlink"/>
            <w:rFonts w:eastAsiaTheme="minorEastAsia" w:cs="Arial"/>
            <w:b/>
            <w:szCs w:val="18"/>
          </w:rPr>
          <w:t>CA</w:t>
        </w:r>
        <w:r w:rsidR="00A34BF4" w:rsidRPr="00DA53D1">
          <w:rPr>
            <w:rStyle w:val="Hyperlink"/>
            <w:rFonts w:eastAsiaTheme="minorEastAsia" w:cs="Arial"/>
            <w:b/>
            <w:szCs w:val="18"/>
          </w:rPr>
          <w:t>S</w:t>
        </w:r>
        <w:r w:rsidR="00A34BF4" w:rsidRPr="00DA53D1">
          <w:rPr>
            <w:rStyle w:val="Hyperlink"/>
            <w:rFonts w:eastAsiaTheme="minorEastAsia" w:cs="Arial"/>
            <w:b/>
            <w:szCs w:val="18"/>
          </w:rPr>
          <w:t>ES21 - Chart o</w:t>
        </w:r>
        <w:r w:rsidR="00A34BF4" w:rsidRPr="00DA53D1">
          <w:rPr>
            <w:rStyle w:val="Hyperlink"/>
            <w:rFonts w:eastAsiaTheme="minorEastAsia" w:cs="Arial"/>
            <w:b/>
            <w:szCs w:val="18"/>
          </w:rPr>
          <w:t>f</w:t>
        </w:r>
        <w:r w:rsidR="00A34BF4" w:rsidRPr="00DA53D1">
          <w:rPr>
            <w:rStyle w:val="Hyperlink"/>
            <w:rFonts w:eastAsiaTheme="minorEastAsia" w:cs="Arial"/>
            <w:b/>
            <w:szCs w:val="18"/>
          </w:rPr>
          <w:t xml:space="preserve"> Account</w:t>
        </w:r>
      </w:hyperlink>
    </w:p>
    <w:p w14:paraId="6CF04FF4" w14:textId="07D3B3AC" w:rsidR="00A34BF4" w:rsidRPr="00F562C7" w:rsidRDefault="00B1691A"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Code of Conduct fo</w:t>
        </w:r>
        <w:r w:rsidR="00A34BF4" w:rsidRPr="00DA53D1">
          <w:rPr>
            <w:rStyle w:val="Hyperlink"/>
            <w:rFonts w:eastAsiaTheme="minorEastAsia" w:cs="Arial"/>
            <w:b/>
            <w:szCs w:val="18"/>
          </w:rPr>
          <w:t>r</w:t>
        </w:r>
        <w:r w:rsidR="00A34BF4" w:rsidRPr="00DA53D1">
          <w:rPr>
            <w:rStyle w:val="Hyperlink"/>
            <w:rFonts w:eastAsiaTheme="minorEastAsia" w:cs="Arial"/>
            <w:b/>
            <w:szCs w:val="18"/>
          </w:rPr>
          <w:t xml:space="preserve"> Victorian Public Sector Employees</w:t>
        </w:r>
      </w:hyperlink>
    </w:p>
    <w:p w14:paraId="7D2E05CD" w14:textId="5FA070B3" w:rsidR="00A34BF4" w:rsidRPr="00F562C7" w:rsidRDefault="00B1691A" w:rsidP="00A34BF4">
      <w:pPr>
        <w:rPr>
          <w:rStyle w:val="Hyperlink"/>
          <w:iCs/>
        </w:rPr>
      </w:pPr>
      <w:hyperlink r:id="rId45" w:history="1">
        <w:r w:rsidR="00A34BF4" w:rsidRPr="00F562C7">
          <w:rPr>
            <w:rStyle w:val="Hyperlink"/>
            <w:iCs/>
          </w:rPr>
          <w:t>Code of Conduct for Directors of Vict</w:t>
        </w:r>
        <w:r w:rsidR="00A34BF4" w:rsidRPr="00F562C7">
          <w:rPr>
            <w:rStyle w:val="Hyperlink"/>
            <w:iCs/>
          </w:rPr>
          <w:t>o</w:t>
        </w:r>
        <w:r w:rsidR="00A34BF4" w:rsidRPr="00F562C7">
          <w:rPr>
            <w:rStyle w:val="Hyperlink"/>
            <w:iCs/>
          </w:rPr>
          <w:t>rian Public Entities </w:t>
        </w:r>
      </w:hyperlink>
    </w:p>
    <w:p w14:paraId="69A18B05" w14:textId="29106B1B" w:rsidR="00A34BF4" w:rsidRPr="00F562C7" w:rsidRDefault="00B1691A" w:rsidP="00A34BF4">
      <w:pPr>
        <w:rPr>
          <w:rFonts w:eastAsiaTheme="minorEastAsia" w:cs="Arial"/>
          <w:b/>
          <w:color w:val="000000" w:themeColor="text1"/>
          <w:szCs w:val="18"/>
        </w:rPr>
      </w:pPr>
      <w:hyperlink r:id="rId46" w:history="1">
        <w:r w:rsidR="00A34BF4" w:rsidRPr="00DA53D1">
          <w:rPr>
            <w:rStyle w:val="Hyperlink"/>
            <w:rFonts w:eastAsiaTheme="minorEastAsia" w:cs="Arial"/>
            <w:b/>
            <w:szCs w:val="18"/>
          </w:rPr>
          <w:t xml:space="preserve">Conflict </w:t>
        </w:r>
        <w:r w:rsidR="00A34BF4" w:rsidRPr="00DA53D1">
          <w:rPr>
            <w:rStyle w:val="Hyperlink"/>
            <w:rFonts w:eastAsiaTheme="minorEastAsia" w:cs="Arial"/>
            <w:b/>
            <w:szCs w:val="18"/>
          </w:rPr>
          <w:t>o</w:t>
        </w:r>
        <w:r w:rsidR="00A34BF4" w:rsidRPr="00DA53D1">
          <w:rPr>
            <w:rStyle w:val="Hyperlink"/>
            <w:rFonts w:eastAsiaTheme="minorEastAsia" w:cs="Arial"/>
            <w:b/>
            <w:szCs w:val="18"/>
          </w:rPr>
          <w:t>f Interest Policy</w:t>
        </w:r>
      </w:hyperlink>
    </w:p>
    <w:p w14:paraId="6257B09B" w14:textId="75E9A9BF" w:rsidR="00A34BF4" w:rsidRPr="00F562C7" w:rsidRDefault="00B1691A"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De</w:t>
        </w:r>
        <w:r w:rsidR="00A34BF4" w:rsidRPr="00DA53D1">
          <w:rPr>
            <w:rStyle w:val="Hyperlink"/>
            <w:rFonts w:eastAsiaTheme="minorEastAsia" w:cs="Arial"/>
            <w:b/>
            <w:szCs w:val="18"/>
          </w:rPr>
          <w:t>p</w:t>
        </w:r>
        <w:r w:rsidR="00A34BF4" w:rsidRPr="00DA53D1">
          <w:rPr>
            <w:rStyle w:val="Hyperlink"/>
            <w:rFonts w:eastAsiaTheme="minorEastAsia" w:cs="Arial"/>
            <w:b/>
            <w:szCs w:val="18"/>
          </w:rPr>
          <w:t>artment’s Values and Resources</w:t>
        </w:r>
      </w:hyperlink>
    </w:p>
    <w:p w14:paraId="1A55C4C9" w14:textId="2021F468" w:rsidR="00A34BF4" w:rsidRPr="00F562C7" w:rsidRDefault="00B1691A" w:rsidP="00A34BF4">
      <w:pPr>
        <w:rPr>
          <w:rFonts w:eastAsiaTheme="minorEastAsia" w:cs="Arial"/>
          <w:b/>
          <w:color w:val="000000" w:themeColor="text1"/>
          <w:szCs w:val="18"/>
        </w:rPr>
      </w:pPr>
      <w:hyperlink r:id="rId48" w:anchor="link63" w:history="1">
        <w:r w:rsidR="00A34BF4" w:rsidRPr="00DA53D1">
          <w:rPr>
            <w:rStyle w:val="Hyperlink"/>
            <w:rFonts w:eastAsiaTheme="minorEastAsia" w:cs="Arial"/>
            <w:b/>
            <w:szCs w:val="18"/>
          </w:rPr>
          <w:t>Finance Man</w:t>
        </w:r>
        <w:r w:rsidR="00A34BF4" w:rsidRPr="00DA53D1">
          <w:rPr>
            <w:rStyle w:val="Hyperlink"/>
            <w:rFonts w:eastAsiaTheme="minorEastAsia" w:cs="Arial"/>
            <w:b/>
            <w:szCs w:val="18"/>
          </w:rPr>
          <w:t>u</w:t>
        </w:r>
        <w:r w:rsidR="00A34BF4" w:rsidRPr="00DA53D1">
          <w:rPr>
            <w:rStyle w:val="Hyperlink"/>
            <w:rFonts w:eastAsiaTheme="minorEastAsia" w:cs="Arial"/>
            <w:b/>
            <w:szCs w:val="18"/>
          </w:rPr>
          <w:t>al for Victorian Government Schools</w:t>
        </w:r>
      </w:hyperlink>
    </w:p>
    <w:p w14:paraId="0F32CFD4" w14:textId="4524B1EA" w:rsidR="00A34BF4" w:rsidRPr="00F562C7" w:rsidRDefault="00B1691A" w:rsidP="00A34BF4">
      <w:pPr>
        <w:rPr>
          <w:rFonts w:eastAsiaTheme="minorEastAsia" w:cs="Arial"/>
          <w:b/>
          <w:color w:val="000000" w:themeColor="text1"/>
          <w:szCs w:val="18"/>
        </w:rPr>
      </w:pPr>
      <w:hyperlink r:id="rId49" w:anchor="/app/content/2597/policies_(corporate)%252Ffinance%252Ffinancial_authorisations_policy" w:history="1">
        <w:r w:rsidR="00A34BF4" w:rsidRPr="00DA53D1">
          <w:rPr>
            <w:rStyle w:val="Hyperlink"/>
            <w:rFonts w:eastAsiaTheme="minorEastAsia" w:cs="Arial"/>
            <w:b/>
            <w:szCs w:val="18"/>
          </w:rPr>
          <w:t xml:space="preserve">Financial </w:t>
        </w:r>
        <w:r w:rsidR="00A34BF4" w:rsidRPr="00DA53D1">
          <w:rPr>
            <w:rStyle w:val="Hyperlink"/>
            <w:rFonts w:eastAsiaTheme="minorEastAsia" w:cs="Arial"/>
            <w:b/>
            <w:szCs w:val="18"/>
          </w:rPr>
          <w:t>A</w:t>
        </w:r>
        <w:r w:rsidR="00A34BF4" w:rsidRPr="00DA53D1">
          <w:rPr>
            <w:rStyle w:val="Hyperlink"/>
            <w:rFonts w:eastAsiaTheme="minorEastAsia" w:cs="Arial"/>
            <w:b/>
            <w:szCs w:val="18"/>
          </w:rPr>
          <w:t>ut</w:t>
        </w:r>
        <w:r w:rsidR="00A34BF4" w:rsidRPr="00DA53D1">
          <w:rPr>
            <w:rStyle w:val="Hyperlink"/>
            <w:rFonts w:eastAsiaTheme="minorEastAsia" w:cs="Arial"/>
            <w:b/>
            <w:szCs w:val="18"/>
          </w:rPr>
          <w:t>h</w:t>
        </w:r>
        <w:r w:rsidR="00A34BF4" w:rsidRPr="00DA53D1">
          <w:rPr>
            <w:rStyle w:val="Hyperlink"/>
            <w:rFonts w:eastAsiaTheme="minorEastAsia" w:cs="Arial"/>
            <w:b/>
            <w:szCs w:val="18"/>
          </w:rPr>
          <w:t>orisations Policy and Guidelines</w:t>
        </w:r>
      </w:hyperlink>
    </w:p>
    <w:p w14:paraId="7A892781" w14:textId="023029ED" w:rsidR="00A34BF4" w:rsidRPr="00F562C7" w:rsidRDefault="00B1691A" w:rsidP="00A34BF4">
      <w:pPr>
        <w:rPr>
          <w:rFonts w:eastAsiaTheme="minorEastAsia" w:cs="Arial"/>
          <w:b/>
          <w:color w:val="000000" w:themeColor="text1"/>
          <w:szCs w:val="18"/>
        </w:rPr>
      </w:pPr>
      <w:hyperlink r:id="rId50" w:history="1">
        <w:r w:rsidR="00A34BF4" w:rsidRPr="00DA53D1">
          <w:rPr>
            <w:rStyle w:val="Hyperlink"/>
            <w:rFonts w:eastAsiaTheme="minorEastAsia" w:cs="Arial"/>
            <w:b/>
            <w:szCs w:val="18"/>
          </w:rPr>
          <w:t xml:space="preserve">Fraud </w:t>
        </w:r>
        <w:r w:rsidR="00A34BF4" w:rsidRPr="00DA53D1">
          <w:rPr>
            <w:rStyle w:val="Hyperlink"/>
            <w:rFonts w:eastAsiaTheme="minorEastAsia" w:cs="Arial"/>
            <w:b/>
            <w:szCs w:val="18"/>
          </w:rPr>
          <w:t>a</w:t>
        </w:r>
        <w:r w:rsidR="00A34BF4" w:rsidRPr="00DA53D1">
          <w:rPr>
            <w:rStyle w:val="Hyperlink"/>
            <w:rFonts w:eastAsiaTheme="minorEastAsia" w:cs="Arial"/>
            <w:b/>
            <w:szCs w:val="18"/>
          </w:rPr>
          <w:t>nd Corruption Control Framework</w:t>
        </w:r>
      </w:hyperlink>
    </w:p>
    <w:p w14:paraId="54C40874" w14:textId="0CC508A5" w:rsidR="00A34BF4" w:rsidRPr="00F562C7" w:rsidRDefault="00B1691A"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Indepen</w:t>
        </w:r>
        <w:r w:rsidR="00A34BF4" w:rsidRPr="00DA53D1">
          <w:rPr>
            <w:rStyle w:val="Hyperlink"/>
            <w:rFonts w:eastAsiaTheme="minorEastAsia" w:cs="Arial"/>
            <w:b/>
            <w:szCs w:val="18"/>
          </w:rPr>
          <w:t>d</w:t>
        </w:r>
        <w:r w:rsidR="00A34BF4" w:rsidRPr="00DA53D1">
          <w:rPr>
            <w:rStyle w:val="Hyperlink"/>
            <w:rFonts w:eastAsiaTheme="minorEastAsia" w:cs="Arial"/>
            <w:b/>
            <w:szCs w:val="18"/>
          </w:rPr>
          <w:t>ent Broad-based Anti-</w:t>
        </w:r>
        <w:proofErr w:type="gramStart"/>
        <w:r w:rsidR="00A34BF4" w:rsidRPr="00DA53D1">
          <w:rPr>
            <w:rStyle w:val="Hyperlink"/>
            <w:rFonts w:eastAsiaTheme="minorEastAsia" w:cs="Arial"/>
            <w:b/>
            <w:szCs w:val="18"/>
          </w:rPr>
          <w:t>corruption</w:t>
        </w:r>
        <w:proofErr w:type="gramEnd"/>
        <w:r w:rsidR="00A34BF4" w:rsidRPr="00DA53D1">
          <w:rPr>
            <w:rStyle w:val="Hyperlink"/>
            <w:rFonts w:eastAsiaTheme="minorEastAsia" w:cs="Arial"/>
            <w:b/>
            <w:szCs w:val="18"/>
          </w:rPr>
          <w:t xml:space="preserve"> Commission (IBAC)</w:t>
        </w:r>
      </w:hyperlink>
    </w:p>
    <w:p w14:paraId="740F14EC" w14:textId="62C63251" w:rsidR="00A34BF4" w:rsidRPr="00F562C7" w:rsidRDefault="00B1691A" w:rsidP="00A34BF4">
      <w:pPr>
        <w:rPr>
          <w:rFonts w:eastAsiaTheme="minorEastAsia" w:cs="Arial"/>
          <w:b/>
          <w:color w:val="000000" w:themeColor="text1"/>
          <w:szCs w:val="18"/>
        </w:rPr>
      </w:pPr>
      <w:hyperlink r:id="rId52" w:anchor="/app/content/1766/support_and_service_(corp)%252Ffinance%252Ffinancial_management%252Foracle_chart_of_accounts" w:history="1">
        <w:r w:rsidR="00A34BF4" w:rsidRPr="00F562C7">
          <w:rPr>
            <w:rStyle w:val="Hyperlink"/>
            <w:iCs/>
          </w:rPr>
          <w:t xml:space="preserve">Oracle </w:t>
        </w:r>
        <w:r w:rsidR="00A34BF4" w:rsidRPr="00F562C7">
          <w:rPr>
            <w:rStyle w:val="Hyperlink"/>
            <w:iCs/>
          </w:rPr>
          <w:t>F</w:t>
        </w:r>
        <w:r w:rsidR="00A34BF4" w:rsidRPr="00F562C7">
          <w:rPr>
            <w:rStyle w:val="Hyperlink"/>
            <w:iCs/>
          </w:rPr>
          <w:t>ina</w:t>
        </w:r>
        <w:r w:rsidR="00A34BF4" w:rsidRPr="00F562C7">
          <w:rPr>
            <w:rStyle w:val="Hyperlink"/>
            <w:iCs/>
          </w:rPr>
          <w:t>n</w:t>
        </w:r>
        <w:r w:rsidR="00A34BF4" w:rsidRPr="00F562C7">
          <w:rPr>
            <w:rStyle w:val="Hyperlink"/>
            <w:iCs/>
          </w:rPr>
          <w:t>cials - Chart of Accounts</w:t>
        </w:r>
      </w:hyperlink>
    </w:p>
    <w:p w14:paraId="01A28ACA" w14:textId="7F63DAEB" w:rsidR="00A34BF4" w:rsidRPr="00F562C7" w:rsidRDefault="00B1691A" w:rsidP="00A34BF4">
      <w:pPr>
        <w:rPr>
          <w:rFonts w:eastAsiaTheme="minorEastAsia" w:cs="Arial"/>
          <w:b/>
          <w:color w:val="000000" w:themeColor="text1"/>
          <w:szCs w:val="18"/>
        </w:rPr>
      </w:pPr>
      <w:hyperlink r:id="rId53" w:anchor="/app/content/1925/support_and_service_(corp)%252Fgovernance_and_decision_making%252Frisk_management%252Frisk_management_process" w:history="1">
        <w:r w:rsidR="00A34BF4" w:rsidRPr="00DA53D1">
          <w:rPr>
            <w:rStyle w:val="Hyperlink"/>
            <w:rFonts w:eastAsiaTheme="minorEastAsia" w:cs="Arial"/>
            <w:b/>
            <w:szCs w:val="18"/>
          </w:rPr>
          <w:t>Risk Man</w:t>
        </w:r>
        <w:r w:rsidR="00A34BF4" w:rsidRPr="00DA53D1">
          <w:rPr>
            <w:rStyle w:val="Hyperlink"/>
            <w:rFonts w:eastAsiaTheme="minorEastAsia" w:cs="Arial"/>
            <w:b/>
            <w:szCs w:val="18"/>
          </w:rPr>
          <w:t>a</w:t>
        </w:r>
        <w:r w:rsidR="00A34BF4" w:rsidRPr="00DA53D1">
          <w:rPr>
            <w:rStyle w:val="Hyperlink"/>
            <w:rFonts w:eastAsiaTheme="minorEastAsia" w:cs="Arial"/>
            <w:b/>
            <w:szCs w:val="18"/>
          </w:rPr>
          <w:t>ge</w:t>
        </w:r>
        <w:r w:rsidR="00A34BF4" w:rsidRPr="00DA53D1">
          <w:rPr>
            <w:rStyle w:val="Hyperlink"/>
            <w:rFonts w:eastAsiaTheme="minorEastAsia" w:cs="Arial"/>
            <w:b/>
            <w:szCs w:val="18"/>
          </w:rPr>
          <w:t>m</w:t>
        </w:r>
        <w:r w:rsidR="00A34BF4" w:rsidRPr="00DA53D1">
          <w:rPr>
            <w:rStyle w:val="Hyperlink"/>
            <w:rFonts w:eastAsiaTheme="minorEastAsia" w:cs="Arial"/>
            <w:b/>
            <w:szCs w:val="18"/>
          </w:rPr>
          <w:t>ent Framework</w:t>
        </w:r>
      </w:hyperlink>
    </w:p>
    <w:p w14:paraId="172BD1D7" w14:textId="1BA968F9" w:rsidR="00A34BF4" w:rsidRPr="00F562C7" w:rsidRDefault="00B1691A" w:rsidP="00A34BF4">
      <w:pPr>
        <w:rPr>
          <w:rFonts w:eastAsiaTheme="minorEastAsia" w:cs="Arial"/>
          <w:b/>
          <w:color w:val="000000" w:themeColor="text1"/>
          <w:szCs w:val="18"/>
        </w:rPr>
      </w:pPr>
      <w:hyperlink r:id="rId54" w:anchor="/app/content/1942/support_and_service_(corp)%252Fintegrity_and_assurance%252Fraising_concerns%252Fspeak_up_service" w:history="1">
        <w:r w:rsidR="00A34BF4" w:rsidRPr="00DA53D1">
          <w:rPr>
            <w:rStyle w:val="Hyperlink"/>
            <w:rFonts w:eastAsiaTheme="minorEastAsia" w:cs="Arial"/>
            <w:b/>
            <w:szCs w:val="18"/>
          </w:rPr>
          <w:t>Speak</w:t>
        </w:r>
        <w:r w:rsidR="00A34BF4" w:rsidRPr="00DA53D1">
          <w:rPr>
            <w:rStyle w:val="Hyperlink"/>
            <w:rFonts w:eastAsiaTheme="minorEastAsia" w:cs="Arial"/>
            <w:b/>
            <w:szCs w:val="18"/>
          </w:rPr>
          <w:t xml:space="preserve"> </w:t>
        </w:r>
        <w:r w:rsidR="00A34BF4" w:rsidRPr="00DA53D1">
          <w:rPr>
            <w:rStyle w:val="Hyperlink"/>
            <w:rFonts w:eastAsiaTheme="minorEastAsia" w:cs="Arial"/>
            <w:b/>
            <w:szCs w:val="18"/>
          </w:rPr>
          <w:t>Up Service</w:t>
        </w:r>
      </w:hyperlink>
    </w:p>
    <w:p w14:paraId="236E8B3D" w14:textId="4D2CDA9E" w:rsidR="00A34BF4" w:rsidRPr="00F562C7" w:rsidRDefault="00B1691A"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Sponso</w:t>
        </w:r>
        <w:r w:rsidR="00A34BF4" w:rsidRPr="00DA53D1">
          <w:rPr>
            <w:rStyle w:val="Hyperlink"/>
            <w:rFonts w:eastAsiaTheme="minorEastAsia" w:cs="Arial"/>
            <w:b/>
            <w:szCs w:val="18"/>
          </w:rPr>
          <w:t>r</w:t>
        </w:r>
        <w:r w:rsidR="00A34BF4" w:rsidRPr="00DA53D1">
          <w:rPr>
            <w:rStyle w:val="Hyperlink"/>
            <w:rFonts w:eastAsiaTheme="minorEastAsia" w:cs="Arial"/>
            <w:b/>
            <w:szCs w:val="18"/>
          </w:rPr>
          <w:t>ships Policy and Guidelines</w:t>
        </w:r>
      </w:hyperlink>
    </w:p>
    <w:p w14:paraId="53545DCB" w14:textId="4CCBC826" w:rsidR="00A34BF4" w:rsidRPr="00F562C7" w:rsidRDefault="00B1691A" w:rsidP="00A34BF4">
      <w:pPr>
        <w:rPr>
          <w:rFonts w:eastAsiaTheme="minorEastAsia" w:cs="Arial"/>
          <w:b/>
          <w:i/>
          <w:color w:val="000000" w:themeColor="text1"/>
          <w:szCs w:val="18"/>
        </w:rPr>
      </w:pPr>
      <w:hyperlink r:id="rId56" w:history="1">
        <w:r w:rsidR="00A34BF4" w:rsidRPr="00DA53D1">
          <w:rPr>
            <w:rStyle w:val="Hyperlink"/>
            <w:rFonts w:eastAsiaTheme="minorEastAsia" w:cs="Arial"/>
            <w:b/>
            <w:i/>
            <w:szCs w:val="18"/>
          </w:rPr>
          <w:t>Stan</w:t>
        </w:r>
        <w:r w:rsidR="00A34BF4" w:rsidRPr="00DA53D1">
          <w:rPr>
            <w:rStyle w:val="Hyperlink"/>
            <w:rFonts w:eastAsiaTheme="minorEastAsia" w:cs="Arial"/>
            <w:b/>
            <w:i/>
            <w:szCs w:val="18"/>
          </w:rPr>
          <w:t>d</w:t>
        </w:r>
        <w:r w:rsidR="00A34BF4" w:rsidRPr="00DA53D1">
          <w:rPr>
            <w:rStyle w:val="Hyperlink"/>
            <w:rFonts w:eastAsiaTheme="minorEastAsia" w:cs="Arial"/>
            <w:b/>
            <w:i/>
            <w:szCs w:val="18"/>
          </w:rPr>
          <w:t>ing Directions</w:t>
        </w:r>
        <w:r w:rsidR="00A34BF4" w:rsidRPr="00DA53D1">
          <w:rPr>
            <w:rStyle w:val="Hyperlink"/>
            <w:rFonts w:eastAsiaTheme="minorEastAsia" w:cs="Arial"/>
            <w:b/>
            <w:i/>
            <w:szCs w:val="18"/>
          </w:rPr>
          <w:t xml:space="preserve"> </w:t>
        </w:r>
        <w:r w:rsidR="00A34BF4" w:rsidRPr="00DA53D1">
          <w:rPr>
            <w:rStyle w:val="Hyperlink"/>
            <w:rFonts w:eastAsiaTheme="minorEastAsia" w:cs="Arial"/>
            <w:b/>
            <w:i/>
            <w:szCs w:val="18"/>
          </w:rPr>
          <w:t>of the Minister for Finance 2016</w:t>
        </w:r>
      </w:hyperlink>
    </w:p>
    <w:p w14:paraId="7D81135C" w14:textId="01EBE263" w:rsidR="00A34BF4" w:rsidRPr="00F562C7" w:rsidRDefault="00B1691A"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Sup</w:t>
        </w:r>
        <w:r w:rsidR="00A34BF4" w:rsidRPr="00DA53D1">
          <w:rPr>
            <w:rStyle w:val="Hyperlink"/>
            <w:rFonts w:eastAsiaTheme="minorEastAsia" w:cs="Arial"/>
            <w:b/>
            <w:szCs w:val="18"/>
          </w:rPr>
          <w:t>p</w:t>
        </w:r>
        <w:r w:rsidR="00A34BF4" w:rsidRPr="00DA53D1">
          <w:rPr>
            <w:rStyle w:val="Hyperlink"/>
            <w:rFonts w:eastAsiaTheme="minorEastAsia" w:cs="Arial"/>
            <w:b/>
            <w:szCs w:val="18"/>
          </w:rPr>
          <w:t>lier Code of Conduct</w:t>
        </w:r>
      </w:hyperlink>
    </w:p>
    <w:p w14:paraId="71AA098F" w14:textId="27CA5703" w:rsidR="00A34BF4" w:rsidRPr="00F562C7" w:rsidRDefault="00B1691A" w:rsidP="00A34BF4">
      <w:pPr>
        <w:rPr>
          <w:rFonts w:eastAsiaTheme="minorEastAsia" w:cs="Arial"/>
          <w:b/>
          <w:color w:val="000000" w:themeColor="text1"/>
          <w:szCs w:val="18"/>
        </w:rPr>
      </w:pPr>
      <w:hyperlink r:id="rId58" w:anchor="/app/content/2929/support_and_service_(schools)%252Fprocurement,_funding_and_travel%252Fprocurement%252Fthanks_is_enough" w:history="1">
        <w:r w:rsidR="00A34BF4" w:rsidRPr="00DA53D1">
          <w:rPr>
            <w:rStyle w:val="Hyperlink"/>
            <w:rFonts w:eastAsiaTheme="minorEastAsia" w:cs="Arial"/>
            <w:b/>
            <w:szCs w:val="18"/>
          </w:rPr>
          <w:t>Than</w:t>
        </w:r>
        <w:r w:rsidR="00A34BF4" w:rsidRPr="00DA53D1">
          <w:rPr>
            <w:rStyle w:val="Hyperlink"/>
            <w:rFonts w:eastAsiaTheme="minorEastAsia" w:cs="Arial"/>
            <w:b/>
            <w:szCs w:val="18"/>
          </w:rPr>
          <w:t>k</w:t>
        </w:r>
        <w:r w:rsidR="00A34BF4" w:rsidRPr="00DA53D1">
          <w:rPr>
            <w:rStyle w:val="Hyperlink"/>
            <w:rFonts w:eastAsiaTheme="minorEastAsia" w:cs="Arial"/>
            <w:b/>
            <w:szCs w:val="18"/>
          </w:rPr>
          <w:t>s is Enough</w:t>
        </w:r>
      </w:hyperlink>
    </w:p>
    <w:p w14:paraId="1025DB78" w14:textId="1878DA25" w:rsidR="00A34BF4" w:rsidRPr="00F562C7" w:rsidRDefault="00B1691A" w:rsidP="00A34BF4">
      <w:pPr>
        <w:rPr>
          <w:rFonts w:eastAsiaTheme="minorEastAsia" w:cs="Arial"/>
          <w:b/>
          <w:color w:val="000000" w:themeColor="text1"/>
          <w:szCs w:val="18"/>
        </w:rPr>
      </w:pPr>
      <w:hyperlink r:id="rId59" w:history="1">
        <w:r w:rsidR="00A34BF4" w:rsidRPr="00DA53D1">
          <w:rPr>
            <w:rStyle w:val="Hyperlink"/>
            <w:rFonts w:eastAsiaTheme="minorEastAsia" w:cs="Arial"/>
            <w:b/>
            <w:szCs w:val="18"/>
          </w:rPr>
          <w:t>Victorian</w:t>
        </w:r>
        <w:r w:rsidR="00A34BF4" w:rsidRPr="00DA53D1">
          <w:rPr>
            <w:rStyle w:val="Hyperlink"/>
            <w:rFonts w:eastAsiaTheme="minorEastAsia" w:cs="Arial"/>
            <w:b/>
            <w:szCs w:val="18"/>
          </w:rPr>
          <w:t xml:space="preserve"> </w:t>
        </w:r>
        <w:r w:rsidR="00A34BF4" w:rsidRPr="00DA53D1">
          <w:rPr>
            <w:rStyle w:val="Hyperlink"/>
            <w:rFonts w:eastAsiaTheme="minorEastAsia" w:cs="Arial"/>
            <w:b/>
            <w:szCs w:val="18"/>
          </w:rPr>
          <w:t>Public Sector Commission Gifts, Benefits and Hospitality Policy Framework</w:t>
        </w:r>
      </w:hyperlink>
    </w:p>
    <w:sectPr w:rsidR="00A34BF4" w:rsidRPr="00F562C7" w:rsidSect="00323686">
      <w:footerReference w:type="default" r:id="rId60"/>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7B88" w14:textId="77777777" w:rsidR="00B1691A" w:rsidRDefault="00B1691A" w:rsidP="003967DD">
      <w:pPr>
        <w:spacing w:after="0"/>
      </w:pPr>
      <w:r>
        <w:separator/>
      </w:r>
    </w:p>
  </w:endnote>
  <w:endnote w:type="continuationSeparator" w:id="0">
    <w:p w14:paraId="28D7C1CE" w14:textId="77777777" w:rsidR="00B1691A" w:rsidRDefault="00B1691A" w:rsidP="003967DD">
      <w:pPr>
        <w:spacing w:after="0"/>
      </w:pPr>
      <w:r>
        <w:continuationSeparator/>
      </w:r>
    </w:p>
  </w:endnote>
  <w:endnote w:type="continuationNotice" w:id="1">
    <w:p w14:paraId="502B0BCE" w14:textId="77777777" w:rsidR="00B1691A" w:rsidRDefault="00B16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82D2" w14:textId="3F016E22" w:rsidR="00B1691A" w:rsidRDefault="00B1691A"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0B46A8F" w14:textId="77777777" w:rsidR="00B1691A" w:rsidRDefault="00B1691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A0C4" w14:textId="77777777" w:rsidR="00B1691A" w:rsidRDefault="00B1691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2C5D" w14:textId="671F2BB3" w:rsidR="00B1691A" w:rsidRDefault="00B1691A" w:rsidP="000167D7">
    <w:pPr>
      <w:pStyle w:val="FootnoteText"/>
      <w:ind w:right="2828"/>
    </w:pPr>
    <w:r>
      <w:t>Melbourne June 2021</w:t>
    </w:r>
  </w:p>
  <w:p w14:paraId="364B4C38" w14:textId="314D9BC9" w:rsidR="00B1691A" w:rsidRDefault="00B1691A" w:rsidP="000167D7">
    <w:pPr>
      <w:pStyle w:val="FootnoteText"/>
      <w:ind w:right="2828"/>
    </w:pPr>
    <w:r>
      <w:t>©State of Victoria (Department of Education and Training) 2018</w:t>
    </w:r>
  </w:p>
  <w:p w14:paraId="01B7D671" w14:textId="77777777" w:rsidR="00B1691A" w:rsidRDefault="00B1691A"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B1691A" w:rsidRPr="006D7D30" w:rsidRDefault="00B1691A"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B1691A" w:rsidRDefault="00B1691A"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BE0E" w14:textId="531FA6C0" w:rsidR="00B1691A" w:rsidRDefault="00B1691A"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73F76E" w14:textId="77777777" w:rsidR="00B1691A" w:rsidRDefault="00B1691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DAE2" w14:textId="77777777" w:rsidR="00B1691A" w:rsidRDefault="00B1691A" w:rsidP="003967DD">
      <w:pPr>
        <w:spacing w:after="0"/>
      </w:pPr>
      <w:r>
        <w:separator/>
      </w:r>
    </w:p>
  </w:footnote>
  <w:footnote w:type="continuationSeparator" w:id="0">
    <w:p w14:paraId="05D980C6" w14:textId="77777777" w:rsidR="00B1691A" w:rsidRDefault="00B1691A" w:rsidP="003967DD">
      <w:pPr>
        <w:spacing w:after="0"/>
      </w:pPr>
      <w:r>
        <w:continuationSeparator/>
      </w:r>
    </w:p>
  </w:footnote>
  <w:footnote w:type="continuationNotice" w:id="1">
    <w:p w14:paraId="71B1E9FD" w14:textId="77777777" w:rsidR="00B1691A" w:rsidRDefault="00B169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6F0F" w14:textId="2DA2FAD1" w:rsidR="00B1691A" w:rsidRPr="00470A3D" w:rsidRDefault="00B1691A" w:rsidP="00470A3D">
    <w:pPr>
      <w:pStyle w:val="Header"/>
      <w:tabs>
        <w:tab w:val="clear" w:pos="4513"/>
        <w:tab w:val="clear" w:pos="9026"/>
        <w:tab w:val="left" w:pos="1425"/>
      </w:tabs>
      <w:jc w:val="right"/>
      <w:rPr>
        <w:b/>
      </w:rPr>
    </w:pPr>
    <w:r w:rsidRPr="00470A3D">
      <w:rPr>
        <w:b/>
        <w:noProof/>
        <w:lang w:val="en-US"/>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DFAE" w14:textId="77777777" w:rsidR="00B1691A" w:rsidRDefault="00B1691A" w:rsidP="00A63D55">
    <w:pPr>
      <w:pStyle w:val="Header"/>
      <w:tabs>
        <w:tab w:val="clear" w:pos="4513"/>
        <w:tab w:val="clear" w:pos="9026"/>
        <w:tab w:val="left" w:pos="1425"/>
      </w:tabs>
    </w:pPr>
    <w:r>
      <w:rPr>
        <w:noProof/>
        <w:lang w:val="en-US"/>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7"/>
  </w:num>
  <w:num w:numId="19">
    <w:abstractNumId w:val="23"/>
  </w:num>
  <w:num w:numId="20">
    <w:abstractNumId w:val="36"/>
  </w:num>
  <w:num w:numId="21">
    <w:abstractNumId w:val="27"/>
  </w:num>
  <w:num w:numId="22">
    <w:abstractNumId w:val="35"/>
  </w:num>
  <w:num w:numId="23">
    <w:abstractNumId w:val="11"/>
  </w:num>
  <w:num w:numId="24">
    <w:abstractNumId w:val="22"/>
  </w:num>
  <w:num w:numId="25">
    <w:abstractNumId w:val="15"/>
  </w:num>
  <w:num w:numId="26">
    <w:abstractNumId w:val="19"/>
  </w:num>
  <w:num w:numId="27">
    <w:abstractNumId w:val="32"/>
  </w:num>
  <w:num w:numId="28">
    <w:abstractNumId w:val="39"/>
  </w:num>
  <w:num w:numId="29">
    <w:abstractNumId w:val="34"/>
  </w:num>
  <w:num w:numId="30">
    <w:abstractNumId w:val="13"/>
  </w:num>
  <w:num w:numId="31">
    <w:abstractNumId w:val="38"/>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D62AB"/>
    <w:rsid w:val="000E10A4"/>
    <w:rsid w:val="000F001A"/>
    <w:rsid w:val="000F4564"/>
    <w:rsid w:val="001006BC"/>
    <w:rsid w:val="001045C6"/>
    <w:rsid w:val="00114B05"/>
    <w:rsid w:val="00122369"/>
    <w:rsid w:val="00124D09"/>
    <w:rsid w:val="00141F23"/>
    <w:rsid w:val="00145E28"/>
    <w:rsid w:val="00151B24"/>
    <w:rsid w:val="00156D08"/>
    <w:rsid w:val="001706F8"/>
    <w:rsid w:val="001C78AD"/>
    <w:rsid w:val="00200EAF"/>
    <w:rsid w:val="00227984"/>
    <w:rsid w:val="00241A65"/>
    <w:rsid w:val="002528A6"/>
    <w:rsid w:val="00263D44"/>
    <w:rsid w:val="00264E57"/>
    <w:rsid w:val="0029622F"/>
    <w:rsid w:val="00297673"/>
    <w:rsid w:val="002A2492"/>
    <w:rsid w:val="002A4A96"/>
    <w:rsid w:val="002C5BB2"/>
    <w:rsid w:val="002E3BED"/>
    <w:rsid w:val="002E3D70"/>
    <w:rsid w:val="00312720"/>
    <w:rsid w:val="003140BB"/>
    <w:rsid w:val="00320D9A"/>
    <w:rsid w:val="00323686"/>
    <w:rsid w:val="00325544"/>
    <w:rsid w:val="003360D9"/>
    <w:rsid w:val="003566DA"/>
    <w:rsid w:val="0038126F"/>
    <w:rsid w:val="00392138"/>
    <w:rsid w:val="003967DD"/>
    <w:rsid w:val="003A34B2"/>
    <w:rsid w:val="003D07EE"/>
    <w:rsid w:val="003E7D01"/>
    <w:rsid w:val="00400FCE"/>
    <w:rsid w:val="0040685C"/>
    <w:rsid w:val="00427024"/>
    <w:rsid w:val="00430785"/>
    <w:rsid w:val="00430F02"/>
    <w:rsid w:val="00437B4B"/>
    <w:rsid w:val="00454D7A"/>
    <w:rsid w:val="00470A3D"/>
    <w:rsid w:val="004713EA"/>
    <w:rsid w:val="00472AB5"/>
    <w:rsid w:val="00473503"/>
    <w:rsid w:val="004A5FBD"/>
    <w:rsid w:val="004B21BD"/>
    <w:rsid w:val="004B4E1C"/>
    <w:rsid w:val="005422ED"/>
    <w:rsid w:val="0056070E"/>
    <w:rsid w:val="00576EE5"/>
    <w:rsid w:val="00584366"/>
    <w:rsid w:val="005D4B01"/>
    <w:rsid w:val="006232D6"/>
    <w:rsid w:val="006246FB"/>
    <w:rsid w:val="00624A55"/>
    <w:rsid w:val="00662B41"/>
    <w:rsid w:val="0066430D"/>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A29DC"/>
    <w:rsid w:val="007B556E"/>
    <w:rsid w:val="007D0057"/>
    <w:rsid w:val="007D3E38"/>
    <w:rsid w:val="007E1B46"/>
    <w:rsid w:val="008357E0"/>
    <w:rsid w:val="008565D8"/>
    <w:rsid w:val="008568EE"/>
    <w:rsid w:val="00881F99"/>
    <w:rsid w:val="008C1DD7"/>
    <w:rsid w:val="008C5865"/>
    <w:rsid w:val="008D1B91"/>
    <w:rsid w:val="008D4024"/>
    <w:rsid w:val="008E6300"/>
    <w:rsid w:val="008F447A"/>
    <w:rsid w:val="008F7DC8"/>
    <w:rsid w:val="009157F9"/>
    <w:rsid w:val="009315AF"/>
    <w:rsid w:val="00931667"/>
    <w:rsid w:val="009819CE"/>
    <w:rsid w:val="009A4F5B"/>
    <w:rsid w:val="009B0332"/>
    <w:rsid w:val="009C78F3"/>
    <w:rsid w:val="009D582F"/>
    <w:rsid w:val="009D657C"/>
    <w:rsid w:val="009E1574"/>
    <w:rsid w:val="00A041EC"/>
    <w:rsid w:val="00A31926"/>
    <w:rsid w:val="00A319FE"/>
    <w:rsid w:val="00A32726"/>
    <w:rsid w:val="00A34BF4"/>
    <w:rsid w:val="00A4039C"/>
    <w:rsid w:val="00A53D6F"/>
    <w:rsid w:val="00A63D55"/>
    <w:rsid w:val="00AB25E1"/>
    <w:rsid w:val="00AD20AB"/>
    <w:rsid w:val="00B0154B"/>
    <w:rsid w:val="00B01E61"/>
    <w:rsid w:val="00B11474"/>
    <w:rsid w:val="00B1691A"/>
    <w:rsid w:val="00B211E6"/>
    <w:rsid w:val="00B440AD"/>
    <w:rsid w:val="00B6083C"/>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B59E1"/>
    <w:rsid w:val="00CF5B56"/>
    <w:rsid w:val="00D013E1"/>
    <w:rsid w:val="00D107C4"/>
    <w:rsid w:val="00D17FC1"/>
    <w:rsid w:val="00D30AEB"/>
    <w:rsid w:val="00D47C5A"/>
    <w:rsid w:val="00D7499A"/>
    <w:rsid w:val="00DA3218"/>
    <w:rsid w:val="00DA53D1"/>
    <w:rsid w:val="00DC715A"/>
    <w:rsid w:val="00DD002E"/>
    <w:rsid w:val="00DD6BAD"/>
    <w:rsid w:val="00DE0CC1"/>
    <w:rsid w:val="00E10E41"/>
    <w:rsid w:val="00E3318F"/>
    <w:rsid w:val="00E5135D"/>
    <w:rsid w:val="00E56A81"/>
    <w:rsid w:val="00E825D6"/>
    <w:rsid w:val="00E87873"/>
    <w:rsid w:val="00EA0281"/>
    <w:rsid w:val="00EC0FBB"/>
    <w:rsid w:val="00EC43C5"/>
    <w:rsid w:val="00EE12AD"/>
    <w:rsid w:val="00EE6923"/>
    <w:rsid w:val="00EF0B10"/>
    <w:rsid w:val="00F02115"/>
    <w:rsid w:val="00F50D53"/>
    <w:rsid w:val="00F56257"/>
    <w:rsid w:val="00F562C7"/>
    <w:rsid w:val="00F8071C"/>
    <w:rsid w:val="00FD1BD9"/>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F7E83F"/>
  <w14:defaultImageDpi w14:val="32767"/>
  <w15:docId w15:val="{2B4FD37E-B4E7-4E75-99A6-E289844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 w:type="character" w:styleId="UnresolvedMention">
    <w:name w:val="Unresolved Mention"/>
    <w:basedOn w:val="DefaultParagraphFont"/>
    <w:uiPriority w:val="99"/>
    <w:semiHidden/>
    <w:unhideWhenUsed/>
    <w:rsid w:val="00DE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gate.eduweb.vic.gov.au/edrms/PD/GPS/Policy%20Library/GIFT%20test.pdf" TargetMode="External"/><Relationship Id="rId26" Type="http://schemas.openxmlformats.org/officeDocument/2006/relationships/hyperlink" Target="https://edugate.eduweb.vic.gov.au/sites/i/pages/production.aspx" TargetMode="External"/><Relationship Id="rId39" Type="http://schemas.openxmlformats.org/officeDocument/2006/relationships/hyperlink" Target="mailto:community.stakeholders@edumail.vic.gov.au" TargetMode="External"/><Relationship Id="rId21" Type="http://schemas.openxmlformats.org/officeDocument/2006/relationships/hyperlink" Target="https://edugate.eduweb.vic.gov.au/edrms/pd/GPS/Policy%20Library/DET%20Travel%20Policy.docx" TargetMode="External"/><Relationship Id="rId34" Type="http://schemas.openxmlformats.org/officeDocument/2006/relationships/hyperlink" Target="mailto:educationspeakup@pkf.com.au" TargetMode="External"/><Relationship Id="rId42" Type="http://schemas.openxmlformats.org/officeDocument/2006/relationships/hyperlink" Target="mailto:gifts@edumail.vic.gov.au" TargetMode="External"/><Relationship Id="rId47" Type="http://schemas.openxmlformats.org/officeDocument/2006/relationships/hyperlink" Target="http://www.education.vic.gov.au/hrweb/workm/Pages/Public-Sector-Values.aspx" TargetMode="External"/><Relationship Id="rId50" Type="http://schemas.openxmlformats.org/officeDocument/2006/relationships/hyperlink" Target="https://edugate.eduweb.vic.gov.au/Services/Policies/Documents/Fraud%20and%20Corruption%20Control%20Framework.pdf" TargetMode="External"/><Relationship Id="rId55" Type="http://schemas.openxmlformats.org/officeDocument/2006/relationships/hyperlink" Target="https://edugate.eduweb.vic.gov.au/Services/communications/Guidelines/DEECD%20Corporate%20Sponsorship%20Policy%20and%20Guidelin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edrms/keyprocess/cp/SitePages/SchoolPoliciesDetail.aspx?CId=75" TargetMode="External"/><Relationship Id="rId29" Type="http://schemas.openxmlformats.org/officeDocument/2006/relationships/hyperlink" Target="https://edugate.eduweb.vic.gov.au/Services/Finance/Documents/Purchasing%20Card%20Policy%20and%20Guidelines.docx" TargetMode="External"/><Relationship Id="rId11" Type="http://schemas.openxmlformats.org/officeDocument/2006/relationships/header" Target="header1.xml"/><Relationship Id="rId24" Type="http://schemas.openxmlformats.org/officeDocument/2006/relationships/hyperlink" Target="https://edugate.eduweb.vic.gov.au/edrms/PD/GPS/Policy%20Library/HOST%20test.pdf" TargetMode="External"/><Relationship Id="rId32" Type="http://schemas.openxmlformats.org/officeDocument/2006/relationships/hyperlink" Target="http://www.education.vic.gov.au/about/department/Pages/giftsbenefitshospitalityreg.aspx" TargetMode="External"/><Relationship Id="rId37" Type="http://schemas.openxmlformats.org/officeDocument/2006/relationships/hyperlink" Target="http://www.education.vic.gov.au/hrweb/workm/Pages/conduct.aspx" TargetMode="External"/><Relationship Id="rId40" Type="http://schemas.openxmlformats.org/officeDocument/2006/relationships/hyperlink" Target="http://www.education.vic.gov.au/school/principals/spag/Pages/spag.aspx" TargetMode="External"/><Relationship Id="rId45" Type="http://schemas.openxmlformats.org/officeDocument/2006/relationships/hyperlink" Target="https://vpsc.vic.gov.au/resources/code-of-conduct-for-directors/" TargetMode="External"/><Relationship Id="rId53" Type="http://schemas.openxmlformats.org/officeDocument/2006/relationships/hyperlink" Target="https://edugate.eduweb.vic.gov.au/sites/i/pages/production.aspx" TargetMode="External"/><Relationship Id="rId58" Type="http://schemas.openxmlformats.org/officeDocument/2006/relationships/hyperlink" Target="https://edugate.eduweb.vic.gov.au/sites/i/Pages/production.asp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edugate.eduweb.vic.gov.au/edrms/PD/GPS/Policy%20Library/GIFT%20test.pdf" TargetMode="External"/><Relationship Id="rId14" Type="http://schemas.openxmlformats.org/officeDocument/2006/relationships/header" Target="header2.xml"/><Relationship Id="rId22" Type="http://schemas.openxmlformats.org/officeDocument/2006/relationships/hyperlink" Target="https://edugate.eduweb.vic.gov.au/sites/i/Pages/production.aspx" TargetMode="External"/><Relationship Id="rId27" Type="http://schemas.openxmlformats.org/officeDocument/2006/relationships/hyperlink" Target="https://edugate.eduweb.vic.gov.au/edrms/PD/GPS/Policy%20Library/Hospitality%20Approval%20Guidelines.docx" TargetMode="External"/><Relationship Id="rId30" Type="http://schemas.openxmlformats.org/officeDocument/2006/relationships/hyperlink" Target="https://edugate.eduweb.vic.gov.au/sites/i/pages/production.aspx" TargetMode="External"/><Relationship Id="rId35" Type="http://schemas.openxmlformats.org/officeDocument/2006/relationships/hyperlink" Target="http://www.TalkIntegrity.com/DET" TargetMode="External"/><Relationship Id="rId43" Type="http://schemas.openxmlformats.org/officeDocument/2006/relationships/hyperlink" Target="http://www.education.vic.gov.au/school/teachers/management/finance/pages/cases21.aspx" TargetMode="External"/><Relationship Id="rId48" Type="http://schemas.openxmlformats.org/officeDocument/2006/relationships/hyperlink" Target="http://www.education.vic.gov.au/school/teachers/management/finance/pages/guidelines.aspx" TargetMode="External"/><Relationship Id="rId56" Type="http://schemas.openxmlformats.org/officeDocument/2006/relationships/hyperlink" Target="http://www.dtf.vic.gov.au/Publications/Government-Financial-Management-publications/Standing-Directions-of-the-Minister-for-Finance-2016/Standing-Directions-2016-publications" TargetMode="External"/><Relationship Id="rId8" Type="http://schemas.openxmlformats.org/officeDocument/2006/relationships/webSettings" Target="webSettings.xml"/><Relationship Id="rId51" Type="http://schemas.openxmlformats.org/officeDocument/2006/relationships/hyperlink" Target="http://www.ibac.vic.gov.au/reporting-corruption/notifications/information-for-principal-office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ducation.vic.gov.au/hrweb/Documents/Conflict-of-Interest-Policy.pdf" TargetMode="External"/><Relationship Id="rId25" Type="http://schemas.openxmlformats.org/officeDocument/2006/relationships/hyperlink" Target="https://edugate.eduweb.vic.gov.au/Services/Finance/Documents/Purchasing%20Card%20Policy%20and%20Guidelines.docx" TargetMode="External"/><Relationship Id="rId33" Type="http://schemas.openxmlformats.org/officeDocument/2006/relationships/hyperlink" Target="https://edugate.eduweb.vic.gov.au/edrms/keyprocess/CM/Pages/Home.aspx" TargetMode="External"/><Relationship Id="rId38" Type="http://schemas.openxmlformats.org/officeDocument/2006/relationships/hyperlink" Target="mailto:gifts@edumail.vic.gov.au" TargetMode="External"/><Relationship Id="rId46" Type="http://schemas.openxmlformats.org/officeDocument/2006/relationships/hyperlink" Target="http://www.education.vic.gov.au/hrweb/Documents/Conflict-of-Interest-Policy.pdf" TargetMode="External"/><Relationship Id="rId59" Type="http://schemas.openxmlformats.org/officeDocument/2006/relationships/hyperlink" Target="https://vpsc.vic.gov.au/ethics-behaviours-culture/gifts-benefits-hospitality/" TargetMode="External"/><Relationship Id="rId20"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sites/i/pages/production.aspx" TargetMode="External"/><Relationship Id="rId62"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edugate.eduweb.vic.gov.au/forms/Pages/Gifts-Home-Page.aspx" TargetMode="External"/><Relationship Id="rId28" Type="http://schemas.openxmlformats.org/officeDocument/2006/relationships/hyperlink" Target="http://www.education.vic.gov.au/school/teachers/management/finance/pages/guidelines.aspx" TargetMode="External"/><Relationship Id="rId36" Type="http://schemas.openxmlformats.org/officeDocument/2006/relationships/hyperlink" Target="http://www.education.vic.gov.au/hrweb/workm/Pages/conduct.aspx" TargetMode="External"/><Relationship Id="rId49" Type="http://schemas.openxmlformats.org/officeDocument/2006/relationships/hyperlink" Target="https://edugate.eduweb.vic.gov.au/sites/i/pages/production.aspx" TargetMode="External"/><Relationship Id="rId57" Type="http://schemas.openxmlformats.org/officeDocument/2006/relationships/hyperlink" Target="https://www.buyingfor.vic.gov.au/supplier-code-conduct" TargetMode="External"/><Relationship Id="rId10" Type="http://schemas.openxmlformats.org/officeDocument/2006/relationships/endnotes" Target="endnotes.xml"/><Relationship Id="rId31" Type="http://schemas.openxmlformats.org/officeDocument/2006/relationships/hyperlink" Target="http://www.education.vic.gov.au/school/principals/spag/safety/pages/alcohol.aspx" TargetMode="External"/><Relationship Id="rId44" Type="http://schemas.openxmlformats.org/officeDocument/2006/relationships/hyperlink" Target="https://vpsc.vic.gov.au/html-resources/code-of-conduct-for-victorian-public-sector-employees/" TargetMode="External"/><Relationship Id="rId52" Type="http://schemas.openxmlformats.org/officeDocument/2006/relationships/hyperlink" Target="https://edugate.eduweb.vic.gov.au/sites/i/Pages/production.aspx"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28</Value>
      <Value>541</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7253-4073-4F9D-B212-D82649E7C280}"/>
</file>

<file path=customXml/itemProps2.xml><?xml version="1.0" encoding="utf-8"?>
<ds:datastoreItem xmlns:ds="http://schemas.openxmlformats.org/officeDocument/2006/customXml" ds:itemID="{4ACDCBD4-A801-4AFE-ACA4-10198C3DBD3E}">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9116c9d9-99b1-4186-baab-a72fcfd9eeb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1CC204-691A-4485-804A-FD5AF3DE3022}"/>
</file>

<file path=customXml/itemProps4.xml><?xml version="1.0" encoding="utf-8"?>
<ds:datastoreItem xmlns:ds="http://schemas.openxmlformats.org/officeDocument/2006/customXml" ds:itemID="{4A61E41D-13EE-49D8-BE44-6033FE87B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8683</Words>
  <Characters>49497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As amended in March 2021, Merrica update</dc:subject>
  <dc:creator>Isabel Lim</dc:creator>
  <cp:keywords>June 2021</cp:keywords>
  <dc:description>21 Jun 18: replace missing hyperlinks to GIFT, HOST and Registry system</dc:description>
  <cp:lastModifiedBy>Nathalie Bourgois</cp:lastModifiedBy>
  <cp:revision>7</cp:revision>
  <cp:lastPrinted>2018-11-05T00:44:00Z</cp:lastPrinted>
  <dcterms:created xsi:type="dcterms:W3CDTF">2021-05-17T01:14:00Z</dcterms:created>
  <dcterms:modified xsi:type="dcterms:W3CDTF">2021-07-30T02:09:00Z</dcterms:modified>
  <cp:category>GoA Vouchers;AED Endorsement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28;#13.1.2 Internal Policy|ad985a07-89db-41e4-84da-e1a6cef79014</vt:lpwstr>
  </property>
  <property fmtid="{D5CDD505-2E9C-101B-9397-08002B2CF9AE}" pid="4" name="RecordPoint_RecordNumberSubmitted">
    <vt:lpwstr>R20211651987</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{f325bdd1-836c-4bad-8518-77ea8d27221e}</vt:lpwstr>
  </property>
  <property fmtid="{D5CDD505-2E9C-101B-9397-08002B2CF9AE}" pid="8" name="RecordPoint_SubmissionCompleted">
    <vt:lpwstr>2021-07-30T12:20:51.4983220+10:00</vt:lpwstr>
  </property>
  <property fmtid="{D5CDD505-2E9C-101B-9397-08002B2CF9AE}" pid="9" name="RecordPoint_ActiveItemWebId">
    <vt:lpwstr>{87ae349b-94c7-4af2-a1af-11a3485f15fa}</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{e16602cf-fae9-44b1-bf32-3fa27252e874}</vt:lpwstr>
  </property>
  <property fmtid="{D5CDD505-2E9C-101B-9397-08002B2CF9AE}" pid="14" name="RecordPoint_ActiveItemListId">
    <vt:lpwstr>{8fb3f8f3-3db3-44aa-80f3-7737e73b4bfb}</vt:lpwstr>
  </property>
  <property fmtid="{D5CDD505-2E9C-101B-9397-08002B2CF9AE}" pid="15" name="Order">
    <vt:r8>2317100</vt:r8>
  </property>
  <property fmtid="{D5CDD505-2E9C-101B-9397-08002B2CF9AE}" pid="16" name="xd_ProgID">
    <vt:lpwstr/>
  </property>
  <property fmtid="{D5CDD505-2E9C-101B-9397-08002B2CF9AE}" pid="17" name="TemplateUrl">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