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E8C42" w14:textId="5E7C4EDE" w:rsidR="00F44403" w:rsidRPr="00364C01" w:rsidRDefault="00F44403" w:rsidP="00364C01">
      <w:pPr>
        <w:pBdr>
          <w:bottom w:val="single" w:sz="4" w:space="1" w:color="auto"/>
        </w:pBdr>
        <w:jc w:val="center"/>
        <w:rPr>
          <w:rFonts w:ascii="Arial" w:hAnsi="Arial" w:cs="Arial"/>
          <w:color w:val="000000"/>
          <w:sz w:val="19"/>
          <w:szCs w:val="19"/>
        </w:rPr>
      </w:pPr>
      <w:bookmarkStart w:id="0" w:name="_Hlk69392693"/>
      <w:r w:rsidRPr="007E488D">
        <w:rPr>
          <w:noProof/>
        </w:rPr>
        <w:drawing>
          <wp:inline distT="0" distB="0" distL="0" distR="0" wp14:anchorId="555EC55C" wp14:editId="2FC645FC">
            <wp:extent cx="2628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inline>
        </w:drawing>
      </w:r>
      <w:r>
        <w:rPr>
          <w:rFonts w:ascii="Arial" w:hAnsi="Arial" w:cs="Arial"/>
          <w:color w:val="000000"/>
          <w:sz w:val="19"/>
          <w:szCs w:val="19"/>
        </w:rPr>
        <w:tab/>
      </w:r>
      <w:r w:rsidRPr="00047A9D">
        <w:rPr>
          <w:rStyle w:val="IntenseEmphasis"/>
          <w:rFonts w:eastAsiaTheme="majorEastAsia"/>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Pr>
          <w:rFonts w:ascii="Arial" w:hAnsi="Arial" w:cs="Arial"/>
          <w:b/>
          <w:bCs/>
          <w:noProof/>
          <w:color w:val="C0504D"/>
          <w:sz w:val="19"/>
          <w:szCs w:val="19"/>
        </w:rPr>
        <w:drawing>
          <wp:inline distT="0" distB="0" distL="0" distR="0" wp14:anchorId="64779163" wp14:editId="5A116FAF">
            <wp:extent cx="812800" cy="1079500"/>
            <wp:effectExtent l="0" t="0" r="0" b="0"/>
            <wp:docPr id="2" name="vcossLogo" descr="VCOSS">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cossLogo" descr="VCOS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1079500"/>
                    </a:xfrm>
                    <a:prstGeom prst="rect">
                      <a:avLst/>
                    </a:prstGeom>
                    <a:noFill/>
                    <a:ln>
                      <a:noFill/>
                    </a:ln>
                  </pic:spPr>
                </pic:pic>
              </a:graphicData>
            </a:graphic>
          </wp:inline>
        </w:drawing>
      </w:r>
    </w:p>
    <w:p w14:paraId="133790AD" w14:textId="77777777" w:rsidR="00F44403" w:rsidRPr="00155667" w:rsidRDefault="00F44403" w:rsidP="00155667">
      <w:pPr>
        <w:pStyle w:val="Heading1"/>
        <w:rPr>
          <w:b/>
          <w:bCs/>
        </w:rPr>
      </w:pPr>
      <w:r w:rsidRPr="00155667">
        <w:rPr>
          <w:b/>
          <w:bCs/>
        </w:rPr>
        <w:t>About this Communique</w:t>
      </w:r>
    </w:p>
    <w:p w14:paraId="55B60860" w14:textId="27F342FD" w:rsidR="00F44403" w:rsidRPr="00CB71AE" w:rsidRDefault="00F44403" w:rsidP="00F44403">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bCs/>
          <w:sz w:val="21"/>
          <w:szCs w:val="21"/>
          <w:lang w:val="en-US"/>
        </w:rPr>
        <w:t xml:space="preserve">The Department of Education and Training (DET) – Community Sector Organisation (CSO) Governance Group is a quarterly forum </w:t>
      </w:r>
      <w:r w:rsidRPr="00CB71AE">
        <w:rPr>
          <w:rFonts w:asciiTheme="minorHAnsi" w:hAnsiTheme="minorHAnsi" w:cstheme="minorHAnsi"/>
          <w:sz w:val="21"/>
          <w:szCs w:val="21"/>
        </w:rPr>
        <w:t>for communication, consultation, engagement and collaboration between the Department and community sector. Meetings are co-chaired by DET and the Victorian Council of Social Service (VCOSS)</w:t>
      </w:r>
      <w:r w:rsidR="00ED4E46">
        <w:rPr>
          <w:rFonts w:asciiTheme="minorHAnsi" w:hAnsiTheme="minorHAnsi" w:cstheme="minorHAnsi"/>
          <w:sz w:val="21"/>
          <w:szCs w:val="21"/>
        </w:rPr>
        <w:t xml:space="preserve"> </w:t>
      </w:r>
      <w:r w:rsidRPr="00CB71AE">
        <w:rPr>
          <w:rFonts w:asciiTheme="minorHAnsi" w:hAnsiTheme="minorHAnsi" w:cstheme="minorHAnsi"/>
          <w:sz w:val="21"/>
          <w:szCs w:val="21"/>
        </w:rPr>
        <w:t xml:space="preserve">and reflect topics of mutual interest to DET and </w:t>
      </w:r>
      <w:r w:rsidR="00ED4E46">
        <w:rPr>
          <w:rFonts w:asciiTheme="minorHAnsi" w:hAnsiTheme="minorHAnsi" w:cstheme="minorHAnsi"/>
          <w:sz w:val="21"/>
          <w:szCs w:val="21"/>
        </w:rPr>
        <w:t xml:space="preserve">the </w:t>
      </w:r>
      <w:r w:rsidRPr="00CB71AE">
        <w:rPr>
          <w:rFonts w:asciiTheme="minorHAnsi" w:hAnsiTheme="minorHAnsi" w:cstheme="minorHAnsi"/>
          <w:sz w:val="21"/>
          <w:szCs w:val="21"/>
        </w:rPr>
        <w:t xml:space="preserve">sector. You can read more about the partnership agreement that underpins this work on </w:t>
      </w:r>
      <w:hyperlink r:id="rId9" w:history="1">
        <w:r w:rsidRPr="00F55954">
          <w:rPr>
            <w:rStyle w:val="Hyperlink"/>
            <w:rFonts w:asciiTheme="minorHAnsi" w:hAnsiTheme="minorHAnsi" w:cstheme="minorHAnsi"/>
            <w:sz w:val="21"/>
            <w:szCs w:val="21"/>
          </w:rPr>
          <w:t>VCOSS</w:t>
        </w:r>
      </w:hyperlink>
      <w:r w:rsidRPr="00CB71AE">
        <w:rPr>
          <w:rFonts w:asciiTheme="minorHAnsi" w:hAnsiTheme="minorHAnsi" w:cstheme="minorHAnsi"/>
          <w:sz w:val="21"/>
          <w:szCs w:val="21"/>
        </w:rPr>
        <w:t xml:space="preserve"> and </w:t>
      </w:r>
      <w:hyperlink r:id="rId10" w:history="1">
        <w:r w:rsidRPr="00CB71AE">
          <w:rPr>
            <w:rStyle w:val="Hyperlink"/>
            <w:rFonts w:asciiTheme="minorHAnsi" w:hAnsiTheme="minorHAnsi" w:cstheme="minorHAnsi"/>
            <w:sz w:val="21"/>
            <w:szCs w:val="21"/>
          </w:rPr>
          <w:t>DET’s</w:t>
        </w:r>
      </w:hyperlink>
      <w:r w:rsidRPr="00CB71AE">
        <w:rPr>
          <w:rFonts w:asciiTheme="minorHAnsi" w:hAnsiTheme="minorHAnsi" w:cstheme="minorHAnsi"/>
          <w:sz w:val="21"/>
          <w:szCs w:val="21"/>
        </w:rPr>
        <w:t xml:space="preserve"> websites.</w:t>
      </w:r>
    </w:p>
    <w:p w14:paraId="436C2850" w14:textId="77777777" w:rsidR="00F44403" w:rsidRPr="00CB71AE" w:rsidRDefault="00F44403" w:rsidP="00F44403">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sz w:val="21"/>
          <w:szCs w:val="21"/>
        </w:rPr>
        <w:t>This Communique has been prepared by VCOSS to increase the visibility of this forum.</w:t>
      </w:r>
    </w:p>
    <w:p w14:paraId="27534BF2" w14:textId="77777777" w:rsidR="00F44403" w:rsidRPr="00155667" w:rsidRDefault="00F44403" w:rsidP="00155667">
      <w:pPr>
        <w:pStyle w:val="Heading1"/>
        <w:rPr>
          <w:b/>
          <w:bCs/>
        </w:rPr>
      </w:pPr>
      <w:r w:rsidRPr="00155667">
        <w:rPr>
          <w:b/>
          <w:bCs/>
        </w:rPr>
        <w:t>What was discussed in the March 2021 meeting?</w:t>
      </w:r>
    </w:p>
    <w:p w14:paraId="4195564F" w14:textId="77777777" w:rsidR="00F44403" w:rsidRPr="00CB71AE" w:rsidRDefault="00F44403" w:rsidP="00F44403">
      <w:pPr>
        <w:spacing w:before="120" w:after="120"/>
        <w:rPr>
          <w:rFonts w:asciiTheme="minorHAnsi" w:hAnsiTheme="minorHAnsi" w:cstheme="minorHAnsi"/>
          <w:sz w:val="21"/>
          <w:szCs w:val="21"/>
        </w:rPr>
      </w:pPr>
      <w:r w:rsidRPr="00CB71AE">
        <w:rPr>
          <w:rFonts w:asciiTheme="minorHAnsi" w:hAnsiTheme="minorHAnsi" w:cstheme="minorHAnsi"/>
          <w:sz w:val="21"/>
          <w:szCs w:val="21"/>
        </w:rPr>
        <w:t>The focus of this meeting was Mental Health and Wellbeing.</w:t>
      </w:r>
    </w:p>
    <w:p w14:paraId="191CF4E9" w14:textId="77777777" w:rsidR="00F44403" w:rsidRPr="00155667" w:rsidRDefault="00F44403" w:rsidP="00155667">
      <w:pPr>
        <w:pStyle w:val="Heading1"/>
        <w:rPr>
          <w:b/>
          <w:bCs/>
        </w:rPr>
      </w:pPr>
      <w:r w:rsidRPr="00155667">
        <w:rPr>
          <w:b/>
          <w:bCs/>
        </w:rPr>
        <w:t>Mental health</w:t>
      </w:r>
    </w:p>
    <w:p w14:paraId="06EC4AD1" w14:textId="77777777" w:rsidR="00F44403" w:rsidRPr="00155667" w:rsidRDefault="00F44403" w:rsidP="00155667">
      <w:pPr>
        <w:pStyle w:val="Heading2"/>
      </w:pPr>
      <w:r w:rsidRPr="00155667">
        <w:t>Royal Commission into Victoria’s Mental Health System Final Report</w:t>
      </w:r>
    </w:p>
    <w:p w14:paraId="31FEE1EF" w14:textId="77777777" w:rsidR="00F44403" w:rsidRPr="00CB71AE" w:rsidRDefault="00F44403" w:rsidP="00F44403">
      <w:pPr>
        <w:spacing w:before="120" w:after="120"/>
        <w:rPr>
          <w:rFonts w:asciiTheme="minorHAnsi" w:hAnsiTheme="minorHAnsi" w:cstheme="minorHAnsi"/>
          <w:bCs/>
          <w:sz w:val="21"/>
          <w:szCs w:val="21"/>
          <w:lang w:val="en-US"/>
        </w:rPr>
      </w:pPr>
      <w:r w:rsidRPr="00CB71AE">
        <w:rPr>
          <w:rFonts w:asciiTheme="minorHAnsi" w:hAnsiTheme="minorHAnsi" w:cstheme="minorHAnsi"/>
          <w:bCs/>
          <w:sz w:val="21"/>
          <w:szCs w:val="21"/>
          <w:lang w:val="en-US"/>
        </w:rPr>
        <w:t>The Royal Commission into Victoria’s Mental Health System Final Report was released on 2 March 2021, the day prior to the Governance Group meeting.</w:t>
      </w:r>
    </w:p>
    <w:p w14:paraId="1A2E5589" w14:textId="77777777" w:rsidR="00F44403" w:rsidRPr="00CB71AE" w:rsidRDefault="00F44403" w:rsidP="00F44403">
      <w:pPr>
        <w:pStyle w:val="NoSpacing"/>
        <w:spacing w:before="120" w:after="120"/>
        <w:rPr>
          <w:rFonts w:asciiTheme="minorHAnsi" w:hAnsiTheme="minorHAnsi" w:cstheme="minorHAnsi"/>
          <w:sz w:val="21"/>
          <w:szCs w:val="21"/>
        </w:rPr>
      </w:pPr>
      <w:r w:rsidRPr="00CB71AE">
        <w:rPr>
          <w:rFonts w:asciiTheme="minorHAnsi" w:hAnsiTheme="minorHAnsi" w:cstheme="minorHAnsi"/>
          <w:b/>
          <w:bCs/>
          <w:sz w:val="21"/>
          <w:szCs w:val="21"/>
        </w:rPr>
        <w:t>Angus Clelland, CEO, Mental Health Victoria</w:t>
      </w:r>
      <w:r w:rsidRPr="00CB71AE">
        <w:rPr>
          <w:rFonts w:asciiTheme="minorHAnsi" w:hAnsiTheme="minorHAnsi" w:cstheme="minorHAnsi"/>
          <w:sz w:val="21"/>
          <w:szCs w:val="21"/>
        </w:rPr>
        <w:t xml:space="preserve"> provided the Governance Group with an overview and analysis of the key findings and recommendations, including those that specifically relate to children and young people. This includes the development of 13 well-resourced infant, child and youth mental health and wellbeing services.</w:t>
      </w:r>
    </w:p>
    <w:p w14:paraId="7E9415B9" w14:textId="77777777" w:rsidR="00F44403" w:rsidRPr="00CB71AE" w:rsidRDefault="00F44403" w:rsidP="00F44403">
      <w:pPr>
        <w:pStyle w:val="NoSpacing"/>
        <w:spacing w:before="120" w:after="120"/>
        <w:rPr>
          <w:rFonts w:asciiTheme="minorHAnsi" w:hAnsiTheme="minorHAnsi" w:cstheme="minorHAnsi"/>
          <w:sz w:val="21"/>
          <w:szCs w:val="21"/>
        </w:rPr>
      </w:pPr>
      <w:r w:rsidRPr="00CB71AE">
        <w:rPr>
          <w:rFonts w:asciiTheme="minorHAnsi" w:hAnsiTheme="minorHAnsi" w:cstheme="minorHAnsi"/>
          <w:b/>
          <w:bCs/>
          <w:sz w:val="21"/>
          <w:szCs w:val="21"/>
        </w:rPr>
        <w:t>Justin McDonnell, Executive Director, Wellbeing, Health and Engagement, DET</w:t>
      </w:r>
      <w:r w:rsidRPr="00CB71AE">
        <w:rPr>
          <w:rFonts w:asciiTheme="minorHAnsi" w:hAnsiTheme="minorHAnsi" w:cstheme="minorHAnsi"/>
          <w:sz w:val="21"/>
          <w:szCs w:val="21"/>
        </w:rPr>
        <w:t xml:space="preserve"> shared initial reflections on the Final Report from DET’s perspective, including the role DET will play in the implementation of Recommendation 17.</w:t>
      </w:r>
    </w:p>
    <w:p w14:paraId="121259D0" w14:textId="2FDF5670" w:rsidR="00F44403" w:rsidRDefault="00F44403" w:rsidP="00F44403">
      <w:pPr>
        <w:spacing w:before="120" w:after="120"/>
        <w:rPr>
          <w:rFonts w:asciiTheme="minorHAnsi" w:hAnsiTheme="minorHAnsi" w:cstheme="minorHAnsi"/>
          <w:bCs/>
          <w:sz w:val="21"/>
          <w:szCs w:val="21"/>
          <w:lang w:val="en-US"/>
        </w:rPr>
      </w:pPr>
      <w:r w:rsidRPr="00CB71AE">
        <w:rPr>
          <w:rFonts w:asciiTheme="minorHAnsi" w:hAnsiTheme="minorHAnsi" w:cstheme="minorHAnsi"/>
          <w:bCs/>
          <w:sz w:val="21"/>
          <w:szCs w:val="21"/>
          <w:lang w:val="en-US"/>
        </w:rPr>
        <w:t xml:space="preserve">The Governance Group welcomed the report as a roadmap for real, positive change that puts people with lived experience of mental illness at the centre of service design and delivery. The group reaffirmed its commitment to ensuring the voices of children and young people are </w:t>
      </w:r>
      <w:r w:rsidR="000711C9">
        <w:rPr>
          <w:rFonts w:asciiTheme="minorHAnsi" w:hAnsiTheme="minorHAnsi" w:cstheme="minorHAnsi"/>
          <w:bCs/>
          <w:sz w:val="21"/>
          <w:szCs w:val="21"/>
          <w:lang w:val="en-US"/>
        </w:rPr>
        <w:t>central to</w:t>
      </w:r>
      <w:r w:rsidRPr="00CB71AE">
        <w:rPr>
          <w:rFonts w:asciiTheme="minorHAnsi" w:hAnsiTheme="minorHAnsi" w:cstheme="minorHAnsi"/>
          <w:bCs/>
          <w:sz w:val="21"/>
          <w:szCs w:val="21"/>
          <w:lang w:val="en-US"/>
        </w:rPr>
        <w:t xml:space="preserve"> all our work, including the implementation of Royal Commission recommendations.</w:t>
      </w:r>
    </w:p>
    <w:p w14:paraId="1171819F" w14:textId="61F98CBE" w:rsidR="00010736" w:rsidRPr="00010736" w:rsidRDefault="000711C9" w:rsidP="00010736">
      <w:pPr>
        <w:tabs>
          <w:tab w:val="left" w:pos="1417"/>
          <w:tab w:val="left" w:pos="2126"/>
          <w:tab w:val="left" w:pos="2835"/>
          <w:tab w:val="left" w:pos="3543"/>
          <w:tab w:val="left" w:pos="4252"/>
          <w:tab w:val="left" w:pos="4961"/>
          <w:tab w:val="left" w:pos="5669"/>
          <w:tab w:val="left" w:pos="6378"/>
          <w:tab w:val="left" w:pos="7087"/>
          <w:tab w:val="left" w:pos="7795"/>
        </w:tabs>
        <w:spacing w:before="120" w:after="120"/>
        <w:rPr>
          <w:rFonts w:asciiTheme="minorHAnsi" w:hAnsiTheme="minorHAnsi" w:cstheme="minorHAnsi"/>
          <w:sz w:val="21"/>
          <w:szCs w:val="21"/>
        </w:rPr>
      </w:pPr>
      <w:r>
        <w:rPr>
          <w:rFonts w:asciiTheme="minorHAnsi" w:hAnsiTheme="minorHAnsi" w:cstheme="minorHAnsi"/>
          <w:sz w:val="21"/>
          <w:szCs w:val="21"/>
        </w:rPr>
        <w:t>Further</w:t>
      </w:r>
      <w:r w:rsidR="00010736" w:rsidRPr="00010736">
        <w:rPr>
          <w:rFonts w:asciiTheme="minorHAnsi" w:hAnsiTheme="minorHAnsi" w:cstheme="minorHAnsi"/>
          <w:sz w:val="21"/>
          <w:szCs w:val="21"/>
        </w:rPr>
        <w:t xml:space="preserve"> information on Mental Health </w:t>
      </w:r>
      <w:r>
        <w:rPr>
          <w:rFonts w:asciiTheme="minorHAnsi" w:hAnsiTheme="minorHAnsi" w:cstheme="minorHAnsi"/>
          <w:sz w:val="21"/>
          <w:szCs w:val="21"/>
        </w:rPr>
        <w:t xml:space="preserve">is available </w:t>
      </w:r>
      <w:r w:rsidR="00010736" w:rsidRPr="00010736">
        <w:rPr>
          <w:rFonts w:asciiTheme="minorHAnsi" w:hAnsiTheme="minorHAnsi" w:cstheme="minorHAnsi"/>
          <w:sz w:val="21"/>
          <w:szCs w:val="21"/>
        </w:rPr>
        <w:t>at</w:t>
      </w:r>
      <w:r w:rsidR="00010736" w:rsidRPr="00010736">
        <w:rPr>
          <w:rFonts w:asciiTheme="minorHAnsi" w:hAnsiTheme="minorHAnsi" w:cstheme="minorHAnsi"/>
        </w:rPr>
        <w:t xml:space="preserve">: </w:t>
      </w:r>
      <w:hyperlink r:id="rId11" w:history="1">
        <w:r w:rsidR="00010736" w:rsidRPr="00010736">
          <w:rPr>
            <w:rStyle w:val="Hyperlink"/>
            <w:rFonts w:asciiTheme="minorHAnsi" w:hAnsiTheme="minorHAnsi" w:cstheme="minorHAnsi"/>
            <w:sz w:val="21"/>
            <w:szCs w:val="21"/>
          </w:rPr>
          <w:t>https://finalreport.rcvmhs.vic.gov.au/</w:t>
        </w:r>
      </w:hyperlink>
      <w:r w:rsidR="00010736" w:rsidRPr="00010736">
        <w:rPr>
          <w:rFonts w:asciiTheme="minorHAnsi" w:hAnsiTheme="minorHAnsi" w:cstheme="minorHAnsi"/>
          <w:sz w:val="21"/>
          <w:szCs w:val="21"/>
        </w:rPr>
        <w:t xml:space="preserve"> and </w:t>
      </w:r>
      <w:hyperlink r:id="rId12" w:history="1">
        <w:r w:rsidR="00010736" w:rsidRPr="00010736">
          <w:rPr>
            <w:rStyle w:val="Hyperlink"/>
            <w:rFonts w:asciiTheme="minorHAnsi" w:hAnsiTheme="minorHAnsi" w:cstheme="minorHAnsi"/>
            <w:bCs/>
            <w:sz w:val="21"/>
            <w:szCs w:val="21"/>
          </w:rPr>
          <w:t>https://finalreport.rcvmhs.vic.gov.au/fact-sheets/</w:t>
        </w:r>
      </w:hyperlink>
      <w:r>
        <w:rPr>
          <w:rFonts w:asciiTheme="minorHAnsi" w:hAnsiTheme="minorHAnsi" w:cstheme="minorHAnsi"/>
          <w:bCs/>
          <w:sz w:val="21"/>
          <w:szCs w:val="21"/>
        </w:rPr>
        <w:t>.</w:t>
      </w:r>
    </w:p>
    <w:p w14:paraId="650C40ED" w14:textId="77777777" w:rsidR="00F44403" w:rsidRPr="00F07E7A" w:rsidRDefault="00F44403" w:rsidP="00F07E7A">
      <w:pPr>
        <w:pStyle w:val="Heading1"/>
        <w:rPr>
          <w:b/>
          <w:bCs/>
        </w:rPr>
      </w:pPr>
      <w:r w:rsidRPr="00F07E7A">
        <w:rPr>
          <w:b/>
          <w:bCs/>
        </w:rPr>
        <w:t>Wellbeing</w:t>
      </w:r>
    </w:p>
    <w:p w14:paraId="22239F10" w14:textId="17E3C1A8" w:rsidR="00F44403" w:rsidRPr="00CB71AE" w:rsidRDefault="00F44403" w:rsidP="00F44403">
      <w:pPr>
        <w:spacing w:before="120" w:after="120"/>
        <w:rPr>
          <w:rFonts w:asciiTheme="minorHAnsi" w:hAnsiTheme="minorHAnsi" w:cstheme="minorHAnsi"/>
          <w:sz w:val="21"/>
          <w:szCs w:val="21"/>
          <w:lang w:val="en-US" w:eastAsia="en-US"/>
        </w:rPr>
      </w:pPr>
      <w:r w:rsidRPr="00CB71AE">
        <w:rPr>
          <w:rFonts w:asciiTheme="minorHAnsi" w:hAnsiTheme="minorHAnsi" w:cstheme="minorHAnsi"/>
          <w:sz w:val="21"/>
          <w:szCs w:val="21"/>
          <w:lang w:val="en-US" w:eastAsia="en-US"/>
        </w:rPr>
        <w:t>There are a wide range of existing wellbeing programs that support children and young people. Many successful programs and initiatives have one or more of the following characteristics: they are purposefully designed to empower children and young people; they are underpinned by strong partnerships; and they are often (though not always) place</w:t>
      </w:r>
      <w:r w:rsidR="0058520B">
        <w:rPr>
          <w:rFonts w:asciiTheme="minorHAnsi" w:hAnsiTheme="minorHAnsi" w:cstheme="minorHAnsi"/>
          <w:sz w:val="21"/>
          <w:szCs w:val="21"/>
          <w:lang w:val="en-US" w:eastAsia="en-US"/>
        </w:rPr>
        <w:t xml:space="preserve"> </w:t>
      </w:r>
      <w:r w:rsidRPr="00CB71AE">
        <w:rPr>
          <w:rFonts w:asciiTheme="minorHAnsi" w:hAnsiTheme="minorHAnsi" w:cstheme="minorHAnsi"/>
          <w:sz w:val="21"/>
          <w:szCs w:val="21"/>
          <w:lang w:val="en-US" w:eastAsia="en-US"/>
        </w:rPr>
        <w:t xml:space="preserve">based. </w:t>
      </w:r>
    </w:p>
    <w:p w14:paraId="4B99EFEB" w14:textId="1521E345" w:rsidR="00F44403" w:rsidRPr="00155667" w:rsidRDefault="00F44403" w:rsidP="00155667">
      <w:pPr>
        <w:pStyle w:val="Heading2"/>
      </w:pPr>
      <w:r w:rsidRPr="00155667">
        <w:t>Case studies were provided by the following presenters</w:t>
      </w:r>
      <w:r w:rsidR="00010736">
        <w:t>:</w:t>
      </w:r>
    </w:p>
    <w:p w14:paraId="6B95F2AB" w14:textId="77777777" w:rsidR="00F44403" w:rsidRPr="00155667" w:rsidRDefault="00F44403" w:rsidP="00155667">
      <w:pPr>
        <w:pStyle w:val="Heading2"/>
      </w:pPr>
      <w:bookmarkStart w:id="1" w:name="_Hlk69744759"/>
      <w:r w:rsidRPr="00155667">
        <w:t>Koorie Outreach Support Program</w:t>
      </w:r>
    </w:p>
    <w:p w14:paraId="728B8454" w14:textId="77777777" w:rsidR="00F44403" w:rsidRPr="00CB71AE" w:rsidRDefault="00F44403" w:rsidP="00F44403">
      <w:pPr>
        <w:spacing w:before="120" w:after="120"/>
        <w:rPr>
          <w:rFonts w:ascii="Calibri" w:eastAsia="Calibri" w:hAnsi="Calibri" w:cs="Calibri"/>
          <w:sz w:val="21"/>
          <w:szCs w:val="21"/>
        </w:rPr>
      </w:pPr>
      <w:r w:rsidRPr="00CB71AE">
        <w:rPr>
          <w:rFonts w:ascii="Calibri" w:eastAsia="Calibri" w:hAnsi="Calibri" w:cs="Calibri"/>
          <w:b/>
          <w:bCs/>
          <w:sz w:val="21"/>
          <w:szCs w:val="21"/>
        </w:rPr>
        <w:t>Lionel Bamblett, General Manager, Victorian Aboriginal Education Association Incorporated (VAEAI)</w:t>
      </w:r>
      <w:r w:rsidRPr="00CB71AE">
        <w:rPr>
          <w:rFonts w:ascii="Calibri" w:eastAsia="Calibri" w:hAnsi="Calibri" w:cs="Calibri"/>
          <w:sz w:val="21"/>
          <w:szCs w:val="21"/>
        </w:rPr>
        <w:t xml:space="preserve"> presented on the Koorie Outreach Support Program (KOSP). The program, delivered by VAEAI, was funded for six months to support Koorie learners and their families/carers during periods of remote learning, and during transitions back to onsite learning. The program’s Outreach Facilitators and Education Consultants worked with children, young people and families/carers to connect Koorie learners to tailored supports to succeed in their education.</w:t>
      </w:r>
    </w:p>
    <w:p w14:paraId="6D606E3E" w14:textId="64452CAA" w:rsidR="00F44403" w:rsidRDefault="00F44403" w:rsidP="00F44403">
      <w:pPr>
        <w:spacing w:before="120" w:after="120"/>
        <w:rPr>
          <w:rFonts w:ascii="Calibri" w:eastAsia="Calibri" w:hAnsi="Calibri" w:cs="Calibri"/>
          <w:sz w:val="21"/>
          <w:szCs w:val="21"/>
        </w:rPr>
      </w:pPr>
      <w:r w:rsidRPr="00CB71AE">
        <w:rPr>
          <w:rFonts w:ascii="Calibri" w:eastAsia="Calibri" w:hAnsi="Calibri" w:cs="Calibri"/>
          <w:sz w:val="21"/>
          <w:szCs w:val="21"/>
        </w:rPr>
        <w:lastRenderedPageBreak/>
        <w:t>Across the program, VAEAI identified two key areas of need: tutoring support and support to address student engagement. The KOSP had positive outcomes for learners and their families/carers through connecting learners and families/carers into appropriate services and reengaging learners into education.</w:t>
      </w:r>
    </w:p>
    <w:p w14:paraId="4CCF5285" w14:textId="653A8BDA" w:rsidR="00364C01" w:rsidRPr="00E759B4" w:rsidRDefault="00364C01" w:rsidP="00F44403">
      <w:pPr>
        <w:spacing w:before="120" w:after="120"/>
        <w:rPr>
          <w:rFonts w:asciiTheme="minorHAnsi" w:eastAsia="Calibri" w:hAnsiTheme="minorHAnsi" w:cstheme="minorHAnsi"/>
          <w:sz w:val="21"/>
          <w:szCs w:val="21"/>
        </w:rPr>
      </w:pPr>
      <w:r>
        <w:rPr>
          <w:rFonts w:ascii="Calibri" w:eastAsia="Calibri" w:hAnsi="Calibri" w:cs="Calibri"/>
          <w:sz w:val="21"/>
          <w:szCs w:val="21"/>
        </w:rPr>
        <w:t xml:space="preserve">VAEAI is interested in and welcomes discussion in relation to supporting the social and emotional wellbeing of </w:t>
      </w:r>
      <w:proofErr w:type="spellStart"/>
      <w:r>
        <w:rPr>
          <w:rFonts w:ascii="Calibri" w:eastAsia="Calibri" w:hAnsi="Calibri" w:cs="Calibri"/>
          <w:sz w:val="21"/>
          <w:szCs w:val="21"/>
        </w:rPr>
        <w:t>Koorie</w:t>
      </w:r>
      <w:proofErr w:type="spellEnd"/>
      <w:r>
        <w:rPr>
          <w:rFonts w:ascii="Calibri" w:eastAsia="Calibri" w:hAnsi="Calibri" w:cs="Calibri"/>
          <w:sz w:val="21"/>
          <w:szCs w:val="21"/>
        </w:rPr>
        <w:t xml:space="preserve"> learners.</w:t>
      </w:r>
      <w:r w:rsidR="009B5F27" w:rsidRPr="009B5F27">
        <w:rPr>
          <w:rFonts w:asciiTheme="minorHAnsi" w:hAnsiTheme="minorHAnsi" w:cstheme="minorHAnsi"/>
          <w:sz w:val="21"/>
          <w:szCs w:val="21"/>
        </w:rPr>
        <w:t xml:space="preserve"> </w:t>
      </w:r>
      <w:r w:rsidR="009B5F27">
        <w:rPr>
          <w:rFonts w:asciiTheme="minorHAnsi" w:hAnsiTheme="minorHAnsi" w:cstheme="minorHAnsi"/>
          <w:sz w:val="21"/>
          <w:szCs w:val="21"/>
        </w:rPr>
        <w:t xml:space="preserve">You can contact VAEAI by calling (03) </w:t>
      </w:r>
      <w:r w:rsidR="009B5F27" w:rsidRPr="00CB71AE">
        <w:rPr>
          <w:rFonts w:asciiTheme="minorHAnsi" w:hAnsiTheme="minorHAnsi" w:cstheme="minorHAnsi"/>
          <w:sz w:val="21"/>
          <w:szCs w:val="21"/>
        </w:rPr>
        <w:t xml:space="preserve">9481 0800 </w:t>
      </w:r>
      <w:r w:rsidR="009B5F27">
        <w:rPr>
          <w:rFonts w:asciiTheme="minorHAnsi" w:hAnsiTheme="minorHAnsi" w:cstheme="minorHAnsi"/>
          <w:sz w:val="21"/>
          <w:szCs w:val="21"/>
        </w:rPr>
        <w:t>or via e</w:t>
      </w:r>
      <w:r w:rsidR="009B5F27" w:rsidRPr="00CB71AE">
        <w:rPr>
          <w:rFonts w:asciiTheme="minorHAnsi" w:hAnsiTheme="minorHAnsi" w:cstheme="minorHAnsi"/>
          <w:sz w:val="21"/>
          <w:szCs w:val="21"/>
        </w:rPr>
        <w:t>mail</w:t>
      </w:r>
      <w:r w:rsidR="009B5F27">
        <w:rPr>
          <w:rFonts w:asciiTheme="minorHAnsi" w:hAnsiTheme="minorHAnsi" w:cstheme="minorHAnsi"/>
          <w:sz w:val="21"/>
          <w:szCs w:val="21"/>
        </w:rPr>
        <w:t xml:space="preserve"> at</w:t>
      </w:r>
      <w:r w:rsidR="009B5F27" w:rsidRPr="00CB71AE">
        <w:rPr>
          <w:rFonts w:asciiTheme="minorHAnsi" w:hAnsiTheme="minorHAnsi" w:cstheme="minorHAnsi"/>
          <w:sz w:val="21"/>
          <w:szCs w:val="21"/>
        </w:rPr>
        <w:t xml:space="preserve"> </w:t>
      </w:r>
      <w:hyperlink r:id="rId13" w:history="1">
        <w:r w:rsidR="009B5F27" w:rsidRPr="005D2DE7">
          <w:rPr>
            <w:rStyle w:val="Hyperlink"/>
            <w:rFonts w:asciiTheme="minorHAnsi" w:eastAsiaTheme="majorEastAsia" w:hAnsiTheme="minorHAnsi" w:cstheme="minorHAnsi"/>
            <w:sz w:val="21"/>
            <w:szCs w:val="21"/>
          </w:rPr>
          <w:t>vaeai@vaeai.org.au</w:t>
        </w:r>
      </w:hyperlink>
      <w:r w:rsidR="009B5F27" w:rsidRPr="005D2DE7">
        <w:rPr>
          <w:rFonts w:asciiTheme="minorHAnsi" w:hAnsiTheme="minorHAnsi" w:cstheme="minorHAnsi"/>
          <w:sz w:val="21"/>
          <w:szCs w:val="21"/>
        </w:rPr>
        <w:t>.</w:t>
      </w:r>
    </w:p>
    <w:p w14:paraId="1DCC130D" w14:textId="6B7E3E17" w:rsidR="00010736" w:rsidRPr="00CB71AE" w:rsidRDefault="00010736" w:rsidP="00010736">
      <w:pPr>
        <w:rPr>
          <w:rFonts w:asciiTheme="minorHAnsi" w:hAnsiTheme="minorHAnsi" w:cstheme="minorHAnsi"/>
          <w:sz w:val="21"/>
          <w:szCs w:val="21"/>
          <w:lang w:eastAsia="en-US"/>
        </w:rPr>
      </w:pPr>
      <w:r w:rsidRPr="00D32F96">
        <w:rPr>
          <w:rFonts w:asciiTheme="minorHAnsi" w:hAnsiTheme="minorHAnsi" w:cstheme="minorHAnsi"/>
          <w:sz w:val="21"/>
          <w:szCs w:val="21"/>
        </w:rPr>
        <w:t xml:space="preserve">Further information and </w:t>
      </w:r>
      <w:r w:rsidR="004E444C">
        <w:rPr>
          <w:rFonts w:asciiTheme="minorHAnsi" w:hAnsiTheme="minorHAnsi" w:cstheme="minorHAnsi"/>
          <w:sz w:val="21"/>
          <w:szCs w:val="21"/>
        </w:rPr>
        <w:t>support</w:t>
      </w:r>
      <w:r w:rsidRPr="00D32F96">
        <w:rPr>
          <w:rFonts w:asciiTheme="minorHAnsi" w:hAnsiTheme="minorHAnsi" w:cstheme="minorHAnsi"/>
          <w:sz w:val="21"/>
          <w:szCs w:val="21"/>
        </w:rPr>
        <w:t xml:space="preserve"> documents </w:t>
      </w:r>
      <w:r w:rsidR="00180B22">
        <w:rPr>
          <w:rFonts w:asciiTheme="minorHAnsi" w:hAnsiTheme="minorHAnsi" w:cstheme="minorHAnsi"/>
          <w:sz w:val="21"/>
          <w:szCs w:val="21"/>
        </w:rPr>
        <w:t>can</w:t>
      </w:r>
      <w:r w:rsidRPr="00D32F96">
        <w:rPr>
          <w:rFonts w:asciiTheme="minorHAnsi" w:hAnsiTheme="minorHAnsi" w:cstheme="minorHAnsi"/>
          <w:sz w:val="21"/>
          <w:szCs w:val="21"/>
        </w:rPr>
        <w:t xml:space="preserve"> be accessed at</w:t>
      </w:r>
      <w:r>
        <w:t xml:space="preserve">: </w:t>
      </w:r>
      <w:hyperlink r:id="rId14" w:history="1">
        <w:r w:rsidRPr="00B7350A">
          <w:rPr>
            <w:rStyle w:val="Hyperlink"/>
            <w:rFonts w:asciiTheme="minorHAnsi" w:hAnsiTheme="minorHAnsi" w:cstheme="minorHAnsi"/>
            <w:sz w:val="21"/>
            <w:szCs w:val="21"/>
            <w:lang w:eastAsia="en-US"/>
          </w:rPr>
          <w:t>https://www.vaeai.org.au/launch-koorie-outreach-support-program/</w:t>
        </w:r>
      </w:hyperlink>
      <w:r>
        <w:rPr>
          <w:rFonts w:asciiTheme="minorHAnsi" w:hAnsiTheme="minorHAnsi" w:cstheme="minorHAnsi"/>
          <w:sz w:val="21"/>
          <w:szCs w:val="21"/>
          <w:lang w:eastAsia="en-US"/>
        </w:rPr>
        <w:t xml:space="preserve"> and </w:t>
      </w:r>
      <w:hyperlink r:id="rId15" w:history="1">
        <w:r w:rsidRPr="00B7350A">
          <w:rPr>
            <w:rStyle w:val="Hyperlink"/>
            <w:rFonts w:asciiTheme="minorHAnsi" w:hAnsiTheme="minorHAnsi" w:cstheme="minorHAnsi"/>
            <w:sz w:val="21"/>
            <w:szCs w:val="21"/>
          </w:rPr>
          <w:t>http://www.vaeai.org.au/documents/</w:t>
        </w:r>
      </w:hyperlink>
      <w:r w:rsidR="007F544B">
        <w:rPr>
          <w:rFonts w:asciiTheme="minorHAnsi" w:hAnsiTheme="minorHAnsi" w:cstheme="minorHAnsi"/>
          <w:sz w:val="21"/>
          <w:szCs w:val="21"/>
        </w:rPr>
        <w:t>.</w:t>
      </w:r>
    </w:p>
    <w:bookmarkEnd w:id="1"/>
    <w:p w14:paraId="277237BC" w14:textId="77777777" w:rsidR="00F44403" w:rsidRPr="00155667" w:rsidRDefault="00F44403" w:rsidP="00155667">
      <w:pPr>
        <w:pStyle w:val="Heading2"/>
      </w:pPr>
      <w:r w:rsidRPr="00155667">
        <w:t>Youth Live4Life</w:t>
      </w:r>
    </w:p>
    <w:p w14:paraId="63D100D6" w14:textId="77777777" w:rsidR="00F44403" w:rsidRPr="00CB71AE" w:rsidRDefault="00F44403" w:rsidP="00F44403">
      <w:pPr>
        <w:spacing w:before="120" w:after="120"/>
        <w:rPr>
          <w:rFonts w:asciiTheme="minorHAnsi" w:hAnsiTheme="minorHAnsi"/>
          <w:bCs/>
          <w:sz w:val="21"/>
          <w:szCs w:val="21"/>
          <w:lang w:val="en-US"/>
        </w:rPr>
      </w:pPr>
      <w:r w:rsidRPr="00CB71AE">
        <w:rPr>
          <w:rFonts w:asciiTheme="minorHAnsi" w:hAnsiTheme="minorHAnsi"/>
          <w:b/>
          <w:sz w:val="21"/>
          <w:szCs w:val="21"/>
          <w:lang w:val="en-US"/>
        </w:rPr>
        <w:t>Bernard Galbally, Chief Executive Officer</w:t>
      </w:r>
      <w:r w:rsidRPr="00CB71AE">
        <w:rPr>
          <w:rFonts w:asciiTheme="minorHAnsi" w:hAnsiTheme="minorHAnsi"/>
          <w:bCs/>
          <w:sz w:val="21"/>
          <w:szCs w:val="21"/>
          <w:lang w:val="en-US"/>
        </w:rPr>
        <w:t xml:space="preserve"> and </w:t>
      </w:r>
      <w:r w:rsidRPr="00CB71AE">
        <w:rPr>
          <w:rFonts w:asciiTheme="minorHAnsi" w:hAnsiTheme="minorHAnsi"/>
          <w:b/>
          <w:sz w:val="21"/>
          <w:szCs w:val="21"/>
          <w:lang w:val="en-US"/>
        </w:rPr>
        <w:t>Rebecca</w:t>
      </w:r>
      <w:r w:rsidRPr="00CB71AE">
        <w:rPr>
          <w:rFonts w:asciiTheme="minorHAnsi" w:hAnsiTheme="minorHAnsi"/>
          <w:bCs/>
          <w:sz w:val="21"/>
          <w:szCs w:val="21"/>
          <w:lang w:val="en-US"/>
        </w:rPr>
        <w:t xml:space="preserve"> </w:t>
      </w:r>
      <w:r w:rsidRPr="00CB71AE">
        <w:rPr>
          <w:rFonts w:asciiTheme="minorHAnsi" w:hAnsiTheme="minorHAnsi"/>
          <w:b/>
          <w:sz w:val="21"/>
          <w:szCs w:val="21"/>
          <w:lang w:val="en-US"/>
        </w:rPr>
        <w:t>Morecroft, Director of Community Engagement</w:t>
      </w:r>
      <w:r w:rsidRPr="00CB71AE">
        <w:rPr>
          <w:rFonts w:asciiTheme="minorHAnsi" w:hAnsiTheme="minorHAnsi"/>
          <w:bCs/>
          <w:sz w:val="21"/>
          <w:szCs w:val="21"/>
          <w:lang w:val="en-US"/>
        </w:rPr>
        <w:t xml:space="preserve"> of Live4Life presented on this award-winning, evidence-based community initiative that was featured as a case study in the Royal Commission’s Final Report.</w:t>
      </w:r>
    </w:p>
    <w:p w14:paraId="51C8A0CA" w14:textId="281966A0" w:rsidR="00F44403" w:rsidRDefault="00F44403" w:rsidP="00F44403">
      <w:pPr>
        <w:spacing w:before="120" w:after="120"/>
        <w:rPr>
          <w:rFonts w:asciiTheme="minorHAnsi" w:hAnsiTheme="minorHAnsi"/>
          <w:bCs/>
          <w:sz w:val="21"/>
          <w:szCs w:val="21"/>
          <w:lang w:val="en-US"/>
        </w:rPr>
      </w:pPr>
      <w:r w:rsidRPr="00CB71AE">
        <w:rPr>
          <w:rFonts w:asciiTheme="minorHAnsi" w:hAnsiTheme="minorHAnsi"/>
          <w:bCs/>
          <w:sz w:val="21"/>
          <w:szCs w:val="21"/>
          <w:lang w:val="en-US"/>
        </w:rPr>
        <w:t>Live4Life undertakes community-led prevention activities to improve youth mental health and reduce youth suicide. It takes a whole of community approach and builds the capacity of young people to recognise, seek and offer mental health support for mental health concerns; and the whole community to look after and support young people.</w:t>
      </w:r>
      <w:r w:rsidR="00364C01">
        <w:rPr>
          <w:rFonts w:asciiTheme="minorHAnsi" w:hAnsiTheme="minorHAnsi"/>
          <w:bCs/>
          <w:sz w:val="21"/>
          <w:szCs w:val="21"/>
          <w:lang w:val="en-US"/>
        </w:rPr>
        <w:t xml:space="preserve"> </w:t>
      </w:r>
      <w:r w:rsidRPr="00CB71AE">
        <w:rPr>
          <w:rFonts w:asciiTheme="minorHAnsi" w:hAnsiTheme="minorHAnsi"/>
          <w:bCs/>
          <w:sz w:val="21"/>
          <w:szCs w:val="21"/>
          <w:lang w:val="en-US"/>
        </w:rPr>
        <w:t>Young people who participate in the model report it’s transformative, builds resilience and self-esteem. Peer-led messaging is a key strength.</w:t>
      </w:r>
    </w:p>
    <w:p w14:paraId="7182CDBB" w14:textId="42D58141" w:rsidR="00ED4E46" w:rsidRPr="00ED4E46" w:rsidRDefault="00ED4E46" w:rsidP="00ED4E46">
      <w:pPr>
        <w:tabs>
          <w:tab w:val="left" w:pos="1417"/>
          <w:tab w:val="left" w:pos="2126"/>
          <w:tab w:val="left" w:pos="2835"/>
          <w:tab w:val="left" w:pos="3543"/>
          <w:tab w:val="left" w:pos="4252"/>
          <w:tab w:val="left" w:pos="4961"/>
          <w:tab w:val="left" w:pos="5669"/>
          <w:tab w:val="left" w:pos="6378"/>
          <w:tab w:val="left" w:pos="7087"/>
          <w:tab w:val="left" w:pos="7795"/>
        </w:tabs>
        <w:spacing w:before="120" w:after="120"/>
        <w:rPr>
          <w:rFonts w:asciiTheme="minorHAnsi" w:hAnsiTheme="minorHAnsi" w:cstheme="minorHAnsi"/>
          <w:sz w:val="21"/>
          <w:szCs w:val="21"/>
        </w:rPr>
      </w:pPr>
      <w:r>
        <w:rPr>
          <w:rFonts w:asciiTheme="minorHAnsi" w:hAnsiTheme="minorHAnsi"/>
          <w:bCs/>
          <w:sz w:val="21"/>
          <w:szCs w:val="21"/>
          <w:lang w:val="en-US"/>
        </w:rPr>
        <w:t xml:space="preserve">You can access more information on Youth Live4Life at </w:t>
      </w:r>
      <w:hyperlink r:id="rId16" w:history="1">
        <w:r w:rsidRPr="00CB71AE">
          <w:rPr>
            <w:rStyle w:val="Hyperlink"/>
            <w:rFonts w:asciiTheme="minorHAnsi" w:hAnsiTheme="minorHAnsi" w:cstheme="minorHAnsi"/>
            <w:sz w:val="21"/>
            <w:szCs w:val="21"/>
          </w:rPr>
          <w:t>https://www.live4life.org.au/</w:t>
        </w:r>
      </w:hyperlink>
      <w:r w:rsidRPr="00ED4E46">
        <w:rPr>
          <w:rStyle w:val="Hyperlink"/>
          <w:rFonts w:asciiTheme="minorHAnsi" w:hAnsiTheme="minorHAnsi" w:cstheme="minorHAnsi"/>
          <w:color w:val="auto"/>
          <w:sz w:val="21"/>
          <w:szCs w:val="21"/>
          <w:u w:val="none"/>
        </w:rPr>
        <w:t xml:space="preserve"> </w:t>
      </w:r>
      <w:r w:rsidR="00180B22">
        <w:rPr>
          <w:rStyle w:val="Hyperlink"/>
          <w:rFonts w:asciiTheme="minorHAnsi" w:hAnsiTheme="minorHAnsi" w:cstheme="minorHAnsi"/>
          <w:color w:val="auto"/>
          <w:sz w:val="21"/>
          <w:szCs w:val="21"/>
          <w:u w:val="none"/>
        </w:rPr>
        <w:t>and</w:t>
      </w:r>
      <w:r>
        <w:rPr>
          <w:rFonts w:asciiTheme="minorHAnsi" w:hAnsiTheme="minorHAnsi" w:cstheme="minorHAnsi"/>
          <w:sz w:val="21"/>
          <w:szCs w:val="21"/>
        </w:rPr>
        <w:t xml:space="preserve"> </w:t>
      </w:r>
      <w:hyperlink r:id="rId17" w:history="1">
        <w:r w:rsidRPr="00B7350A">
          <w:rPr>
            <w:rStyle w:val="Hyperlink"/>
            <w:rFonts w:asciiTheme="minorHAnsi" w:hAnsiTheme="minorHAnsi" w:cstheme="minorHAnsi"/>
            <w:sz w:val="21"/>
            <w:szCs w:val="21"/>
          </w:rPr>
          <w:t>https://www.live4life.org.au/what-is-live4life</w:t>
        </w:r>
      </w:hyperlink>
      <w:r w:rsidR="00180B22">
        <w:rPr>
          <w:rFonts w:asciiTheme="minorHAnsi" w:hAnsiTheme="minorHAnsi" w:cstheme="minorHAnsi"/>
          <w:sz w:val="21"/>
          <w:szCs w:val="21"/>
        </w:rPr>
        <w:t>.</w:t>
      </w:r>
    </w:p>
    <w:p w14:paraId="18CD587A" w14:textId="77777777" w:rsidR="00F44403" w:rsidRPr="00155667" w:rsidRDefault="00F44403" w:rsidP="00155667">
      <w:pPr>
        <w:pStyle w:val="Heading2"/>
      </w:pPr>
      <w:r w:rsidRPr="00155667">
        <w:t>Early Childhood Education</w:t>
      </w:r>
    </w:p>
    <w:p w14:paraId="18C7F3CC" w14:textId="6BCA5D66" w:rsidR="00F44403" w:rsidRDefault="00F44403" w:rsidP="00F44403">
      <w:pPr>
        <w:spacing w:before="120" w:after="120"/>
        <w:rPr>
          <w:rFonts w:ascii="Calibri" w:hAnsi="Calibri" w:cs="Calibri"/>
          <w:bCs/>
          <w:sz w:val="21"/>
          <w:szCs w:val="21"/>
        </w:rPr>
      </w:pPr>
      <w:r w:rsidRPr="00CB71AE">
        <w:rPr>
          <w:rFonts w:ascii="Calibri" w:hAnsi="Calibri" w:cs="Calibri"/>
          <w:b/>
          <w:sz w:val="21"/>
          <w:szCs w:val="21"/>
        </w:rPr>
        <w:t>Susan McDonald, Executive Director, Early Childhood Education Division, DET</w:t>
      </w:r>
      <w:r w:rsidRPr="00CB71AE">
        <w:rPr>
          <w:rFonts w:ascii="Calibri" w:hAnsi="Calibri" w:cs="Calibri"/>
          <w:bCs/>
          <w:sz w:val="21"/>
          <w:szCs w:val="21"/>
        </w:rPr>
        <w:t xml:space="preserve"> presented on the importance of </w:t>
      </w:r>
      <w:r w:rsidRPr="00CB71AE">
        <w:rPr>
          <w:rFonts w:asciiTheme="minorHAnsi" w:hAnsiTheme="minorHAnsi" w:cstheme="minorHAnsi"/>
          <w:sz w:val="21"/>
          <w:szCs w:val="21"/>
        </w:rPr>
        <w:t xml:space="preserve">early childhood education as a key intervention and prevention measure to support wellbeing. The Victorian government has a progressive universal approach and want all children in the year before school to attend kindergarten. The government is currently rolling out universal three-year-old kinder to provide access to two years of high-quality early learning. This is supported by the </w:t>
      </w:r>
      <w:r w:rsidRPr="00CB71AE">
        <w:rPr>
          <w:rFonts w:ascii="Calibri" w:hAnsi="Calibri" w:cs="Calibri"/>
          <w:bCs/>
          <w:sz w:val="21"/>
          <w:szCs w:val="21"/>
        </w:rPr>
        <w:t xml:space="preserve">Victoria Early Years Learning Development Framework that centres wellbeing and School Readiness Funding (SRF). SRF focuses on three key </w:t>
      </w:r>
      <w:proofErr w:type="gramStart"/>
      <w:r w:rsidRPr="00CB71AE">
        <w:rPr>
          <w:rFonts w:ascii="Calibri" w:hAnsi="Calibri" w:cs="Calibri"/>
          <w:bCs/>
          <w:sz w:val="21"/>
          <w:szCs w:val="21"/>
        </w:rPr>
        <w:t>areas;</w:t>
      </w:r>
      <w:proofErr w:type="gramEnd"/>
      <w:r w:rsidRPr="00CB71AE">
        <w:rPr>
          <w:rFonts w:ascii="Calibri" w:hAnsi="Calibri" w:cs="Calibri"/>
          <w:bCs/>
          <w:sz w:val="21"/>
          <w:szCs w:val="21"/>
        </w:rPr>
        <w:t xml:space="preserve"> communication, wellbeing, and access and inclusion.</w:t>
      </w:r>
    </w:p>
    <w:p w14:paraId="4D6E09B8" w14:textId="68CB2869" w:rsidR="00ED4E46" w:rsidRPr="00CB71AE" w:rsidRDefault="00180B22" w:rsidP="00F44403">
      <w:pPr>
        <w:spacing w:before="120" w:after="120"/>
        <w:rPr>
          <w:rFonts w:asciiTheme="minorHAnsi" w:hAnsiTheme="minorHAnsi" w:cstheme="minorHAnsi"/>
          <w:sz w:val="21"/>
          <w:szCs w:val="21"/>
        </w:rPr>
      </w:pPr>
      <w:r>
        <w:rPr>
          <w:rFonts w:ascii="Calibri" w:hAnsi="Calibri" w:cs="Calibri"/>
          <w:bCs/>
          <w:sz w:val="21"/>
          <w:szCs w:val="21"/>
        </w:rPr>
        <w:t>More information on</w:t>
      </w:r>
      <w:r w:rsidR="00ED4E46">
        <w:rPr>
          <w:rFonts w:ascii="Calibri" w:hAnsi="Calibri" w:cs="Calibri"/>
          <w:bCs/>
          <w:sz w:val="21"/>
          <w:szCs w:val="21"/>
        </w:rPr>
        <w:t xml:space="preserve"> Early Childhood Education </w:t>
      </w:r>
      <w:r>
        <w:rPr>
          <w:rFonts w:ascii="Calibri" w:hAnsi="Calibri" w:cs="Calibri"/>
          <w:bCs/>
          <w:sz w:val="21"/>
          <w:szCs w:val="21"/>
        </w:rPr>
        <w:t xml:space="preserve">is available </w:t>
      </w:r>
      <w:r w:rsidR="00ED4E46">
        <w:rPr>
          <w:rFonts w:ascii="Calibri" w:hAnsi="Calibri" w:cs="Calibri"/>
          <w:bCs/>
          <w:sz w:val="21"/>
          <w:szCs w:val="21"/>
        </w:rPr>
        <w:t xml:space="preserve">at: </w:t>
      </w:r>
      <w:hyperlink r:id="rId18" w:history="1">
        <w:r w:rsidR="00ED4E46" w:rsidRPr="00B7350A">
          <w:rPr>
            <w:rStyle w:val="Hyperlink"/>
            <w:rFonts w:asciiTheme="minorHAnsi" w:hAnsiTheme="minorHAnsi" w:cstheme="minorHAnsi"/>
            <w:sz w:val="21"/>
            <w:szCs w:val="21"/>
          </w:rPr>
          <w:t>https://www.education.vic.gov.au/childhood/professionals/learning/Pages/veyldf.aspx</w:t>
        </w:r>
      </w:hyperlink>
    </w:p>
    <w:p w14:paraId="018C8689" w14:textId="77777777" w:rsidR="00F44403" w:rsidRPr="00155667" w:rsidRDefault="00F44403" w:rsidP="00155667">
      <w:pPr>
        <w:pStyle w:val="Heading1"/>
        <w:rPr>
          <w:b/>
          <w:bCs/>
        </w:rPr>
      </w:pPr>
      <w:r w:rsidRPr="00155667">
        <w:rPr>
          <w:b/>
          <w:bCs/>
        </w:rPr>
        <w:t>Next meeting</w:t>
      </w:r>
    </w:p>
    <w:p w14:paraId="3B5EB375" w14:textId="087C0A66" w:rsidR="00E16405" w:rsidRPr="00CB71AE" w:rsidRDefault="00F44403" w:rsidP="00F44403">
      <w:pPr>
        <w:spacing w:before="120" w:after="120"/>
        <w:rPr>
          <w:rFonts w:asciiTheme="minorHAnsi" w:hAnsiTheme="minorHAnsi" w:cstheme="minorHAnsi"/>
          <w:sz w:val="21"/>
          <w:szCs w:val="21"/>
        </w:rPr>
      </w:pPr>
      <w:r w:rsidRPr="00CB71AE">
        <w:rPr>
          <w:rFonts w:asciiTheme="minorHAnsi" w:hAnsiTheme="minorHAnsi" w:cstheme="minorHAnsi"/>
          <w:sz w:val="21"/>
          <w:szCs w:val="21"/>
        </w:rPr>
        <w:t>Our next meeting will be on the theme of Student re-engagement. Please contact VCOSS if there is something</w:t>
      </w:r>
      <w:r w:rsidR="00ED4E46">
        <w:rPr>
          <w:rFonts w:asciiTheme="minorHAnsi" w:hAnsiTheme="minorHAnsi" w:cstheme="minorHAnsi"/>
          <w:sz w:val="21"/>
          <w:szCs w:val="21"/>
        </w:rPr>
        <w:t xml:space="preserve"> that</w:t>
      </w:r>
      <w:r w:rsidRPr="00CB71AE">
        <w:rPr>
          <w:rFonts w:asciiTheme="minorHAnsi" w:hAnsiTheme="minorHAnsi" w:cstheme="minorHAnsi"/>
          <w:sz w:val="21"/>
          <w:szCs w:val="21"/>
        </w:rPr>
        <w:t xml:space="preserve"> you’d like to share with us, to guide our planning for this meeting</w:t>
      </w:r>
      <w:bookmarkEnd w:id="0"/>
      <w:r w:rsidR="00503647" w:rsidRPr="00CB71AE">
        <w:rPr>
          <w:rFonts w:asciiTheme="minorHAnsi" w:hAnsiTheme="minorHAnsi" w:cstheme="minorHAnsi"/>
          <w:sz w:val="21"/>
          <w:szCs w:val="21"/>
        </w:rPr>
        <w:t>:</w:t>
      </w:r>
    </w:p>
    <w:p w14:paraId="16AD6AED" w14:textId="77777777" w:rsidR="00503647" w:rsidRPr="00CB71AE" w:rsidRDefault="00503647" w:rsidP="00503647">
      <w:pPr>
        <w:spacing w:before="120" w:after="120"/>
        <w:rPr>
          <w:rFonts w:asciiTheme="minorHAnsi" w:hAnsiTheme="minorHAnsi" w:cstheme="minorHAnsi"/>
          <w:sz w:val="21"/>
          <w:szCs w:val="21"/>
        </w:rPr>
      </w:pPr>
      <w:r w:rsidRPr="00CB71AE">
        <w:rPr>
          <w:rFonts w:asciiTheme="minorHAnsi" w:hAnsiTheme="minorHAnsi" w:cstheme="minorHAnsi"/>
          <w:sz w:val="21"/>
          <w:szCs w:val="21"/>
        </w:rPr>
        <w:t>Deb Fewster, Manager, Advocacy and Engagement</w:t>
      </w:r>
    </w:p>
    <w:p w14:paraId="15EBB72E" w14:textId="795E02DC" w:rsidR="00503647" w:rsidRPr="00CB71AE" w:rsidRDefault="00503647" w:rsidP="00503647">
      <w:pPr>
        <w:spacing w:before="120" w:after="120"/>
        <w:rPr>
          <w:rFonts w:asciiTheme="minorHAnsi" w:hAnsiTheme="minorHAnsi" w:cstheme="minorHAnsi"/>
          <w:sz w:val="21"/>
          <w:szCs w:val="21"/>
        </w:rPr>
      </w:pPr>
      <w:r w:rsidRPr="00CB71AE">
        <w:rPr>
          <w:rFonts w:asciiTheme="minorHAnsi" w:hAnsiTheme="minorHAnsi" w:cstheme="minorHAnsi"/>
          <w:sz w:val="21"/>
          <w:szCs w:val="21"/>
        </w:rPr>
        <w:t xml:space="preserve">Email: </w:t>
      </w:r>
      <w:hyperlink r:id="rId19" w:history="1">
        <w:r w:rsidRPr="00CB71AE">
          <w:rPr>
            <w:rStyle w:val="Hyperlink"/>
            <w:rFonts w:asciiTheme="minorHAnsi" w:hAnsiTheme="minorHAnsi" w:cstheme="minorHAnsi"/>
            <w:sz w:val="21"/>
            <w:szCs w:val="21"/>
          </w:rPr>
          <w:t>Deborah.fewster@vcoss.org.au</w:t>
        </w:r>
      </w:hyperlink>
      <w:r w:rsidR="00180B22">
        <w:rPr>
          <w:rStyle w:val="Hyperlink"/>
          <w:rFonts w:asciiTheme="minorHAnsi" w:hAnsiTheme="minorHAnsi" w:cstheme="minorHAnsi"/>
          <w:sz w:val="21"/>
          <w:szCs w:val="21"/>
        </w:rPr>
        <w:t>.</w:t>
      </w:r>
    </w:p>
    <w:p w14:paraId="0EDF1237" w14:textId="77777777" w:rsidR="00503647" w:rsidRPr="00CB71AE" w:rsidRDefault="00503647" w:rsidP="00503647">
      <w:pPr>
        <w:spacing w:before="120" w:after="120"/>
        <w:rPr>
          <w:rFonts w:asciiTheme="minorHAnsi" w:hAnsiTheme="minorHAnsi" w:cstheme="minorHAnsi"/>
          <w:sz w:val="21"/>
          <w:szCs w:val="21"/>
        </w:rPr>
      </w:pPr>
      <w:r w:rsidRPr="00CB71AE">
        <w:rPr>
          <w:rFonts w:asciiTheme="minorHAnsi" w:hAnsiTheme="minorHAnsi" w:cstheme="minorHAnsi"/>
          <w:sz w:val="21"/>
          <w:szCs w:val="21"/>
        </w:rPr>
        <w:t>Talisha Ohanessian, Policy Advisor</w:t>
      </w:r>
    </w:p>
    <w:p w14:paraId="03CEB6A1" w14:textId="1BF3F72C" w:rsidR="00503647" w:rsidRPr="00CB71AE" w:rsidRDefault="00503647" w:rsidP="00F44403">
      <w:pPr>
        <w:spacing w:before="120" w:after="120"/>
        <w:rPr>
          <w:rFonts w:asciiTheme="minorHAnsi" w:hAnsiTheme="minorHAnsi" w:cstheme="minorHAnsi"/>
          <w:sz w:val="21"/>
          <w:szCs w:val="21"/>
        </w:rPr>
      </w:pPr>
      <w:r w:rsidRPr="00CB71AE">
        <w:rPr>
          <w:rFonts w:asciiTheme="minorHAnsi" w:hAnsiTheme="minorHAnsi" w:cstheme="minorHAnsi"/>
          <w:sz w:val="21"/>
          <w:szCs w:val="21"/>
        </w:rPr>
        <w:t xml:space="preserve">Email: </w:t>
      </w:r>
      <w:hyperlink r:id="rId20" w:history="1">
        <w:r w:rsidRPr="00CB71AE">
          <w:rPr>
            <w:rStyle w:val="Hyperlink"/>
            <w:rFonts w:asciiTheme="minorHAnsi" w:hAnsiTheme="minorHAnsi" w:cstheme="minorHAnsi"/>
            <w:sz w:val="21"/>
            <w:szCs w:val="21"/>
          </w:rPr>
          <w:t>Talisha.Ohanessian@vcoss.org.au</w:t>
        </w:r>
      </w:hyperlink>
      <w:r w:rsidR="00180B22">
        <w:rPr>
          <w:rStyle w:val="Hyperlink"/>
          <w:rFonts w:asciiTheme="minorHAnsi" w:hAnsiTheme="minorHAnsi" w:cstheme="minorHAnsi"/>
          <w:sz w:val="21"/>
          <w:szCs w:val="21"/>
        </w:rPr>
        <w:t>.</w:t>
      </w:r>
    </w:p>
    <w:sectPr w:rsidR="00503647" w:rsidRPr="00CB71AE" w:rsidSect="00010736">
      <w:headerReference w:type="default" r:id="rId21"/>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0AAA" w14:textId="77777777" w:rsidR="00670B91" w:rsidRDefault="00670B91" w:rsidP="00503647">
      <w:r>
        <w:separator/>
      </w:r>
    </w:p>
  </w:endnote>
  <w:endnote w:type="continuationSeparator" w:id="0">
    <w:p w14:paraId="32E86622" w14:textId="77777777" w:rsidR="00670B91" w:rsidRDefault="00670B91" w:rsidP="0050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3B507" w14:textId="77777777" w:rsidR="00670B91" w:rsidRDefault="00670B91" w:rsidP="00503647">
      <w:r>
        <w:separator/>
      </w:r>
    </w:p>
  </w:footnote>
  <w:footnote w:type="continuationSeparator" w:id="0">
    <w:p w14:paraId="01D24D93" w14:textId="77777777" w:rsidR="00670B91" w:rsidRDefault="00670B91" w:rsidP="0050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BF5DC" w14:textId="17B0E910" w:rsidR="005D0307" w:rsidRDefault="006C5F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03"/>
    <w:rsid w:val="00010736"/>
    <w:rsid w:val="000711C9"/>
    <w:rsid w:val="00155667"/>
    <w:rsid w:val="00180B22"/>
    <w:rsid w:val="00364C01"/>
    <w:rsid w:val="004E444C"/>
    <w:rsid w:val="00503647"/>
    <w:rsid w:val="005159DC"/>
    <w:rsid w:val="0058520B"/>
    <w:rsid w:val="005D2DE7"/>
    <w:rsid w:val="00670B91"/>
    <w:rsid w:val="006A39A8"/>
    <w:rsid w:val="006C5F73"/>
    <w:rsid w:val="00773DDC"/>
    <w:rsid w:val="007F544B"/>
    <w:rsid w:val="0090337B"/>
    <w:rsid w:val="009B5F27"/>
    <w:rsid w:val="00B515CC"/>
    <w:rsid w:val="00CB71AE"/>
    <w:rsid w:val="00D32F96"/>
    <w:rsid w:val="00E16405"/>
    <w:rsid w:val="00E759B4"/>
    <w:rsid w:val="00ED4E46"/>
    <w:rsid w:val="00F07E7A"/>
    <w:rsid w:val="00F44403"/>
    <w:rsid w:val="00F55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64B8CE"/>
  <w15:chartTrackingRefBased/>
  <w15:docId w15:val="{11F5FFE6-AC79-4BB8-A2E1-2221547B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0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55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40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403"/>
    <w:rPr>
      <w:rFonts w:asciiTheme="majorHAnsi" w:eastAsiaTheme="majorEastAsia" w:hAnsiTheme="majorHAnsi" w:cstheme="majorBidi"/>
      <w:color w:val="2F5496" w:themeColor="accent1" w:themeShade="BF"/>
      <w:sz w:val="26"/>
      <w:szCs w:val="26"/>
    </w:rPr>
  </w:style>
  <w:style w:type="character" w:styleId="IntenseEmphasis">
    <w:name w:val="Intense Emphasis"/>
    <w:uiPriority w:val="21"/>
    <w:qFormat/>
    <w:rsid w:val="00F44403"/>
    <w:rPr>
      <w:i/>
      <w:iCs/>
      <w:color w:val="5B9BD5"/>
    </w:rPr>
  </w:style>
  <w:style w:type="paragraph" w:styleId="NormalWeb">
    <w:name w:val="Normal (Web)"/>
    <w:basedOn w:val="Normal"/>
    <w:uiPriority w:val="99"/>
    <w:unhideWhenUsed/>
    <w:rsid w:val="00F44403"/>
    <w:pPr>
      <w:spacing w:before="100" w:beforeAutospacing="1" w:after="100" w:afterAutospacing="1"/>
    </w:pPr>
  </w:style>
  <w:style w:type="character" w:styleId="Hyperlink">
    <w:name w:val="Hyperlink"/>
    <w:basedOn w:val="DefaultParagraphFont"/>
    <w:uiPriority w:val="99"/>
    <w:unhideWhenUsed/>
    <w:rsid w:val="00F44403"/>
    <w:rPr>
      <w:color w:val="0000FF"/>
      <w:u w:val="single"/>
    </w:rPr>
  </w:style>
  <w:style w:type="table" w:styleId="TableGrid">
    <w:name w:val="Table Grid"/>
    <w:basedOn w:val="TableNormal"/>
    <w:uiPriority w:val="39"/>
    <w:rsid w:val="00F4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44403"/>
    <w:pPr>
      <w:spacing w:after="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44403"/>
    <w:pPr>
      <w:tabs>
        <w:tab w:val="center" w:pos="4513"/>
        <w:tab w:val="right" w:pos="9026"/>
      </w:tabs>
    </w:pPr>
  </w:style>
  <w:style w:type="character" w:customStyle="1" w:styleId="HeaderChar">
    <w:name w:val="Header Char"/>
    <w:basedOn w:val="DefaultParagraphFont"/>
    <w:link w:val="Header"/>
    <w:uiPriority w:val="99"/>
    <w:rsid w:val="00F4440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44403"/>
    <w:pPr>
      <w:tabs>
        <w:tab w:val="center" w:pos="4513"/>
        <w:tab w:val="right" w:pos="9026"/>
      </w:tabs>
    </w:pPr>
  </w:style>
  <w:style w:type="character" w:customStyle="1" w:styleId="FooterChar">
    <w:name w:val="Footer Char"/>
    <w:basedOn w:val="DefaultParagraphFont"/>
    <w:link w:val="Footer"/>
    <w:uiPriority w:val="99"/>
    <w:rsid w:val="00F44403"/>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03647"/>
    <w:rPr>
      <w:color w:val="605E5C"/>
      <w:shd w:val="clear" w:color="auto" w:fill="E1DFDD"/>
    </w:rPr>
  </w:style>
  <w:style w:type="character" w:styleId="FollowedHyperlink">
    <w:name w:val="FollowedHyperlink"/>
    <w:basedOn w:val="DefaultParagraphFont"/>
    <w:uiPriority w:val="99"/>
    <w:semiHidden/>
    <w:unhideWhenUsed/>
    <w:rsid w:val="005159DC"/>
    <w:rPr>
      <w:color w:val="954F72" w:themeColor="followedHyperlink"/>
      <w:u w:val="single"/>
    </w:rPr>
  </w:style>
  <w:style w:type="character" w:customStyle="1" w:styleId="Heading1Char">
    <w:name w:val="Heading 1 Char"/>
    <w:basedOn w:val="DefaultParagraphFont"/>
    <w:link w:val="Heading1"/>
    <w:uiPriority w:val="9"/>
    <w:rsid w:val="00155667"/>
    <w:rPr>
      <w:rFonts w:asciiTheme="majorHAnsi" w:eastAsiaTheme="majorEastAsia" w:hAnsiTheme="majorHAnsi" w:cstheme="majorBidi"/>
      <w:color w:val="2F5496" w:themeColor="accent1" w:themeShade="BF"/>
      <w:sz w:val="32"/>
      <w:szCs w:val="32"/>
      <w:lang w:eastAsia="en-AU"/>
    </w:rPr>
  </w:style>
  <w:style w:type="character" w:styleId="CommentReference">
    <w:name w:val="annotation reference"/>
    <w:basedOn w:val="DefaultParagraphFont"/>
    <w:uiPriority w:val="99"/>
    <w:semiHidden/>
    <w:unhideWhenUsed/>
    <w:rsid w:val="009B5F27"/>
    <w:rPr>
      <w:sz w:val="16"/>
      <w:szCs w:val="16"/>
    </w:rPr>
  </w:style>
  <w:style w:type="paragraph" w:styleId="CommentText">
    <w:name w:val="annotation text"/>
    <w:basedOn w:val="Normal"/>
    <w:link w:val="CommentTextChar"/>
    <w:uiPriority w:val="99"/>
    <w:semiHidden/>
    <w:unhideWhenUsed/>
    <w:rsid w:val="009B5F27"/>
    <w:rPr>
      <w:sz w:val="20"/>
      <w:szCs w:val="20"/>
    </w:rPr>
  </w:style>
  <w:style w:type="character" w:customStyle="1" w:styleId="CommentTextChar">
    <w:name w:val="Comment Text Char"/>
    <w:basedOn w:val="DefaultParagraphFont"/>
    <w:link w:val="CommentText"/>
    <w:uiPriority w:val="99"/>
    <w:semiHidden/>
    <w:rsid w:val="009B5F2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B5F27"/>
    <w:rPr>
      <w:b/>
      <w:bCs/>
    </w:rPr>
  </w:style>
  <w:style w:type="character" w:customStyle="1" w:styleId="CommentSubjectChar">
    <w:name w:val="Comment Subject Char"/>
    <w:basedOn w:val="CommentTextChar"/>
    <w:link w:val="CommentSubject"/>
    <w:uiPriority w:val="99"/>
    <w:semiHidden/>
    <w:rsid w:val="009B5F27"/>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aeai@vaeai.org.au" TargetMode="External"/><Relationship Id="rId18" Type="http://schemas.openxmlformats.org/officeDocument/2006/relationships/hyperlink" Target="https://www.education.vic.gov.au/childhood/professionals/learning/Pages/veyldf.aspx"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vcoss.org.au/index.htm" TargetMode="External"/><Relationship Id="rId12" Type="http://schemas.openxmlformats.org/officeDocument/2006/relationships/hyperlink" Target="https://finalreport.rcvmhs.vic.gov.au/fact-sheets/" TargetMode="External"/><Relationship Id="rId17" Type="http://schemas.openxmlformats.org/officeDocument/2006/relationships/hyperlink" Target="https://www.live4life.org.au/what-is-live4life"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s://www.live4life.org.au/" TargetMode="External"/><Relationship Id="rId20" Type="http://schemas.openxmlformats.org/officeDocument/2006/relationships/hyperlink" Target="file:///C:/Users/TalishaOhanessian/Documents/Talisha.Ohanessian@vcoss.org.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inalreport.rcvmhs.vic.gov.au/" TargetMode="Externa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www.vaeai.org.au/documents/" TargetMode="External"/><Relationship Id="rId23" Type="http://schemas.openxmlformats.org/officeDocument/2006/relationships/theme" Target="theme/theme1.xml"/><Relationship Id="rId10" Type="http://schemas.openxmlformats.org/officeDocument/2006/relationships/hyperlink" Target="https://www.education.vic.gov.au/about/department/Pages/partnerships.aspx" TargetMode="External"/><Relationship Id="rId19" Type="http://schemas.openxmlformats.org/officeDocument/2006/relationships/hyperlink" Target="mailto:Deborah.fewster@vcoss.org.au" TargetMode="External"/><Relationship Id="rId4" Type="http://schemas.openxmlformats.org/officeDocument/2006/relationships/footnotes" Target="footnotes.xml"/><Relationship Id="rId9" Type="http://schemas.openxmlformats.org/officeDocument/2006/relationships/hyperlink" Target="https://vcoss.org.au/sector-hub/networks/education-partnership/" TargetMode="External"/><Relationship Id="rId14" Type="http://schemas.openxmlformats.org/officeDocument/2006/relationships/hyperlink" Target="https://www.vaeai.org.au/launch-koorie-outreach-support-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DET-CSO Governance Group meeting March 2021 Communique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B56B1C2F-FDAC-4CB7-9964-43737B996679}"/>
</file>

<file path=customXml/itemProps2.xml><?xml version="1.0" encoding="utf-8"?>
<ds:datastoreItem xmlns:ds="http://schemas.openxmlformats.org/officeDocument/2006/customXml" ds:itemID="{02EA08F8-3DB6-41E3-A27B-FDB81F9E7D19}"/>
</file>

<file path=customXml/itemProps3.xml><?xml version="1.0" encoding="utf-8"?>
<ds:datastoreItem xmlns:ds="http://schemas.openxmlformats.org/officeDocument/2006/customXml" ds:itemID="{70B306C0-3358-4B09-ACAE-B34D5DF53E65}"/>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Ohanessian</dc:creator>
  <cp:keywords/>
  <dc:description/>
  <cp:lastModifiedBy>Marc Laurin</cp:lastModifiedBy>
  <cp:revision>2</cp:revision>
  <dcterms:created xsi:type="dcterms:W3CDTF">2021-05-28T06:50:00Z</dcterms:created>
  <dcterms:modified xsi:type="dcterms:W3CDTF">2021-05-28T06:50:00Z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